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CA6BFF" w:rsidRPr="008D58D8" w:rsidTr="008A5AF9">
        <w:tc>
          <w:tcPr>
            <w:tcW w:w="4513" w:type="dxa"/>
            <w:tcBorders>
              <w:bottom w:val="single" w:sz="4" w:space="0" w:color="auto"/>
            </w:tcBorders>
            <w:tcMar>
              <w:bottom w:w="170" w:type="dxa"/>
            </w:tcMar>
          </w:tcPr>
          <w:p w:rsidR="00CA6BFF" w:rsidRPr="008D58D8" w:rsidRDefault="00CA6BFF" w:rsidP="008A5AF9">
            <w:pPr>
              <w:rPr>
                <w:rFonts w:eastAsia="SimSun" w:cs="Arial"/>
                <w:szCs w:val="20"/>
                <w:lang w:eastAsia="zh-CN"/>
              </w:rPr>
            </w:pPr>
          </w:p>
        </w:tc>
        <w:tc>
          <w:tcPr>
            <w:tcW w:w="4337" w:type="dxa"/>
            <w:tcBorders>
              <w:bottom w:val="single" w:sz="4" w:space="0" w:color="auto"/>
            </w:tcBorders>
            <w:tcMar>
              <w:left w:w="0" w:type="dxa"/>
              <w:right w:w="0" w:type="dxa"/>
            </w:tcMar>
          </w:tcPr>
          <w:p w:rsidR="00CA6BFF" w:rsidRPr="008D58D8" w:rsidRDefault="00CA6BFF" w:rsidP="008A5AF9">
            <w:pPr>
              <w:rPr>
                <w:rFonts w:eastAsia="SimSun" w:cs="Arial"/>
                <w:szCs w:val="20"/>
                <w:lang w:eastAsia="zh-CN"/>
              </w:rPr>
            </w:pPr>
            <w:r w:rsidRPr="008D58D8">
              <w:rPr>
                <w:rFonts w:eastAsia="SimSun" w:cs="Arial"/>
                <w:noProof/>
                <w:szCs w:val="20"/>
              </w:rPr>
              <w:drawing>
                <wp:inline distT="0" distB="0" distL="0" distR="0" wp14:anchorId="2770F85B" wp14:editId="33F47461">
                  <wp:extent cx="1857375" cy="1323975"/>
                  <wp:effectExtent l="0" t="0" r="9525" b="9525"/>
                  <wp:docPr id="3" name="Picture 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CA6BFF" w:rsidRPr="008D58D8" w:rsidRDefault="00CA6BFF" w:rsidP="008A5AF9">
            <w:pPr>
              <w:jc w:val="right"/>
              <w:rPr>
                <w:rFonts w:eastAsia="SimSun" w:cs="Arial"/>
                <w:szCs w:val="20"/>
                <w:lang w:eastAsia="zh-CN"/>
              </w:rPr>
            </w:pPr>
            <w:r w:rsidRPr="008D58D8">
              <w:rPr>
                <w:rFonts w:eastAsia="SimSun" w:cs="Arial"/>
                <w:b/>
                <w:sz w:val="40"/>
                <w:szCs w:val="40"/>
                <w:lang w:eastAsia="zh-CN"/>
              </w:rPr>
              <w:t>E</w:t>
            </w:r>
          </w:p>
        </w:tc>
      </w:tr>
      <w:tr w:rsidR="00CA6BFF" w:rsidRPr="008D58D8" w:rsidTr="008A5AF9">
        <w:trPr>
          <w:trHeight w:hRule="exact" w:val="340"/>
        </w:trPr>
        <w:tc>
          <w:tcPr>
            <w:tcW w:w="9356" w:type="dxa"/>
            <w:gridSpan w:val="3"/>
            <w:tcBorders>
              <w:top w:val="single" w:sz="4" w:space="0" w:color="auto"/>
            </w:tcBorders>
            <w:tcMar>
              <w:top w:w="170" w:type="dxa"/>
              <w:left w:w="0" w:type="dxa"/>
              <w:right w:w="0" w:type="dxa"/>
            </w:tcMar>
            <w:vAlign w:val="bottom"/>
          </w:tcPr>
          <w:p w:rsidR="00CA6BFF" w:rsidRPr="008D58D8" w:rsidRDefault="00D42E45" w:rsidP="004D03E4">
            <w:pPr>
              <w:jc w:val="right"/>
              <w:rPr>
                <w:rFonts w:ascii="Arial Black" w:eastAsia="SimSun" w:hAnsi="Arial Black" w:cs="Arial"/>
                <w:caps/>
                <w:sz w:val="15"/>
                <w:szCs w:val="20"/>
                <w:lang w:eastAsia="zh-CN"/>
              </w:rPr>
            </w:pPr>
            <w:bookmarkStart w:id="0" w:name="Code"/>
            <w:bookmarkEnd w:id="0"/>
            <w:r>
              <w:rPr>
                <w:rFonts w:ascii="Arial Black" w:eastAsia="SimSun" w:hAnsi="Arial Black" w:cs="Arial"/>
                <w:caps/>
                <w:sz w:val="15"/>
                <w:szCs w:val="20"/>
                <w:lang w:eastAsia="zh-CN"/>
              </w:rPr>
              <w:t>CDIP/12/inf/</w:t>
            </w:r>
            <w:r w:rsidR="004D03E4">
              <w:rPr>
                <w:rFonts w:ascii="Arial Black" w:eastAsia="SimSun" w:hAnsi="Arial Black" w:cs="Arial"/>
                <w:caps/>
                <w:sz w:val="15"/>
                <w:szCs w:val="20"/>
                <w:lang w:eastAsia="zh-CN"/>
              </w:rPr>
              <w:t>6</w:t>
            </w:r>
            <w:r w:rsidR="00CA6BFF" w:rsidRPr="008D58D8">
              <w:rPr>
                <w:rFonts w:ascii="Arial Black" w:eastAsia="SimSun" w:hAnsi="Arial Black" w:cs="Arial"/>
                <w:caps/>
                <w:sz w:val="15"/>
                <w:szCs w:val="20"/>
                <w:lang w:eastAsia="zh-CN"/>
              </w:rPr>
              <w:t xml:space="preserve">  </w:t>
            </w:r>
          </w:p>
        </w:tc>
      </w:tr>
      <w:tr w:rsidR="00CA6BFF" w:rsidRPr="008D58D8" w:rsidTr="008A5AF9">
        <w:trPr>
          <w:trHeight w:hRule="exact" w:val="170"/>
        </w:trPr>
        <w:tc>
          <w:tcPr>
            <w:tcW w:w="9356" w:type="dxa"/>
            <w:gridSpan w:val="3"/>
            <w:noWrap/>
            <w:tcMar>
              <w:left w:w="0" w:type="dxa"/>
              <w:right w:w="0" w:type="dxa"/>
            </w:tcMar>
            <w:vAlign w:val="bottom"/>
          </w:tcPr>
          <w:p w:rsidR="00CA6BFF" w:rsidRPr="008D58D8" w:rsidRDefault="00CA6BFF" w:rsidP="008A5AF9">
            <w:pPr>
              <w:jc w:val="right"/>
              <w:rPr>
                <w:rFonts w:ascii="Arial Black" w:eastAsia="SimSun" w:hAnsi="Arial Black" w:cs="Arial"/>
                <w:caps/>
                <w:sz w:val="15"/>
                <w:szCs w:val="20"/>
                <w:lang w:eastAsia="zh-CN"/>
              </w:rPr>
            </w:pPr>
            <w:r w:rsidRPr="008D58D8">
              <w:rPr>
                <w:rFonts w:ascii="Arial Black" w:eastAsia="SimSun" w:hAnsi="Arial Black" w:cs="Arial"/>
                <w:caps/>
                <w:sz w:val="15"/>
                <w:szCs w:val="20"/>
                <w:lang w:eastAsia="zh-CN"/>
              </w:rPr>
              <w:t xml:space="preserve">ORIGINAL:  </w:t>
            </w:r>
            <w:bookmarkStart w:id="1" w:name="Original"/>
            <w:bookmarkEnd w:id="1"/>
            <w:r w:rsidRPr="008D58D8">
              <w:rPr>
                <w:rFonts w:ascii="Arial Black" w:eastAsia="SimSun" w:hAnsi="Arial Black" w:cs="Arial"/>
                <w:caps/>
                <w:sz w:val="15"/>
                <w:szCs w:val="20"/>
                <w:lang w:eastAsia="zh-CN"/>
              </w:rPr>
              <w:t>En</w:t>
            </w:r>
            <w:r>
              <w:rPr>
                <w:rFonts w:ascii="Arial Black" w:eastAsia="SimSun" w:hAnsi="Arial Black" w:cs="Arial"/>
                <w:caps/>
                <w:sz w:val="15"/>
                <w:szCs w:val="20"/>
                <w:lang w:eastAsia="zh-CN"/>
              </w:rPr>
              <w:t>g</w:t>
            </w:r>
            <w:r w:rsidRPr="008D58D8">
              <w:rPr>
                <w:rFonts w:ascii="Arial Black" w:eastAsia="SimSun" w:hAnsi="Arial Black" w:cs="Arial"/>
                <w:caps/>
                <w:sz w:val="15"/>
                <w:szCs w:val="20"/>
                <w:lang w:eastAsia="zh-CN"/>
              </w:rPr>
              <w:t>lish</w:t>
            </w:r>
          </w:p>
        </w:tc>
      </w:tr>
      <w:tr w:rsidR="00CA6BFF" w:rsidRPr="008D58D8" w:rsidTr="008A5AF9">
        <w:trPr>
          <w:trHeight w:hRule="exact" w:val="198"/>
        </w:trPr>
        <w:tc>
          <w:tcPr>
            <w:tcW w:w="9356" w:type="dxa"/>
            <w:gridSpan w:val="3"/>
            <w:tcMar>
              <w:left w:w="0" w:type="dxa"/>
              <w:right w:w="0" w:type="dxa"/>
            </w:tcMar>
            <w:vAlign w:val="bottom"/>
          </w:tcPr>
          <w:p w:rsidR="00CA6BFF" w:rsidRPr="008D58D8" w:rsidRDefault="00CA6BFF" w:rsidP="004D03E4">
            <w:pPr>
              <w:jc w:val="right"/>
              <w:rPr>
                <w:rFonts w:ascii="Arial Black" w:eastAsia="SimSun" w:hAnsi="Arial Black" w:cs="Arial"/>
                <w:caps/>
                <w:sz w:val="15"/>
                <w:szCs w:val="20"/>
                <w:lang w:eastAsia="zh-CN"/>
              </w:rPr>
            </w:pPr>
            <w:r w:rsidRPr="008D58D8">
              <w:rPr>
                <w:rFonts w:ascii="Arial Black" w:eastAsia="SimSun" w:hAnsi="Arial Black" w:cs="Arial"/>
                <w:caps/>
                <w:sz w:val="15"/>
                <w:szCs w:val="20"/>
                <w:lang w:eastAsia="zh-CN"/>
              </w:rPr>
              <w:t xml:space="preserve">DATE:  </w:t>
            </w:r>
            <w:bookmarkStart w:id="2" w:name="Date"/>
            <w:bookmarkEnd w:id="2"/>
            <w:r w:rsidR="008B5156">
              <w:rPr>
                <w:rFonts w:ascii="Arial Black" w:eastAsia="SimSun" w:hAnsi="Arial Black" w:cs="Arial"/>
                <w:caps/>
                <w:sz w:val="15"/>
                <w:szCs w:val="20"/>
                <w:lang w:eastAsia="zh-CN"/>
              </w:rPr>
              <w:t xml:space="preserve">OCTOBER </w:t>
            </w:r>
            <w:r w:rsidR="00EA3BA4">
              <w:rPr>
                <w:rFonts w:ascii="Arial Black" w:eastAsia="SimSun" w:hAnsi="Arial Black" w:cs="Arial"/>
                <w:caps/>
                <w:sz w:val="15"/>
                <w:szCs w:val="20"/>
                <w:lang w:eastAsia="zh-CN"/>
              </w:rPr>
              <w:t>24</w:t>
            </w:r>
            <w:r w:rsidRPr="008D58D8">
              <w:rPr>
                <w:rFonts w:ascii="Arial Black" w:eastAsia="SimSun" w:hAnsi="Arial Black" w:cs="Arial"/>
                <w:caps/>
                <w:sz w:val="15"/>
                <w:szCs w:val="20"/>
                <w:lang w:eastAsia="zh-CN"/>
              </w:rPr>
              <w:t>, 2013</w:t>
            </w:r>
          </w:p>
        </w:tc>
      </w:tr>
    </w:tbl>
    <w:p w:rsidR="00CA6BFF" w:rsidRDefault="00CA6BFF" w:rsidP="00CA6BFF">
      <w:pPr>
        <w:rPr>
          <w:rFonts w:eastAsia="SimSun" w:cs="Arial"/>
          <w:b/>
          <w:lang w:eastAsia="zh-CN"/>
        </w:rPr>
      </w:pPr>
    </w:p>
    <w:p w:rsidR="003C6518" w:rsidRDefault="003C6518" w:rsidP="00CA6BFF">
      <w:pPr>
        <w:rPr>
          <w:rFonts w:eastAsia="SimSun" w:cs="Arial"/>
          <w:b/>
          <w:lang w:eastAsia="zh-CN"/>
        </w:rPr>
      </w:pPr>
    </w:p>
    <w:p w:rsidR="003C6518" w:rsidRDefault="003C6518" w:rsidP="00CA6BFF">
      <w:pPr>
        <w:rPr>
          <w:rFonts w:eastAsia="SimSun" w:cs="Arial"/>
          <w:b/>
          <w:lang w:eastAsia="zh-CN"/>
        </w:rPr>
      </w:pPr>
    </w:p>
    <w:p w:rsidR="003C6518" w:rsidRPr="003C6518" w:rsidRDefault="003C6518" w:rsidP="00CA6BFF">
      <w:pPr>
        <w:rPr>
          <w:rFonts w:eastAsia="SimSun" w:cs="Arial"/>
          <w:b/>
          <w:lang w:eastAsia="zh-CN"/>
        </w:rPr>
      </w:pPr>
    </w:p>
    <w:p w:rsidR="003C6518" w:rsidRPr="003C6518" w:rsidRDefault="003C6518" w:rsidP="00CA6BFF">
      <w:pPr>
        <w:rPr>
          <w:rFonts w:eastAsia="SimSun" w:cs="Arial"/>
          <w:b/>
          <w:lang w:eastAsia="zh-CN"/>
        </w:rPr>
      </w:pPr>
    </w:p>
    <w:p w:rsidR="00CA6BFF" w:rsidRPr="008D58D8" w:rsidRDefault="00CA6BFF" w:rsidP="00CA6BFF">
      <w:pPr>
        <w:rPr>
          <w:rFonts w:eastAsia="SimSun" w:cs="Arial"/>
          <w:b/>
          <w:sz w:val="28"/>
          <w:szCs w:val="28"/>
          <w:lang w:eastAsia="zh-CN"/>
        </w:rPr>
      </w:pPr>
      <w:r w:rsidRPr="008D58D8">
        <w:rPr>
          <w:rFonts w:eastAsia="SimSun" w:cs="Arial"/>
          <w:b/>
          <w:sz w:val="28"/>
          <w:szCs w:val="28"/>
          <w:lang w:eastAsia="zh-CN"/>
        </w:rPr>
        <w:t>Committee on Development and Intellectual Property (CDIP)</w:t>
      </w:r>
    </w:p>
    <w:p w:rsidR="00CA6BFF" w:rsidRPr="008D58D8" w:rsidRDefault="00CA6BFF" w:rsidP="00CA6BFF">
      <w:pPr>
        <w:rPr>
          <w:rFonts w:eastAsia="SimSun" w:cs="Arial"/>
          <w:szCs w:val="20"/>
          <w:lang w:eastAsia="zh-CN"/>
        </w:rPr>
      </w:pPr>
    </w:p>
    <w:p w:rsidR="00CA6BFF" w:rsidRPr="008D58D8" w:rsidRDefault="00CA6BFF" w:rsidP="00CA6BFF">
      <w:pPr>
        <w:rPr>
          <w:rFonts w:eastAsia="SimSun" w:cs="Arial"/>
          <w:szCs w:val="20"/>
          <w:lang w:eastAsia="zh-CN"/>
        </w:rPr>
      </w:pPr>
    </w:p>
    <w:p w:rsidR="00CA6BFF" w:rsidRPr="008D58D8" w:rsidRDefault="00CA6BFF" w:rsidP="00CA6BFF">
      <w:pPr>
        <w:rPr>
          <w:rFonts w:eastAsia="SimSun" w:cs="Arial"/>
          <w:b/>
          <w:sz w:val="24"/>
          <w:szCs w:val="24"/>
          <w:lang w:eastAsia="zh-CN"/>
        </w:rPr>
      </w:pPr>
      <w:r w:rsidRPr="008D58D8">
        <w:rPr>
          <w:rFonts w:eastAsia="SimSun" w:cs="Arial"/>
          <w:b/>
          <w:sz w:val="24"/>
          <w:szCs w:val="24"/>
          <w:lang w:eastAsia="zh-CN"/>
        </w:rPr>
        <w:t>Twelfth Session</w:t>
      </w:r>
    </w:p>
    <w:p w:rsidR="00CA6BFF" w:rsidRPr="008D58D8" w:rsidRDefault="00CA6BFF" w:rsidP="00CA6BFF">
      <w:pPr>
        <w:rPr>
          <w:rFonts w:eastAsia="SimSun" w:cs="Arial"/>
          <w:b/>
          <w:sz w:val="24"/>
          <w:szCs w:val="24"/>
          <w:lang w:eastAsia="zh-CN"/>
        </w:rPr>
      </w:pPr>
      <w:r w:rsidRPr="008D58D8">
        <w:rPr>
          <w:rFonts w:eastAsia="SimSun" w:cs="Arial"/>
          <w:b/>
          <w:sz w:val="24"/>
          <w:szCs w:val="24"/>
          <w:lang w:eastAsia="zh-CN"/>
        </w:rPr>
        <w:t>Geneva, November 18 to 21, 2013</w:t>
      </w:r>
    </w:p>
    <w:p w:rsidR="00CA6BFF" w:rsidRDefault="00CA6BFF" w:rsidP="00CA6BFF">
      <w:pPr>
        <w:rPr>
          <w:rFonts w:eastAsia="SimSun" w:cs="Arial"/>
          <w:szCs w:val="20"/>
          <w:lang w:eastAsia="zh-CN"/>
        </w:rPr>
      </w:pPr>
    </w:p>
    <w:p w:rsidR="00223846" w:rsidRPr="008D58D8" w:rsidRDefault="00223846" w:rsidP="00CA6BFF">
      <w:pPr>
        <w:rPr>
          <w:rFonts w:eastAsia="SimSun" w:cs="Arial"/>
          <w:szCs w:val="20"/>
          <w:lang w:eastAsia="zh-CN"/>
        </w:rPr>
      </w:pPr>
    </w:p>
    <w:p w:rsidR="00CA6BFF" w:rsidRPr="008D58D8" w:rsidRDefault="00CA6BFF" w:rsidP="00CA6BFF">
      <w:pPr>
        <w:rPr>
          <w:rFonts w:eastAsia="SimSun" w:cs="Arial"/>
          <w:sz w:val="24"/>
          <w:szCs w:val="20"/>
          <w:lang w:eastAsia="zh-CN"/>
        </w:rPr>
      </w:pPr>
      <w:bookmarkStart w:id="3" w:name="TitleOfDoc"/>
      <w:bookmarkEnd w:id="3"/>
      <w:r w:rsidRPr="008D58D8">
        <w:rPr>
          <w:rFonts w:eastAsia="SimSun" w:cs="Arial"/>
          <w:sz w:val="24"/>
          <w:szCs w:val="20"/>
          <w:lang w:eastAsia="zh-CN"/>
        </w:rPr>
        <w:t xml:space="preserve">STUDY ON </w:t>
      </w:r>
      <w:r w:rsidR="008A7CA1" w:rsidRPr="008A7CA1">
        <w:rPr>
          <w:rFonts w:eastAsia="SimSun" w:cs="Arial"/>
          <w:sz w:val="24"/>
          <w:szCs w:val="20"/>
          <w:lang w:eastAsia="zh-CN"/>
        </w:rPr>
        <w:t xml:space="preserve">THE USE OF UTILITY MODELS IN THAILAND </w:t>
      </w:r>
    </w:p>
    <w:p w:rsidR="00CA6BFF" w:rsidRPr="008D58D8" w:rsidRDefault="00CA6BFF" w:rsidP="00CA6BFF">
      <w:pPr>
        <w:rPr>
          <w:rFonts w:eastAsia="SimSun" w:cs="Arial"/>
          <w:szCs w:val="20"/>
          <w:lang w:eastAsia="zh-CN"/>
        </w:rPr>
      </w:pPr>
    </w:p>
    <w:p w:rsidR="008A7CA1" w:rsidRDefault="00CA6BFF" w:rsidP="00A36AD5">
      <w:pPr>
        <w:rPr>
          <w:rFonts w:eastAsia="SimSun" w:cs="Arial"/>
          <w:i/>
          <w:szCs w:val="20"/>
          <w:lang w:eastAsia="zh-CN"/>
        </w:rPr>
      </w:pPr>
      <w:bookmarkStart w:id="4" w:name="Prepared"/>
      <w:bookmarkEnd w:id="4"/>
      <w:proofErr w:type="gramStart"/>
      <w:r w:rsidRPr="00163B36">
        <w:rPr>
          <w:rFonts w:eastAsia="SimSun" w:cs="Arial"/>
          <w:i/>
          <w:szCs w:val="20"/>
          <w:lang w:eastAsia="zh-CN"/>
        </w:rPr>
        <w:t>prepared</w:t>
      </w:r>
      <w:proofErr w:type="gramEnd"/>
      <w:r w:rsidRPr="00163B36">
        <w:rPr>
          <w:rFonts w:eastAsia="SimSun" w:cs="Arial"/>
          <w:i/>
          <w:szCs w:val="20"/>
          <w:lang w:eastAsia="zh-CN"/>
        </w:rPr>
        <w:t xml:space="preserve"> by </w:t>
      </w:r>
      <w:r w:rsidR="00CE130B" w:rsidRPr="00846972">
        <w:rPr>
          <w:i/>
        </w:rPr>
        <w:t>Mmes</w:t>
      </w:r>
      <w:r w:rsidR="00CE130B">
        <w:rPr>
          <w:i/>
        </w:rPr>
        <w:t xml:space="preserve">. </w:t>
      </w:r>
      <w:proofErr w:type="spellStart"/>
      <w:r w:rsidR="00CE130B">
        <w:rPr>
          <w:i/>
        </w:rPr>
        <w:t>Deunden</w:t>
      </w:r>
      <w:proofErr w:type="spellEnd"/>
      <w:r w:rsidR="00CE130B">
        <w:rPr>
          <w:i/>
        </w:rPr>
        <w:t xml:space="preserve"> </w:t>
      </w:r>
      <w:proofErr w:type="spellStart"/>
      <w:r w:rsidR="00CE130B">
        <w:rPr>
          <w:i/>
        </w:rPr>
        <w:t>Nikomborirak</w:t>
      </w:r>
      <w:proofErr w:type="spellEnd"/>
      <w:r w:rsidR="00CE130B">
        <w:rPr>
          <w:i/>
        </w:rPr>
        <w:t xml:space="preserve">, </w:t>
      </w:r>
      <w:r w:rsidR="00CE130B" w:rsidRPr="008A7CA1">
        <w:rPr>
          <w:rFonts w:eastAsia="SimSun" w:cs="Arial"/>
          <w:i/>
          <w:szCs w:val="20"/>
          <w:lang w:eastAsia="zh-CN"/>
        </w:rPr>
        <w:t>Economic Governance</w:t>
      </w:r>
      <w:r w:rsidR="00CE130B">
        <w:rPr>
          <w:rFonts w:eastAsia="SimSun" w:cs="Arial"/>
          <w:i/>
          <w:szCs w:val="20"/>
          <w:lang w:eastAsia="zh-CN"/>
        </w:rPr>
        <w:t>,</w:t>
      </w:r>
      <w:r w:rsidR="00CE130B" w:rsidRPr="00955B16">
        <w:rPr>
          <w:i/>
        </w:rPr>
        <w:t xml:space="preserve"> Research Director, </w:t>
      </w:r>
      <w:r w:rsidR="00CE130B">
        <w:rPr>
          <w:i/>
        </w:rPr>
        <w:t xml:space="preserve">Thailand Development Research Institute (Thailand), </w:t>
      </w:r>
      <w:r w:rsidR="00CE130B" w:rsidRPr="006F5030">
        <w:rPr>
          <w:i/>
        </w:rPr>
        <w:t xml:space="preserve">and </w:t>
      </w:r>
      <w:proofErr w:type="spellStart"/>
      <w:r w:rsidR="00CE130B">
        <w:rPr>
          <w:i/>
        </w:rPr>
        <w:t>Weerawan</w:t>
      </w:r>
      <w:proofErr w:type="spellEnd"/>
      <w:r w:rsidR="00CE130B">
        <w:rPr>
          <w:i/>
        </w:rPr>
        <w:t xml:space="preserve"> </w:t>
      </w:r>
      <w:proofErr w:type="spellStart"/>
      <w:r w:rsidR="00CE130B">
        <w:rPr>
          <w:i/>
        </w:rPr>
        <w:t>Paibunkott-aree</w:t>
      </w:r>
      <w:proofErr w:type="spellEnd"/>
      <w:r w:rsidR="00CE130B">
        <w:rPr>
          <w:i/>
        </w:rPr>
        <w:t xml:space="preserve">, Senior Researcher, </w:t>
      </w:r>
      <w:proofErr w:type="spellStart"/>
      <w:r w:rsidR="00CE130B" w:rsidRPr="008A7CA1">
        <w:rPr>
          <w:rFonts w:eastAsia="SimSun" w:cs="Arial"/>
          <w:i/>
          <w:szCs w:val="20"/>
          <w:lang w:eastAsia="zh-CN"/>
        </w:rPr>
        <w:t>Sectoral</w:t>
      </w:r>
      <w:proofErr w:type="spellEnd"/>
      <w:r w:rsidR="00CE130B" w:rsidRPr="008A7CA1">
        <w:rPr>
          <w:rFonts w:eastAsia="SimSun" w:cs="Arial"/>
          <w:i/>
          <w:szCs w:val="20"/>
          <w:lang w:eastAsia="zh-CN"/>
        </w:rPr>
        <w:t xml:space="preserve"> Economic Program</w:t>
      </w:r>
      <w:r w:rsidR="00CE130B">
        <w:rPr>
          <w:i/>
        </w:rPr>
        <w:t>, Thailand Development Research Institute</w:t>
      </w:r>
      <w:r w:rsidR="00CE130B">
        <w:t xml:space="preserve"> </w:t>
      </w:r>
      <w:r w:rsidR="00CE130B">
        <w:rPr>
          <w:i/>
        </w:rPr>
        <w:t>(Thailand)</w:t>
      </w:r>
      <w:r w:rsidR="00A36AD5">
        <w:rPr>
          <w:rStyle w:val="FootnoteReference"/>
          <w:i/>
        </w:rPr>
        <w:footnoteReference w:id="2"/>
      </w:r>
    </w:p>
    <w:p w:rsidR="00CA6BFF" w:rsidRDefault="00CA6BFF" w:rsidP="00CA6BFF">
      <w:pPr>
        <w:rPr>
          <w:rFonts w:eastAsia="SimSun" w:cs="Arial"/>
          <w:szCs w:val="20"/>
          <w:lang w:eastAsia="zh-CN"/>
        </w:rPr>
      </w:pPr>
    </w:p>
    <w:p w:rsidR="00EA3BA4" w:rsidRDefault="00EA3BA4" w:rsidP="00CA6BFF">
      <w:pPr>
        <w:rPr>
          <w:rFonts w:eastAsia="SimSun" w:cs="Arial"/>
          <w:szCs w:val="20"/>
          <w:lang w:eastAsia="zh-CN"/>
        </w:rPr>
      </w:pPr>
    </w:p>
    <w:p w:rsidR="00EA3BA4" w:rsidRDefault="00EA3BA4" w:rsidP="00CA6BFF">
      <w:pPr>
        <w:rPr>
          <w:rFonts w:eastAsia="SimSun" w:cs="Arial"/>
          <w:szCs w:val="20"/>
          <w:lang w:eastAsia="zh-CN"/>
        </w:rPr>
      </w:pPr>
    </w:p>
    <w:p w:rsidR="00B73E58" w:rsidRDefault="00B73E58" w:rsidP="00CA6BFF">
      <w:pPr>
        <w:rPr>
          <w:rFonts w:eastAsia="SimSun" w:cs="Arial"/>
          <w:szCs w:val="20"/>
          <w:lang w:eastAsia="zh-CN"/>
        </w:rPr>
      </w:pPr>
    </w:p>
    <w:p w:rsidR="000F2CAC" w:rsidRDefault="000F2CAC" w:rsidP="00CA6BFF">
      <w:pPr>
        <w:rPr>
          <w:rFonts w:eastAsia="SimSun" w:cs="Arial"/>
          <w:szCs w:val="20"/>
          <w:lang w:eastAsia="zh-CN"/>
        </w:rPr>
      </w:pPr>
    </w:p>
    <w:p w:rsidR="00CA6BFF" w:rsidRPr="006F5267" w:rsidRDefault="00CA6BFF" w:rsidP="00CE130B">
      <w:pPr>
        <w:autoSpaceDE w:val="0"/>
        <w:autoSpaceDN w:val="0"/>
        <w:adjustRightInd w:val="0"/>
        <w:rPr>
          <w:rFonts w:eastAsia="Calibri" w:cs="Arial"/>
          <w:color w:val="000000"/>
        </w:rPr>
      </w:pPr>
      <w:r w:rsidRPr="006F5267">
        <w:rPr>
          <w:rFonts w:eastAsia="Calibri" w:cs="Arial"/>
          <w:color w:val="000000"/>
          <w:sz w:val="24"/>
          <w:szCs w:val="24"/>
        </w:rPr>
        <w:t>1.</w:t>
      </w:r>
      <w:r w:rsidRPr="006F5267">
        <w:rPr>
          <w:rFonts w:eastAsia="Calibri" w:cs="Arial"/>
          <w:color w:val="000000"/>
          <w:sz w:val="24"/>
          <w:szCs w:val="24"/>
        </w:rPr>
        <w:tab/>
      </w:r>
      <w:r w:rsidR="00CE130B" w:rsidRPr="00CE130B">
        <w:rPr>
          <w:rFonts w:eastAsia="Calibri" w:cs="Arial"/>
          <w:color w:val="000000"/>
        </w:rPr>
        <w:t>The Annex to this do</w:t>
      </w:r>
      <w:r w:rsidR="00CE130B">
        <w:rPr>
          <w:rFonts w:eastAsia="Calibri" w:cs="Arial"/>
          <w:color w:val="000000"/>
        </w:rPr>
        <w:t>cument contains a</w:t>
      </w:r>
      <w:r w:rsidR="00CE130B" w:rsidRPr="00CE130B">
        <w:rPr>
          <w:rFonts w:eastAsia="Calibri" w:cs="Arial"/>
          <w:color w:val="000000"/>
        </w:rPr>
        <w:t xml:space="preserve"> Study on The Use of Utility Models (UMs) in Thailand, undertaken in the context of the Project on Intellectual Property</w:t>
      </w:r>
      <w:r w:rsidR="00CE130B">
        <w:rPr>
          <w:rFonts w:eastAsia="Calibri" w:cs="Arial"/>
          <w:color w:val="000000"/>
        </w:rPr>
        <w:t xml:space="preserve"> </w:t>
      </w:r>
      <w:r w:rsidR="00CE130B" w:rsidRPr="00CE130B">
        <w:rPr>
          <w:rFonts w:eastAsia="Calibri" w:cs="Arial"/>
          <w:color w:val="000000"/>
        </w:rPr>
        <w:t xml:space="preserve">and Socio-Economic Development (CDIP/5/7), approved by the Committee on Development and Intellectual Property (CDIP) at its Fifth Session held in April 2010. This study provides a descriptive analysis of the implementation and use of UMs in Thailand and explores the </w:t>
      </w:r>
      <w:proofErr w:type="gramStart"/>
      <w:r w:rsidR="00CE130B" w:rsidRPr="00CE130B">
        <w:rPr>
          <w:rFonts w:eastAsia="Calibri" w:cs="Arial"/>
          <w:color w:val="000000"/>
        </w:rPr>
        <w:t>potential</w:t>
      </w:r>
      <w:proofErr w:type="gramEnd"/>
      <w:r w:rsidR="00CE130B" w:rsidRPr="00CE130B">
        <w:rPr>
          <w:rFonts w:eastAsia="Calibri" w:cs="Arial"/>
          <w:color w:val="000000"/>
        </w:rPr>
        <w:t xml:space="preserve"> challenges faced by the Thai IP system in relation to this new policy instrument.</w:t>
      </w:r>
    </w:p>
    <w:p w:rsidR="00CA6BFF" w:rsidRPr="006F5267" w:rsidRDefault="00CA6BFF" w:rsidP="00CA6BFF">
      <w:pPr>
        <w:autoSpaceDE w:val="0"/>
        <w:autoSpaceDN w:val="0"/>
        <w:adjustRightInd w:val="0"/>
        <w:rPr>
          <w:rFonts w:eastAsia="Calibri" w:cs="Arial"/>
          <w:color w:val="000000"/>
        </w:rPr>
      </w:pPr>
    </w:p>
    <w:p w:rsidR="00CA6BFF" w:rsidRPr="008D58D8" w:rsidRDefault="00CA6BFF" w:rsidP="00CA6BFF">
      <w:pPr>
        <w:ind w:left="4550" w:hanging="14"/>
        <w:rPr>
          <w:i/>
        </w:rPr>
      </w:pPr>
      <w:r w:rsidRPr="008D58D8">
        <w:rPr>
          <w:i/>
        </w:rPr>
        <w:t>2.</w:t>
      </w:r>
      <w:r w:rsidRPr="008D58D8">
        <w:rPr>
          <w:i/>
        </w:rPr>
        <w:tab/>
        <w:t>The CDIP is invited to take note of the information contained in the Annex to this document.</w:t>
      </w:r>
    </w:p>
    <w:p w:rsidR="00CA6BFF" w:rsidRPr="008D58D8" w:rsidRDefault="00CA6BFF" w:rsidP="00D5058F">
      <w:pPr>
        <w:rPr>
          <w:rFonts w:eastAsia="SimSun" w:cs="Arial"/>
          <w:lang w:eastAsia="zh-CN"/>
        </w:rPr>
      </w:pPr>
    </w:p>
    <w:p w:rsidR="00CA6BFF" w:rsidRPr="008D58D8" w:rsidRDefault="00CA6BFF" w:rsidP="00CA6BFF">
      <w:pPr>
        <w:rPr>
          <w:rFonts w:eastAsia="SimSun" w:cs="Arial"/>
          <w:szCs w:val="20"/>
          <w:lang w:eastAsia="zh-CN"/>
        </w:rPr>
      </w:pPr>
    </w:p>
    <w:p w:rsidR="00CA6BFF" w:rsidRPr="008D58D8" w:rsidRDefault="00CA6BFF" w:rsidP="00CA6BFF">
      <w:pPr>
        <w:rPr>
          <w:rFonts w:eastAsia="SimSun" w:cs="Arial"/>
          <w:szCs w:val="20"/>
          <w:lang w:eastAsia="zh-CN"/>
        </w:rPr>
      </w:pPr>
      <w:bookmarkStart w:id="5" w:name="_GoBack"/>
      <w:bookmarkEnd w:id="5"/>
    </w:p>
    <w:p w:rsidR="005C07DF" w:rsidRDefault="00CA6BFF" w:rsidP="00276F40">
      <w:pPr>
        <w:tabs>
          <w:tab w:val="left" w:pos="4536"/>
        </w:tabs>
        <w:ind w:left="5103" w:hanging="567"/>
        <w:rPr>
          <w:rFonts w:cs="Arial"/>
          <w:lang w:val="en-GB"/>
        </w:rPr>
        <w:sectPr w:rsidR="005C07DF" w:rsidSect="00D31BDF">
          <w:headerReference w:type="default" r:id="rId10"/>
          <w:pgSz w:w="11906" w:h="16838"/>
          <w:pgMar w:top="567" w:right="1418" w:bottom="1418" w:left="1418" w:header="706" w:footer="706" w:gutter="0"/>
          <w:cols w:space="720"/>
          <w:titlePg/>
          <w:docGrid w:linePitch="360"/>
        </w:sectPr>
      </w:pPr>
      <w:r w:rsidRPr="008D58D8">
        <w:rPr>
          <w:rFonts w:cs="Arial"/>
          <w:lang w:val="en-GB"/>
        </w:rPr>
        <w:t>[</w:t>
      </w:r>
      <w:r w:rsidRPr="008D58D8">
        <w:t>Annex</w:t>
      </w:r>
      <w:r w:rsidRPr="008D58D8">
        <w:rPr>
          <w:rFonts w:cs="Arial"/>
          <w:lang w:val="en-GB"/>
        </w:rPr>
        <w:t xml:space="preserve"> follows]</w:t>
      </w:r>
    </w:p>
    <w:p w:rsidR="00CA6BFF" w:rsidRDefault="00CA6BFF" w:rsidP="00CA6BFF">
      <w:pPr>
        <w:rPr>
          <w:rFonts w:eastAsia="SimSun" w:cs="Arial"/>
          <w:szCs w:val="20"/>
          <w:lang w:eastAsia="zh-CN"/>
        </w:rPr>
      </w:pPr>
    </w:p>
    <w:p w:rsidR="006069A1" w:rsidRPr="00EC6152" w:rsidRDefault="006069A1" w:rsidP="00534D0D">
      <w:pPr>
        <w:pStyle w:val="Section"/>
        <w:numPr>
          <w:ilvl w:val="0"/>
          <w:numId w:val="0"/>
        </w:numPr>
        <w:ind w:left="360" w:right="1350"/>
        <w:jc w:val="center"/>
      </w:pPr>
      <w:bookmarkStart w:id="6" w:name="_Toc368494053"/>
      <w:r w:rsidRPr="008708FA">
        <w:t>THE USE OF UTILITY MODELS IN THAILAND</w:t>
      </w:r>
    </w:p>
    <w:p w:rsidR="006069A1" w:rsidRPr="008708FA" w:rsidRDefault="006069A1" w:rsidP="00534D0D">
      <w:pPr>
        <w:ind w:left="360" w:right="1350"/>
        <w:jc w:val="center"/>
        <w:rPr>
          <w:rFonts w:eastAsia="Calibri"/>
        </w:rPr>
      </w:pPr>
    </w:p>
    <w:p w:rsidR="00BB2A5B" w:rsidRDefault="00BB2A5B" w:rsidP="00534D0D">
      <w:pPr>
        <w:pStyle w:val="Section"/>
        <w:numPr>
          <w:ilvl w:val="0"/>
          <w:numId w:val="0"/>
        </w:numPr>
        <w:ind w:left="360" w:right="1350"/>
      </w:pPr>
      <w:r>
        <w:t>EXECUTIVE SUMMARY</w:t>
      </w:r>
      <w:bookmarkEnd w:id="6"/>
    </w:p>
    <w:p w:rsidR="00BB2A5B" w:rsidRDefault="00BB2A5B" w:rsidP="00534D0D">
      <w:pPr>
        <w:ind w:left="360" w:right="1350"/>
        <w:rPr>
          <w:b/>
        </w:rPr>
      </w:pPr>
    </w:p>
    <w:p w:rsidR="008708FA" w:rsidRPr="008708FA" w:rsidRDefault="008708FA" w:rsidP="00534D0D">
      <w:pPr>
        <w:ind w:left="360" w:right="1350"/>
        <w:rPr>
          <w:rFonts w:eastAsia="Calibri"/>
        </w:rPr>
      </w:pPr>
      <w:r w:rsidRPr="008708FA">
        <w:rPr>
          <w:rFonts w:eastAsia="Calibri"/>
        </w:rPr>
        <w:t xml:space="preserve">There is great interest in better understanding the effects of intellectual property (IP) protection in less developed countries, both on specific measures of social and economic performance and on the economic development process more broadly.  Many economists have argued against a “one-size-fits-all” approach in designing and implementing an IP regime.  At the same time, national policymakers in developing countries lack credible empirical guidance in tailoring their IP systems to national capacities and needs.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In this context, many economists and lawyers have argued that utility models (UMs) may be a more appropriate form of IP protection than regular invention patents at initial stages of economic development.  In addition, use of this IP instrument may familiarize local inventors with the IP system in general and encourage the use of other IP forms in the near future.  However, there is little evidence on the uptake and usefulness of UMs in countries at different stages of development.</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In 1999, as part of its obligations as signatory member of the World Trade Organization, Thailand reformed its IP laws in line with the Trade Related Aspects of Intellectual Property (TRIPS) agreement by passing the revised Intellectual Property Act (3rd Amendment).  One element of this reform –</w:t>
      </w:r>
      <w:r w:rsidR="00EC6152">
        <w:rPr>
          <w:rFonts w:eastAsia="Calibri"/>
        </w:rPr>
        <w:t xml:space="preserve"> though not required by TRIPS, </w:t>
      </w:r>
      <w:r w:rsidRPr="008708FA">
        <w:rPr>
          <w:rFonts w:eastAsia="Calibri"/>
        </w:rPr>
        <w:t>was the introduction of UM protection, aimed specifically at encouraging local innovation.  The Thai UM legislation requires inventions to be new and capable of industrial application. It does not require UM applications to be substantively examined.  Either the applicant or any interested third party can request for substantive examination within one year after the registration has been published.</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As part of the CDIP/5/7 Country Study for Thailand, this report provides a descriptive analysis of the implementation of UMs in Thailand.  Using detailed and novel unit record data on UM registrations, it explores how this IP instrument is being used, by whom and in which sectors.  It also points to the potential challenges that the Thai IP system may face in the future in relation to this new policy instrument.</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 xml:space="preserve">The report draws on a joint effort by the Thailand Development Research Institute (TDRI) and the World Intellectual Property Organization (WIPO).  In particular, with the close cooperation of the Thai Department of Intellectual Property (DIP) under the Ministry of Commerce, TDRI and WIPO put together a comprehensive database on the use of UMs in Thailand.  This database contains all registered UM in Thailand from October 1996 to September 2012, as well as other related information.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p>
    <w:p w:rsidR="008708FA" w:rsidRPr="008708FA" w:rsidRDefault="008708FA" w:rsidP="00534D0D">
      <w:pPr>
        <w:spacing w:line="276" w:lineRule="auto"/>
        <w:ind w:left="360" w:right="1350"/>
        <w:rPr>
          <w:rFonts w:eastAsia="Calibri"/>
        </w:rPr>
      </w:pPr>
      <w:r w:rsidRPr="008708FA">
        <w:rPr>
          <w:rFonts w:eastAsia="Calibri"/>
        </w:rPr>
        <w:br w:type="page"/>
      </w:r>
    </w:p>
    <w:p w:rsidR="008708FA" w:rsidRPr="00E6180E" w:rsidRDefault="008708FA" w:rsidP="00534D0D">
      <w:pPr>
        <w:ind w:left="360" w:right="1350"/>
        <w:rPr>
          <w:rFonts w:eastAsia="Calibri"/>
          <w:i/>
        </w:rPr>
      </w:pPr>
    </w:p>
    <w:p w:rsidR="008708FA" w:rsidRPr="00ED46FA" w:rsidRDefault="008708FA" w:rsidP="00534D0D">
      <w:pPr>
        <w:keepNext/>
        <w:keepLines/>
        <w:ind w:left="360" w:right="1350"/>
        <w:outlineLvl w:val="1"/>
        <w:rPr>
          <w:bCs/>
          <w:i/>
          <w:szCs w:val="26"/>
        </w:rPr>
      </w:pPr>
      <w:r w:rsidRPr="00ED46FA">
        <w:rPr>
          <w:bCs/>
          <w:i/>
          <w:szCs w:val="26"/>
        </w:rPr>
        <w:fldChar w:fldCharType="begin"/>
      </w:r>
      <w:r w:rsidRPr="00ED46FA">
        <w:rPr>
          <w:bCs/>
          <w:i/>
          <w:szCs w:val="26"/>
        </w:rPr>
        <w:instrText xml:space="preserve"> REF _Ref367871893 \h  \* MERGEFORMAT </w:instrText>
      </w:r>
      <w:r w:rsidRPr="00ED46FA">
        <w:rPr>
          <w:bCs/>
          <w:i/>
          <w:szCs w:val="26"/>
        </w:rPr>
      </w:r>
      <w:r w:rsidRPr="00ED46FA">
        <w:rPr>
          <w:bCs/>
          <w:i/>
          <w:szCs w:val="26"/>
        </w:rPr>
        <w:fldChar w:fldCharType="separate"/>
      </w:r>
      <w:bookmarkStart w:id="7" w:name="_Toc370307916"/>
      <w:r w:rsidR="006A4BE7" w:rsidRPr="006A4BE7">
        <w:rPr>
          <w:bCs/>
          <w:i/>
          <w:szCs w:val="26"/>
        </w:rPr>
        <w:t xml:space="preserve">1.  How have users received the new UM </w:t>
      </w:r>
      <w:r w:rsidR="006A4BE7" w:rsidRPr="008708FA">
        <w:t>regime?</w:t>
      </w:r>
      <w:bookmarkEnd w:id="7"/>
      <w:r w:rsidRPr="00ED46FA">
        <w:rPr>
          <w:bCs/>
          <w:i/>
          <w:szCs w:val="26"/>
        </w:rPr>
        <w:fldChar w:fldCharType="end"/>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In answering this question, it is useful to explore two aspects of UM use.  First, to what extent have Thai entities taken up the UM system in absolute terms?  Second, has UM use complemented or simply substituted the existing IP instruments in Thailand?</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p>
    <w:p w:rsidR="008708FA" w:rsidRPr="009E1F3F" w:rsidRDefault="008708FA" w:rsidP="00534D0D">
      <w:pPr>
        <w:ind w:left="360" w:right="1350"/>
        <w:rPr>
          <w:rFonts w:eastAsia="Calibri"/>
          <w:b/>
          <w:bCs/>
          <w:i/>
          <w:sz w:val="20"/>
          <w:szCs w:val="20"/>
        </w:rPr>
      </w:pPr>
      <w:bookmarkStart w:id="8" w:name="_Ref368385712"/>
      <w:r w:rsidRPr="009E1F3F">
        <w:rPr>
          <w:rFonts w:eastAsia="Calibri"/>
          <w:b/>
          <w:bCs/>
          <w:i/>
          <w:sz w:val="20"/>
          <w:szCs w:val="20"/>
        </w:rPr>
        <w:t xml:space="preserve">Figure E - </w:t>
      </w:r>
      <w:r w:rsidRPr="009E1F3F">
        <w:rPr>
          <w:rFonts w:eastAsia="Calibri"/>
          <w:b/>
          <w:bCs/>
          <w:i/>
          <w:sz w:val="20"/>
          <w:szCs w:val="20"/>
        </w:rPr>
        <w:fldChar w:fldCharType="begin"/>
      </w:r>
      <w:r w:rsidRPr="009E1F3F">
        <w:rPr>
          <w:rFonts w:eastAsia="Calibri"/>
          <w:b/>
          <w:bCs/>
          <w:i/>
          <w:sz w:val="20"/>
          <w:szCs w:val="20"/>
        </w:rPr>
        <w:instrText xml:space="preserve"> SEQ Figure_E_- \* ARABIC </w:instrText>
      </w:r>
      <w:r w:rsidRPr="009E1F3F">
        <w:rPr>
          <w:rFonts w:eastAsia="Calibri"/>
          <w:b/>
          <w:bCs/>
          <w:i/>
          <w:sz w:val="20"/>
          <w:szCs w:val="20"/>
        </w:rPr>
        <w:fldChar w:fldCharType="separate"/>
      </w:r>
      <w:r w:rsidR="006A4BE7">
        <w:rPr>
          <w:rFonts w:eastAsia="Calibri"/>
          <w:b/>
          <w:bCs/>
          <w:i/>
          <w:noProof/>
          <w:sz w:val="20"/>
          <w:szCs w:val="20"/>
        </w:rPr>
        <w:t>1</w:t>
      </w:r>
      <w:r w:rsidRPr="009E1F3F">
        <w:rPr>
          <w:rFonts w:eastAsia="Calibri"/>
          <w:b/>
          <w:bCs/>
          <w:i/>
          <w:noProof/>
          <w:sz w:val="20"/>
          <w:szCs w:val="20"/>
        </w:rPr>
        <w:fldChar w:fldCharType="end"/>
      </w:r>
      <w:bookmarkEnd w:id="8"/>
      <w:r w:rsidRPr="009E1F3F">
        <w:rPr>
          <w:rFonts w:eastAsia="Calibri"/>
          <w:b/>
          <w:bCs/>
          <w:i/>
          <w:sz w:val="20"/>
          <w:szCs w:val="20"/>
        </w:rPr>
        <w:t>: UM applications (direct and PCT)</w:t>
      </w:r>
    </w:p>
    <w:p w:rsidR="008708FA" w:rsidRPr="008708FA" w:rsidRDefault="008708FA" w:rsidP="00534D0D">
      <w:pPr>
        <w:ind w:left="360" w:right="1350"/>
        <w:rPr>
          <w:rFonts w:eastAsia="Calibri"/>
        </w:rPr>
      </w:pPr>
      <w:r w:rsidRPr="008708FA">
        <w:rPr>
          <w:rFonts w:eastAsia="Calibri"/>
          <w:noProof/>
          <w:sz w:val="18"/>
          <w:szCs w:val="24"/>
        </w:rPr>
        <w:drawing>
          <wp:inline distT="0" distB="0" distL="0" distR="0" wp14:anchorId="61F1920A" wp14:editId="0B7C7861">
            <wp:extent cx="5238618" cy="3278221"/>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6043" cy="3282867"/>
                    </a:xfrm>
                    <a:prstGeom prst="rect">
                      <a:avLst/>
                    </a:prstGeom>
                    <a:noFill/>
                  </pic:spPr>
                </pic:pic>
              </a:graphicData>
            </a:graphic>
          </wp:inline>
        </w:drawing>
      </w:r>
    </w:p>
    <w:p w:rsidR="008708FA" w:rsidRPr="008708FA" w:rsidRDefault="008708FA" w:rsidP="00534D0D">
      <w:pPr>
        <w:ind w:left="360" w:right="1350"/>
        <w:rPr>
          <w:rFonts w:eastAsia="Calibri"/>
          <w:i/>
          <w:sz w:val="16"/>
        </w:rPr>
      </w:pPr>
      <w:r w:rsidRPr="008708FA">
        <w:rPr>
          <w:rFonts w:eastAsia="Calibri"/>
          <w:i/>
          <w:sz w:val="16"/>
        </w:rPr>
        <w:t xml:space="preserve">Source: WIPO Statistics Database, 2013.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p>
    <w:p w:rsidR="006938CF" w:rsidRDefault="008708FA" w:rsidP="00534D0D">
      <w:pPr>
        <w:ind w:left="360" w:right="1350"/>
        <w:rPr>
          <w:rFonts w:eastAsia="Calibri"/>
        </w:rPr>
      </w:pPr>
      <w:r w:rsidRPr="008708FA">
        <w:rPr>
          <w:rFonts w:eastAsia="Calibri"/>
        </w:rPr>
        <w:t>Since Thailand introduced UM protection in 1999, the number of UM filings has grown rapidly from 202 applications to a peak of 2,062 applications in 2006 (</w:t>
      </w:r>
      <w:r w:rsidRPr="009E1F3F">
        <w:rPr>
          <w:rFonts w:eastAsia="Calibri"/>
        </w:rPr>
        <w:fldChar w:fldCharType="begin"/>
      </w:r>
      <w:r w:rsidRPr="009E1F3F">
        <w:rPr>
          <w:rFonts w:eastAsia="Calibri"/>
        </w:rPr>
        <w:instrText xml:space="preserve"> REF _Ref368385712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E - </w:t>
      </w:r>
      <w:r w:rsidR="006A4BE7">
        <w:rPr>
          <w:rFonts w:eastAsia="Calibri"/>
          <w:b/>
          <w:bCs/>
          <w:i/>
          <w:noProof/>
          <w:sz w:val="20"/>
          <w:szCs w:val="20"/>
        </w:rPr>
        <w:t>1</w:t>
      </w:r>
      <w:r w:rsidRPr="009E1F3F">
        <w:rPr>
          <w:rFonts w:eastAsia="Calibri"/>
        </w:rPr>
        <w:fldChar w:fldCharType="end"/>
      </w:r>
      <w:r w:rsidRPr="008708FA">
        <w:rPr>
          <w:rFonts w:eastAsia="Calibri"/>
        </w:rPr>
        <w:t>).  This implies average growth of 27.4% per year, which tops the equivalent growth rates for industrial designs (10.3%), trademarks (6.6%) and patents (3.1%) for the same</w:t>
      </w:r>
    </w:p>
    <w:p w:rsidR="008708FA" w:rsidRPr="008708FA" w:rsidRDefault="008708FA" w:rsidP="00534D0D">
      <w:pPr>
        <w:ind w:left="360" w:right="1350"/>
        <w:rPr>
          <w:rFonts w:eastAsia="Calibri"/>
        </w:rPr>
      </w:pPr>
      <w:proofErr w:type="gramStart"/>
      <w:r w:rsidRPr="008708FA">
        <w:rPr>
          <w:rFonts w:eastAsia="Calibri"/>
        </w:rPr>
        <w:t>8-year period.</w:t>
      </w:r>
      <w:proofErr w:type="gramEnd"/>
      <w:r w:rsidRPr="008708FA">
        <w:rPr>
          <w:rFonts w:eastAsia="Calibri"/>
        </w:rPr>
        <w:t xml:space="preserve">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However, this positive trend reversed in 2007, with applications in that year falling by about one-third.  Thereafter, the trend has remained relatively flat – with around 1,400 applications per year on average.  However, the observed decline is not exclusive to UMs, as residents filings for patents, trademarks and industrial designs have also dropped around the same period.</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9E1F3F">
        <w:rPr>
          <w:rFonts w:eastAsia="Calibri"/>
        </w:rPr>
        <w:fldChar w:fldCharType="begin"/>
      </w:r>
      <w:r w:rsidRPr="009E1F3F">
        <w:rPr>
          <w:rFonts w:eastAsia="Calibri"/>
        </w:rPr>
        <w:instrText xml:space="preserve"> REF _Ref368386905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E - </w:t>
      </w:r>
      <w:r w:rsidR="006A4BE7">
        <w:rPr>
          <w:rFonts w:eastAsia="Calibri"/>
          <w:b/>
          <w:bCs/>
          <w:i/>
          <w:noProof/>
          <w:sz w:val="20"/>
          <w:szCs w:val="18"/>
        </w:rPr>
        <w:t>2</w:t>
      </w:r>
      <w:r w:rsidRPr="009E1F3F">
        <w:rPr>
          <w:rFonts w:eastAsia="Calibri"/>
        </w:rPr>
        <w:fldChar w:fldCharType="end"/>
      </w:r>
      <w:r w:rsidRPr="009E1F3F">
        <w:rPr>
          <w:rFonts w:eastAsia="Calibri"/>
        </w:rPr>
        <w:t xml:space="preserve"> depicts the evolution of resident IP applications for the 1995-2011 period; in</w:t>
      </w:r>
      <w:r w:rsidRPr="008708FA">
        <w:rPr>
          <w:rFonts w:eastAsia="Calibri"/>
        </w:rPr>
        <w:t xml:space="preserve"> addition to UMs, patents, and industrial designs, it also shows the sum of patent and UM filings.  It suggests that UM and patent filings by residents have increased in overall magnitude and at a faster rate than that observed for just resident patent filings prior to 1999.  While some UM applications may well have substituted for patent applications, there thus seems to be an overall complementary relationship.</w:t>
      </w:r>
    </w:p>
    <w:p w:rsidR="008708FA" w:rsidRPr="008708FA" w:rsidRDefault="008708FA" w:rsidP="00534D0D">
      <w:pPr>
        <w:ind w:left="360" w:right="1350"/>
        <w:rPr>
          <w:rFonts w:eastAsia="Calibri"/>
        </w:rPr>
      </w:pPr>
    </w:p>
    <w:p w:rsidR="008708FA" w:rsidRPr="008708FA" w:rsidRDefault="008708FA" w:rsidP="00534D0D">
      <w:pPr>
        <w:spacing w:line="276" w:lineRule="auto"/>
        <w:ind w:left="360" w:right="1350"/>
        <w:rPr>
          <w:rFonts w:eastAsia="Calibri"/>
        </w:rPr>
      </w:pPr>
      <w:r w:rsidRPr="008708FA">
        <w:rPr>
          <w:rFonts w:eastAsia="Calibri"/>
        </w:rPr>
        <w:br w:type="page"/>
      </w:r>
    </w:p>
    <w:p w:rsidR="008708FA" w:rsidRPr="008708FA" w:rsidRDefault="008708FA" w:rsidP="00534D0D">
      <w:pPr>
        <w:ind w:left="360" w:right="1350"/>
        <w:rPr>
          <w:rFonts w:eastAsia="Calibri"/>
        </w:rPr>
      </w:pPr>
    </w:p>
    <w:p w:rsidR="008708FA" w:rsidRPr="009E1F3F" w:rsidRDefault="008708FA" w:rsidP="00534D0D">
      <w:pPr>
        <w:ind w:left="360" w:right="1350"/>
        <w:rPr>
          <w:rFonts w:eastAsia="Calibri"/>
          <w:b/>
          <w:bCs/>
          <w:i/>
          <w:sz w:val="20"/>
          <w:szCs w:val="20"/>
        </w:rPr>
      </w:pPr>
      <w:bookmarkStart w:id="9" w:name="_Ref368386905"/>
      <w:r w:rsidRPr="009E1F3F">
        <w:rPr>
          <w:rFonts w:eastAsia="Calibri"/>
          <w:b/>
          <w:bCs/>
          <w:i/>
          <w:sz w:val="20"/>
          <w:szCs w:val="20"/>
        </w:rPr>
        <w:t xml:space="preserve">Figure E - </w:t>
      </w:r>
      <w:r w:rsidRPr="008708FA">
        <w:rPr>
          <w:rFonts w:eastAsia="Calibri"/>
          <w:b/>
          <w:bCs/>
          <w:i/>
          <w:sz w:val="20"/>
          <w:szCs w:val="18"/>
        </w:rPr>
        <w:fldChar w:fldCharType="begin"/>
      </w:r>
      <w:r w:rsidRPr="008708FA">
        <w:rPr>
          <w:rFonts w:eastAsia="Calibri"/>
          <w:b/>
          <w:bCs/>
          <w:i/>
          <w:sz w:val="20"/>
          <w:szCs w:val="18"/>
        </w:rPr>
        <w:instrText xml:space="preserve"> SEQ Figure_E_- \* ARABIC </w:instrText>
      </w:r>
      <w:r w:rsidRPr="008708FA">
        <w:rPr>
          <w:rFonts w:eastAsia="Calibri"/>
          <w:b/>
          <w:bCs/>
          <w:i/>
          <w:sz w:val="20"/>
          <w:szCs w:val="18"/>
        </w:rPr>
        <w:fldChar w:fldCharType="separate"/>
      </w:r>
      <w:r w:rsidR="006A4BE7">
        <w:rPr>
          <w:rFonts w:eastAsia="Calibri"/>
          <w:b/>
          <w:bCs/>
          <w:i/>
          <w:noProof/>
          <w:sz w:val="20"/>
          <w:szCs w:val="18"/>
        </w:rPr>
        <w:t>2</w:t>
      </w:r>
      <w:r w:rsidRPr="008708FA">
        <w:rPr>
          <w:rFonts w:eastAsia="Calibri"/>
          <w:b/>
          <w:bCs/>
          <w:i/>
          <w:noProof/>
          <w:sz w:val="20"/>
          <w:szCs w:val="18"/>
        </w:rPr>
        <w:fldChar w:fldCharType="end"/>
      </w:r>
      <w:bookmarkEnd w:id="9"/>
      <w:r w:rsidRPr="009E1F3F">
        <w:rPr>
          <w:rFonts w:eastAsia="Calibri"/>
          <w:b/>
          <w:bCs/>
          <w:i/>
          <w:sz w:val="20"/>
          <w:szCs w:val="20"/>
        </w:rPr>
        <w:t xml:space="preserve">: Evolution of resident IP applications </w:t>
      </w:r>
    </w:p>
    <w:p w:rsidR="008708FA" w:rsidRPr="008708FA" w:rsidRDefault="008708FA" w:rsidP="00534D0D">
      <w:pPr>
        <w:ind w:left="360" w:right="1350"/>
        <w:rPr>
          <w:rFonts w:eastAsia="Calibri"/>
        </w:rPr>
      </w:pPr>
      <w:r w:rsidRPr="008708FA">
        <w:rPr>
          <w:rFonts w:eastAsia="Calibri"/>
          <w:noProof/>
        </w:rPr>
        <w:drawing>
          <wp:inline distT="0" distB="0" distL="0" distR="0" wp14:anchorId="4122E68C" wp14:editId="72F3635F">
            <wp:extent cx="5362980" cy="3356043"/>
            <wp:effectExtent l="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9007" cy="3353557"/>
                    </a:xfrm>
                    <a:prstGeom prst="rect">
                      <a:avLst/>
                    </a:prstGeom>
                    <a:noFill/>
                  </pic:spPr>
                </pic:pic>
              </a:graphicData>
            </a:graphic>
          </wp:inline>
        </w:drawing>
      </w:r>
    </w:p>
    <w:p w:rsidR="008708FA" w:rsidRPr="008708FA" w:rsidRDefault="008708FA" w:rsidP="00534D0D">
      <w:pPr>
        <w:ind w:left="360" w:right="1350"/>
        <w:rPr>
          <w:rFonts w:eastAsia="Calibri"/>
          <w:i/>
          <w:sz w:val="16"/>
        </w:rPr>
      </w:pPr>
      <w:r w:rsidRPr="008708FA">
        <w:rPr>
          <w:rFonts w:eastAsia="Calibri"/>
          <w:i/>
          <w:sz w:val="16"/>
        </w:rPr>
        <w:t>Source: WIPO Statistics Database, 2013.</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p>
    <w:p w:rsidR="008708FA" w:rsidRPr="008708FA" w:rsidRDefault="008708FA" w:rsidP="00534D0D">
      <w:pPr>
        <w:keepNext/>
        <w:keepLines/>
        <w:ind w:left="360" w:right="1350"/>
        <w:outlineLvl w:val="1"/>
        <w:rPr>
          <w:bCs/>
          <w:i/>
          <w:szCs w:val="26"/>
        </w:rPr>
      </w:pPr>
      <w:r w:rsidRPr="008708FA">
        <w:rPr>
          <w:bCs/>
          <w:i/>
          <w:szCs w:val="26"/>
        </w:rPr>
        <w:fldChar w:fldCharType="begin"/>
      </w:r>
      <w:r w:rsidRPr="008708FA">
        <w:rPr>
          <w:bCs/>
          <w:i/>
          <w:szCs w:val="26"/>
        </w:rPr>
        <w:instrText xml:space="preserve"> REF _Ref367870618 \h  \* MERGEFORMAT </w:instrText>
      </w:r>
      <w:r w:rsidRPr="008708FA">
        <w:rPr>
          <w:bCs/>
          <w:i/>
          <w:szCs w:val="26"/>
        </w:rPr>
      </w:r>
      <w:r w:rsidRPr="008708FA">
        <w:rPr>
          <w:bCs/>
          <w:i/>
          <w:szCs w:val="26"/>
        </w:rPr>
        <w:fldChar w:fldCharType="separate"/>
      </w:r>
      <w:bookmarkStart w:id="10" w:name="_Toc370307917"/>
      <w:r w:rsidR="006A4BE7" w:rsidRPr="006A4BE7">
        <w:rPr>
          <w:bCs/>
          <w:i/>
          <w:szCs w:val="26"/>
        </w:rPr>
        <w:t xml:space="preserve">2.  Are UMs the best fit for Thai </w:t>
      </w:r>
      <w:r w:rsidR="006A4BE7" w:rsidRPr="008708FA">
        <w:t>innovators?</w:t>
      </w:r>
      <w:bookmarkEnd w:id="10"/>
      <w:r w:rsidRPr="008708FA">
        <w:rPr>
          <w:bCs/>
          <w:i/>
          <w:szCs w:val="26"/>
        </w:rPr>
        <w:fldChar w:fldCharType="end"/>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9E1F3F">
        <w:rPr>
          <w:rFonts w:eastAsia="Calibri"/>
        </w:rPr>
        <w:fldChar w:fldCharType="begin"/>
      </w:r>
      <w:r w:rsidRPr="009E1F3F">
        <w:rPr>
          <w:rFonts w:eastAsia="Calibri"/>
        </w:rPr>
        <w:instrText xml:space="preserve"> REF _Ref368385712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E - </w:t>
      </w:r>
      <w:r w:rsidR="006A4BE7">
        <w:rPr>
          <w:rFonts w:eastAsia="Calibri"/>
          <w:b/>
          <w:bCs/>
          <w:i/>
          <w:noProof/>
          <w:sz w:val="20"/>
          <w:szCs w:val="20"/>
        </w:rPr>
        <w:t>1</w:t>
      </w:r>
      <w:r w:rsidRPr="009E1F3F">
        <w:rPr>
          <w:rFonts w:eastAsia="Calibri"/>
        </w:rPr>
        <w:fldChar w:fldCharType="end"/>
      </w:r>
      <w:r w:rsidRPr="009E1F3F">
        <w:rPr>
          <w:rFonts w:eastAsia="Calibri"/>
        </w:rPr>
        <w:t xml:space="preserve"> also offers a breakdown of UM filings by residents and non-residents.</w:t>
      </w:r>
      <w:r w:rsidRPr="008708FA">
        <w:rPr>
          <w:rFonts w:eastAsia="Calibri"/>
        </w:rPr>
        <w:t xml:space="preserve">  Similar to trademarks and industrial designs but in contrast to patents, Thai residents are behind the vast majority of UM applications.  As such, it can be argued that the UM protection has been successful in appealing to local innovators.  The 95% resident share for UMs is considerably higher than the equivalent shares for industrial designs (74%) and trademarks (66%); in the case of patents, residents only account for 14% of filings – similar to many other middle-income economies (WIPO, 2012).</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9E1F3F">
        <w:rPr>
          <w:rFonts w:eastAsia="Calibri"/>
        </w:rPr>
        <w:t xml:space="preserve">As shown in </w:t>
      </w:r>
      <w:r w:rsidRPr="009E1F3F">
        <w:rPr>
          <w:rFonts w:eastAsia="Calibri"/>
        </w:rPr>
        <w:fldChar w:fldCharType="begin"/>
      </w:r>
      <w:r w:rsidRPr="009E1F3F">
        <w:rPr>
          <w:rFonts w:eastAsia="Calibri"/>
        </w:rPr>
        <w:instrText xml:space="preserve"> REF _Ref368387239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Table E - </w:t>
      </w:r>
      <w:r w:rsidR="006A4BE7">
        <w:rPr>
          <w:rFonts w:eastAsia="Calibri"/>
          <w:b/>
          <w:bCs/>
          <w:i/>
          <w:noProof/>
          <w:sz w:val="20"/>
          <w:szCs w:val="18"/>
        </w:rPr>
        <w:t>1</w:t>
      </w:r>
      <w:r w:rsidRPr="009E1F3F">
        <w:rPr>
          <w:rFonts w:eastAsia="Calibri"/>
        </w:rPr>
        <w:fldChar w:fldCharType="end"/>
      </w:r>
      <w:r w:rsidRPr="009E1F3F">
        <w:rPr>
          <w:rFonts w:eastAsia="Calibri"/>
        </w:rPr>
        <w:t>, companies account for a quarter of the registered UMs (25%)</w:t>
      </w:r>
      <w:r w:rsidRPr="008708FA">
        <w:rPr>
          <w:rFonts w:eastAsia="Calibri"/>
        </w:rPr>
        <w:t xml:space="preserve"> and public institutions add up to somewhat less than a quarter of registrations (22%).  This means that more than half of granted UM belong to individuals.  However, anecdotal evidence suggests that some young and small businesses – particularly when applying for the first time – prefer having their UM rights registered under the name of the company owner rather than the company itself.  One explanation could be the higher risk faced by new entrepreneurial businesses.  In such cases, the prospect of retaining IP rights after business failure may act as an incentive to register the UM under the name of an individual.  Another one could be related to the fact that UM owners are accountable for IP infringements under criminal law, possibly implicating company executives.</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br w:type="page"/>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 xml:space="preserve">Among public institutions applicants, there are found the Office of Vocational Education Commission (OVEC), the National Science and Technology Development Agency (NSTDA), the Government Pharmaceutical Organization and several Universities (see </w:t>
      </w:r>
      <w:r w:rsidRPr="009E1F3F">
        <w:rPr>
          <w:rFonts w:eastAsia="Calibri"/>
        </w:rPr>
        <w:t xml:space="preserve">also </w:t>
      </w:r>
      <w:r w:rsidRPr="009E1F3F">
        <w:rPr>
          <w:rFonts w:eastAsia="Calibri"/>
        </w:rPr>
        <w:fldChar w:fldCharType="begin"/>
      </w:r>
      <w:r w:rsidRPr="009E1F3F">
        <w:rPr>
          <w:rFonts w:eastAsia="Calibri"/>
        </w:rPr>
        <w:instrText xml:space="preserve"> REF _Ref368387239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Table E - </w:t>
      </w:r>
      <w:r w:rsidR="006A4BE7">
        <w:rPr>
          <w:rFonts w:eastAsia="Calibri"/>
          <w:b/>
          <w:bCs/>
          <w:i/>
          <w:noProof/>
          <w:sz w:val="20"/>
          <w:szCs w:val="18"/>
        </w:rPr>
        <w:t>1</w:t>
      </w:r>
      <w:r w:rsidRPr="009E1F3F">
        <w:rPr>
          <w:rFonts w:eastAsia="Calibri"/>
        </w:rPr>
        <w:fldChar w:fldCharType="end"/>
      </w:r>
      <w:r w:rsidR="007511FE">
        <w:rPr>
          <w:rFonts w:eastAsia="Calibri"/>
        </w:rPr>
        <w:t xml:space="preserve">).  </w:t>
      </w:r>
      <w:r w:rsidRPr="009E1F3F">
        <w:rPr>
          <w:rFonts w:eastAsia="Calibri"/>
        </w:rPr>
        <w:t>Observing these public institutions as UM applicants reflects their</w:t>
      </w:r>
      <w:r w:rsidRPr="008708FA">
        <w:rPr>
          <w:rFonts w:eastAsia="Calibri"/>
        </w:rPr>
        <w:t xml:space="preserve"> roles in promoting innovative activities, as well as in financially supporting research work and other innovation related activities.  Some of the UMs registered by these institutions may well result in subsequent entrepreneurial activities, including start-ups.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p>
    <w:p w:rsidR="008708FA" w:rsidRPr="00394A1A" w:rsidRDefault="008708FA" w:rsidP="00534D0D">
      <w:pPr>
        <w:ind w:left="360" w:right="1350"/>
        <w:rPr>
          <w:rFonts w:eastAsia="Calibri"/>
          <w:b/>
          <w:bCs/>
          <w:i/>
          <w:sz w:val="20"/>
          <w:szCs w:val="20"/>
        </w:rPr>
      </w:pPr>
      <w:bookmarkStart w:id="11" w:name="_Ref368387239"/>
      <w:r w:rsidRPr="009E1F3F">
        <w:rPr>
          <w:rFonts w:eastAsia="Calibri"/>
          <w:b/>
          <w:bCs/>
          <w:i/>
          <w:sz w:val="20"/>
          <w:szCs w:val="20"/>
        </w:rPr>
        <w:t xml:space="preserve">Table E - </w:t>
      </w:r>
      <w:r w:rsidRPr="008708FA">
        <w:rPr>
          <w:rFonts w:eastAsia="Calibri"/>
          <w:b/>
          <w:bCs/>
          <w:i/>
          <w:sz w:val="20"/>
          <w:szCs w:val="18"/>
        </w:rPr>
        <w:fldChar w:fldCharType="begin"/>
      </w:r>
      <w:r w:rsidRPr="008708FA">
        <w:rPr>
          <w:rFonts w:eastAsia="Calibri"/>
          <w:b/>
          <w:bCs/>
          <w:i/>
          <w:sz w:val="20"/>
          <w:szCs w:val="18"/>
        </w:rPr>
        <w:instrText xml:space="preserve"> SEQ Table_E_- \* ARABIC </w:instrText>
      </w:r>
      <w:r w:rsidRPr="008708FA">
        <w:rPr>
          <w:rFonts w:eastAsia="Calibri"/>
          <w:b/>
          <w:bCs/>
          <w:i/>
          <w:sz w:val="20"/>
          <w:szCs w:val="18"/>
        </w:rPr>
        <w:fldChar w:fldCharType="separate"/>
      </w:r>
      <w:r w:rsidR="006A4BE7">
        <w:rPr>
          <w:rFonts w:eastAsia="Calibri"/>
          <w:b/>
          <w:bCs/>
          <w:i/>
          <w:noProof/>
          <w:sz w:val="20"/>
          <w:szCs w:val="18"/>
        </w:rPr>
        <w:t>1</w:t>
      </w:r>
      <w:r w:rsidRPr="008708FA">
        <w:rPr>
          <w:rFonts w:eastAsia="Calibri"/>
          <w:b/>
          <w:bCs/>
          <w:i/>
          <w:noProof/>
          <w:sz w:val="20"/>
          <w:szCs w:val="18"/>
        </w:rPr>
        <w:fldChar w:fldCharType="end"/>
      </w:r>
      <w:bookmarkEnd w:id="11"/>
      <w:r w:rsidRPr="009E1F3F">
        <w:rPr>
          <w:rFonts w:eastAsia="Calibri"/>
          <w:b/>
          <w:bCs/>
          <w:i/>
          <w:sz w:val="20"/>
          <w:szCs w:val="20"/>
        </w:rPr>
        <w:t>: Number of registrations by applicant type</w:t>
      </w:r>
    </w:p>
    <w:tbl>
      <w:tblPr>
        <w:tblW w:w="32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8"/>
        <w:gridCol w:w="2477"/>
        <w:gridCol w:w="2489"/>
      </w:tblGrid>
      <w:tr w:rsidR="008708FA" w:rsidRPr="008708FA" w:rsidTr="005C2427">
        <w:tc>
          <w:tcPr>
            <w:tcW w:w="2734" w:type="pct"/>
            <w:tcBorders>
              <w:bottom w:val="single" w:sz="4" w:space="0" w:color="auto"/>
            </w:tcBorders>
            <w:shd w:val="clear" w:color="auto" w:fill="B6DDE8" w:themeFill="accent5" w:themeFillTint="66"/>
            <w:noWrap/>
            <w:vAlign w:val="center"/>
          </w:tcPr>
          <w:p w:rsidR="008708FA" w:rsidRPr="008708FA" w:rsidRDefault="008708FA" w:rsidP="00534D0D">
            <w:pPr>
              <w:spacing w:before="60" w:after="60"/>
              <w:ind w:left="360" w:right="1350"/>
              <w:jc w:val="center"/>
              <w:rPr>
                <w:rFonts w:eastAsia="Calibri"/>
                <w:b/>
                <w:bCs/>
              </w:rPr>
            </w:pPr>
            <w:r w:rsidRPr="008708FA">
              <w:rPr>
                <w:rFonts w:eastAsia="Calibri"/>
                <w:b/>
                <w:bCs/>
              </w:rPr>
              <w:t>Applicant type</w:t>
            </w:r>
          </w:p>
        </w:tc>
        <w:tc>
          <w:tcPr>
            <w:tcW w:w="1058" w:type="pct"/>
            <w:tcBorders>
              <w:bottom w:val="single" w:sz="4" w:space="0" w:color="auto"/>
            </w:tcBorders>
            <w:shd w:val="clear" w:color="auto" w:fill="B6DDE8" w:themeFill="accent5" w:themeFillTint="66"/>
            <w:noWrap/>
            <w:vAlign w:val="center"/>
          </w:tcPr>
          <w:p w:rsidR="008708FA" w:rsidRPr="008708FA" w:rsidRDefault="008708FA" w:rsidP="00534D0D">
            <w:pPr>
              <w:spacing w:before="60" w:after="60"/>
              <w:ind w:left="360" w:right="1350"/>
              <w:jc w:val="center"/>
              <w:rPr>
                <w:rFonts w:eastAsia="Calibri"/>
                <w:b/>
                <w:bCs/>
              </w:rPr>
            </w:pPr>
            <w:r w:rsidRPr="008708FA">
              <w:rPr>
                <w:rFonts w:eastAsia="Calibri"/>
                <w:b/>
                <w:bCs/>
              </w:rPr>
              <w:t>Total</w:t>
            </w:r>
          </w:p>
        </w:tc>
        <w:tc>
          <w:tcPr>
            <w:tcW w:w="1208" w:type="pct"/>
            <w:tcBorders>
              <w:bottom w:val="single" w:sz="4" w:space="0" w:color="auto"/>
            </w:tcBorders>
            <w:shd w:val="clear" w:color="auto" w:fill="B6DDE8" w:themeFill="accent5" w:themeFillTint="66"/>
            <w:noWrap/>
            <w:vAlign w:val="center"/>
          </w:tcPr>
          <w:p w:rsidR="008708FA" w:rsidRPr="008708FA" w:rsidRDefault="008708FA" w:rsidP="00534D0D">
            <w:pPr>
              <w:spacing w:before="60" w:after="60"/>
              <w:ind w:left="360" w:right="1350"/>
              <w:jc w:val="center"/>
              <w:rPr>
                <w:rFonts w:eastAsia="Calibri"/>
                <w:b/>
                <w:bCs/>
              </w:rPr>
            </w:pPr>
            <w:r w:rsidRPr="008708FA">
              <w:rPr>
                <w:rFonts w:eastAsia="Calibri"/>
                <w:b/>
                <w:bCs/>
              </w:rPr>
              <w:t>%</w:t>
            </w:r>
          </w:p>
        </w:tc>
      </w:tr>
      <w:tr w:rsidR="008708FA" w:rsidRPr="008708FA" w:rsidTr="005C2427">
        <w:tc>
          <w:tcPr>
            <w:tcW w:w="2734" w:type="pct"/>
            <w:tcBorders>
              <w:bottom w:val="nil"/>
            </w:tcBorders>
            <w:shd w:val="clear" w:color="auto" w:fill="auto"/>
            <w:noWrap/>
            <w:vAlign w:val="center"/>
            <w:hideMark/>
          </w:tcPr>
          <w:p w:rsidR="008708FA" w:rsidRPr="008708FA" w:rsidRDefault="008708FA" w:rsidP="00534D0D">
            <w:pPr>
              <w:spacing w:before="60" w:after="60"/>
              <w:ind w:left="360" w:right="1350"/>
              <w:rPr>
                <w:rFonts w:eastAsia="Calibri"/>
              </w:rPr>
            </w:pPr>
            <w:r w:rsidRPr="008708FA">
              <w:rPr>
                <w:rFonts w:eastAsia="Calibri"/>
              </w:rPr>
              <w:t>Natural person</w:t>
            </w:r>
          </w:p>
        </w:tc>
        <w:tc>
          <w:tcPr>
            <w:tcW w:w="1058" w:type="pct"/>
            <w:tcBorders>
              <w:bottom w:val="nil"/>
            </w:tcBorders>
            <w:shd w:val="clear" w:color="auto" w:fill="auto"/>
            <w:noWrap/>
            <w:vAlign w:val="center"/>
            <w:hideMark/>
          </w:tcPr>
          <w:p w:rsidR="008708FA" w:rsidRPr="008708FA" w:rsidRDefault="008708FA" w:rsidP="00534D0D">
            <w:pPr>
              <w:spacing w:before="60" w:after="60"/>
              <w:ind w:left="360" w:right="1350"/>
              <w:jc w:val="center"/>
              <w:rPr>
                <w:rFonts w:eastAsia="Calibri"/>
              </w:rPr>
            </w:pPr>
            <w:r w:rsidRPr="008708FA">
              <w:rPr>
                <w:rFonts w:eastAsia="Calibri"/>
              </w:rPr>
              <w:t>3,950</w:t>
            </w:r>
          </w:p>
        </w:tc>
        <w:tc>
          <w:tcPr>
            <w:tcW w:w="1208" w:type="pct"/>
            <w:tcBorders>
              <w:bottom w:val="nil"/>
            </w:tcBorders>
            <w:shd w:val="clear" w:color="auto" w:fill="auto"/>
            <w:noWrap/>
            <w:vAlign w:val="center"/>
            <w:hideMark/>
          </w:tcPr>
          <w:p w:rsidR="008708FA" w:rsidRPr="008708FA" w:rsidRDefault="008708FA" w:rsidP="00534D0D">
            <w:pPr>
              <w:spacing w:before="60" w:after="60"/>
              <w:ind w:left="360" w:right="1350"/>
              <w:jc w:val="center"/>
              <w:rPr>
                <w:rFonts w:eastAsia="Calibri"/>
              </w:rPr>
            </w:pPr>
            <w:r w:rsidRPr="008708FA">
              <w:rPr>
                <w:rFonts w:eastAsia="Calibri"/>
              </w:rPr>
              <w:t>52.7</w:t>
            </w:r>
          </w:p>
        </w:tc>
      </w:tr>
      <w:tr w:rsidR="008708FA" w:rsidRPr="008708FA" w:rsidTr="005C2427">
        <w:tc>
          <w:tcPr>
            <w:tcW w:w="2734" w:type="pct"/>
            <w:tcBorders>
              <w:top w:val="nil"/>
              <w:bottom w:val="nil"/>
            </w:tcBorders>
            <w:shd w:val="clear" w:color="auto" w:fill="auto"/>
            <w:noWrap/>
            <w:vAlign w:val="center"/>
            <w:hideMark/>
          </w:tcPr>
          <w:p w:rsidR="008708FA" w:rsidRPr="008708FA" w:rsidRDefault="008708FA" w:rsidP="00534D0D">
            <w:pPr>
              <w:spacing w:before="60" w:after="60"/>
              <w:ind w:left="360" w:right="1350"/>
              <w:rPr>
                <w:rFonts w:eastAsia="Calibri"/>
              </w:rPr>
            </w:pPr>
            <w:r w:rsidRPr="008708FA">
              <w:rPr>
                <w:rFonts w:eastAsia="Calibri"/>
              </w:rPr>
              <w:t>Corporation</w:t>
            </w:r>
          </w:p>
        </w:tc>
        <w:tc>
          <w:tcPr>
            <w:tcW w:w="1058" w:type="pct"/>
            <w:tcBorders>
              <w:top w:val="nil"/>
              <w:bottom w:val="nil"/>
            </w:tcBorders>
            <w:shd w:val="clear" w:color="auto" w:fill="auto"/>
            <w:noWrap/>
            <w:vAlign w:val="center"/>
            <w:hideMark/>
          </w:tcPr>
          <w:p w:rsidR="008708FA" w:rsidRPr="008708FA" w:rsidRDefault="008708FA" w:rsidP="00534D0D">
            <w:pPr>
              <w:spacing w:before="60" w:after="60"/>
              <w:ind w:left="360" w:right="1350"/>
              <w:jc w:val="center"/>
              <w:rPr>
                <w:rFonts w:eastAsia="Calibri"/>
              </w:rPr>
            </w:pPr>
            <w:r w:rsidRPr="008708FA">
              <w:rPr>
                <w:rFonts w:eastAsia="Calibri"/>
              </w:rPr>
              <w:t>1,895</w:t>
            </w:r>
          </w:p>
        </w:tc>
        <w:tc>
          <w:tcPr>
            <w:tcW w:w="1208" w:type="pct"/>
            <w:tcBorders>
              <w:top w:val="nil"/>
              <w:bottom w:val="nil"/>
            </w:tcBorders>
            <w:shd w:val="clear" w:color="auto" w:fill="auto"/>
            <w:noWrap/>
            <w:vAlign w:val="center"/>
            <w:hideMark/>
          </w:tcPr>
          <w:p w:rsidR="008708FA" w:rsidRPr="008708FA" w:rsidRDefault="008708FA" w:rsidP="00534D0D">
            <w:pPr>
              <w:spacing w:before="60" w:after="60"/>
              <w:ind w:left="360" w:right="1350"/>
              <w:jc w:val="center"/>
              <w:rPr>
                <w:rFonts w:eastAsia="Calibri"/>
              </w:rPr>
            </w:pPr>
            <w:r w:rsidRPr="008708FA">
              <w:rPr>
                <w:rFonts w:eastAsia="Calibri"/>
              </w:rPr>
              <w:t>25.3</w:t>
            </w:r>
          </w:p>
        </w:tc>
      </w:tr>
      <w:tr w:rsidR="008708FA" w:rsidRPr="008708FA" w:rsidTr="005C2427">
        <w:tc>
          <w:tcPr>
            <w:tcW w:w="2734" w:type="pct"/>
            <w:tcBorders>
              <w:top w:val="nil"/>
              <w:bottom w:val="nil"/>
            </w:tcBorders>
            <w:shd w:val="clear" w:color="auto" w:fill="auto"/>
            <w:noWrap/>
            <w:vAlign w:val="center"/>
            <w:hideMark/>
          </w:tcPr>
          <w:p w:rsidR="008708FA" w:rsidRPr="008708FA" w:rsidRDefault="008708FA" w:rsidP="00534D0D">
            <w:pPr>
              <w:spacing w:before="60" w:after="60"/>
              <w:ind w:left="360" w:right="1350"/>
              <w:rPr>
                <w:rFonts w:eastAsia="Calibri"/>
              </w:rPr>
            </w:pPr>
            <w:r w:rsidRPr="008708FA">
              <w:rPr>
                <w:rFonts w:eastAsia="Calibri"/>
              </w:rPr>
              <w:t>University</w:t>
            </w:r>
          </w:p>
        </w:tc>
        <w:tc>
          <w:tcPr>
            <w:tcW w:w="1058" w:type="pct"/>
            <w:tcBorders>
              <w:top w:val="nil"/>
              <w:bottom w:val="nil"/>
            </w:tcBorders>
            <w:shd w:val="clear" w:color="auto" w:fill="auto"/>
            <w:noWrap/>
            <w:vAlign w:val="center"/>
            <w:hideMark/>
          </w:tcPr>
          <w:p w:rsidR="008708FA" w:rsidRPr="008708FA" w:rsidRDefault="008708FA" w:rsidP="00534D0D">
            <w:pPr>
              <w:spacing w:before="60" w:after="60"/>
              <w:ind w:left="360" w:right="1350"/>
              <w:jc w:val="center"/>
              <w:rPr>
                <w:rFonts w:eastAsia="Calibri"/>
              </w:rPr>
            </w:pPr>
            <w:r w:rsidRPr="008708FA">
              <w:rPr>
                <w:rFonts w:eastAsia="Calibri"/>
              </w:rPr>
              <w:t>696</w:t>
            </w:r>
          </w:p>
        </w:tc>
        <w:tc>
          <w:tcPr>
            <w:tcW w:w="1208" w:type="pct"/>
            <w:tcBorders>
              <w:top w:val="nil"/>
              <w:bottom w:val="nil"/>
            </w:tcBorders>
            <w:shd w:val="clear" w:color="auto" w:fill="auto"/>
            <w:noWrap/>
            <w:vAlign w:val="center"/>
            <w:hideMark/>
          </w:tcPr>
          <w:p w:rsidR="008708FA" w:rsidRPr="008708FA" w:rsidRDefault="008708FA" w:rsidP="00534D0D">
            <w:pPr>
              <w:spacing w:before="60" w:after="60"/>
              <w:ind w:left="360" w:right="1350"/>
              <w:jc w:val="center"/>
              <w:rPr>
                <w:rFonts w:eastAsia="Calibri"/>
              </w:rPr>
            </w:pPr>
            <w:r w:rsidRPr="008708FA">
              <w:rPr>
                <w:rFonts w:eastAsia="Calibri"/>
              </w:rPr>
              <w:t>9.3</w:t>
            </w:r>
          </w:p>
        </w:tc>
      </w:tr>
      <w:tr w:rsidR="008708FA" w:rsidRPr="008708FA" w:rsidTr="005C2427">
        <w:tc>
          <w:tcPr>
            <w:tcW w:w="2734" w:type="pct"/>
            <w:tcBorders>
              <w:top w:val="nil"/>
              <w:bottom w:val="nil"/>
            </w:tcBorders>
            <w:shd w:val="clear" w:color="auto" w:fill="auto"/>
            <w:noWrap/>
            <w:vAlign w:val="center"/>
            <w:hideMark/>
          </w:tcPr>
          <w:p w:rsidR="008708FA" w:rsidRPr="008708FA" w:rsidRDefault="008708FA" w:rsidP="00534D0D">
            <w:pPr>
              <w:spacing w:before="60" w:after="60"/>
              <w:ind w:left="360" w:right="1350"/>
              <w:rPr>
                <w:rFonts w:eastAsia="Calibri"/>
              </w:rPr>
            </w:pPr>
            <w:r w:rsidRPr="008708FA">
              <w:rPr>
                <w:rFonts w:eastAsia="Calibri"/>
              </w:rPr>
              <w:t>OVEC</w:t>
            </w:r>
          </w:p>
        </w:tc>
        <w:tc>
          <w:tcPr>
            <w:tcW w:w="1058" w:type="pct"/>
            <w:tcBorders>
              <w:top w:val="nil"/>
              <w:bottom w:val="nil"/>
            </w:tcBorders>
            <w:shd w:val="clear" w:color="auto" w:fill="auto"/>
            <w:noWrap/>
            <w:vAlign w:val="center"/>
            <w:hideMark/>
          </w:tcPr>
          <w:p w:rsidR="008708FA" w:rsidRPr="008708FA" w:rsidRDefault="008708FA" w:rsidP="00534D0D">
            <w:pPr>
              <w:spacing w:before="60" w:after="60"/>
              <w:ind w:left="360" w:right="1350"/>
              <w:jc w:val="center"/>
              <w:rPr>
                <w:rFonts w:eastAsia="Calibri"/>
              </w:rPr>
            </w:pPr>
            <w:r w:rsidRPr="008708FA">
              <w:rPr>
                <w:rFonts w:eastAsia="Calibri"/>
              </w:rPr>
              <w:t>528</w:t>
            </w:r>
          </w:p>
        </w:tc>
        <w:tc>
          <w:tcPr>
            <w:tcW w:w="1208" w:type="pct"/>
            <w:tcBorders>
              <w:top w:val="nil"/>
              <w:bottom w:val="nil"/>
            </w:tcBorders>
            <w:shd w:val="clear" w:color="auto" w:fill="auto"/>
            <w:noWrap/>
            <w:vAlign w:val="center"/>
            <w:hideMark/>
          </w:tcPr>
          <w:p w:rsidR="008708FA" w:rsidRPr="008708FA" w:rsidRDefault="008708FA" w:rsidP="00534D0D">
            <w:pPr>
              <w:spacing w:before="60" w:after="60"/>
              <w:ind w:left="360" w:right="1350"/>
              <w:jc w:val="center"/>
              <w:rPr>
                <w:rFonts w:eastAsia="Calibri"/>
              </w:rPr>
            </w:pPr>
            <w:r w:rsidRPr="008708FA">
              <w:rPr>
                <w:rFonts w:eastAsia="Calibri"/>
              </w:rPr>
              <w:t>7.0</w:t>
            </w:r>
          </w:p>
        </w:tc>
      </w:tr>
      <w:tr w:rsidR="008708FA" w:rsidRPr="008708FA" w:rsidTr="005C2427">
        <w:tc>
          <w:tcPr>
            <w:tcW w:w="2734" w:type="pct"/>
            <w:tcBorders>
              <w:top w:val="nil"/>
              <w:bottom w:val="nil"/>
            </w:tcBorders>
            <w:shd w:val="clear" w:color="auto" w:fill="auto"/>
            <w:noWrap/>
            <w:vAlign w:val="center"/>
            <w:hideMark/>
          </w:tcPr>
          <w:p w:rsidR="008708FA" w:rsidRPr="008708FA" w:rsidRDefault="008708FA" w:rsidP="00534D0D">
            <w:pPr>
              <w:spacing w:before="60" w:after="60"/>
              <w:ind w:left="360" w:right="1350"/>
              <w:rPr>
                <w:rFonts w:eastAsia="Calibri"/>
              </w:rPr>
            </w:pPr>
            <w:r w:rsidRPr="008708FA">
              <w:rPr>
                <w:rFonts w:eastAsia="Calibri"/>
              </w:rPr>
              <w:t>Government agency</w:t>
            </w:r>
          </w:p>
        </w:tc>
        <w:tc>
          <w:tcPr>
            <w:tcW w:w="1058" w:type="pct"/>
            <w:tcBorders>
              <w:top w:val="nil"/>
              <w:bottom w:val="nil"/>
            </w:tcBorders>
            <w:shd w:val="clear" w:color="auto" w:fill="auto"/>
            <w:noWrap/>
            <w:vAlign w:val="center"/>
            <w:hideMark/>
          </w:tcPr>
          <w:p w:rsidR="008708FA" w:rsidRPr="008708FA" w:rsidRDefault="008708FA" w:rsidP="00534D0D">
            <w:pPr>
              <w:spacing w:before="60" w:after="60"/>
              <w:ind w:left="360" w:right="1350"/>
              <w:jc w:val="center"/>
              <w:rPr>
                <w:rFonts w:eastAsia="Calibri"/>
              </w:rPr>
            </w:pPr>
            <w:r w:rsidRPr="008708FA">
              <w:rPr>
                <w:rFonts w:eastAsia="Calibri"/>
              </w:rPr>
              <w:t>238</w:t>
            </w:r>
          </w:p>
        </w:tc>
        <w:tc>
          <w:tcPr>
            <w:tcW w:w="1208" w:type="pct"/>
            <w:tcBorders>
              <w:top w:val="nil"/>
              <w:bottom w:val="nil"/>
            </w:tcBorders>
            <w:shd w:val="clear" w:color="auto" w:fill="auto"/>
            <w:noWrap/>
            <w:vAlign w:val="center"/>
            <w:hideMark/>
          </w:tcPr>
          <w:p w:rsidR="008708FA" w:rsidRPr="008708FA" w:rsidRDefault="008708FA" w:rsidP="00534D0D">
            <w:pPr>
              <w:spacing w:before="60" w:after="60"/>
              <w:ind w:left="360" w:right="1350"/>
              <w:jc w:val="center"/>
              <w:rPr>
                <w:rFonts w:eastAsia="Calibri"/>
              </w:rPr>
            </w:pPr>
            <w:r w:rsidRPr="008708FA">
              <w:rPr>
                <w:rFonts w:eastAsia="Calibri"/>
              </w:rPr>
              <w:t>3.2</w:t>
            </w:r>
          </w:p>
        </w:tc>
      </w:tr>
      <w:tr w:rsidR="008708FA" w:rsidRPr="008708FA" w:rsidTr="005C2427">
        <w:tc>
          <w:tcPr>
            <w:tcW w:w="2734" w:type="pct"/>
            <w:tcBorders>
              <w:top w:val="nil"/>
            </w:tcBorders>
            <w:shd w:val="clear" w:color="auto" w:fill="auto"/>
            <w:noWrap/>
            <w:vAlign w:val="center"/>
            <w:hideMark/>
          </w:tcPr>
          <w:p w:rsidR="008708FA" w:rsidRPr="008708FA" w:rsidRDefault="008708FA" w:rsidP="00534D0D">
            <w:pPr>
              <w:spacing w:before="60" w:after="60"/>
              <w:ind w:left="360" w:right="1350"/>
              <w:rPr>
                <w:rFonts w:eastAsia="Calibri"/>
              </w:rPr>
            </w:pPr>
            <w:r w:rsidRPr="008708FA">
              <w:rPr>
                <w:rFonts w:eastAsia="Calibri"/>
              </w:rPr>
              <w:t>NSTDA</w:t>
            </w:r>
          </w:p>
        </w:tc>
        <w:tc>
          <w:tcPr>
            <w:tcW w:w="1058" w:type="pct"/>
            <w:tcBorders>
              <w:top w:val="nil"/>
            </w:tcBorders>
            <w:shd w:val="clear" w:color="auto" w:fill="auto"/>
            <w:noWrap/>
            <w:vAlign w:val="center"/>
            <w:hideMark/>
          </w:tcPr>
          <w:p w:rsidR="008708FA" w:rsidRPr="008708FA" w:rsidRDefault="008708FA" w:rsidP="00534D0D">
            <w:pPr>
              <w:spacing w:before="60" w:after="60"/>
              <w:ind w:left="360" w:right="1350"/>
              <w:jc w:val="center"/>
              <w:rPr>
                <w:rFonts w:eastAsia="Calibri"/>
              </w:rPr>
            </w:pPr>
            <w:r w:rsidRPr="008708FA">
              <w:rPr>
                <w:rFonts w:eastAsia="Calibri"/>
              </w:rPr>
              <w:t>191</w:t>
            </w:r>
          </w:p>
        </w:tc>
        <w:tc>
          <w:tcPr>
            <w:tcW w:w="1208" w:type="pct"/>
            <w:tcBorders>
              <w:top w:val="nil"/>
            </w:tcBorders>
            <w:shd w:val="clear" w:color="auto" w:fill="auto"/>
            <w:noWrap/>
            <w:vAlign w:val="center"/>
            <w:hideMark/>
          </w:tcPr>
          <w:p w:rsidR="008708FA" w:rsidRPr="008708FA" w:rsidRDefault="008708FA" w:rsidP="00534D0D">
            <w:pPr>
              <w:spacing w:before="60" w:after="60"/>
              <w:ind w:left="360" w:right="1350"/>
              <w:jc w:val="center"/>
              <w:rPr>
                <w:rFonts w:eastAsia="Calibri"/>
              </w:rPr>
            </w:pPr>
            <w:r w:rsidRPr="008708FA">
              <w:rPr>
                <w:rFonts w:eastAsia="Calibri"/>
              </w:rPr>
              <w:t>2.6</w:t>
            </w:r>
          </w:p>
        </w:tc>
      </w:tr>
      <w:tr w:rsidR="008708FA" w:rsidRPr="008708FA" w:rsidTr="005C2427">
        <w:tc>
          <w:tcPr>
            <w:tcW w:w="2734" w:type="pct"/>
            <w:shd w:val="clear" w:color="auto" w:fill="auto"/>
            <w:noWrap/>
            <w:vAlign w:val="center"/>
          </w:tcPr>
          <w:p w:rsidR="008708FA" w:rsidRPr="008708FA" w:rsidRDefault="008708FA" w:rsidP="00534D0D">
            <w:pPr>
              <w:spacing w:before="60" w:after="60"/>
              <w:ind w:left="360" w:right="1350"/>
              <w:rPr>
                <w:rFonts w:eastAsia="Calibri"/>
                <w:b/>
                <w:bCs/>
              </w:rPr>
            </w:pPr>
            <w:r w:rsidRPr="008708FA">
              <w:rPr>
                <w:rFonts w:eastAsia="Calibri"/>
                <w:b/>
                <w:bCs/>
              </w:rPr>
              <w:t>Total</w:t>
            </w:r>
          </w:p>
        </w:tc>
        <w:tc>
          <w:tcPr>
            <w:tcW w:w="1058" w:type="pct"/>
            <w:shd w:val="clear" w:color="auto" w:fill="auto"/>
            <w:noWrap/>
            <w:vAlign w:val="center"/>
          </w:tcPr>
          <w:p w:rsidR="008708FA" w:rsidRPr="008708FA" w:rsidRDefault="008708FA" w:rsidP="00534D0D">
            <w:pPr>
              <w:spacing w:before="60" w:after="60"/>
              <w:ind w:left="360" w:right="1350"/>
              <w:jc w:val="center"/>
              <w:rPr>
                <w:rFonts w:eastAsia="Calibri"/>
                <w:b/>
                <w:bCs/>
              </w:rPr>
            </w:pPr>
            <w:r w:rsidRPr="008708FA">
              <w:rPr>
                <w:rFonts w:eastAsia="Calibri"/>
                <w:b/>
                <w:bCs/>
              </w:rPr>
              <w:t>7,498</w:t>
            </w:r>
          </w:p>
        </w:tc>
        <w:tc>
          <w:tcPr>
            <w:tcW w:w="1208" w:type="pct"/>
            <w:shd w:val="clear" w:color="auto" w:fill="auto"/>
            <w:noWrap/>
            <w:vAlign w:val="center"/>
          </w:tcPr>
          <w:p w:rsidR="008708FA" w:rsidRPr="008708FA" w:rsidRDefault="008708FA" w:rsidP="00534D0D">
            <w:pPr>
              <w:spacing w:before="60" w:after="60"/>
              <w:ind w:left="360" w:right="1350"/>
              <w:jc w:val="center"/>
              <w:rPr>
                <w:rFonts w:eastAsia="Calibri"/>
                <w:b/>
                <w:bCs/>
              </w:rPr>
            </w:pPr>
            <w:r w:rsidRPr="008708FA">
              <w:rPr>
                <w:rFonts w:eastAsia="Calibri"/>
                <w:b/>
                <w:bCs/>
              </w:rPr>
              <w:t>100%</w:t>
            </w:r>
          </w:p>
        </w:tc>
      </w:tr>
    </w:tbl>
    <w:p w:rsidR="008708FA" w:rsidRPr="008708FA" w:rsidRDefault="008708FA" w:rsidP="00534D0D">
      <w:pPr>
        <w:ind w:left="360" w:right="1350"/>
        <w:rPr>
          <w:rFonts w:eastAsia="Calibri"/>
          <w:i/>
          <w:sz w:val="16"/>
        </w:rPr>
      </w:pPr>
      <w:r w:rsidRPr="008708FA">
        <w:rPr>
          <w:rFonts w:eastAsia="Calibri"/>
          <w:i/>
          <w:sz w:val="16"/>
        </w:rPr>
        <w:t xml:space="preserve">Source: Own elaboration, based on DIP data. </w:t>
      </w:r>
      <w:r w:rsidRPr="008708FA">
        <w:rPr>
          <w:rFonts w:eastAsia="Calibri"/>
          <w:i/>
          <w:sz w:val="16"/>
        </w:rPr>
        <w:br/>
        <w:t>Note: Only the first applicant is taken into consideration.</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9E1F3F">
        <w:rPr>
          <w:rFonts w:eastAsia="Calibri"/>
        </w:rPr>
        <w:fldChar w:fldCharType="begin"/>
      </w:r>
      <w:r w:rsidRPr="009E1F3F">
        <w:rPr>
          <w:rFonts w:eastAsia="Calibri"/>
        </w:rPr>
        <w:instrText xml:space="preserve"> REF _Ref368388063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E - </w:t>
      </w:r>
      <w:r w:rsidR="006A4BE7">
        <w:rPr>
          <w:rFonts w:eastAsia="Calibri"/>
          <w:b/>
          <w:bCs/>
          <w:i/>
          <w:noProof/>
          <w:sz w:val="20"/>
          <w:szCs w:val="18"/>
        </w:rPr>
        <w:t>3</w:t>
      </w:r>
      <w:r w:rsidRPr="009E1F3F">
        <w:rPr>
          <w:rFonts w:eastAsia="Calibri"/>
        </w:rPr>
        <w:fldChar w:fldCharType="end"/>
      </w:r>
      <w:r w:rsidRPr="009E1F3F">
        <w:rPr>
          <w:rFonts w:eastAsia="Calibri"/>
        </w:rPr>
        <w:t xml:space="preserve"> depicts the top-10 technology fields, which roughly account for two thirds of</w:t>
      </w:r>
      <w:r w:rsidRPr="008708FA">
        <w:rPr>
          <w:rFonts w:eastAsia="Calibri"/>
        </w:rPr>
        <w:t xml:space="preserve"> the registered UM.  The top technology field relates to </w:t>
      </w:r>
      <w:r w:rsidRPr="008708FA">
        <w:rPr>
          <w:rFonts w:eastAsia="Calibri"/>
          <w:i/>
        </w:rPr>
        <w:t>Food chemistry</w:t>
      </w:r>
      <w:r w:rsidRPr="008708FA">
        <w:rPr>
          <w:rFonts w:eastAsia="Calibri"/>
        </w:rPr>
        <w:t xml:space="preserve"> technologies, which account for more than 10% of all registered UMs.  Registrations in this field have seen considerable growth from the adoption of UM protection in 1999 until 2005, coinciding with the boom in UM applications in Thailand.  However, since then, this field has seen a sharp decline in registrations.  The reverse pattern holds for </w:t>
      </w:r>
      <w:r w:rsidRPr="008708FA">
        <w:rPr>
          <w:rFonts w:eastAsia="Calibri"/>
          <w:i/>
        </w:rPr>
        <w:t>Civil engineering</w:t>
      </w:r>
      <w:r w:rsidRPr="008708FA">
        <w:rPr>
          <w:rFonts w:eastAsia="Calibri"/>
        </w:rPr>
        <w:t xml:space="preserve">, </w:t>
      </w:r>
      <w:proofErr w:type="gramStart"/>
      <w:r w:rsidRPr="008708FA">
        <w:rPr>
          <w:rFonts w:eastAsia="Calibri"/>
          <w:i/>
        </w:rPr>
        <w:t>Other</w:t>
      </w:r>
      <w:proofErr w:type="gramEnd"/>
      <w:r w:rsidRPr="008708FA">
        <w:rPr>
          <w:rFonts w:eastAsia="Calibri"/>
          <w:i/>
        </w:rPr>
        <w:t xml:space="preserve"> special machines</w:t>
      </w:r>
      <w:r w:rsidRPr="008708FA">
        <w:rPr>
          <w:rFonts w:eastAsia="Calibri"/>
        </w:rPr>
        <w:t xml:space="preserve">, </w:t>
      </w:r>
      <w:r w:rsidRPr="008708FA">
        <w:rPr>
          <w:rFonts w:eastAsia="Calibri"/>
          <w:i/>
        </w:rPr>
        <w:t>Furniture &amp; games</w:t>
      </w:r>
      <w:r w:rsidRPr="008708FA">
        <w:rPr>
          <w:rFonts w:eastAsia="Calibri"/>
        </w:rPr>
        <w:t xml:space="preserve"> and </w:t>
      </w:r>
      <w:r w:rsidRPr="008708FA">
        <w:rPr>
          <w:rFonts w:eastAsia="Calibri"/>
          <w:i/>
        </w:rPr>
        <w:t>Handling</w:t>
      </w:r>
      <w:r w:rsidRPr="008708FA">
        <w:rPr>
          <w:rFonts w:eastAsia="Calibri"/>
        </w:rPr>
        <w:t xml:space="preserve"> technologies, which have seen most registration activity after 2005.</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p>
    <w:p w:rsidR="008708FA" w:rsidRPr="008708FA" w:rsidRDefault="008708FA" w:rsidP="00534D0D">
      <w:pPr>
        <w:spacing w:line="276" w:lineRule="auto"/>
        <w:ind w:left="360" w:right="1350"/>
        <w:rPr>
          <w:rFonts w:eastAsia="Calibri"/>
        </w:rPr>
      </w:pPr>
      <w:r w:rsidRPr="008708FA">
        <w:rPr>
          <w:rFonts w:eastAsia="Calibri"/>
        </w:rPr>
        <w:br w:type="page"/>
      </w:r>
    </w:p>
    <w:p w:rsidR="008708FA" w:rsidRPr="008708FA" w:rsidRDefault="008708FA" w:rsidP="00534D0D">
      <w:pPr>
        <w:ind w:left="360" w:right="1350"/>
        <w:rPr>
          <w:rFonts w:eastAsia="Calibri"/>
        </w:rPr>
      </w:pPr>
    </w:p>
    <w:p w:rsidR="008708FA" w:rsidRPr="009E1F3F" w:rsidRDefault="008708FA" w:rsidP="00534D0D">
      <w:pPr>
        <w:ind w:left="360" w:right="1350"/>
        <w:rPr>
          <w:rFonts w:eastAsia="Calibri"/>
          <w:b/>
          <w:bCs/>
          <w:i/>
          <w:sz w:val="20"/>
          <w:szCs w:val="20"/>
        </w:rPr>
      </w:pPr>
      <w:bookmarkStart w:id="12" w:name="_Ref368388063"/>
      <w:r w:rsidRPr="009E1F3F">
        <w:rPr>
          <w:rFonts w:eastAsia="Calibri"/>
          <w:b/>
          <w:bCs/>
          <w:i/>
          <w:sz w:val="20"/>
          <w:szCs w:val="20"/>
        </w:rPr>
        <w:t xml:space="preserve">Figure E - </w:t>
      </w:r>
      <w:r w:rsidRPr="008708FA">
        <w:rPr>
          <w:rFonts w:eastAsia="Calibri"/>
          <w:b/>
          <w:bCs/>
          <w:i/>
          <w:sz w:val="20"/>
          <w:szCs w:val="18"/>
        </w:rPr>
        <w:fldChar w:fldCharType="begin"/>
      </w:r>
      <w:r w:rsidRPr="008708FA">
        <w:rPr>
          <w:rFonts w:eastAsia="Calibri"/>
          <w:b/>
          <w:bCs/>
          <w:i/>
          <w:sz w:val="20"/>
          <w:szCs w:val="18"/>
        </w:rPr>
        <w:instrText xml:space="preserve"> SEQ Figure_E_- \* ARABIC </w:instrText>
      </w:r>
      <w:r w:rsidRPr="008708FA">
        <w:rPr>
          <w:rFonts w:eastAsia="Calibri"/>
          <w:b/>
          <w:bCs/>
          <w:i/>
          <w:sz w:val="20"/>
          <w:szCs w:val="18"/>
        </w:rPr>
        <w:fldChar w:fldCharType="separate"/>
      </w:r>
      <w:r w:rsidR="006A4BE7">
        <w:rPr>
          <w:rFonts w:eastAsia="Calibri"/>
          <w:b/>
          <w:bCs/>
          <w:i/>
          <w:noProof/>
          <w:sz w:val="20"/>
          <w:szCs w:val="18"/>
        </w:rPr>
        <w:t>3</w:t>
      </w:r>
      <w:r w:rsidRPr="008708FA">
        <w:rPr>
          <w:rFonts w:eastAsia="Calibri"/>
          <w:b/>
          <w:bCs/>
          <w:i/>
          <w:noProof/>
          <w:sz w:val="20"/>
          <w:szCs w:val="18"/>
        </w:rPr>
        <w:fldChar w:fldCharType="end"/>
      </w:r>
      <w:bookmarkEnd w:id="12"/>
      <w:r w:rsidRPr="009E1F3F">
        <w:rPr>
          <w:rFonts w:eastAsia="Calibri"/>
          <w:b/>
          <w:bCs/>
          <w:i/>
          <w:sz w:val="20"/>
          <w:szCs w:val="20"/>
        </w:rPr>
        <w:t>: Top-10 technology fields</w:t>
      </w:r>
    </w:p>
    <w:p w:rsidR="008708FA" w:rsidRPr="008708FA" w:rsidRDefault="008708FA" w:rsidP="00534D0D">
      <w:pPr>
        <w:ind w:left="360" w:right="1350"/>
        <w:rPr>
          <w:rFonts w:eastAsia="Calibri"/>
        </w:rPr>
      </w:pPr>
      <w:r w:rsidRPr="008708FA">
        <w:rPr>
          <w:rFonts w:eastAsia="Calibri"/>
          <w:noProof/>
        </w:rPr>
        <w:drawing>
          <wp:inline distT="0" distB="0" distL="0" distR="0" wp14:anchorId="7E381D88" wp14:editId="49D1EB82">
            <wp:extent cx="5497382" cy="5282119"/>
            <wp:effectExtent l="0" t="0" r="0" b="0"/>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0725" cy="5285332"/>
                    </a:xfrm>
                    <a:prstGeom prst="rect">
                      <a:avLst/>
                    </a:prstGeom>
                    <a:noFill/>
                  </pic:spPr>
                </pic:pic>
              </a:graphicData>
            </a:graphic>
          </wp:inline>
        </w:drawing>
      </w:r>
    </w:p>
    <w:p w:rsidR="008708FA" w:rsidRPr="008708FA" w:rsidRDefault="008708FA" w:rsidP="00534D0D">
      <w:pPr>
        <w:ind w:left="360" w:right="1350"/>
        <w:rPr>
          <w:rFonts w:eastAsia="Calibri"/>
          <w:i/>
          <w:sz w:val="16"/>
        </w:rPr>
      </w:pPr>
      <w:r w:rsidRPr="008708FA">
        <w:rPr>
          <w:rFonts w:eastAsia="Calibri"/>
          <w:i/>
          <w:sz w:val="16"/>
        </w:rPr>
        <w:t xml:space="preserve">Source: Own elaboration, based on DIP data and WIPO’s IPC-Technology concordance. </w:t>
      </w:r>
      <w:r w:rsidRPr="008708FA">
        <w:rPr>
          <w:rFonts w:eastAsia="Calibri"/>
          <w:i/>
          <w:sz w:val="16"/>
        </w:rPr>
        <w:br/>
        <w:t>Note: Percentages may exceed 100% due to 504 UMs registrations which are assigned to more than one technological field.</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p>
    <w:p w:rsidR="008708FA" w:rsidRPr="008708FA" w:rsidRDefault="008708FA" w:rsidP="00534D0D">
      <w:pPr>
        <w:spacing w:line="276" w:lineRule="auto"/>
        <w:ind w:left="360" w:right="1350"/>
        <w:rPr>
          <w:rFonts w:eastAsia="Calibri"/>
        </w:rPr>
      </w:pPr>
      <w:r w:rsidRPr="008708FA">
        <w:rPr>
          <w:rFonts w:eastAsia="Calibri"/>
        </w:rPr>
        <w:br w:type="page"/>
      </w:r>
    </w:p>
    <w:p w:rsidR="008708FA" w:rsidRPr="008708FA" w:rsidRDefault="008708FA" w:rsidP="00534D0D">
      <w:pPr>
        <w:ind w:left="360" w:right="1350"/>
        <w:rPr>
          <w:rFonts w:eastAsia="Calibri"/>
        </w:rPr>
      </w:pPr>
    </w:p>
    <w:p w:rsidR="008708FA" w:rsidRPr="008708FA" w:rsidRDefault="008708FA" w:rsidP="00534D0D">
      <w:pPr>
        <w:keepNext/>
        <w:keepLines/>
        <w:ind w:left="360" w:right="1350"/>
        <w:outlineLvl w:val="1"/>
        <w:rPr>
          <w:bCs/>
          <w:i/>
          <w:szCs w:val="26"/>
        </w:rPr>
      </w:pPr>
      <w:r w:rsidRPr="008708FA">
        <w:rPr>
          <w:bCs/>
          <w:i/>
          <w:szCs w:val="26"/>
        </w:rPr>
        <w:fldChar w:fldCharType="begin"/>
      </w:r>
      <w:r w:rsidRPr="008708FA">
        <w:rPr>
          <w:bCs/>
          <w:i/>
          <w:szCs w:val="26"/>
        </w:rPr>
        <w:instrText xml:space="preserve"> REF _Ref367871770 \h  \* MERGEFORMAT </w:instrText>
      </w:r>
      <w:r w:rsidRPr="008708FA">
        <w:rPr>
          <w:bCs/>
          <w:i/>
          <w:szCs w:val="26"/>
        </w:rPr>
      </w:r>
      <w:r w:rsidRPr="008708FA">
        <w:rPr>
          <w:bCs/>
          <w:i/>
          <w:szCs w:val="26"/>
        </w:rPr>
        <w:fldChar w:fldCharType="separate"/>
      </w:r>
      <w:bookmarkStart w:id="13" w:name="_Toc370307918"/>
      <w:r w:rsidR="006A4BE7" w:rsidRPr="006A4BE7">
        <w:rPr>
          <w:bCs/>
          <w:i/>
          <w:szCs w:val="26"/>
        </w:rPr>
        <w:t xml:space="preserve">3.  To what degree have UMs complemented other IP </w:t>
      </w:r>
      <w:r w:rsidR="006A4BE7" w:rsidRPr="008708FA">
        <w:t>forms?</w:t>
      </w:r>
      <w:bookmarkEnd w:id="13"/>
      <w:r w:rsidRPr="008708FA">
        <w:rPr>
          <w:bCs/>
          <w:i/>
          <w:szCs w:val="26"/>
        </w:rPr>
        <w:fldChar w:fldCharType="end"/>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Building on the above finding of complementary between UM and patent use, one can explore in greater detail to what extent UMs have filled a gap in Thailand’s IP system.  In particular, one can analyze whether UM holders introduced technologies for the first time to Thailand’s IP system, as opposed to simply claiming priority on existing IP filings elsewhere</w:t>
      </w:r>
      <w:r w:rsidRPr="009E1F3F">
        <w:rPr>
          <w:rFonts w:eastAsia="Calibri"/>
        </w:rPr>
        <w:t xml:space="preserve">.  </w:t>
      </w:r>
      <w:r w:rsidR="009E1F3F" w:rsidRPr="009E1F3F">
        <w:rPr>
          <w:rFonts w:eastAsia="Calibri"/>
        </w:rPr>
        <w:fldChar w:fldCharType="begin"/>
      </w:r>
      <w:r w:rsidR="009E1F3F" w:rsidRPr="009E1F3F">
        <w:rPr>
          <w:rFonts w:eastAsia="Calibri"/>
        </w:rPr>
        <w:instrText xml:space="preserve"> REF _Ref368390177 \h </w:instrText>
      </w:r>
      <w:r w:rsidR="009E1F3F" w:rsidRPr="009E1F3F">
        <w:rPr>
          <w:rFonts w:eastAsia="Calibri"/>
        </w:rPr>
      </w:r>
      <w:r w:rsidR="009E1F3F" w:rsidRPr="009E1F3F">
        <w:rPr>
          <w:rFonts w:eastAsia="Calibri"/>
        </w:rPr>
        <w:fldChar w:fldCharType="separate"/>
      </w:r>
      <w:r w:rsidR="006A4BE7" w:rsidRPr="009E1F3F">
        <w:rPr>
          <w:rFonts w:eastAsia="Calibri"/>
          <w:b/>
          <w:bCs/>
          <w:i/>
          <w:sz w:val="20"/>
          <w:szCs w:val="20"/>
        </w:rPr>
        <w:t xml:space="preserve">Figure E - </w:t>
      </w:r>
      <w:r w:rsidR="006A4BE7">
        <w:rPr>
          <w:rFonts w:eastAsia="Calibri"/>
          <w:b/>
          <w:bCs/>
          <w:i/>
          <w:noProof/>
          <w:sz w:val="20"/>
          <w:szCs w:val="18"/>
        </w:rPr>
        <w:t>4</w:t>
      </w:r>
      <w:r w:rsidR="009E1F3F" w:rsidRPr="009E1F3F">
        <w:rPr>
          <w:rFonts w:eastAsia="Calibri"/>
        </w:rPr>
        <w:fldChar w:fldCharType="end"/>
      </w:r>
      <w:r w:rsidR="009E1F3F">
        <w:rPr>
          <w:rFonts w:eastAsia="Calibri"/>
        </w:rPr>
        <w:t xml:space="preserve"> </w:t>
      </w:r>
      <w:r w:rsidRPr="009E1F3F">
        <w:rPr>
          <w:rFonts w:eastAsia="Calibri"/>
        </w:rPr>
        <w:t>shows that</w:t>
      </w:r>
      <w:r w:rsidRPr="008708FA">
        <w:rPr>
          <w:rFonts w:eastAsia="Calibri"/>
        </w:rPr>
        <w:t xml:space="preserve"> the vast majority of registered UMs in Thailand are first filings; only 4% of registrations claim a foreign priority.  This implies that the underlying inventions are presumed to be new in Thailand, confirming the local appeal of Thailand’s UM system.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p>
    <w:p w:rsidR="008708FA" w:rsidRPr="009E1F3F" w:rsidRDefault="008708FA" w:rsidP="00534D0D">
      <w:pPr>
        <w:ind w:left="360" w:right="1350"/>
        <w:rPr>
          <w:rFonts w:eastAsia="Calibri"/>
          <w:b/>
          <w:bCs/>
          <w:i/>
          <w:sz w:val="20"/>
          <w:szCs w:val="20"/>
        </w:rPr>
      </w:pPr>
      <w:bookmarkStart w:id="14" w:name="_Ref368390177"/>
      <w:r w:rsidRPr="009E1F3F">
        <w:rPr>
          <w:rFonts w:eastAsia="Calibri"/>
          <w:b/>
          <w:bCs/>
          <w:i/>
          <w:sz w:val="20"/>
          <w:szCs w:val="20"/>
        </w:rPr>
        <w:t xml:space="preserve">Figure E - </w:t>
      </w:r>
      <w:r w:rsidRPr="008708FA">
        <w:rPr>
          <w:rFonts w:eastAsia="Calibri"/>
          <w:b/>
          <w:bCs/>
          <w:i/>
          <w:sz w:val="20"/>
          <w:szCs w:val="18"/>
        </w:rPr>
        <w:fldChar w:fldCharType="begin"/>
      </w:r>
      <w:r w:rsidRPr="008708FA">
        <w:rPr>
          <w:rFonts w:eastAsia="Calibri"/>
          <w:b/>
          <w:bCs/>
          <w:i/>
          <w:sz w:val="20"/>
          <w:szCs w:val="18"/>
        </w:rPr>
        <w:instrText xml:space="preserve"> SEQ Figure_E_- \* ARABIC </w:instrText>
      </w:r>
      <w:r w:rsidRPr="008708FA">
        <w:rPr>
          <w:rFonts w:eastAsia="Calibri"/>
          <w:b/>
          <w:bCs/>
          <w:i/>
          <w:sz w:val="20"/>
          <w:szCs w:val="18"/>
        </w:rPr>
        <w:fldChar w:fldCharType="separate"/>
      </w:r>
      <w:r w:rsidR="006A4BE7">
        <w:rPr>
          <w:rFonts w:eastAsia="Calibri"/>
          <w:b/>
          <w:bCs/>
          <w:i/>
          <w:noProof/>
          <w:sz w:val="20"/>
          <w:szCs w:val="18"/>
        </w:rPr>
        <w:t>4</w:t>
      </w:r>
      <w:r w:rsidRPr="008708FA">
        <w:rPr>
          <w:rFonts w:eastAsia="Calibri"/>
          <w:b/>
          <w:bCs/>
          <w:i/>
          <w:noProof/>
          <w:sz w:val="20"/>
          <w:szCs w:val="18"/>
        </w:rPr>
        <w:fldChar w:fldCharType="end"/>
      </w:r>
      <w:bookmarkEnd w:id="14"/>
      <w:r w:rsidRPr="009E1F3F">
        <w:rPr>
          <w:rFonts w:eastAsia="Calibri"/>
          <w:b/>
          <w:bCs/>
          <w:i/>
          <w:sz w:val="20"/>
          <w:szCs w:val="20"/>
        </w:rPr>
        <w:t>: Share of registrations by priority office</w:t>
      </w:r>
    </w:p>
    <w:p w:rsidR="008708FA" w:rsidRPr="008708FA" w:rsidRDefault="008708FA" w:rsidP="00534D0D">
      <w:pPr>
        <w:ind w:left="360" w:right="1350"/>
        <w:rPr>
          <w:rFonts w:eastAsia="Calibri"/>
        </w:rPr>
      </w:pPr>
      <w:r w:rsidRPr="008708FA">
        <w:rPr>
          <w:rFonts w:eastAsia="Calibri"/>
          <w:noProof/>
        </w:rPr>
        <w:drawing>
          <wp:inline distT="0" distB="0" distL="0" distR="0" wp14:anchorId="1544B2DF" wp14:editId="078EC3EC">
            <wp:extent cx="5485980" cy="3083668"/>
            <wp:effectExtent l="0" t="0" r="0"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0862" cy="3086412"/>
                    </a:xfrm>
                    <a:prstGeom prst="rect">
                      <a:avLst/>
                    </a:prstGeom>
                    <a:noFill/>
                    <a:ln>
                      <a:noFill/>
                    </a:ln>
                  </pic:spPr>
                </pic:pic>
              </a:graphicData>
            </a:graphic>
          </wp:inline>
        </w:drawing>
      </w:r>
    </w:p>
    <w:p w:rsidR="008708FA" w:rsidRPr="008708FA" w:rsidRDefault="008708FA" w:rsidP="00534D0D">
      <w:pPr>
        <w:ind w:left="360" w:right="1350"/>
        <w:rPr>
          <w:rFonts w:eastAsia="Calibri"/>
          <w:i/>
          <w:sz w:val="16"/>
        </w:rPr>
      </w:pPr>
      <w:r w:rsidRPr="008708FA">
        <w:rPr>
          <w:rFonts w:eastAsia="Calibri"/>
          <w:i/>
          <w:sz w:val="16"/>
        </w:rPr>
        <w:t>Source: Own elaboration, based on DIP data.</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In addition, the unit record database allows assessing whether UM holders are first-time users of the IP system or experienced users shifting from other IP rights to UMs.</w:t>
      </w:r>
      <w:r w:rsidRPr="008708FA">
        <w:rPr>
          <w:rFonts w:eastAsia="Calibri"/>
          <w:vertAlign w:val="superscript"/>
        </w:rPr>
        <w:t xml:space="preserve"> </w:t>
      </w:r>
      <w:r w:rsidRPr="008708FA">
        <w:rPr>
          <w:rFonts w:eastAsia="Calibri"/>
          <w:vertAlign w:val="superscript"/>
        </w:rPr>
        <w:footnoteReference w:id="3"/>
      </w:r>
      <w:r w:rsidRPr="008708FA">
        <w:rPr>
          <w:rFonts w:eastAsia="Calibri"/>
        </w:rPr>
        <w:t xml:space="preserve">  The data suggest that only around one-fifth of UM holders have also applied for other IP types, notably patents and industrial designs.  This suggests that, indeed, many of the UM holders are using the IP system for the first time.  This is especially the case for many Thai companies, where three-quarters of those holding a UM have not applied for other IP forms.  This is also true for individual applicants, where as much as 81% of them have only filed for this kind of IP since 1999.</w:t>
      </w:r>
    </w:p>
    <w:p w:rsidR="008708FA" w:rsidRPr="008708FA" w:rsidRDefault="008708FA" w:rsidP="00534D0D">
      <w:pPr>
        <w:ind w:left="360" w:right="1350"/>
        <w:rPr>
          <w:rFonts w:eastAsia="Calibri"/>
        </w:rPr>
      </w:pPr>
    </w:p>
    <w:p w:rsidR="008708FA" w:rsidRPr="008708FA" w:rsidRDefault="008708FA" w:rsidP="00534D0D">
      <w:pPr>
        <w:spacing w:line="276" w:lineRule="auto"/>
        <w:ind w:left="360" w:right="1350"/>
        <w:rPr>
          <w:rFonts w:eastAsia="Calibri"/>
        </w:rPr>
      </w:pPr>
      <w:r w:rsidRPr="008708FA">
        <w:rPr>
          <w:rFonts w:eastAsia="Calibri"/>
        </w:rPr>
        <w:br w:type="page"/>
      </w:r>
    </w:p>
    <w:p w:rsidR="008708FA" w:rsidRPr="008708FA" w:rsidRDefault="008708FA" w:rsidP="00534D0D">
      <w:pPr>
        <w:ind w:left="360" w:right="1350"/>
        <w:rPr>
          <w:rFonts w:eastAsia="Calibri"/>
        </w:rPr>
      </w:pPr>
    </w:p>
    <w:p w:rsidR="008708FA" w:rsidRPr="008708FA" w:rsidRDefault="008708FA" w:rsidP="00534D0D">
      <w:pPr>
        <w:keepNext/>
        <w:keepLines/>
        <w:ind w:left="360" w:right="1350"/>
        <w:outlineLvl w:val="1"/>
        <w:rPr>
          <w:bCs/>
          <w:i/>
          <w:szCs w:val="26"/>
        </w:rPr>
      </w:pPr>
      <w:r w:rsidRPr="008708FA">
        <w:rPr>
          <w:bCs/>
          <w:i/>
          <w:szCs w:val="26"/>
        </w:rPr>
        <w:fldChar w:fldCharType="begin"/>
      </w:r>
      <w:r w:rsidRPr="008708FA">
        <w:rPr>
          <w:bCs/>
          <w:i/>
          <w:szCs w:val="26"/>
        </w:rPr>
        <w:instrText xml:space="preserve"> REF _Ref367870745 \h  \* MERGEFORMAT </w:instrText>
      </w:r>
      <w:r w:rsidRPr="008708FA">
        <w:rPr>
          <w:bCs/>
          <w:i/>
          <w:szCs w:val="26"/>
        </w:rPr>
      </w:r>
      <w:r w:rsidRPr="008708FA">
        <w:rPr>
          <w:bCs/>
          <w:i/>
          <w:szCs w:val="26"/>
        </w:rPr>
        <w:fldChar w:fldCharType="separate"/>
      </w:r>
      <w:bookmarkStart w:id="15" w:name="_Toc370307919"/>
      <w:r w:rsidR="006A4BE7" w:rsidRPr="006A4BE7">
        <w:rPr>
          <w:bCs/>
          <w:i/>
          <w:szCs w:val="26"/>
        </w:rPr>
        <w:t xml:space="preserve">4.  What are important challenges for the development of Thailand's UM </w:t>
      </w:r>
      <w:r w:rsidR="006A4BE7" w:rsidRPr="008708FA">
        <w:t>system?</w:t>
      </w:r>
      <w:bookmarkEnd w:id="15"/>
      <w:r w:rsidRPr="008708FA">
        <w:rPr>
          <w:bCs/>
          <w:i/>
          <w:szCs w:val="26"/>
        </w:rPr>
        <w:fldChar w:fldCharType="end"/>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 xml:space="preserve">Notwithstanding the successful implementation of UM protection in Thailand, there are potential concerns about the future of this particular instrument, as well as for the IP system more broadly.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 xml:space="preserve">Given that the Thai IP law has a novelty requirement for UMs but does not impose substantive examination, one concern – common to pure registration systems – is to </w:t>
      </w:r>
      <w:r w:rsidRPr="009E1F3F">
        <w:rPr>
          <w:rFonts w:eastAsia="Calibri"/>
        </w:rPr>
        <w:t xml:space="preserve">what extent UM registrations truly meet the novelty standard.  </w:t>
      </w:r>
      <w:r w:rsidRPr="009E1F3F">
        <w:rPr>
          <w:rFonts w:eastAsia="Calibri"/>
        </w:rPr>
        <w:fldChar w:fldCharType="begin"/>
      </w:r>
      <w:r w:rsidRPr="009E1F3F">
        <w:rPr>
          <w:rFonts w:eastAsia="Calibri"/>
        </w:rPr>
        <w:instrText xml:space="preserve"> REF _Ref368394627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E - </w:t>
      </w:r>
      <w:r w:rsidR="006A4BE7">
        <w:rPr>
          <w:rFonts w:eastAsia="Calibri"/>
          <w:b/>
          <w:bCs/>
          <w:i/>
          <w:noProof/>
          <w:sz w:val="20"/>
          <w:szCs w:val="18"/>
        </w:rPr>
        <w:t>5</w:t>
      </w:r>
      <w:r w:rsidRPr="009E1F3F">
        <w:rPr>
          <w:rFonts w:eastAsia="Calibri"/>
        </w:rPr>
        <w:fldChar w:fldCharType="end"/>
      </w:r>
      <w:r w:rsidRPr="009E1F3F">
        <w:rPr>
          <w:rFonts w:eastAsia="Calibri"/>
        </w:rPr>
        <w:t xml:space="preserve"> shows that</w:t>
      </w:r>
      <w:r w:rsidRPr="008708FA">
        <w:rPr>
          <w:rFonts w:eastAsia="Calibri"/>
        </w:rPr>
        <w:t xml:space="preserve"> only 40 registered UMs have seen requests for examination – for example because of third party oppositions.  In addition, Thailand’s specialized IP court has only revoked a few registered UMs.  These may be encouraging signs about the quality of UM registrations. However, one should be careful in drawing this conclusion.  The lack of oppositions might also reflect that many UM applications and eventual registrations have not found real industrial application and may, therefore, have little economic value.</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p>
    <w:p w:rsidR="008708FA" w:rsidRPr="00A576E5" w:rsidRDefault="008708FA" w:rsidP="00534D0D">
      <w:pPr>
        <w:ind w:left="360" w:right="1350"/>
        <w:rPr>
          <w:rFonts w:eastAsia="Calibri"/>
          <w:b/>
          <w:bCs/>
          <w:i/>
          <w:sz w:val="20"/>
          <w:szCs w:val="20"/>
        </w:rPr>
      </w:pPr>
      <w:bookmarkStart w:id="16" w:name="_Ref368394627"/>
      <w:r w:rsidRPr="009E1F3F">
        <w:rPr>
          <w:rFonts w:eastAsia="Calibri"/>
          <w:b/>
          <w:bCs/>
          <w:i/>
          <w:sz w:val="20"/>
          <w:szCs w:val="20"/>
        </w:rPr>
        <w:t xml:space="preserve">Figure E - </w:t>
      </w:r>
      <w:r w:rsidRPr="008708FA">
        <w:rPr>
          <w:rFonts w:eastAsia="Calibri"/>
          <w:b/>
          <w:bCs/>
          <w:i/>
          <w:sz w:val="20"/>
          <w:szCs w:val="18"/>
        </w:rPr>
        <w:fldChar w:fldCharType="begin"/>
      </w:r>
      <w:r w:rsidRPr="008708FA">
        <w:rPr>
          <w:rFonts w:eastAsia="Calibri"/>
          <w:b/>
          <w:bCs/>
          <w:i/>
          <w:sz w:val="20"/>
          <w:szCs w:val="18"/>
        </w:rPr>
        <w:instrText xml:space="preserve"> SEQ Figure_E_- \* ARABIC </w:instrText>
      </w:r>
      <w:r w:rsidRPr="008708FA">
        <w:rPr>
          <w:rFonts w:eastAsia="Calibri"/>
          <w:b/>
          <w:bCs/>
          <w:i/>
          <w:sz w:val="20"/>
          <w:szCs w:val="18"/>
        </w:rPr>
        <w:fldChar w:fldCharType="separate"/>
      </w:r>
      <w:r w:rsidR="006A4BE7">
        <w:rPr>
          <w:rFonts w:eastAsia="Calibri"/>
          <w:b/>
          <w:bCs/>
          <w:i/>
          <w:noProof/>
          <w:sz w:val="20"/>
          <w:szCs w:val="18"/>
        </w:rPr>
        <w:t>5</w:t>
      </w:r>
      <w:r w:rsidRPr="008708FA">
        <w:rPr>
          <w:rFonts w:eastAsia="Calibri"/>
          <w:b/>
          <w:bCs/>
          <w:i/>
          <w:noProof/>
          <w:sz w:val="20"/>
          <w:szCs w:val="18"/>
        </w:rPr>
        <w:fldChar w:fldCharType="end"/>
      </w:r>
      <w:bookmarkEnd w:id="16"/>
      <w:r w:rsidRPr="009E1F3F">
        <w:rPr>
          <w:rFonts w:eastAsia="Calibri"/>
          <w:b/>
          <w:bCs/>
          <w:i/>
          <w:sz w:val="20"/>
          <w:szCs w:val="20"/>
        </w:rPr>
        <w:t>: Examination requests for utility models, by examination year</w:t>
      </w:r>
    </w:p>
    <w:p w:rsidR="008708FA" w:rsidRPr="008708FA" w:rsidRDefault="008708FA" w:rsidP="00534D0D">
      <w:pPr>
        <w:ind w:left="360" w:right="1350"/>
        <w:rPr>
          <w:rFonts w:eastAsia="Calibri"/>
        </w:rPr>
      </w:pPr>
      <w:r w:rsidRPr="008708FA">
        <w:rPr>
          <w:rFonts w:eastAsia="Calibri"/>
          <w:noProof/>
        </w:rPr>
        <w:drawing>
          <wp:inline distT="0" distB="0" distL="0" distR="0" wp14:anchorId="0AFEDCF9" wp14:editId="6E7004AF">
            <wp:extent cx="5414010" cy="2755900"/>
            <wp:effectExtent l="0" t="0" r="0" b="6350"/>
            <wp:docPr id="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4010" cy="2755900"/>
                    </a:xfrm>
                    <a:prstGeom prst="rect">
                      <a:avLst/>
                    </a:prstGeom>
                    <a:noFill/>
                  </pic:spPr>
                </pic:pic>
              </a:graphicData>
            </a:graphic>
          </wp:inline>
        </w:drawing>
      </w:r>
    </w:p>
    <w:p w:rsidR="008708FA" w:rsidRPr="008708FA" w:rsidRDefault="008708FA" w:rsidP="00534D0D">
      <w:pPr>
        <w:ind w:left="360" w:right="1350"/>
        <w:rPr>
          <w:rFonts w:eastAsia="Calibri"/>
          <w:i/>
          <w:sz w:val="16"/>
        </w:rPr>
      </w:pPr>
      <w:r w:rsidRPr="008708FA">
        <w:rPr>
          <w:rFonts w:eastAsia="Calibri"/>
          <w:i/>
          <w:sz w:val="16"/>
        </w:rPr>
        <w:t>Source: Own elaboration, based on DIP data.</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 xml:space="preserve">An indirect sign of lack of UM quality is the fact that less than half of all UM applications filed between 1999 and 2011 have actually been registered.  For the most recent years, a certain share of unregistered applications corresponds to still on-going application procedures.  But even if one only takes into account the first half of the 2000s, the share of unregistered UM applications is high – standing at between 40% </w:t>
      </w:r>
      <w:r w:rsidRPr="009E1F3F">
        <w:rPr>
          <w:rFonts w:eastAsia="Calibri"/>
        </w:rPr>
        <w:t xml:space="preserve">and 60% (see </w:t>
      </w:r>
      <w:r w:rsidRPr="009E1F3F">
        <w:rPr>
          <w:rFonts w:eastAsia="Calibri"/>
        </w:rPr>
        <w:fldChar w:fldCharType="begin"/>
      </w:r>
      <w:r w:rsidRPr="009E1F3F">
        <w:rPr>
          <w:rFonts w:eastAsia="Calibri"/>
        </w:rPr>
        <w:instrText xml:space="preserve"> REF _Ref368394930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E - </w:t>
      </w:r>
      <w:r w:rsidR="006A4BE7">
        <w:rPr>
          <w:rFonts w:eastAsia="Calibri"/>
          <w:b/>
          <w:bCs/>
          <w:i/>
          <w:noProof/>
          <w:sz w:val="20"/>
          <w:szCs w:val="18"/>
        </w:rPr>
        <w:t>6</w:t>
      </w:r>
      <w:r w:rsidRPr="009E1F3F">
        <w:rPr>
          <w:rFonts w:eastAsia="Calibri"/>
        </w:rPr>
        <w:fldChar w:fldCharType="end"/>
      </w:r>
      <w:r w:rsidRPr="009E1F3F">
        <w:rPr>
          <w:rFonts w:eastAsia="Calibri"/>
        </w:rPr>
        <w:t>).  This illustrates the application quality challenge that the</w:t>
      </w:r>
      <w:r w:rsidRPr="008708FA">
        <w:rPr>
          <w:rFonts w:eastAsia="Calibri"/>
        </w:rPr>
        <w:t xml:space="preserve"> Thai IP office may face.</w:t>
      </w:r>
    </w:p>
    <w:p w:rsidR="008708FA" w:rsidRPr="008708FA" w:rsidRDefault="008708FA" w:rsidP="00534D0D">
      <w:pPr>
        <w:ind w:left="360" w:right="1350"/>
        <w:rPr>
          <w:rFonts w:eastAsia="Calibri"/>
        </w:rPr>
      </w:pPr>
    </w:p>
    <w:p w:rsidR="008708FA" w:rsidRPr="008708FA" w:rsidRDefault="008708FA" w:rsidP="00534D0D">
      <w:pPr>
        <w:spacing w:line="276" w:lineRule="auto"/>
        <w:ind w:left="360" w:right="1350"/>
        <w:rPr>
          <w:rFonts w:eastAsia="Calibri"/>
        </w:rPr>
      </w:pPr>
      <w:r w:rsidRPr="008708FA">
        <w:rPr>
          <w:rFonts w:eastAsia="Calibri"/>
        </w:rPr>
        <w:br w:type="page"/>
      </w:r>
    </w:p>
    <w:p w:rsidR="008708FA" w:rsidRPr="008708FA" w:rsidRDefault="008708FA" w:rsidP="00534D0D">
      <w:pPr>
        <w:ind w:left="360" w:right="1350"/>
        <w:rPr>
          <w:rFonts w:eastAsia="Calibri"/>
        </w:rPr>
      </w:pPr>
    </w:p>
    <w:p w:rsidR="008708FA" w:rsidRPr="009E1F3F" w:rsidRDefault="008708FA" w:rsidP="00534D0D">
      <w:pPr>
        <w:ind w:left="360" w:right="1350"/>
        <w:rPr>
          <w:rFonts w:eastAsia="Calibri"/>
          <w:b/>
          <w:bCs/>
          <w:i/>
          <w:sz w:val="20"/>
          <w:szCs w:val="20"/>
        </w:rPr>
      </w:pPr>
      <w:bookmarkStart w:id="17" w:name="_Ref368394930"/>
      <w:r w:rsidRPr="009E1F3F">
        <w:rPr>
          <w:rFonts w:eastAsia="Calibri"/>
          <w:b/>
          <w:bCs/>
          <w:i/>
          <w:sz w:val="20"/>
          <w:szCs w:val="20"/>
        </w:rPr>
        <w:t xml:space="preserve">Figure E - </w:t>
      </w:r>
      <w:r w:rsidRPr="008708FA">
        <w:rPr>
          <w:rFonts w:eastAsia="Calibri"/>
          <w:b/>
          <w:bCs/>
          <w:i/>
          <w:sz w:val="20"/>
          <w:szCs w:val="18"/>
        </w:rPr>
        <w:fldChar w:fldCharType="begin"/>
      </w:r>
      <w:r w:rsidRPr="008708FA">
        <w:rPr>
          <w:rFonts w:eastAsia="Calibri"/>
          <w:b/>
          <w:bCs/>
          <w:i/>
          <w:sz w:val="20"/>
          <w:szCs w:val="18"/>
        </w:rPr>
        <w:instrText xml:space="preserve"> SEQ Figure_E_- \* ARABIC </w:instrText>
      </w:r>
      <w:r w:rsidRPr="008708FA">
        <w:rPr>
          <w:rFonts w:eastAsia="Calibri"/>
          <w:b/>
          <w:bCs/>
          <w:i/>
          <w:sz w:val="20"/>
          <w:szCs w:val="18"/>
        </w:rPr>
        <w:fldChar w:fldCharType="separate"/>
      </w:r>
      <w:r w:rsidR="006A4BE7">
        <w:rPr>
          <w:rFonts w:eastAsia="Calibri"/>
          <w:b/>
          <w:bCs/>
          <w:i/>
          <w:noProof/>
          <w:sz w:val="20"/>
          <w:szCs w:val="18"/>
        </w:rPr>
        <w:t>6</w:t>
      </w:r>
      <w:r w:rsidRPr="008708FA">
        <w:rPr>
          <w:rFonts w:eastAsia="Calibri"/>
          <w:b/>
          <w:bCs/>
          <w:i/>
          <w:noProof/>
          <w:sz w:val="20"/>
          <w:szCs w:val="18"/>
        </w:rPr>
        <w:fldChar w:fldCharType="end"/>
      </w:r>
      <w:bookmarkEnd w:id="17"/>
      <w:r w:rsidRPr="009E1F3F">
        <w:rPr>
          <w:rFonts w:eastAsia="Calibri"/>
          <w:b/>
          <w:bCs/>
          <w:i/>
          <w:sz w:val="20"/>
          <w:szCs w:val="20"/>
        </w:rPr>
        <w:t>: Unregistered and registered utility models</w:t>
      </w:r>
    </w:p>
    <w:p w:rsidR="008708FA" w:rsidRPr="008708FA" w:rsidRDefault="008708FA" w:rsidP="00534D0D">
      <w:pPr>
        <w:ind w:left="360" w:right="1350"/>
        <w:rPr>
          <w:rFonts w:eastAsia="Calibri"/>
        </w:rPr>
      </w:pPr>
      <w:r w:rsidRPr="008708FA">
        <w:rPr>
          <w:rFonts w:eastAsia="Calibri"/>
          <w:noProof/>
        </w:rPr>
        <w:drawing>
          <wp:inline distT="0" distB="0" distL="0" distR="0" wp14:anchorId="5A70B1AC" wp14:editId="305CF651">
            <wp:extent cx="5362978" cy="3356043"/>
            <wp:effectExtent l="0" t="0" r="0" b="0"/>
            <wp:docPr id="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4639" cy="3357083"/>
                    </a:xfrm>
                    <a:prstGeom prst="rect">
                      <a:avLst/>
                    </a:prstGeom>
                    <a:noFill/>
                  </pic:spPr>
                </pic:pic>
              </a:graphicData>
            </a:graphic>
          </wp:inline>
        </w:drawing>
      </w:r>
    </w:p>
    <w:p w:rsidR="008708FA" w:rsidRPr="008708FA" w:rsidRDefault="008708FA" w:rsidP="00534D0D">
      <w:pPr>
        <w:ind w:left="360" w:right="1350"/>
        <w:rPr>
          <w:rFonts w:eastAsia="Calibri"/>
          <w:i/>
          <w:sz w:val="16"/>
        </w:rPr>
      </w:pPr>
      <w:r w:rsidRPr="008708FA">
        <w:rPr>
          <w:rFonts w:eastAsia="Calibri"/>
          <w:i/>
          <w:sz w:val="16"/>
        </w:rPr>
        <w:t>Source: Own elaboration, based on DIP data and WIPO Statistics Database, 2013.</w:t>
      </w:r>
    </w:p>
    <w:p w:rsidR="008708FA" w:rsidRPr="00A47763" w:rsidRDefault="008708FA" w:rsidP="00534D0D">
      <w:pPr>
        <w:ind w:left="360" w:right="1350"/>
        <w:rPr>
          <w:rFonts w:eastAsia="Calibri"/>
          <w:i/>
        </w:rPr>
      </w:pPr>
    </w:p>
    <w:p w:rsidR="008708FA" w:rsidRPr="00A47763"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Admittedly, the difference in the number of applications and the number of registrations may simply reflect the accumulated backlog in the registration process, reflecting the DPI’s processing capacity.  Indeed, interviews have confirmed that resource limitations account for a good part of the application backlog.  One direct consequence of this backlog problem is long UM pendency times.</w:t>
      </w:r>
    </w:p>
    <w:p w:rsidR="008708FA" w:rsidRPr="008708FA" w:rsidRDefault="008708FA" w:rsidP="00534D0D">
      <w:pPr>
        <w:ind w:left="360" w:right="1350"/>
        <w:rPr>
          <w:rFonts w:eastAsia="Calibri"/>
        </w:rPr>
      </w:pPr>
    </w:p>
    <w:p w:rsidR="005C2ECF" w:rsidRDefault="008708FA" w:rsidP="00534D0D">
      <w:pPr>
        <w:ind w:left="360" w:right="1350"/>
        <w:rPr>
          <w:rFonts w:eastAsia="Calibri"/>
        </w:rPr>
      </w:pPr>
      <w:r w:rsidRPr="008708FA">
        <w:rPr>
          <w:rFonts w:eastAsia="Calibri"/>
        </w:rPr>
        <w:t xml:space="preserve">In principle, the Thai law foresees that UM applications be processed within six months.  However, in practice, most applications only see registration after six months </w:t>
      </w:r>
    </w:p>
    <w:p w:rsidR="008708FA" w:rsidRPr="008708FA" w:rsidRDefault="008708FA" w:rsidP="00534D0D">
      <w:pPr>
        <w:ind w:left="360" w:right="1350"/>
        <w:rPr>
          <w:rFonts w:eastAsia="Calibri"/>
        </w:rPr>
      </w:pPr>
      <w:r w:rsidRPr="009E1F3F">
        <w:rPr>
          <w:rFonts w:eastAsia="Calibri"/>
        </w:rPr>
        <w:t>(</w:t>
      </w:r>
      <w:r w:rsidRPr="009E1F3F">
        <w:rPr>
          <w:rFonts w:eastAsia="Calibri"/>
        </w:rPr>
        <w:fldChar w:fldCharType="begin"/>
      </w:r>
      <w:r w:rsidRPr="009E1F3F">
        <w:rPr>
          <w:rFonts w:eastAsia="Calibri"/>
        </w:rPr>
        <w:instrText xml:space="preserve"> REF _Ref368395578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E - </w:t>
      </w:r>
      <w:r w:rsidR="006A4BE7">
        <w:rPr>
          <w:rFonts w:eastAsia="Calibri"/>
          <w:b/>
          <w:bCs/>
          <w:i/>
          <w:noProof/>
          <w:sz w:val="20"/>
          <w:szCs w:val="18"/>
        </w:rPr>
        <w:t>7</w:t>
      </w:r>
      <w:r w:rsidRPr="009E1F3F">
        <w:rPr>
          <w:rFonts w:eastAsia="Calibri"/>
        </w:rPr>
        <w:fldChar w:fldCharType="end"/>
      </w:r>
      <w:r w:rsidRPr="009E1F3F">
        <w:rPr>
          <w:rFonts w:eastAsia="Calibri"/>
        </w:rPr>
        <w:t>).  In particular, around 60% of all registered UM were processed within a</w:t>
      </w:r>
      <w:r w:rsidRPr="008708FA">
        <w:rPr>
          <w:rFonts w:eastAsia="Calibri"/>
        </w:rPr>
        <w:t xml:space="preserve"> year and 83% were processed within two years; for 17% of all registered UMs, the process took more than three years.  Anecdotal evidence suggests that even longer pendency times prevail nowadays, although shorter than during the busy 2002-2004 period. </w:t>
      </w:r>
    </w:p>
    <w:p w:rsidR="008708FA" w:rsidRPr="008708FA" w:rsidRDefault="008708FA" w:rsidP="00534D0D">
      <w:pPr>
        <w:ind w:left="360" w:right="1350"/>
        <w:rPr>
          <w:rFonts w:eastAsia="Calibri"/>
        </w:rPr>
      </w:pPr>
    </w:p>
    <w:p w:rsidR="008708FA" w:rsidRPr="008708FA" w:rsidRDefault="008708FA" w:rsidP="00534D0D">
      <w:pPr>
        <w:spacing w:line="276" w:lineRule="auto"/>
        <w:ind w:left="360" w:right="1350"/>
        <w:rPr>
          <w:rFonts w:eastAsia="Calibri"/>
        </w:rPr>
      </w:pPr>
      <w:r w:rsidRPr="008708FA">
        <w:rPr>
          <w:rFonts w:eastAsia="Calibri"/>
        </w:rPr>
        <w:br w:type="page"/>
      </w:r>
    </w:p>
    <w:p w:rsidR="008708FA" w:rsidRPr="008708FA" w:rsidRDefault="008708FA" w:rsidP="00534D0D">
      <w:pPr>
        <w:ind w:left="360" w:right="1350"/>
        <w:rPr>
          <w:rFonts w:eastAsia="Calibri"/>
        </w:rPr>
      </w:pPr>
    </w:p>
    <w:p w:rsidR="008708FA" w:rsidRPr="009E1F3F" w:rsidRDefault="008708FA" w:rsidP="00534D0D">
      <w:pPr>
        <w:ind w:left="360" w:right="1350"/>
        <w:rPr>
          <w:rFonts w:eastAsia="Calibri"/>
          <w:b/>
          <w:bCs/>
          <w:i/>
          <w:sz w:val="20"/>
          <w:szCs w:val="20"/>
        </w:rPr>
      </w:pPr>
      <w:bookmarkStart w:id="18" w:name="_Ref368395578"/>
      <w:r w:rsidRPr="009E1F3F">
        <w:rPr>
          <w:rFonts w:eastAsia="Calibri"/>
          <w:b/>
          <w:bCs/>
          <w:i/>
          <w:sz w:val="20"/>
          <w:szCs w:val="20"/>
        </w:rPr>
        <w:t xml:space="preserve">Figure E - </w:t>
      </w:r>
      <w:r w:rsidRPr="008708FA">
        <w:rPr>
          <w:rFonts w:eastAsia="Calibri"/>
          <w:b/>
          <w:bCs/>
          <w:i/>
          <w:sz w:val="20"/>
          <w:szCs w:val="18"/>
        </w:rPr>
        <w:fldChar w:fldCharType="begin"/>
      </w:r>
      <w:r w:rsidRPr="008708FA">
        <w:rPr>
          <w:rFonts w:eastAsia="Calibri"/>
          <w:b/>
          <w:bCs/>
          <w:i/>
          <w:sz w:val="20"/>
          <w:szCs w:val="18"/>
        </w:rPr>
        <w:instrText xml:space="preserve"> SEQ Figure_E_- \* ARABIC </w:instrText>
      </w:r>
      <w:r w:rsidRPr="008708FA">
        <w:rPr>
          <w:rFonts w:eastAsia="Calibri"/>
          <w:b/>
          <w:bCs/>
          <w:i/>
          <w:sz w:val="20"/>
          <w:szCs w:val="18"/>
        </w:rPr>
        <w:fldChar w:fldCharType="separate"/>
      </w:r>
      <w:r w:rsidR="006A4BE7">
        <w:rPr>
          <w:rFonts w:eastAsia="Calibri"/>
          <w:b/>
          <w:bCs/>
          <w:i/>
          <w:noProof/>
          <w:sz w:val="20"/>
          <w:szCs w:val="18"/>
        </w:rPr>
        <w:t>7</w:t>
      </w:r>
      <w:r w:rsidRPr="008708FA">
        <w:rPr>
          <w:rFonts w:eastAsia="Calibri"/>
          <w:b/>
          <w:bCs/>
          <w:i/>
          <w:noProof/>
          <w:sz w:val="20"/>
          <w:szCs w:val="18"/>
        </w:rPr>
        <w:fldChar w:fldCharType="end"/>
      </w:r>
      <w:bookmarkEnd w:id="18"/>
      <w:r w:rsidRPr="009E1F3F">
        <w:rPr>
          <w:rFonts w:eastAsia="Calibri"/>
          <w:b/>
          <w:bCs/>
          <w:i/>
          <w:sz w:val="20"/>
          <w:szCs w:val="20"/>
        </w:rPr>
        <w:t xml:space="preserve">: Registration </w:t>
      </w:r>
      <w:proofErr w:type="gramStart"/>
      <w:r w:rsidRPr="009E1F3F">
        <w:rPr>
          <w:rFonts w:eastAsia="Calibri"/>
          <w:b/>
          <w:bCs/>
          <w:i/>
          <w:sz w:val="20"/>
          <w:szCs w:val="20"/>
        </w:rPr>
        <w:t>lag</w:t>
      </w:r>
      <w:proofErr w:type="gramEnd"/>
      <w:r w:rsidRPr="009E1F3F">
        <w:rPr>
          <w:rFonts w:eastAsia="Calibri"/>
          <w:b/>
          <w:bCs/>
          <w:i/>
          <w:sz w:val="20"/>
          <w:szCs w:val="20"/>
        </w:rPr>
        <w:t xml:space="preserve"> </w:t>
      </w:r>
    </w:p>
    <w:p w:rsidR="008708FA" w:rsidRPr="008708FA" w:rsidRDefault="008708FA" w:rsidP="00534D0D">
      <w:pPr>
        <w:ind w:left="360" w:right="1350"/>
        <w:rPr>
          <w:rFonts w:eastAsia="Calibri"/>
        </w:rPr>
      </w:pPr>
      <w:r w:rsidRPr="008708FA">
        <w:rPr>
          <w:rFonts w:eastAsia="Calibri"/>
          <w:noProof/>
        </w:rPr>
        <w:drawing>
          <wp:inline distT="0" distB="0" distL="0" distR="0" wp14:anchorId="79624B4D" wp14:editId="4AEFCCEC">
            <wp:extent cx="5176440" cy="3239311"/>
            <wp:effectExtent l="0" t="0" r="0" b="0"/>
            <wp:docPr id="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8043" cy="3240314"/>
                    </a:xfrm>
                    <a:prstGeom prst="rect">
                      <a:avLst/>
                    </a:prstGeom>
                    <a:noFill/>
                  </pic:spPr>
                </pic:pic>
              </a:graphicData>
            </a:graphic>
          </wp:inline>
        </w:drawing>
      </w:r>
    </w:p>
    <w:p w:rsidR="008708FA" w:rsidRPr="008708FA" w:rsidRDefault="008708FA" w:rsidP="00534D0D">
      <w:pPr>
        <w:ind w:left="360" w:right="1350"/>
        <w:rPr>
          <w:rFonts w:eastAsia="Calibri"/>
          <w:i/>
          <w:sz w:val="16"/>
        </w:rPr>
      </w:pPr>
      <w:r w:rsidRPr="008708FA">
        <w:rPr>
          <w:rFonts w:eastAsia="Calibri"/>
          <w:i/>
          <w:sz w:val="16"/>
        </w:rPr>
        <w:t>Source: Own elaboration, based on DIP data.</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p>
    <w:p w:rsidR="008708FA" w:rsidRPr="008708FA" w:rsidRDefault="008708FA" w:rsidP="00534D0D">
      <w:pPr>
        <w:keepNext/>
        <w:keepLines/>
        <w:ind w:left="360" w:right="1350"/>
        <w:outlineLvl w:val="1"/>
        <w:rPr>
          <w:bCs/>
          <w:i/>
          <w:szCs w:val="26"/>
        </w:rPr>
      </w:pPr>
      <w:r w:rsidRPr="008708FA">
        <w:rPr>
          <w:bCs/>
          <w:i/>
          <w:szCs w:val="26"/>
        </w:rPr>
        <w:fldChar w:fldCharType="begin"/>
      </w:r>
      <w:r w:rsidRPr="008708FA">
        <w:rPr>
          <w:bCs/>
          <w:i/>
          <w:szCs w:val="26"/>
        </w:rPr>
        <w:instrText xml:space="preserve"> REF _Ref368397050 \h </w:instrText>
      </w:r>
      <w:r w:rsidRPr="008708FA">
        <w:rPr>
          <w:bCs/>
          <w:i/>
          <w:szCs w:val="26"/>
        </w:rPr>
      </w:r>
      <w:r w:rsidRPr="008708FA">
        <w:rPr>
          <w:bCs/>
          <w:i/>
          <w:szCs w:val="26"/>
        </w:rPr>
        <w:fldChar w:fldCharType="separate"/>
      </w:r>
      <w:bookmarkStart w:id="19" w:name="_Toc370307920"/>
      <w:r w:rsidR="006A4BE7" w:rsidRPr="008708FA">
        <w:t>Conclusion</w:t>
      </w:r>
      <w:bookmarkEnd w:id="19"/>
      <w:r w:rsidRPr="008708FA">
        <w:rPr>
          <w:bCs/>
          <w:i/>
          <w:szCs w:val="26"/>
        </w:rPr>
        <w:fldChar w:fldCharType="end"/>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 xml:space="preserve">This report describes the main trends in the use of UMs in Thailand following its implementation in 1999, drawing on a new unit record dataset.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 xml:space="preserve">Evaluating the success of implementing UM protection – or any IP policy change – is not an easy exercise.  </w:t>
      </w:r>
      <w:proofErr w:type="gramStart"/>
      <w:r w:rsidRPr="008708FA">
        <w:rPr>
          <w:rFonts w:eastAsia="Calibri"/>
        </w:rPr>
        <w:t>While not providing a definite answer, the descriptive evidence outlined here offers an encouraging perspective on the uptake of the UM system in Thailand – especially in light of its original objective.</w:t>
      </w:r>
      <w:proofErr w:type="gramEnd"/>
      <w:r w:rsidRPr="008708FA">
        <w:rPr>
          <w:rFonts w:eastAsia="Calibri"/>
        </w:rPr>
        <w:t xml:space="preserve">  It also points to several concerns confronting policymakers.</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The data and analysis presented in this report focus entirely on the IP system.  In order to assess the impact of UM protection on innovation and economic performance more broadly, it is necessary to combine UM data with information on the performance of Thai innovators, notably Thai companies.  This is being done in a complementary investigation under the same CDIP project, the results of w</w:t>
      </w:r>
      <w:r w:rsidR="00FF1275">
        <w:rPr>
          <w:rFonts w:eastAsia="Calibri"/>
        </w:rPr>
        <w:t xml:space="preserve">hich will be reported </w:t>
      </w:r>
      <w:r w:rsidRPr="008708FA">
        <w:rPr>
          <w:rFonts w:eastAsia="Calibri"/>
        </w:rPr>
        <w:t>separately.</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br w:type="page"/>
      </w:r>
    </w:p>
    <w:p w:rsidR="008708FA" w:rsidRPr="008708FA" w:rsidRDefault="008708FA" w:rsidP="00534D0D">
      <w:pPr>
        <w:ind w:left="360" w:right="1350"/>
        <w:rPr>
          <w:rFonts w:eastAsia="Calibri"/>
        </w:rPr>
      </w:pPr>
    </w:p>
    <w:p w:rsidR="008708FA" w:rsidRPr="008708FA" w:rsidRDefault="008708FA" w:rsidP="00534D0D">
      <w:pPr>
        <w:pStyle w:val="Section"/>
        <w:numPr>
          <w:ilvl w:val="0"/>
          <w:numId w:val="0"/>
        </w:numPr>
        <w:ind w:left="360" w:right="1350"/>
      </w:pPr>
      <w:r w:rsidRPr="008708FA">
        <w:t>THE USE OF UTILITY MODELS IN THAILAND</w:t>
      </w:r>
    </w:p>
    <w:p w:rsidR="005C2427" w:rsidRDefault="005C2427" w:rsidP="00534D0D">
      <w:pPr>
        <w:ind w:left="360" w:right="1350"/>
        <w:rPr>
          <w:rFonts w:eastAsia="Calibri"/>
        </w:rPr>
      </w:pPr>
    </w:p>
    <w:p w:rsidR="005C2427" w:rsidRDefault="005C2427" w:rsidP="00534D0D">
      <w:pPr>
        <w:ind w:left="360" w:right="1350"/>
        <w:rPr>
          <w:rFonts w:eastAsia="Calibri"/>
        </w:rPr>
      </w:pPr>
    </w:p>
    <w:p w:rsidR="005C2427" w:rsidRPr="00B62177" w:rsidRDefault="00B62177" w:rsidP="00534D0D">
      <w:pPr>
        <w:ind w:left="360" w:right="1350"/>
        <w:rPr>
          <w:rFonts w:eastAsia="Calibri"/>
          <w:b/>
        </w:rPr>
      </w:pPr>
      <w:r>
        <w:rPr>
          <w:rFonts w:eastAsia="Calibri"/>
          <w:b/>
        </w:rPr>
        <w:t xml:space="preserve">TABLE OF CONTENTS </w:t>
      </w:r>
    </w:p>
    <w:p w:rsidR="005C2427" w:rsidRDefault="005C2427" w:rsidP="00534D0D">
      <w:pPr>
        <w:ind w:left="360" w:right="1350"/>
        <w:rPr>
          <w:rFonts w:eastAsia="Calibri"/>
        </w:rPr>
      </w:pPr>
    </w:p>
    <w:p w:rsidR="005A071D" w:rsidRPr="008708FA" w:rsidRDefault="005A071D" w:rsidP="00534D0D">
      <w:pPr>
        <w:ind w:left="360" w:right="1350"/>
        <w:rPr>
          <w:rFonts w:eastAsia="Calibri"/>
        </w:rPr>
      </w:pPr>
    </w:p>
    <w:p w:rsidR="00412C43" w:rsidRDefault="005C2427" w:rsidP="00426886">
      <w:pPr>
        <w:pStyle w:val="TOC1"/>
        <w:tabs>
          <w:tab w:val="clear" w:pos="9063"/>
          <w:tab w:val="right" w:leader="dot" w:pos="9214"/>
        </w:tabs>
        <w:rPr>
          <w:rFonts w:asciiTheme="minorHAnsi" w:eastAsiaTheme="minorEastAsia" w:hAnsiTheme="minorHAnsi" w:cstheme="minorBidi"/>
          <w:noProof/>
          <w:lang w:val="en-US" w:eastAsia="en-US"/>
        </w:rPr>
      </w:pPr>
      <w:r>
        <w:rPr>
          <w:rFonts w:eastAsia="Calibri"/>
        </w:rPr>
        <w:fldChar w:fldCharType="begin"/>
      </w:r>
      <w:r>
        <w:rPr>
          <w:rFonts w:eastAsia="Calibri"/>
        </w:rPr>
        <w:instrText xml:space="preserve"> TOC \o "4-5" \h \z \t "Heading 1,1,Heading 2,2,Heading 3,3" </w:instrText>
      </w:r>
      <w:r>
        <w:rPr>
          <w:rFonts w:eastAsia="Calibri"/>
        </w:rPr>
        <w:fldChar w:fldCharType="separate"/>
      </w:r>
      <w:hyperlink w:anchor="_Toc370310330" w:history="1">
        <w:r w:rsidR="00412C43" w:rsidRPr="004F2735">
          <w:rPr>
            <w:rStyle w:val="Hyperlink"/>
            <w:noProof/>
          </w:rPr>
          <w:t>Introduction</w:t>
        </w:r>
        <w:r w:rsidR="00412C43">
          <w:rPr>
            <w:noProof/>
            <w:webHidden/>
          </w:rPr>
          <w:tab/>
        </w:r>
        <w:r w:rsidR="00412C43">
          <w:rPr>
            <w:noProof/>
            <w:webHidden/>
          </w:rPr>
          <w:fldChar w:fldCharType="begin"/>
        </w:r>
        <w:r w:rsidR="00412C43">
          <w:rPr>
            <w:noProof/>
            <w:webHidden/>
          </w:rPr>
          <w:instrText xml:space="preserve"> PAGEREF _Toc370310330 \h </w:instrText>
        </w:r>
        <w:r w:rsidR="00412C43">
          <w:rPr>
            <w:noProof/>
            <w:webHidden/>
          </w:rPr>
        </w:r>
        <w:r w:rsidR="00412C43">
          <w:rPr>
            <w:noProof/>
            <w:webHidden/>
          </w:rPr>
          <w:fldChar w:fldCharType="separate"/>
        </w:r>
        <w:r w:rsidR="006A4BE7">
          <w:rPr>
            <w:noProof/>
            <w:webHidden/>
          </w:rPr>
          <w:t>11</w:t>
        </w:r>
        <w:r w:rsidR="00412C43">
          <w:rPr>
            <w:noProof/>
            <w:webHidden/>
          </w:rPr>
          <w:fldChar w:fldCharType="end"/>
        </w:r>
      </w:hyperlink>
    </w:p>
    <w:p w:rsidR="00412C43" w:rsidRDefault="006A4BE7" w:rsidP="00426886">
      <w:pPr>
        <w:pStyle w:val="TOC1"/>
        <w:tabs>
          <w:tab w:val="clear" w:pos="9063"/>
          <w:tab w:val="right" w:leader="dot" w:pos="9214"/>
        </w:tabs>
        <w:rPr>
          <w:rFonts w:asciiTheme="minorHAnsi" w:eastAsiaTheme="minorEastAsia" w:hAnsiTheme="minorHAnsi" w:cstheme="minorBidi"/>
          <w:noProof/>
          <w:lang w:val="en-US" w:eastAsia="en-US"/>
        </w:rPr>
      </w:pPr>
      <w:hyperlink w:anchor="_Toc370310331" w:history="1">
        <w:r w:rsidR="009A13B4">
          <w:rPr>
            <w:rStyle w:val="Hyperlink"/>
            <w:noProof/>
          </w:rPr>
          <w:t xml:space="preserve">1. </w:t>
        </w:r>
        <w:r w:rsidR="009A13B4" w:rsidRPr="004F2735">
          <w:rPr>
            <w:rStyle w:val="Hyperlink"/>
            <w:noProof/>
          </w:rPr>
          <w:t xml:space="preserve"> </w:t>
        </w:r>
        <w:r w:rsidR="00412C43" w:rsidRPr="004F2735">
          <w:rPr>
            <w:rStyle w:val="Hyperlink"/>
            <w:noProof/>
          </w:rPr>
          <w:t>How have users received the new UM regime?</w:t>
        </w:r>
        <w:r w:rsidR="00412C43">
          <w:rPr>
            <w:noProof/>
            <w:webHidden/>
          </w:rPr>
          <w:tab/>
        </w:r>
        <w:r w:rsidR="00412C43">
          <w:rPr>
            <w:noProof/>
            <w:webHidden/>
          </w:rPr>
          <w:fldChar w:fldCharType="begin"/>
        </w:r>
        <w:r w:rsidR="00412C43">
          <w:rPr>
            <w:noProof/>
            <w:webHidden/>
          </w:rPr>
          <w:instrText xml:space="preserve"> PAGEREF _Toc370310331 \h </w:instrText>
        </w:r>
        <w:r w:rsidR="00412C43">
          <w:rPr>
            <w:noProof/>
            <w:webHidden/>
          </w:rPr>
        </w:r>
        <w:r w:rsidR="00412C43">
          <w:rPr>
            <w:noProof/>
            <w:webHidden/>
          </w:rPr>
          <w:fldChar w:fldCharType="separate"/>
        </w:r>
        <w:r>
          <w:rPr>
            <w:noProof/>
            <w:webHidden/>
          </w:rPr>
          <w:t>14</w:t>
        </w:r>
        <w:r w:rsidR="00412C43">
          <w:rPr>
            <w:noProof/>
            <w:webHidden/>
          </w:rPr>
          <w:fldChar w:fldCharType="end"/>
        </w:r>
      </w:hyperlink>
    </w:p>
    <w:p w:rsidR="007F7E68" w:rsidRDefault="006A4BE7" w:rsidP="00426886">
      <w:pPr>
        <w:pStyle w:val="TOC1"/>
        <w:tabs>
          <w:tab w:val="clear" w:pos="9063"/>
          <w:tab w:val="right" w:leader="dot" w:pos="9214"/>
        </w:tabs>
        <w:rPr>
          <w:noProof/>
        </w:rPr>
      </w:pPr>
      <w:hyperlink w:anchor="_Toc370310332" w:history="1">
        <w:r w:rsidR="00412C43" w:rsidRPr="00645DCD">
          <w:rPr>
            <w:rStyle w:val="Hyperlink"/>
            <w:noProof/>
          </w:rPr>
          <w:t>A</w:t>
        </w:r>
        <w:r w:rsidR="00412C43" w:rsidRPr="004F2735">
          <w:rPr>
            <w:rStyle w:val="Hyperlink"/>
            <w:noProof/>
          </w:rPr>
          <w:t xml:space="preserve"> rapid adoption of UMs applications</w:t>
        </w:r>
        <w:r w:rsidR="009A13B4">
          <w:rPr>
            <w:rStyle w:val="Hyperlink"/>
            <w:noProof/>
          </w:rPr>
          <w:t>………………………………………………</w:t>
        </w:r>
        <w:r w:rsidR="001E6DE7">
          <w:rPr>
            <w:rStyle w:val="Hyperlink"/>
            <w:noProof/>
          </w:rPr>
          <w:tab/>
        </w:r>
        <w:r w:rsidR="009A13B4">
          <w:rPr>
            <w:rStyle w:val="Hyperlink"/>
            <w:noProof/>
          </w:rPr>
          <w:t>……….</w:t>
        </w:r>
        <w:r w:rsidR="00412C43">
          <w:rPr>
            <w:noProof/>
            <w:webHidden/>
          </w:rPr>
          <w:fldChar w:fldCharType="begin"/>
        </w:r>
        <w:r w:rsidR="00412C43">
          <w:rPr>
            <w:noProof/>
            <w:webHidden/>
          </w:rPr>
          <w:instrText xml:space="preserve"> PAGEREF _Toc370310332 \h </w:instrText>
        </w:r>
        <w:r w:rsidR="00412C43">
          <w:rPr>
            <w:noProof/>
            <w:webHidden/>
          </w:rPr>
        </w:r>
        <w:r w:rsidR="00412C43">
          <w:rPr>
            <w:noProof/>
            <w:webHidden/>
          </w:rPr>
          <w:fldChar w:fldCharType="separate"/>
        </w:r>
        <w:r>
          <w:rPr>
            <w:noProof/>
            <w:webHidden/>
          </w:rPr>
          <w:t>14</w:t>
        </w:r>
        <w:r w:rsidR="00412C43">
          <w:rPr>
            <w:noProof/>
            <w:webHidden/>
          </w:rPr>
          <w:fldChar w:fldCharType="end"/>
        </w:r>
      </w:hyperlink>
    </w:p>
    <w:p w:rsidR="00412C43" w:rsidRDefault="006A4BE7" w:rsidP="00426886">
      <w:pPr>
        <w:pStyle w:val="TOC1"/>
        <w:tabs>
          <w:tab w:val="clear" w:pos="9063"/>
          <w:tab w:val="right" w:leader="dot" w:pos="9214"/>
        </w:tabs>
        <w:rPr>
          <w:rFonts w:asciiTheme="minorHAnsi" w:eastAsiaTheme="minorEastAsia" w:hAnsiTheme="minorHAnsi" w:cstheme="minorBidi"/>
          <w:noProof/>
          <w:lang w:val="en-US" w:eastAsia="en-US"/>
        </w:rPr>
      </w:pPr>
      <w:hyperlink w:anchor="_Toc370310333" w:history="1">
        <w:r w:rsidR="00412C43" w:rsidRPr="00645DCD">
          <w:rPr>
            <w:rStyle w:val="Hyperlink"/>
            <w:noProof/>
          </w:rPr>
          <w:t>UMs</w:t>
        </w:r>
        <w:r w:rsidR="00412C43" w:rsidRPr="004F2735">
          <w:rPr>
            <w:rStyle w:val="Hyperlink"/>
            <w:noProof/>
          </w:rPr>
          <w:t xml:space="preserve"> have increased the registration of overall Thai technological activity</w:t>
        </w:r>
        <w:r w:rsidR="009A13B4">
          <w:rPr>
            <w:noProof/>
            <w:webHidden/>
          </w:rPr>
          <w:t>……</w:t>
        </w:r>
        <w:r w:rsidR="001E6DE7">
          <w:rPr>
            <w:noProof/>
            <w:webHidden/>
          </w:rPr>
          <w:tab/>
        </w:r>
        <w:r w:rsidR="009A13B4">
          <w:rPr>
            <w:noProof/>
            <w:webHidden/>
          </w:rPr>
          <w:t>………..</w:t>
        </w:r>
        <w:r w:rsidR="00412C43">
          <w:rPr>
            <w:noProof/>
            <w:webHidden/>
          </w:rPr>
          <w:fldChar w:fldCharType="begin"/>
        </w:r>
        <w:r w:rsidR="00412C43">
          <w:rPr>
            <w:noProof/>
            <w:webHidden/>
          </w:rPr>
          <w:instrText xml:space="preserve"> PAGEREF _Toc370310333 \h </w:instrText>
        </w:r>
        <w:r w:rsidR="00412C43">
          <w:rPr>
            <w:noProof/>
            <w:webHidden/>
          </w:rPr>
        </w:r>
        <w:r w:rsidR="00412C43">
          <w:rPr>
            <w:noProof/>
            <w:webHidden/>
          </w:rPr>
          <w:fldChar w:fldCharType="separate"/>
        </w:r>
        <w:r>
          <w:rPr>
            <w:noProof/>
            <w:webHidden/>
          </w:rPr>
          <w:t>16</w:t>
        </w:r>
        <w:r w:rsidR="00412C43">
          <w:rPr>
            <w:noProof/>
            <w:webHidden/>
          </w:rPr>
          <w:fldChar w:fldCharType="end"/>
        </w:r>
      </w:hyperlink>
    </w:p>
    <w:p w:rsidR="00412C43" w:rsidRDefault="006A4BE7" w:rsidP="00426886">
      <w:pPr>
        <w:pStyle w:val="TOC1"/>
        <w:tabs>
          <w:tab w:val="clear" w:pos="9063"/>
          <w:tab w:val="right" w:leader="dot" w:pos="9214"/>
        </w:tabs>
        <w:rPr>
          <w:rFonts w:asciiTheme="minorHAnsi" w:eastAsiaTheme="minorEastAsia" w:hAnsiTheme="minorHAnsi" w:cstheme="minorBidi"/>
          <w:noProof/>
          <w:lang w:val="en-US" w:eastAsia="en-US"/>
        </w:rPr>
      </w:pPr>
      <w:hyperlink w:anchor="_Toc370310334" w:history="1">
        <w:r w:rsidR="00412C43" w:rsidRPr="004F2735">
          <w:rPr>
            <w:rStyle w:val="Hyperlink"/>
            <w:noProof/>
          </w:rPr>
          <w:t>2</w:t>
        </w:r>
        <w:r w:rsidR="009A13B4">
          <w:rPr>
            <w:rStyle w:val="Hyperlink"/>
            <w:noProof/>
          </w:rPr>
          <w:t xml:space="preserve">.  </w:t>
        </w:r>
        <w:r w:rsidR="00412C43" w:rsidRPr="004F2735">
          <w:rPr>
            <w:rStyle w:val="Hyperlink"/>
            <w:noProof/>
          </w:rPr>
          <w:t>Are UMs the best fit for Thai innovators?</w:t>
        </w:r>
        <w:r w:rsidR="00412C43">
          <w:rPr>
            <w:noProof/>
            <w:webHidden/>
          </w:rPr>
          <w:tab/>
        </w:r>
        <w:r w:rsidR="00645DCD">
          <w:rPr>
            <w:noProof/>
            <w:webHidden/>
          </w:rPr>
          <w:t>….</w:t>
        </w:r>
        <w:r w:rsidR="00412C43">
          <w:rPr>
            <w:noProof/>
            <w:webHidden/>
          </w:rPr>
          <w:fldChar w:fldCharType="begin"/>
        </w:r>
        <w:r w:rsidR="00412C43">
          <w:rPr>
            <w:noProof/>
            <w:webHidden/>
          </w:rPr>
          <w:instrText xml:space="preserve"> PAGEREF _Toc370310334 \h </w:instrText>
        </w:r>
        <w:r w:rsidR="00412C43">
          <w:rPr>
            <w:noProof/>
            <w:webHidden/>
          </w:rPr>
        </w:r>
        <w:r w:rsidR="00412C43">
          <w:rPr>
            <w:noProof/>
            <w:webHidden/>
          </w:rPr>
          <w:fldChar w:fldCharType="separate"/>
        </w:r>
        <w:r>
          <w:rPr>
            <w:noProof/>
            <w:webHidden/>
          </w:rPr>
          <w:t>18</w:t>
        </w:r>
        <w:r w:rsidR="00412C43">
          <w:rPr>
            <w:noProof/>
            <w:webHidden/>
          </w:rPr>
          <w:fldChar w:fldCharType="end"/>
        </w:r>
      </w:hyperlink>
    </w:p>
    <w:p w:rsidR="00412C43" w:rsidRDefault="006A4BE7" w:rsidP="001E6DE7">
      <w:pPr>
        <w:pStyle w:val="TOC2"/>
        <w:rPr>
          <w:rFonts w:asciiTheme="minorHAnsi" w:eastAsiaTheme="minorEastAsia" w:hAnsiTheme="minorHAnsi" w:cstheme="minorBidi"/>
          <w:noProof/>
          <w:lang w:val="en-US" w:eastAsia="en-US"/>
        </w:rPr>
      </w:pPr>
      <w:hyperlink w:anchor="_Toc370310335" w:history="1">
        <w:r w:rsidR="00412C43" w:rsidRPr="004F2735">
          <w:rPr>
            <w:rStyle w:val="Hyperlink"/>
            <w:noProof/>
          </w:rPr>
          <w:t>Attractive IP for Thai applicants</w:t>
        </w:r>
        <w:r w:rsidR="009A13B4">
          <w:rPr>
            <w:noProof/>
            <w:webHidden/>
          </w:rPr>
          <w:t>......................................................................................</w:t>
        </w:r>
        <w:r w:rsidR="00AE59EF">
          <w:rPr>
            <w:noProof/>
            <w:webHidden/>
          </w:rPr>
          <w:tab/>
        </w:r>
        <w:r w:rsidR="00412C43">
          <w:rPr>
            <w:noProof/>
            <w:webHidden/>
          </w:rPr>
          <w:fldChar w:fldCharType="begin"/>
        </w:r>
        <w:r w:rsidR="00412C43">
          <w:rPr>
            <w:noProof/>
            <w:webHidden/>
          </w:rPr>
          <w:instrText xml:space="preserve"> PAGEREF _Toc370310335 \h </w:instrText>
        </w:r>
        <w:r w:rsidR="00412C43">
          <w:rPr>
            <w:noProof/>
            <w:webHidden/>
          </w:rPr>
        </w:r>
        <w:r w:rsidR="00412C43">
          <w:rPr>
            <w:noProof/>
            <w:webHidden/>
          </w:rPr>
          <w:fldChar w:fldCharType="separate"/>
        </w:r>
        <w:r>
          <w:rPr>
            <w:noProof/>
            <w:webHidden/>
          </w:rPr>
          <w:t>18</w:t>
        </w:r>
        <w:r w:rsidR="00412C43">
          <w:rPr>
            <w:noProof/>
            <w:webHidden/>
          </w:rPr>
          <w:fldChar w:fldCharType="end"/>
        </w:r>
      </w:hyperlink>
    </w:p>
    <w:p w:rsidR="00412C43" w:rsidRDefault="006A4BE7" w:rsidP="001E6DE7">
      <w:pPr>
        <w:pStyle w:val="TOC2"/>
        <w:rPr>
          <w:rFonts w:asciiTheme="minorHAnsi" w:eastAsiaTheme="minorEastAsia" w:hAnsiTheme="minorHAnsi" w:cstheme="minorBidi"/>
          <w:noProof/>
          <w:lang w:val="en-US" w:eastAsia="en-US"/>
        </w:rPr>
      </w:pPr>
      <w:hyperlink w:anchor="_Toc370310336" w:history="1">
        <w:r w:rsidR="00412C43" w:rsidRPr="004F2735">
          <w:rPr>
            <w:rStyle w:val="Hyperlink"/>
            <w:noProof/>
          </w:rPr>
          <w:t>Better fit for Entrepreneurs and SMEs</w:t>
        </w:r>
        <w:r w:rsidR="009A13B4">
          <w:rPr>
            <w:rStyle w:val="Hyperlink"/>
            <w:noProof/>
          </w:rPr>
          <w:t>…………………………………………………………</w:t>
        </w:r>
        <w:r w:rsidR="00412C43">
          <w:rPr>
            <w:noProof/>
            <w:webHidden/>
          </w:rPr>
          <w:tab/>
        </w:r>
        <w:r w:rsidR="00412C43">
          <w:rPr>
            <w:noProof/>
            <w:webHidden/>
          </w:rPr>
          <w:fldChar w:fldCharType="begin"/>
        </w:r>
        <w:r w:rsidR="00412C43">
          <w:rPr>
            <w:noProof/>
            <w:webHidden/>
          </w:rPr>
          <w:instrText xml:space="preserve"> PAGEREF _Toc370310336 \h </w:instrText>
        </w:r>
        <w:r w:rsidR="00412C43">
          <w:rPr>
            <w:noProof/>
            <w:webHidden/>
          </w:rPr>
        </w:r>
        <w:r w:rsidR="00412C43">
          <w:rPr>
            <w:noProof/>
            <w:webHidden/>
          </w:rPr>
          <w:fldChar w:fldCharType="separate"/>
        </w:r>
        <w:r>
          <w:rPr>
            <w:noProof/>
            <w:webHidden/>
          </w:rPr>
          <w:t>19</w:t>
        </w:r>
        <w:r w:rsidR="00412C43">
          <w:rPr>
            <w:noProof/>
            <w:webHidden/>
          </w:rPr>
          <w:fldChar w:fldCharType="end"/>
        </w:r>
      </w:hyperlink>
    </w:p>
    <w:p w:rsidR="00412C43" w:rsidRDefault="006A4BE7" w:rsidP="001E6DE7">
      <w:pPr>
        <w:pStyle w:val="TOC2"/>
        <w:rPr>
          <w:rFonts w:asciiTheme="minorHAnsi" w:eastAsiaTheme="minorEastAsia" w:hAnsiTheme="minorHAnsi" w:cstheme="minorBidi"/>
          <w:noProof/>
          <w:lang w:val="en-US" w:eastAsia="en-US"/>
        </w:rPr>
      </w:pPr>
      <w:hyperlink w:anchor="_Toc370310337" w:history="1">
        <w:r w:rsidR="00412C43" w:rsidRPr="004F2735">
          <w:rPr>
            <w:rStyle w:val="Hyperlink"/>
            <w:noProof/>
          </w:rPr>
          <w:t>A diverse adoption by industry</w:t>
        </w:r>
        <w:r w:rsidR="009A13B4">
          <w:rPr>
            <w:rStyle w:val="Hyperlink"/>
            <w:noProof/>
          </w:rPr>
          <w:t>………………………………………………………………….</w:t>
        </w:r>
        <w:r w:rsidR="00412C43">
          <w:rPr>
            <w:noProof/>
            <w:webHidden/>
          </w:rPr>
          <w:tab/>
        </w:r>
        <w:r w:rsidR="00412C43">
          <w:rPr>
            <w:noProof/>
            <w:webHidden/>
          </w:rPr>
          <w:fldChar w:fldCharType="begin"/>
        </w:r>
        <w:r w:rsidR="00412C43">
          <w:rPr>
            <w:noProof/>
            <w:webHidden/>
          </w:rPr>
          <w:instrText xml:space="preserve"> PAGEREF _Toc370310337 \h </w:instrText>
        </w:r>
        <w:r w:rsidR="00412C43">
          <w:rPr>
            <w:noProof/>
            <w:webHidden/>
          </w:rPr>
        </w:r>
        <w:r w:rsidR="00412C43">
          <w:rPr>
            <w:noProof/>
            <w:webHidden/>
          </w:rPr>
          <w:fldChar w:fldCharType="separate"/>
        </w:r>
        <w:r>
          <w:rPr>
            <w:noProof/>
            <w:webHidden/>
          </w:rPr>
          <w:t>20</w:t>
        </w:r>
        <w:r w:rsidR="00412C43">
          <w:rPr>
            <w:noProof/>
            <w:webHidden/>
          </w:rPr>
          <w:fldChar w:fldCharType="end"/>
        </w:r>
      </w:hyperlink>
    </w:p>
    <w:p w:rsidR="00412C43" w:rsidRDefault="006A4BE7" w:rsidP="00426886">
      <w:pPr>
        <w:pStyle w:val="TOC1"/>
        <w:tabs>
          <w:tab w:val="clear" w:pos="9063"/>
          <w:tab w:val="right" w:leader="dot" w:pos="9214"/>
        </w:tabs>
        <w:rPr>
          <w:rFonts w:asciiTheme="minorHAnsi" w:eastAsiaTheme="minorEastAsia" w:hAnsiTheme="minorHAnsi" w:cstheme="minorBidi"/>
          <w:noProof/>
          <w:lang w:val="en-US" w:eastAsia="en-US"/>
        </w:rPr>
      </w:pPr>
      <w:hyperlink w:anchor="_Toc370310338" w:history="1">
        <w:r w:rsidR="00412C43" w:rsidRPr="004F2735">
          <w:rPr>
            <w:rStyle w:val="Hyperlink"/>
            <w:noProof/>
          </w:rPr>
          <w:t>3</w:t>
        </w:r>
        <w:r w:rsidR="009A13B4">
          <w:rPr>
            <w:rFonts w:asciiTheme="minorHAnsi" w:eastAsiaTheme="minorEastAsia" w:hAnsiTheme="minorHAnsi" w:cstheme="minorBidi"/>
            <w:noProof/>
            <w:lang w:val="en-US" w:eastAsia="en-US"/>
          </w:rPr>
          <w:t xml:space="preserve"> </w:t>
        </w:r>
        <w:r w:rsidR="00412C43" w:rsidRPr="004F2735">
          <w:rPr>
            <w:rStyle w:val="Hyperlink"/>
            <w:noProof/>
          </w:rPr>
          <w:t>To what degree have UMs complemented other IP forms?</w:t>
        </w:r>
        <w:r w:rsidR="009A13B4">
          <w:rPr>
            <w:rStyle w:val="Hyperlink"/>
            <w:noProof/>
          </w:rPr>
          <w:t>..............................</w:t>
        </w:r>
        <w:r w:rsidR="00412C43">
          <w:rPr>
            <w:noProof/>
            <w:webHidden/>
          </w:rPr>
          <w:tab/>
        </w:r>
        <w:r w:rsidR="00412C43">
          <w:rPr>
            <w:noProof/>
            <w:webHidden/>
          </w:rPr>
          <w:fldChar w:fldCharType="begin"/>
        </w:r>
        <w:r w:rsidR="00412C43">
          <w:rPr>
            <w:noProof/>
            <w:webHidden/>
          </w:rPr>
          <w:instrText xml:space="preserve"> PAGEREF _Toc370310338 \h </w:instrText>
        </w:r>
        <w:r w:rsidR="00412C43">
          <w:rPr>
            <w:noProof/>
            <w:webHidden/>
          </w:rPr>
        </w:r>
        <w:r w:rsidR="00412C43">
          <w:rPr>
            <w:noProof/>
            <w:webHidden/>
          </w:rPr>
          <w:fldChar w:fldCharType="separate"/>
        </w:r>
        <w:r>
          <w:rPr>
            <w:noProof/>
            <w:webHidden/>
          </w:rPr>
          <w:t>23</w:t>
        </w:r>
        <w:r w:rsidR="00412C43">
          <w:rPr>
            <w:noProof/>
            <w:webHidden/>
          </w:rPr>
          <w:fldChar w:fldCharType="end"/>
        </w:r>
      </w:hyperlink>
    </w:p>
    <w:p w:rsidR="00412C43" w:rsidRDefault="006A4BE7" w:rsidP="001E6DE7">
      <w:pPr>
        <w:pStyle w:val="TOC2"/>
        <w:rPr>
          <w:rFonts w:asciiTheme="minorHAnsi" w:eastAsiaTheme="minorEastAsia" w:hAnsiTheme="minorHAnsi" w:cstheme="minorBidi"/>
          <w:noProof/>
          <w:lang w:val="en-US" w:eastAsia="en-US"/>
        </w:rPr>
      </w:pPr>
      <w:hyperlink w:anchor="_Toc370310339" w:history="1">
        <w:r w:rsidR="00412C43" w:rsidRPr="004F2735">
          <w:rPr>
            <w:rStyle w:val="Hyperlink"/>
            <w:noProof/>
          </w:rPr>
          <w:t>Locally-New Technologies</w:t>
        </w:r>
        <w:r w:rsidR="009A13B4">
          <w:rPr>
            <w:rStyle w:val="Hyperlink"/>
            <w:noProof/>
          </w:rPr>
          <w:t>………………………………………………………………………</w:t>
        </w:r>
        <w:r w:rsidR="00412C43">
          <w:rPr>
            <w:noProof/>
            <w:webHidden/>
          </w:rPr>
          <w:tab/>
        </w:r>
        <w:r w:rsidR="00412C43">
          <w:rPr>
            <w:noProof/>
            <w:webHidden/>
          </w:rPr>
          <w:fldChar w:fldCharType="begin"/>
        </w:r>
        <w:r w:rsidR="00412C43">
          <w:rPr>
            <w:noProof/>
            <w:webHidden/>
          </w:rPr>
          <w:instrText xml:space="preserve"> PAGEREF _Toc370310339 \h </w:instrText>
        </w:r>
        <w:r w:rsidR="00412C43">
          <w:rPr>
            <w:noProof/>
            <w:webHidden/>
          </w:rPr>
        </w:r>
        <w:r w:rsidR="00412C43">
          <w:rPr>
            <w:noProof/>
            <w:webHidden/>
          </w:rPr>
          <w:fldChar w:fldCharType="separate"/>
        </w:r>
        <w:r>
          <w:rPr>
            <w:noProof/>
            <w:webHidden/>
          </w:rPr>
          <w:t>23</w:t>
        </w:r>
        <w:r w:rsidR="00412C43">
          <w:rPr>
            <w:noProof/>
            <w:webHidden/>
          </w:rPr>
          <w:fldChar w:fldCharType="end"/>
        </w:r>
      </w:hyperlink>
    </w:p>
    <w:p w:rsidR="00412C43" w:rsidRDefault="006A4BE7" w:rsidP="001E6DE7">
      <w:pPr>
        <w:pStyle w:val="TOC2"/>
        <w:rPr>
          <w:rFonts w:asciiTheme="minorHAnsi" w:eastAsiaTheme="minorEastAsia" w:hAnsiTheme="minorHAnsi" w:cstheme="minorBidi"/>
          <w:noProof/>
          <w:lang w:val="en-US" w:eastAsia="en-US"/>
        </w:rPr>
      </w:pPr>
      <w:hyperlink w:anchor="_Toc370310340" w:history="1">
        <w:r w:rsidR="00412C43" w:rsidRPr="004F2735">
          <w:rPr>
            <w:rStyle w:val="Hyperlink"/>
            <w:noProof/>
          </w:rPr>
          <w:t>New Users of the IP System</w:t>
        </w:r>
        <w:r w:rsidR="009A13B4">
          <w:rPr>
            <w:rStyle w:val="Hyperlink"/>
            <w:noProof/>
          </w:rPr>
          <w:t>…………………………………………………………………….</w:t>
        </w:r>
        <w:r w:rsidR="00412C43">
          <w:rPr>
            <w:noProof/>
            <w:webHidden/>
          </w:rPr>
          <w:tab/>
        </w:r>
        <w:r w:rsidR="00412C43">
          <w:rPr>
            <w:noProof/>
            <w:webHidden/>
          </w:rPr>
          <w:fldChar w:fldCharType="begin"/>
        </w:r>
        <w:r w:rsidR="00412C43">
          <w:rPr>
            <w:noProof/>
            <w:webHidden/>
          </w:rPr>
          <w:instrText xml:space="preserve"> PAGEREF _Toc370310340 \h </w:instrText>
        </w:r>
        <w:r w:rsidR="00412C43">
          <w:rPr>
            <w:noProof/>
            <w:webHidden/>
          </w:rPr>
        </w:r>
        <w:r w:rsidR="00412C43">
          <w:rPr>
            <w:noProof/>
            <w:webHidden/>
          </w:rPr>
          <w:fldChar w:fldCharType="separate"/>
        </w:r>
        <w:r>
          <w:rPr>
            <w:noProof/>
            <w:webHidden/>
          </w:rPr>
          <w:t>25</w:t>
        </w:r>
        <w:r w:rsidR="00412C43">
          <w:rPr>
            <w:noProof/>
            <w:webHidden/>
          </w:rPr>
          <w:fldChar w:fldCharType="end"/>
        </w:r>
      </w:hyperlink>
    </w:p>
    <w:p w:rsidR="00412C43" w:rsidRDefault="006A4BE7" w:rsidP="00426886">
      <w:pPr>
        <w:pStyle w:val="TOC1"/>
        <w:tabs>
          <w:tab w:val="clear" w:pos="9063"/>
          <w:tab w:val="right" w:leader="dot" w:pos="9214"/>
        </w:tabs>
        <w:rPr>
          <w:rFonts w:asciiTheme="minorHAnsi" w:eastAsiaTheme="minorEastAsia" w:hAnsiTheme="minorHAnsi" w:cstheme="minorBidi"/>
          <w:noProof/>
          <w:lang w:val="en-US" w:eastAsia="en-US"/>
        </w:rPr>
      </w:pPr>
      <w:hyperlink w:anchor="_Toc370310341" w:history="1">
        <w:r w:rsidR="00412C43" w:rsidRPr="004F2735">
          <w:rPr>
            <w:rStyle w:val="Hyperlink"/>
            <w:noProof/>
          </w:rPr>
          <w:t>4</w:t>
        </w:r>
        <w:r w:rsidR="009A13B4">
          <w:rPr>
            <w:rFonts w:asciiTheme="minorHAnsi" w:eastAsiaTheme="minorEastAsia" w:hAnsiTheme="minorHAnsi" w:cstheme="minorBidi"/>
            <w:noProof/>
            <w:lang w:val="en-US" w:eastAsia="en-US"/>
          </w:rPr>
          <w:t xml:space="preserve">  </w:t>
        </w:r>
        <w:r w:rsidR="00412C43" w:rsidRPr="004F2735">
          <w:rPr>
            <w:rStyle w:val="Hyperlink"/>
            <w:noProof/>
          </w:rPr>
          <w:t>What are important challenges for the development of Thailand's UM system?</w:t>
        </w:r>
        <w:r w:rsidR="00412C43">
          <w:rPr>
            <w:noProof/>
            <w:webHidden/>
          </w:rPr>
          <w:tab/>
        </w:r>
        <w:r w:rsidR="00412C43">
          <w:rPr>
            <w:noProof/>
            <w:webHidden/>
          </w:rPr>
          <w:fldChar w:fldCharType="begin"/>
        </w:r>
        <w:r w:rsidR="00412C43">
          <w:rPr>
            <w:noProof/>
            <w:webHidden/>
          </w:rPr>
          <w:instrText xml:space="preserve"> PAGEREF _Toc370310341 \h </w:instrText>
        </w:r>
        <w:r w:rsidR="00412C43">
          <w:rPr>
            <w:noProof/>
            <w:webHidden/>
          </w:rPr>
        </w:r>
        <w:r w:rsidR="00412C43">
          <w:rPr>
            <w:noProof/>
            <w:webHidden/>
          </w:rPr>
          <w:fldChar w:fldCharType="separate"/>
        </w:r>
        <w:r>
          <w:rPr>
            <w:noProof/>
            <w:webHidden/>
          </w:rPr>
          <w:t>27</w:t>
        </w:r>
        <w:r w:rsidR="00412C43">
          <w:rPr>
            <w:noProof/>
            <w:webHidden/>
          </w:rPr>
          <w:fldChar w:fldCharType="end"/>
        </w:r>
      </w:hyperlink>
    </w:p>
    <w:p w:rsidR="00412C43" w:rsidRDefault="006A4BE7" w:rsidP="001E6DE7">
      <w:pPr>
        <w:pStyle w:val="TOC2"/>
        <w:rPr>
          <w:rFonts w:asciiTheme="minorHAnsi" w:eastAsiaTheme="minorEastAsia" w:hAnsiTheme="minorHAnsi" w:cstheme="minorBidi"/>
          <w:noProof/>
          <w:lang w:val="en-US" w:eastAsia="en-US"/>
        </w:rPr>
      </w:pPr>
      <w:hyperlink w:anchor="_Toc370310342" w:history="1">
        <w:r w:rsidR="00412C43" w:rsidRPr="004F2735">
          <w:rPr>
            <w:rStyle w:val="Hyperlink"/>
            <w:noProof/>
          </w:rPr>
          <w:t>Substantive conditions in the Thai Utility Models</w:t>
        </w:r>
        <w:r w:rsidR="009A13B4">
          <w:rPr>
            <w:rStyle w:val="Hyperlink"/>
            <w:noProof/>
          </w:rPr>
          <w:t>……………………………………………..</w:t>
        </w:r>
        <w:r w:rsidR="00412C43">
          <w:rPr>
            <w:noProof/>
            <w:webHidden/>
          </w:rPr>
          <w:tab/>
        </w:r>
        <w:r w:rsidR="00412C43">
          <w:rPr>
            <w:noProof/>
            <w:webHidden/>
          </w:rPr>
          <w:fldChar w:fldCharType="begin"/>
        </w:r>
        <w:r w:rsidR="00412C43">
          <w:rPr>
            <w:noProof/>
            <w:webHidden/>
          </w:rPr>
          <w:instrText xml:space="preserve"> PAGEREF _Toc370310342 \h </w:instrText>
        </w:r>
        <w:r w:rsidR="00412C43">
          <w:rPr>
            <w:noProof/>
            <w:webHidden/>
          </w:rPr>
        </w:r>
        <w:r w:rsidR="00412C43">
          <w:rPr>
            <w:noProof/>
            <w:webHidden/>
          </w:rPr>
          <w:fldChar w:fldCharType="separate"/>
        </w:r>
        <w:r>
          <w:rPr>
            <w:noProof/>
            <w:webHidden/>
          </w:rPr>
          <w:t>27</w:t>
        </w:r>
        <w:r w:rsidR="00412C43">
          <w:rPr>
            <w:noProof/>
            <w:webHidden/>
          </w:rPr>
          <w:fldChar w:fldCharType="end"/>
        </w:r>
      </w:hyperlink>
    </w:p>
    <w:p w:rsidR="00412C43" w:rsidRDefault="006A4BE7" w:rsidP="001E6DE7">
      <w:pPr>
        <w:pStyle w:val="TOC2"/>
        <w:rPr>
          <w:rFonts w:asciiTheme="minorHAnsi" w:eastAsiaTheme="minorEastAsia" w:hAnsiTheme="minorHAnsi" w:cstheme="minorBidi"/>
          <w:noProof/>
          <w:lang w:val="en-US" w:eastAsia="en-US"/>
        </w:rPr>
      </w:pPr>
      <w:hyperlink w:anchor="_Toc370310343" w:history="1">
        <w:r w:rsidR="00412C43" w:rsidRPr="004F2735">
          <w:rPr>
            <w:rStyle w:val="Hyperlink"/>
            <w:noProof/>
          </w:rPr>
          <w:t>Quality of UM applications</w:t>
        </w:r>
        <w:r w:rsidR="009A13B4">
          <w:rPr>
            <w:rStyle w:val="Hyperlink"/>
            <w:noProof/>
          </w:rPr>
          <w:t>………………………………………………………………………</w:t>
        </w:r>
        <w:r w:rsidR="00412C43">
          <w:rPr>
            <w:noProof/>
            <w:webHidden/>
          </w:rPr>
          <w:tab/>
        </w:r>
        <w:r w:rsidR="00412C43">
          <w:rPr>
            <w:noProof/>
            <w:webHidden/>
          </w:rPr>
          <w:fldChar w:fldCharType="begin"/>
        </w:r>
        <w:r w:rsidR="00412C43">
          <w:rPr>
            <w:noProof/>
            <w:webHidden/>
          </w:rPr>
          <w:instrText xml:space="preserve"> PAGEREF _Toc370310343 \h </w:instrText>
        </w:r>
        <w:r w:rsidR="00412C43">
          <w:rPr>
            <w:noProof/>
            <w:webHidden/>
          </w:rPr>
        </w:r>
        <w:r w:rsidR="00412C43">
          <w:rPr>
            <w:noProof/>
            <w:webHidden/>
          </w:rPr>
          <w:fldChar w:fldCharType="separate"/>
        </w:r>
        <w:r>
          <w:rPr>
            <w:noProof/>
            <w:webHidden/>
          </w:rPr>
          <w:t>28</w:t>
        </w:r>
        <w:r w:rsidR="00412C43">
          <w:rPr>
            <w:noProof/>
            <w:webHidden/>
          </w:rPr>
          <w:fldChar w:fldCharType="end"/>
        </w:r>
      </w:hyperlink>
    </w:p>
    <w:p w:rsidR="00412C43" w:rsidRDefault="006A4BE7" w:rsidP="001E6DE7">
      <w:pPr>
        <w:pStyle w:val="TOC2"/>
        <w:rPr>
          <w:rFonts w:asciiTheme="minorHAnsi" w:eastAsiaTheme="minorEastAsia" w:hAnsiTheme="minorHAnsi" w:cstheme="minorBidi"/>
          <w:noProof/>
          <w:lang w:val="en-US" w:eastAsia="en-US"/>
        </w:rPr>
      </w:pPr>
      <w:hyperlink w:anchor="_Toc370310344" w:history="1">
        <w:r w:rsidR="00412C43" w:rsidRPr="004F2735">
          <w:rPr>
            <w:rStyle w:val="Hyperlink"/>
            <w:noProof/>
          </w:rPr>
          <w:t>Backlog</w:t>
        </w:r>
        <w:r w:rsidR="009A13B4">
          <w:rPr>
            <w:rStyle w:val="Hyperlink"/>
            <w:noProof/>
          </w:rPr>
          <w:t>…………………………………………………………………………………………….</w:t>
        </w:r>
        <w:r w:rsidR="00412C43">
          <w:rPr>
            <w:noProof/>
            <w:webHidden/>
          </w:rPr>
          <w:tab/>
        </w:r>
        <w:r w:rsidR="00412C43">
          <w:rPr>
            <w:noProof/>
            <w:webHidden/>
          </w:rPr>
          <w:fldChar w:fldCharType="begin"/>
        </w:r>
        <w:r w:rsidR="00412C43">
          <w:rPr>
            <w:noProof/>
            <w:webHidden/>
          </w:rPr>
          <w:instrText xml:space="preserve"> PAGEREF _Toc370310344 \h </w:instrText>
        </w:r>
        <w:r w:rsidR="00412C43">
          <w:rPr>
            <w:noProof/>
            <w:webHidden/>
          </w:rPr>
        </w:r>
        <w:r w:rsidR="00412C43">
          <w:rPr>
            <w:noProof/>
            <w:webHidden/>
          </w:rPr>
          <w:fldChar w:fldCharType="separate"/>
        </w:r>
        <w:r>
          <w:rPr>
            <w:noProof/>
            <w:webHidden/>
          </w:rPr>
          <w:t>30</w:t>
        </w:r>
        <w:r w:rsidR="00412C43">
          <w:rPr>
            <w:noProof/>
            <w:webHidden/>
          </w:rPr>
          <w:fldChar w:fldCharType="end"/>
        </w:r>
      </w:hyperlink>
    </w:p>
    <w:p w:rsidR="00412C43" w:rsidRDefault="006A4BE7" w:rsidP="001E6DE7">
      <w:pPr>
        <w:pStyle w:val="TOC2"/>
        <w:rPr>
          <w:rFonts w:asciiTheme="minorHAnsi" w:eastAsiaTheme="minorEastAsia" w:hAnsiTheme="minorHAnsi" w:cstheme="minorBidi"/>
          <w:noProof/>
          <w:lang w:val="en-US" w:eastAsia="en-US"/>
        </w:rPr>
      </w:pPr>
      <w:hyperlink w:anchor="_Toc370310345" w:history="1">
        <w:r w:rsidR="00412C43" w:rsidRPr="004F2735">
          <w:rPr>
            <w:rStyle w:val="Hyperlink"/>
            <w:noProof/>
          </w:rPr>
          <w:t>Pendency</w:t>
        </w:r>
        <w:r w:rsidR="009A13B4">
          <w:rPr>
            <w:rStyle w:val="Hyperlink"/>
            <w:noProof/>
          </w:rPr>
          <w:t>………………………………………………………………………………………….</w:t>
        </w:r>
        <w:r w:rsidR="00412C43">
          <w:rPr>
            <w:noProof/>
            <w:webHidden/>
          </w:rPr>
          <w:tab/>
        </w:r>
        <w:r w:rsidR="00412C43">
          <w:rPr>
            <w:noProof/>
            <w:webHidden/>
          </w:rPr>
          <w:fldChar w:fldCharType="begin"/>
        </w:r>
        <w:r w:rsidR="00412C43">
          <w:rPr>
            <w:noProof/>
            <w:webHidden/>
          </w:rPr>
          <w:instrText xml:space="preserve"> PAGEREF _Toc370310345 \h </w:instrText>
        </w:r>
        <w:r w:rsidR="00412C43">
          <w:rPr>
            <w:noProof/>
            <w:webHidden/>
          </w:rPr>
        </w:r>
        <w:r w:rsidR="00412C43">
          <w:rPr>
            <w:noProof/>
            <w:webHidden/>
          </w:rPr>
          <w:fldChar w:fldCharType="separate"/>
        </w:r>
        <w:r>
          <w:rPr>
            <w:noProof/>
            <w:webHidden/>
          </w:rPr>
          <w:t>30</w:t>
        </w:r>
        <w:r w:rsidR="00412C43">
          <w:rPr>
            <w:noProof/>
            <w:webHidden/>
          </w:rPr>
          <w:fldChar w:fldCharType="end"/>
        </w:r>
      </w:hyperlink>
    </w:p>
    <w:p w:rsidR="00412C43" w:rsidRDefault="006A4BE7" w:rsidP="00426886">
      <w:pPr>
        <w:pStyle w:val="TOC1"/>
        <w:tabs>
          <w:tab w:val="clear" w:pos="9063"/>
          <w:tab w:val="right" w:leader="dot" w:pos="9214"/>
        </w:tabs>
        <w:rPr>
          <w:rFonts w:asciiTheme="minorHAnsi" w:eastAsiaTheme="minorEastAsia" w:hAnsiTheme="minorHAnsi" w:cstheme="minorBidi"/>
          <w:noProof/>
          <w:lang w:val="en-US" w:eastAsia="en-US"/>
        </w:rPr>
      </w:pPr>
      <w:hyperlink w:anchor="_Toc370310346" w:history="1">
        <w:r w:rsidR="00412C43" w:rsidRPr="004F2735">
          <w:rPr>
            <w:rStyle w:val="Hyperlink"/>
            <w:noProof/>
          </w:rPr>
          <w:t>Conclusion</w:t>
        </w:r>
        <w:r w:rsidR="00412C43">
          <w:rPr>
            <w:noProof/>
            <w:webHidden/>
          </w:rPr>
          <w:tab/>
        </w:r>
        <w:r w:rsidR="00412C43">
          <w:rPr>
            <w:noProof/>
            <w:webHidden/>
          </w:rPr>
          <w:fldChar w:fldCharType="begin"/>
        </w:r>
        <w:r w:rsidR="00412C43">
          <w:rPr>
            <w:noProof/>
            <w:webHidden/>
          </w:rPr>
          <w:instrText xml:space="preserve"> PAGEREF _Toc370310346 \h </w:instrText>
        </w:r>
        <w:r w:rsidR="00412C43">
          <w:rPr>
            <w:noProof/>
            <w:webHidden/>
          </w:rPr>
        </w:r>
        <w:r w:rsidR="00412C43">
          <w:rPr>
            <w:noProof/>
            <w:webHidden/>
          </w:rPr>
          <w:fldChar w:fldCharType="separate"/>
        </w:r>
        <w:r>
          <w:rPr>
            <w:noProof/>
            <w:webHidden/>
          </w:rPr>
          <w:t>32</w:t>
        </w:r>
        <w:r w:rsidR="00412C43">
          <w:rPr>
            <w:noProof/>
            <w:webHidden/>
          </w:rPr>
          <w:fldChar w:fldCharType="end"/>
        </w:r>
      </w:hyperlink>
    </w:p>
    <w:p w:rsidR="00412C43" w:rsidRDefault="006A4BE7" w:rsidP="00426886">
      <w:pPr>
        <w:pStyle w:val="TOC1"/>
        <w:tabs>
          <w:tab w:val="clear" w:pos="9063"/>
          <w:tab w:val="right" w:leader="dot" w:pos="9214"/>
        </w:tabs>
        <w:rPr>
          <w:rFonts w:asciiTheme="minorHAnsi" w:eastAsiaTheme="minorEastAsia" w:hAnsiTheme="minorHAnsi" w:cstheme="minorBidi"/>
          <w:noProof/>
          <w:lang w:val="en-US" w:eastAsia="en-US"/>
        </w:rPr>
      </w:pPr>
      <w:hyperlink w:anchor="_Toc370310347" w:history="1">
        <w:r w:rsidR="00412C43" w:rsidRPr="004F2735">
          <w:rPr>
            <w:rStyle w:val="Hyperlink"/>
            <w:noProof/>
          </w:rPr>
          <w:t>Acknowledgements</w:t>
        </w:r>
        <w:r w:rsidR="00412C43">
          <w:rPr>
            <w:noProof/>
            <w:webHidden/>
          </w:rPr>
          <w:tab/>
        </w:r>
        <w:r w:rsidR="00412C43">
          <w:rPr>
            <w:noProof/>
            <w:webHidden/>
          </w:rPr>
          <w:fldChar w:fldCharType="begin"/>
        </w:r>
        <w:r w:rsidR="00412C43">
          <w:rPr>
            <w:noProof/>
            <w:webHidden/>
          </w:rPr>
          <w:instrText xml:space="preserve"> PAGEREF _Toc370310347 \h </w:instrText>
        </w:r>
        <w:r w:rsidR="00412C43">
          <w:rPr>
            <w:noProof/>
            <w:webHidden/>
          </w:rPr>
        </w:r>
        <w:r w:rsidR="00412C43">
          <w:rPr>
            <w:noProof/>
            <w:webHidden/>
          </w:rPr>
          <w:fldChar w:fldCharType="separate"/>
        </w:r>
        <w:r>
          <w:rPr>
            <w:noProof/>
            <w:webHidden/>
          </w:rPr>
          <w:t>34</w:t>
        </w:r>
        <w:r w:rsidR="00412C43">
          <w:rPr>
            <w:noProof/>
            <w:webHidden/>
          </w:rPr>
          <w:fldChar w:fldCharType="end"/>
        </w:r>
      </w:hyperlink>
    </w:p>
    <w:p w:rsidR="00412C43" w:rsidRDefault="006A4BE7" w:rsidP="00426886">
      <w:pPr>
        <w:pStyle w:val="TOC1"/>
        <w:tabs>
          <w:tab w:val="clear" w:pos="9063"/>
          <w:tab w:val="right" w:leader="dot" w:pos="9214"/>
        </w:tabs>
        <w:rPr>
          <w:rFonts w:asciiTheme="minorHAnsi" w:eastAsiaTheme="minorEastAsia" w:hAnsiTheme="minorHAnsi" w:cstheme="minorBidi"/>
          <w:noProof/>
          <w:lang w:val="en-US" w:eastAsia="en-US"/>
        </w:rPr>
      </w:pPr>
      <w:hyperlink w:anchor="_Toc370310348" w:history="1">
        <w:r w:rsidR="00412C43" w:rsidRPr="004F2735">
          <w:rPr>
            <w:rStyle w:val="Hyperlink"/>
            <w:noProof/>
          </w:rPr>
          <w:t>References</w:t>
        </w:r>
        <w:r w:rsidR="00412C43">
          <w:rPr>
            <w:noProof/>
            <w:webHidden/>
          </w:rPr>
          <w:tab/>
        </w:r>
        <w:r w:rsidR="00412C43">
          <w:rPr>
            <w:noProof/>
            <w:webHidden/>
          </w:rPr>
          <w:fldChar w:fldCharType="begin"/>
        </w:r>
        <w:r w:rsidR="00412C43">
          <w:rPr>
            <w:noProof/>
            <w:webHidden/>
          </w:rPr>
          <w:instrText xml:space="preserve"> PAGEREF _Toc370310348 \h </w:instrText>
        </w:r>
        <w:r w:rsidR="00412C43">
          <w:rPr>
            <w:noProof/>
            <w:webHidden/>
          </w:rPr>
        </w:r>
        <w:r w:rsidR="00412C43">
          <w:rPr>
            <w:noProof/>
            <w:webHidden/>
          </w:rPr>
          <w:fldChar w:fldCharType="separate"/>
        </w:r>
        <w:r>
          <w:rPr>
            <w:noProof/>
            <w:webHidden/>
          </w:rPr>
          <w:t>34</w:t>
        </w:r>
        <w:r w:rsidR="00412C43">
          <w:rPr>
            <w:noProof/>
            <w:webHidden/>
          </w:rPr>
          <w:fldChar w:fldCharType="end"/>
        </w:r>
      </w:hyperlink>
    </w:p>
    <w:p w:rsidR="00412C43" w:rsidRDefault="006A4BE7" w:rsidP="00426886">
      <w:pPr>
        <w:pStyle w:val="TOC1"/>
        <w:tabs>
          <w:tab w:val="clear" w:pos="9063"/>
          <w:tab w:val="right" w:leader="dot" w:pos="9214"/>
        </w:tabs>
        <w:rPr>
          <w:rFonts w:asciiTheme="minorHAnsi" w:eastAsiaTheme="minorEastAsia" w:hAnsiTheme="minorHAnsi" w:cstheme="minorBidi"/>
          <w:noProof/>
          <w:lang w:val="en-US" w:eastAsia="en-US"/>
        </w:rPr>
      </w:pPr>
      <w:hyperlink w:anchor="_Toc370310349" w:history="1">
        <w:r w:rsidR="00412C43" w:rsidRPr="004F2735">
          <w:rPr>
            <w:rStyle w:val="Hyperlink"/>
            <w:noProof/>
          </w:rPr>
          <w:t>Appendix A: Complementary information</w:t>
        </w:r>
        <w:r w:rsidR="00412C43">
          <w:rPr>
            <w:noProof/>
            <w:webHidden/>
          </w:rPr>
          <w:tab/>
        </w:r>
        <w:r w:rsidR="00412C43">
          <w:rPr>
            <w:noProof/>
            <w:webHidden/>
          </w:rPr>
          <w:fldChar w:fldCharType="begin"/>
        </w:r>
        <w:r w:rsidR="00412C43">
          <w:rPr>
            <w:noProof/>
            <w:webHidden/>
          </w:rPr>
          <w:instrText xml:space="preserve"> PAGEREF _Toc370310349 \h </w:instrText>
        </w:r>
        <w:r w:rsidR="00412C43">
          <w:rPr>
            <w:noProof/>
            <w:webHidden/>
          </w:rPr>
        </w:r>
        <w:r w:rsidR="00412C43">
          <w:rPr>
            <w:noProof/>
            <w:webHidden/>
          </w:rPr>
          <w:fldChar w:fldCharType="separate"/>
        </w:r>
        <w:r>
          <w:rPr>
            <w:noProof/>
            <w:webHidden/>
          </w:rPr>
          <w:t>35</w:t>
        </w:r>
        <w:r w:rsidR="00412C43">
          <w:rPr>
            <w:noProof/>
            <w:webHidden/>
          </w:rPr>
          <w:fldChar w:fldCharType="end"/>
        </w:r>
      </w:hyperlink>
    </w:p>
    <w:p w:rsidR="00412C43" w:rsidRDefault="006A4BE7" w:rsidP="00426886">
      <w:pPr>
        <w:pStyle w:val="TOC1"/>
        <w:tabs>
          <w:tab w:val="clear" w:pos="9063"/>
          <w:tab w:val="right" w:leader="dot" w:pos="9214"/>
        </w:tabs>
        <w:rPr>
          <w:rFonts w:asciiTheme="minorHAnsi" w:eastAsiaTheme="minorEastAsia" w:hAnsiTheme="minorHAnsi" w:cstheme="minorBidi"/>
          <w:noProof/>
          <w:lang w:val="en-US" w:eastAsia="en-US"/>
        </w:rPr>
      </w:pPr>
      <w:hyperlink w:anchor="_Toc370310350" w:history="1">
        <w:r w:rsidR="00412C43" w:rsidRPr="004F2735">
          <w:rPr>
            <w:rStyle w:val="Hyperlink"/>
            <w:noProof/>
          </w:rPr>
          <w:t>Appendix B: Construction of the Database</w:t>
        </w:r>
        <w:r w:rsidR="00412C43">
          <w:rPr>
            <w:noProof/>
            <w:webHidden/>
          </w:rPr>
          <w:tab/>
        </w:r>
        <w:r w:rsidR="00412C43">
          <w:rPr>
            <w:noProof/>
            <w:webHidden/>
          </w:rPr>
          <w:fldChar w:fldCharType="begin"/>
        </w:r>
        <w:r w:rsidR="00412C43">
          <w:rPr>
            <w:noProof/>
            <w:webHidden/>
          </w:rPr>
          <w:instrText xml:space="preserve"> PAGEREF _Toc370310350 \h </w:instrText>
        </w:r>
        <w:r w:rsidR="00412C43">
          <w:rPr>
            <w:noProof/>
            <w:webHidden/>
          </w:rPr>
        </w:r>
        <w:r w:rsidR="00412C43">
          <w:rPr>
            <w:noProof/>
            <w:webHidden/>
          </w:rPr>
          <w:fldChar w:fldCharType="separate"/>
        </w:r>
        <w:r>
          <w:rPr>
            <w:noProof/>
            <w:webHidden/>
          </w:rPr>
          <w:t>1</w:t>
        </w:r>
        <w:r w:rsidR="00412C43">
          <w:rPr>
            <w:noProof/>
            <w:webHidden/>
          </w:rPr>
          <w:fldChar w:fldCharType="end"/>
        </w:r>
      </w:hyperlink>
    </w:p>
    <w:p w:rsidR="00412C43" w:rsidRDefault="006A4BE7" w:rsidP="001E6DE7">
      <w:pPr>
        <w:pStyle w:val="TOC2"/>
        <w:rPr>
          <w:rFonts w:asciiTheme="minorHAnsi" w:eastAsiaTheme="minorEastAsia" w:hAnsiTheme="minorHAnsi" w:cstheme="minorBidi"/>
          <w:noProof/>
          <w:lang w:val="en-US" w:eastAsia="en-US"/>
        </w:rPr>
      </w:pPr>
      <w:hyperlink w:anchor="_Toc370310351" w:history="1">
        <w:r w:rsidR="00412C43" w:rsidRPr="004F2735">
          <w:rPr>
            <w:rStyle w:val="Hyperlink"/>
            <w:noProof/>
          </w:rPr>
          <w:t>Characteristics of the Raw Data</w:t>
        </w:r>
        <w:r w:rsidR="009A13B4">
          <w:rPr>
            <w:rStyle w:val="Hyperlink"/>
            <w:noProof/>
          </w:rPr>
          <w:t>………………………………………………………………</w:t>
        </w:r>
        <w:r w:rsidR="00412C43">
          <w:rPr>
            <w:noProof/>
            <w:webHidden/>
          </w:rPr>
          <w:tab/>
        </w:r>
        <w:r w:rsidR="00412C43">
          <w:rPr>
            <w:noProof/>
            <w:webHidden/>
          </w:rPr>
          <w:fldChar w:fldCharType="begin"/>
        </w:r>
        <w:r w:rsidR="00412C43">
          <w:rPr>
            <w:noProof/>
            <w:webHidden/>
          </w:rPr>
          <w:instrText xml:space="preserve"> PAGEREF _Toc370310351 \h </w:instrText>
        </w:r>
        <w:r w:rsidR="00412C43">
          <w:rPr>
            <w:noProof/>
            <w:webHidden/>
          </w:rPr>
        </w:r>
        <w:r w:rsidR="00412C43">
          <w:rPr>
            <w:noProof/>
            <w:webHidden/>
          </w:rPr>
          <w:fldChar w:fldCharType="separate"/>
        </w:r>
        <w:r>
          <w:rPr>
            <w:noProof/>
            <w:webHidden/>
          </w:rPr>
          <w:t>1</w:t>
        </w:r>
        <w:r w:rsidR="00412C43">
          <w:rPr>
            <w:noProof/>
            <w:webHidden/>
          </w:rPr>
          <w:fldChar w:fldCharType="end"/>
        </w:r>
      </w:hyperlink>
    </w:p>
    <w:p w:rsidR="00412C43" w:rsidRDefault="006A4BE7" w:rsidP="001E6DE7">
      <w:pPr>
        <w:pStyle w:val="TOC2"/>
        <w:rPr>
          <w:rFonts w:asciiTheme="minorHAnsi" w:eastAsiaTheme="minorEastAsia" w:hAnsiTheme="minorHAnsi" w:cstheme="minorBidi"/>
          <w:noProof/>
          <w:lang w:val="en-US" w:eastAsia="en-US"/>
        </w:rPr>
      </w:pPr>
      <w:hyperlink w:anchor="_Toc370310352" w:history="1">
        <w:r w:rsidR="00412C43" w:rsidRPr="004F2735">
          <w:rPr>
            <w:rStyle w:val="Hyperlink"/>
            <w:noProof/>
          </w:rPr>
          <w:t>Process of Collecting Missing Variables</w:t>
        </w:r>
        <w:r w:rsidR="009A13B4">
          <w:rPr>
            <w:rStyle w:val="Hyperlink"/>
            <w:noProof/>
          </w:rPr>
          <w:t>……………………………………………………..</w:t>
        </w:r>
        <w:r w:rsidR="00412C43">
          <w:rPr>
            <w:noProof/>
            <w:webHidden/>
          </w:rPr>
          <w:tab/>
        </w:r>
        <w:r w:rsidR="00412C43">
          <w:rPr>
            <w:noProof/>
            <w:webHidden/>
          </w:rPr>
          <w:fldChar w:fldCharType="begin"/>
        </w:r>
        <w:r w:rsidR="00412C43">
          <w:rPr>
            <w:noProof/>
            <w:webHidden/>
          </w:rPr>
          <w:instrText xml:space="preserve"> PAGEREF _Toc370310352 \h </w:instrText>
        </w:r>
        <w:r w:rsidR="00412C43">
          <w:rPr>
            <w:noProof/>
            <w:webHidden/>
          </w:rPr>
        </w:r>
        <w:r w:rsidR="00412C43">
          <w:rPr>
            <w:noProof/>
            <w:webHidden/>
          </w:rPr>
          <w:fldChar w:fldCharType="separate"/>
        </w:r>
        <w:r>
          <w:rPr>
            <w:noProof/>
            <w:webHidden/>
          </w:rPr>
          <w:t>2</w:t>
        </w:r>
        <w:r w:rsidR="00412C43">
          <w:rPr>
            <w:noProof/>
            <w:webHidden/>
          </w:rPr>
          <w:fldChar w:fldCharType="end"/>
        </w:r>
      </w:hyperlink>
    </w:p>
    <w:p w:rsidR="00412C43" w:rsidRDefault="006A4BE7" w:rsidP="001E6DE7">
      <w:pPr>
        <w:pStyle w:val="TOC2"/>
        <w:rPr>
          <w:rFonts w:asciiTheme="minorHAnsi" w:eastAsiaTheme="minorEastAsia" w:hAnsiTheme="minorHAnsi" w:cstheme="minorBidi"/>
          <w:noProof/>
          <w:lang w:val="en-US" w:eastAsia="en-US"/>
        </w:rPr>
      </w:pPr>
      <w:hyperlink w:anchor="_Toc370310353" w:history="1">
        <w:r w:rsidR="00412C43" w:rsidRPr="004F2735">
          <w:rPr>
            <w:rStyle w:val="Hyperlink"/>
            <w:noProof/>
          </w:rPr>
          <w:t>Preparing Applicant Names</w:t>
        </w:r>
        <w:r w:rsidR="009A13B4">
          <w:rPr>
            <w:rStyle w:val="Hyperlink"/>
            <w:noProof/>
          </w:rPr>
          <w:t>……………………………………………………………………..</w:t>
        </w:r>
        <w:r w:rsidR="00412C43">
          <w:rPr>
            <w:noProof/>
            <w:webHidden/>
          </w:rPr>
          <w:tab/>
        </w:r>
        <w:r w:rsidR="00412C43">
          <w:rPr>
            <w:noProof/>
            <w:webHidden/>
          </w:rPr>
          <w:fldChar w:fldCharType="begin"/>
        </w:r>
        <w:r w:rsidR="00412C43">
          <w:rPr>
            <w:noProof/>
            <w:webHidden/>
          </w:rPr>
          <w:instrText xml:space="preserve"> PAGEREF _Toc370310353 \h </w:instrText>
        </w:r>
        <w:r w:rsidR="00412C43">
          <w:rPr>
            <w:noProof/>
            <w:webHidden/>
          </w:rPr>
        </w:r>
        <w:r w:rsidR="00412C43">
          <w:rPr>
            <w:noProof/>
            <w:webHidden/>
          </w:rPr>
          <w:fldChar w:fldCharType="separate"/>
        </w:r>
        <w:r>
          <w:rPr>
            <w:noProof/>
            <w:webHidden/>
          </w:rPr>
          <w:t>2</w:t>
        </w:r>
        <w:r w:rsidR="00412C43">
          <w:rPr>
            <w:noProof/>
            <w:webHidden/>
          </w:rPr>
          <w:fldChar w:fldCharType="end"/>
        </w:r>
      </w:hyperlink>
    </w:p>
    <w:p w:rsidR="00412C43" w:rsidRDefault="006A4BE7" w:rsidP="00426886">
      <w:pPr>
        <w:pStyle w:val="TOC1"/>
        <w:tabs>
          <w:tab w:val="clear" w:pos="9063"/>
          <w:tab w:val="right" w:leader="dot" w:pos="9214"/>
        </w:tabs>
        <w:rPr>
          <w:rFonts w:asciiTheme="minorHAnsi" w:eastAsiaTheme="minorEastAsia" w:hAnsiTheme="minorHAnsi" w:cstheme="minorBidi"/>
          <w:noProof/>
          <w:lang w:val="en-US" w:eastAsia="en-US"/>
        </w:rPr>
      </w:pPr>
      <w:hyperlink w:anchor="_Toc370310354" w:history="1">
        <w:r w:rsidR="00412C43" w:rsidRPr="004F2735">
          <w:rPr>
            <w:rStyle w:val="Hyperlink"/>
            <w:noProof/>
          </w:rPr>
          <w:t>Appendix C: List of interviewed UM stakeholders in Thailand</w:t>
        </w:r>
        <w:r w:rsidR="00412C43">
          <w:rPr>
            <w:noProof/>
            <w:webHidden/>
          </w:rPr>
          <w:tab/>
        </w:r>
        <w:r w:rsidR="00412C43">
          <w:rPr>
            <w:noProof/>
            <w:webHidden/>
          </w:rPr>
          <w:fldChar w:fldCharType="begin"/>
        </w:r>
        <w:r w:rsidR="00412C43">
          <w:rPr>
            <w:noProof/>
            <w:webHidden/>
          </w:rPr>
          <w:instrText xml:space="preserve"> PAGEREF _Toc370310354 \h </w:instrText>
        </w:r>
        <w:r w:rsidR="00412C43">
          <w:rPr>
            <w:noProof/>
            <w:webHidden/>
          </w:rPr>
        </w:r>
        <w:r w:rsidR="00412C43">
          <w:rPr>
            <w:noProof/>
            <w:webHidden/>
          </w:rPr>
          <w:fldChar w:fldCharType="separate"/>
        </w:r>
        <w:r>
          <w:rPr>
            <w:noProof/>
            <w:webHidden/>
          </w:rPr>
          <w:t>1</w:t>
        </w:r>
        <w:r w:rsidR="00412C43">
          <w:rPr>
            <w:noProof/>
            <w:webHidden/>
          </w:rPr>
          <w:fldChar w:fldCharType="end"/>
        </w:r>
      </w:hyperlink>
    </w:p>
    <w:p w:rsidR="008708FA" w:rsidRPr="008708FA" w:rsidRDefault="005C2427" w:rsidP="00426886">
      <w:pPr>
        <w:tabs>
          <w:tab w:val="right" w:leader="dot" w:pos="9214"/>
        </w:tabs>
        <w:spacing w:line="276" w:lineRule="auto"/>
        <w:ind w:left="360" w:right="1350"/>
        <w:rPr>
          <w:rFonts w:eastAsia="Calibri"/>
        </w:rPr>
      </w:pPr>
      <w:r>
        <w:rPr>
          <w:rFonts w:eastAsia="Calibri"/>
        </w:rPr>
        <w:fldChar w:fldCharType="end"/>
      </w:r>
    </w:p>
    <w:p w:rsidR="005C2427" w:rsidRDefault="005C2427" w:rsidP="00534D0D">
      <w:pPr>
        <w:ind w:left="360" w:right="1350"/>
        <w:rPr>
          <w:rFonts w:eastAsia="Calibri"/>
        </w:rPr>
      </w:pPr>
      <w:r>
        <w:rPr>
          <w:rFonts w:eastAsia="Calibri"/>
        </w:rPr>
        <w:br w:type="page"/>
      </w:r>
    </w:p>
    <w:p w:rsidR="008708FA" w:rsidRPr="008708FA" w:rsidRDefault="008708FA" w:rsidP="00534D0D">
      <w:pPr>
        <w:ind w:left="360" w:right="1350"/>
        <w:rPr>
          <w:rFonts w:eastAsia="Calibri"/>
        </w:rPr>
      </w:pPr>
    </w:p>
    <w:p w:rsidR="008708FA" w:rsidRPr="00B62177" w:rsidRDefault="008708FA" w:rsidP="00534D0D">
      <w:pPr>
        <w:pStyle w:val="Heading1"/>
        <w:numPr>
          <w:ilvl w:val="0"/>
          <w:numId w:val="0"/>
        </w:numPr>
        <w:ind w:left="360" w:right="1350"/>
        <w:rPr>
          <w:szCs w:val="24"/>
        </w:rPr>
      </w:pPr>
      <w:bookmarkStart w:id="20" w:name="_Toc370307921"/>
      <w:bookmarkStart w:id="21" w:name="_Toc370310330"/>
      <w:r w:rsidRPr="00B62177">
        <w:rPr>
          <w:szCs w:val="24"/>
        </w:rPr>
        <w:t>Introduction</w:t>
      </w:r>
      <w:bookmarkEnd w:id="20"/>
      <w:bookmarkEnd w:id="21"/>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There is great interest in better understanding the effects of intellectual property (IP) protection in less developed countries, both on specific measures of social and economic performance and on the economic development process more broadly.  Many economists have argued against a “one-size-fits-all” approach in designing and implementing an IP regime.  At the same time, national policymakers in developing countries lack credible empirical guidance in tailoring their IP systems to national capacities and needs.  This is in considerable contrast to developed countries, where national IP offices, other branches of government, and academic economists have produced insightful evidence on the economic implications of different dimensions of IP protection.</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 xml:space="preserve">The resulting changes in the IP landscapes have prompted numerous new questions on the role that the IP system plays in the innovation process.  So far the economics literature has heavily focused on high income countries and does not provide much evidence on the role of IP in middle income economies, like Thailand.  There appear to be two underlying reasons.  First, in absolute terms, these countries have seen the largest increases in IP use and questions of IP protection have gathered considerable public interest.  Second, efforts by IP offices in high income countries and academic researchers have led to the creation of micro-level IP databases – mostly on patent data – that have enabled a wide range of empirical investigations.  To date, no comparable data infrastructure exists for middle income economies.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The present study is part of the Project on Intellectual Property and Socio-Economic Development under the Committee on Development and Intellectual Property (CDIP) of the World Intellectual Property Organization (WIPO), which consists of a series of economic studies seeking to narrow the knowledge gap facing policymakers in developing countries.</w:t>
      </w:r>
      <w:r w:rsidRPr="008708FA">
        <w:rPr>
          <w:rFonts w:eastAsia="Calibri"/>
          <w:sz w:val="24"/>
          <w:szCs w:val="24"/>
          <w:vertAlign w:val="superscript"/>
        </w:rPr>
        <w:footnoteReference w:id="4"/>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 xml:space="preserve">Particularly in the case for less developed countries, many economists and lawyers have argued that patents may be not the most appropriate form of IP protection at initial stages of economic development (Kim, 1997; </w:t>
      </w:r>
      <w:proofErr w:type="spellStart"/>
      <w:r w:rsidRPr="008708FA">
        <w:rPr>
          <w:rFonts w:eastAsia="Calibri"/>
        </w:rPr>
        <w:t>Lall</w:t>
      </w:r>
      <w:proofErr w:type="spellEnd"/>
      <w:r w:rsidRPr="008708FA">
        <w:rPr>
          <w:rFonts w:eastAsia="Calibri"/>
        </w:rPr>
        <w:t xml:space="preserve"> and </w:t>
      </w:r>
      <w:proofErr w:type="spellStart"/>
      <w:r w:rsidRPr="008708FA">
        <w:rPr>
          <w:rFonts w:eastAsia="Calibri"/>
        </w:rPr>
        <w:t>Albaladejo</w:t>
      </w:r>
      <w:proofErr w:type="spellEnd"/>
      <w:r w:rsidRPr="008708FA">
        <w:rPr>
          <w:rFonts w:eastAsia="Calibri"/>
        </w:rPr>
        <w:t xml:space="preserve">, 2001; </w:t>
      </w:r>
      <w:proofErr w:type="spellStart"/>
      <w:r w:rsidRPr="008708FA">
        <w:rPr>
          <w:rFonts w:eastAsia="Calibri"/>
        </w:rPr>
        <w:t>Suthersanen</w:t>
      </w:r>
      <w:proofErr w:type="spellEnd"/>
      <w:r w:rsidRPr="008708FA">
        <w:rPr>
          <w:rFonts w:eastAsia="Calibri"/>
        </w:rPr>
        <w:t xml:space="preserve">, 2006).  The underlying argument is that patent protection matters to industrial activities only after a certain innovative capacity has been attained.  Arguably most of the inventions may not pass the inventive step requirement, if incremental innovation is what characterizes such markets.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There are few studies analyzing empirical</w:t>
      </w:r>
      <w:r w:rsidR="004D03E4">
        <w:rPr>
          <w:rFonts w:eastAsia="Calibri"/>
        </w:rPr>
        <w:t>ly</w:t>
      </w:r>
      <w:r w:rsidRPr="008708FA">
        <w:rPr>
          <w:rFonts w:eastAsia="Calibri"/>
        </w:rPr>
        <w:t xml:space="preserve"> this issue.  Interestingly, most of them relate to other Asian countries and suggest a general positive impact of the adoption of UM protection.  In detail, </w:t>
      </w:r>
      <w:proofErr w:type="spellStart"/>
      <w:r w:rsidRPr="008708FA">
        <w:rPr>
          <w:rFonts w:eastAsia="Calibri"/>
        </w:rPr>
        <w:t>Maskus</w:t>
      </w:r>
      <w:proofErr w:type="spellEnd"/>
      <w:r w:rsidRPr="008708FA">
        <w:rPr>
          <w:rFonts w:eastAsia="Calibri"/>
        </w:rPr>
        <w:t xml:space="preserve"> and McDaniel (1999) have found an impact of UMs on the total factor productivity of Japanese firms.  Similarly, Lee and Kim (2010) have found that UMs have had a positive impact on patent generation in the Republic of Korea, although this impact decreases with the eventual enhancement of the domestic technological capabilities.  Lee et al (2012) go even further by stating that patent protection enhances innovation and economic growth in developed economies, but UM protection provides better incentives for incremental inventions which are more conducive of growth in developing ones.  </w:t>
      </w:r>
      <w:proofErr w:type="spellStart"/>
      <w:r w:rsidRPr="008708FA">
        <w:rPr>
          <w:rFonts w:eastAsia="Calibri"/>
        </w:rPr>
        <w:t>Suthersanen</w:t>
      </w:r>
      <w:proofErr w:type="spellEnd"/>
      <w:r w:rsidRPr="008708FA">
        <w:rPr>
          <w:rFonts w:eastAsia="Calibri"/>
        </w:rPr>
        <w:t xml:space="preserve"> (2006) reviews several national experiences – including European ones – to conclude that the UM adoption usually reflects positively in IP statistics.  But the author also prevents against hasty conclusions on this matter, as the underlying usefulness may vary considerably for </w:t>
      </w:r>
      <w:proofErr w:type="gramStart"/>
      <w:r w:rsidRPr="008708FA">
        <w:rPr>
          <w:rFonts w:eastAsia="Calibri"/>
        </w:rPr>
        <w:t>each</w:t>
      </w:r>
      <w:proofErr w:type="gramEnd"/>
      <w:r w:rsidRPr="008708FA">
        <w:rPr>
          <w:rFonts w:eastAsia="Calibri"/>
        </w:rPr>
        <w:t xml:space="preserve"> country.</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 xml:space="preserve">Even if Thailand began providing IP protection since 1914 – after the promulgation of the </w:t>
      </w:r>
      <w:r w:rsidRPr="008708FA">
        <w:rPr>
          <w:rFonts w:eastAsia="Calibri"/>
          <w:i/>
        </w:rPr>
        <w:t xml:space="preserve">Trademark and Trade Names Act </w:t>
      </w:r>
      <w:r w:rsidRPr="008708FA">
        <w:rPr>
          <w:rFonts w:eastAsia="Calibri"/>
        </w:rPr>
        <w:t xml:space="preserve">– and acceded to the Berne Convention in 1931, most of the IP related Thai legislation took place only in the third quarter of the twentieth century.  In 1978 and 1979, copyrights and patent protection were established, respectively.  A decade later, in 1989, Thailand joined the World Intellectual Property Organization (WIPO).  At the end of the past century, and as part of its obligations as signatory member of the World Trade Organization, Thailand reformed its IP laws in line with the </w:t>
      </w:r>
      <w:r w:rsidRPr="008708FA">
        <w:rPr>
          <w:rFonts w:eastAsia="Calibri"/>
          <w:i/>
        </w:rPr>
        <w:t xml:space="preserve">Trade Related Aspects of Intellectual Property </w:t>
      </w:r>
      <w:r w:rsidRPr="008708FA">
        <w:rPr>
          <w:rFonts w:eastAsia="Calibri"/>
        </w:rPr>
        <w:t>(TRIPS)</w:t>
      </w:r>
      <w:r w:rsidRPr="008708FA">
        <w:rPr>
          <w:rFonts w:eastAsia="Calibri"/>
          <w:i/>
        </w:rPr>
        <w:t xml:space="preserve"> </w:t>
      </w:r>
      <w:r w:rsidRPr="008708FA">
        <w:rPr>
          <w:rFonts w:eastAsia="Calibri"/>
        </w:rPr>
        <w:t xml:space="preserve">agreement by passing the revised </w:t>
      </w:r>
      <w:r w:rsidRPr="008708FA">
        <w:rPr>
          <w:rFonts w:eastAsia="Calibri"/>
          <w:i/>
        </w:rPr>
        <w:t>Intellectual Property Act (3</w:t>
      </w:r>
      <w:r w:rsidRPr="008708FA">
        <w:rPr>
          <w:rFonts w:eastAsia="Calibri"/>
          <w:i/>
          <w:vertAlign w:val="superscript"/>
        </w:rPr>
        <w:t>rd</w:t>
      </w:r>
      <w:r w:rsidRPr="008708FA">
        <w:rPr>
          <w:rFonts w:eastAsia="Calibri"/>
          <w:i/>
        </w:rPr>
        <w:t xml:space="preserve"> Amendment)</w:t>
      </w:r>
      <w:r w:rsidRPr="008708FA">
        <w:rPr>
          <w:rFonts w:eastAsia="Calibri"/>
        </w:rPr>
        <w:t xml:space="preserve"> in 1999.  More recently, Thailand acceded to the Paris Convention and patent Cooperation Treaty in 2008 and 2009 respectively.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 xml:space="preserve">One element of this reform – though not required by TRIPS – was the introduction of UM protection, aimed specifically at encouraging local innovation.  The Thai UM legislation requires inventions to be new and capable of industrial application. It does not require UM applications to be substantively examined.  Either the applicant or any interested third party can request for substantive examination within one year after the registration has been published.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According to interviews conducted locally, Thai policy-makers have conceived the inclusion of such IP instrument to encourage innovation activities suitable to Thai inventors’ stage of technological development.</w:t>
      </w:r>
      <w:r w:rsidRPr="008708FA">
        <w:rPr>
          <w:rFonts w:eastAsia="Calibri"/>
          <w:vertAlign w:val="superscript"/>
        </w:rPr>
        <w:footnoteReference w:id="5"/>
      </w:r>
      <w:r w:rsidRPr="008708FA">
        <w:rPr>
          <w:rFonts w:eastAsia="Calibri"/>
        </w:rPr>
        <w:t xml:space="preserve">  Roughly put, it was intended that the Thai IP regime would support also local innovation.  Indeed, UM protection was seen as filling the gap between industrial design and patent protections.  </w:t>
      </w:r>
    </w:p>
    <w:p w:rsidR="008708FA" w:rsidRPr="008708FA" w:rsidRDefault="008708FA" w:rsidP="00534D0D">
      <w:pPr>
        <w:ind w:left="360" w:right="1350"/>
        <w:rPr>
          <w:rFonts w:eastAsia="Calibri"/>
          <w:sz w:val="24"/>
          <w:szCs w:val="24"/>
        </w:rPr>
      </w:pPr>
    </w:p>
    <w:p w:rsidR="008708FA" w:rsidRPr="008708FA" w:rsidRDefault="008708FA" w:rsidP="00534D0D">
      <w:pPr>
        <w:ind w:left="360" w:right="1350"/>
        <w:rPr>
          <w:rFonts w:eastAsia="Calibri"/>
        </w:rPr>
      </w:pPr>
      <w:r w:rsidRPr="008708FA">
        <w:rPr>
          <w:rFonts w:eastAsia="Calibri"/>
        </w:rPr>
        <w:t>As part of the CDIP/5/7 Country Study for Thailand, this report provides a descriptive analysis of the implementation of UMs in Thailand.  Using detailed and novel unit record data on UM registrations, it explores how this IP instrument is being used, by whom and in which sectors.  It also points to the potential challenges that the Thai IP system may face in the future in relation to this new policy instrument.</w:t>
      </w:r>
    </w:p>
    <w:p w:rsidR="008708FA" w:rsidRPr="008708FA" w:rsidRDefault="008708FA" w:rsidP="00534D0D">
      <w:pPr>
        <w:ind w:left="360" w:right="1350"/>
        <w:rPr>
          <w:rFonts w:eastAsia="Calibri"/>
          <w:sz w:val="24"/>
          <w:szCs w:val="24"/>
        </w:rPr>
      </w:pPr>
    </w:p>
    <w:p w:rsidR="008708FA" w:rsidRPr="008708FA" w:rsidRDefault="008708FA" w:rsidP="00534D0D">
      <w:pPr>
        <w:ind w:left="360" w:right="1350"/>
        <w:rPr>
          <w:rFonts w:eastAsia="Calibri"/>
        </w:rPr>
      </w:pPr>
      <w:r w:rsidRPr="008708FA">
        <w:rPr>
          <w:rFonts w:eastAsia="Calibri"/>
        </w:rPr>
        <w:t xml:space="preserve">The report draws on a joint effort by the Thailand Development Research Institute (TDRI) and the World Intellectual Property Organization (WIPO).  In particular, with the close cooperation of the Thai Department of Intellectual Property (DIP) under the Ministry of Commerce, TDRI and WIPO put together a comprehensive database on the use of UMs in Thailand.  This database contains all registered UM in Thailand from October 1996 to September 2012, as well as other related information.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This database has enriched the existing unit record data from the DIP by cleaning and preparing the bibliographic records for their statistical use.  One key contribution of this process was to harmonize applicants into business type categories, as well as uniquely identify private companies with business register information.  As such, this new database enables new investigations that can deepen our understanding of the role that UM has played in Thailand’s innovation system since its implementation back in 1999. More details on the construction of this new database are given in the Appendix B (p.</w:t>
      </w:r>
      <w:r w:rsidRPr="008708FA">
        <w:rPr>
          <w:rFonts w:eastAsia="Calibri"/>
        </w:rPr>
        <w:fldChar w:fldCharType="begin"/>
      </w:r>
      <w:r w:rsidRPr="008708FA">
        <w:rPr>
          <w:rFonts w:eastAsia="Calibri"/>
        </w:rPr>
        <w:instrText xml:space="preserve"> PAGEREF _Ref368300484 \h </w:instrText>
      </w:r>
      <w:r w:rsidRPr="008708FA">
        <w:rPr>
          <w:rFonts w:eastAsia="Calibri"/>
        </w:rPr>
      </w:r>
      <w:r w:rsidRPr="008708FA">
        <w:rPr>
          <w:rFonts w:eastAsia="Calibri"/>
        </w:rPr>
        <w:fldChar w:fldCharType="separate"/>
      </w:r>
      <w:r w:rsidR="006A4BE7">
        <w:rPr>
          <w:rFonts w:eastAsia="Calibri"/>
          <w:noProof/>
        </w:rPr>
        <w:t>1</w:t>
      </w:r>
      <w:r w:rsidRPr="008708FA">
        <w:rPr>
          <w:rFonts w:eastAsia="Calibri"/>
        </w:rPr>
        <w:fldChar w:fldCharType="end"/>
      </w:r>
      <w:r w:rsidRPr="008708FA">
        <w:rPr>
          <w:rFonts w:eastAsia="Calibri"/>
        </w:rPr>
        <w:t>).</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As a first step, this study provides a descriptive overview of UMs use in Thailand.  It does not include an analysis of the matched data but focuses on an analysis of UMs filings and registrations more generally, which is the subject of a complementary study still under preparation.  In other terms, it does not address the implications of the introduction of Ums in the economic performance of applicants, notably private Thai companies, but discusses if they have used and in what extent the UM protection.</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The document is organized in four broad questions, which are analyzed with the descriptive analysis of the new UMs data:</w:t>
      </w:r>
    </w:p>
    <w:p w:rsidR="008708FA" w:rsidRPr="008708FA" w:rsidRDefault="008708FA" w:rsidP="00534D0D">
      <w:pPr>
        <w:ind w:left="360" w:right="1350"/>
        <w:rPr>
          <w:rFonts w:eastAsia="Calibri"/>
        </w:rPr>
      </w:pPr>
    </w:p>
    <w:p w:rsidR="008708FA" w:rsidRPr="008708FA" w:rsidRDefault="008708FA" w:rsidP="00534D0D">
      <w:pPr>
        <w:numPr>
          <w:ilvl w:val="0"/>
          <w:numId w:val="43"/>
        </w:numPr>
        <w:ind w:left="360" w:right="1350" w:firstLine="0"/>
        <w:contextualSpacing/>
        <w:rPr>
          <w:rFonts w:eastAsia="Calibri" w:cs="Arial"/>
          <w:szCs w:val="28"/>
          <w:lang w:bidi="th-TH"/>
        </w:rPr>
      </w:pPr>
      <w:r w:rsidRPr="008708FA">
        <w:rPr>
          <w:rFonts w:eastAsia="Calibri" w:cs="Arial"/>
          <w:szCs w:val="28"/>
          <w:lang w:bidi="th-TH"/>
        </w:rPr>
        <w:fldChar w:fldCharType="begin"/>
      </w:r>
      <w:r w:rsidRPr="008708FA">
        <w:rPr>
          <w:rFonts w:eastAsia="Calibri" w:cs="Arial"/>
          <w:szCs w:val="28"/>
          <w:lang w:bidi="th-TH"/>
        </w:rPr>
        <w:instrText xml:space="preserve"> REF _Ref367871893 \h </w:instrText>
      </w:r>
      <w:r w:rsidR="005C2427" w:rsidRPr="005C2427">
        <w:rPr>
          <w:rFonts w:eastAsia="Calibri" w:cs="Arial"/>
          <w:szCs w:val="28"/>
          <w:lang w:bidi="th-TH"/>
        </w:rPr>
        <w:instrText xml:space="preserve"> \* MERGEFORMAT </w:instrText>
      </w:r>
      <w:r w:rsidRPr="008708FA">
        <w:rPr>
          <w:rFonts w:eastAsia="Calibri" w:cs="Arial"/>
          <w:szCs w:val="28"/>
          <w:lang w:bidi="th-TH"/>
        </w:rPr>
      </w:r>
      <w:r w:rsidRPr="008708FA">
        <w:rPr>
          <w:rFonts w:eastAsia="Calibri" w:cs="Arial"/>
          <w:szCs w:val="28"/>
          <w:lang w:bidi="th-TH"/>
        </w:rPr>
        <w:fldChar w:fldCharType="separate"/>
      </w:r>
      <w:r w:rsidR="006A4BE7" w:rsidRPr="006A4BE7">
        <w:rPr>
          <w:rFonts w:cs="Arial"/>
          <w:bCs/>
        </w:rPr>
        <w:t xml:space="preserve">1.  How have users received the new UM </w:t>
      </w:r>
      <w:r w:rsidR="006A4BE7" w:rsidRPr="008708FA">
        <w:t>regime?</w:t>
      </w:r>
      <w:r w:rsidRPr="008708FA">
        <w:rPr>
          <w:rFonts w:eastAsia="Calibri" w:cs="Arial"/>
          <w:szCs w:val="28"/>
          <w:lang w:bidi="th-TH"/>
        </w:rPr>
        <w:fldChar w:fldCharType="end"/>
      </w:r>
    </w:p>
    <w:p w:rsidR="008708FA" w:rsidRPr="008708FA" w:rsidRDefault="008708FA" w:rsidP="00534D0D">
      <w:pPr>
        <w:ind w:left="360" w:right="1350"/>
        <w:contextualSpacing/>
        <w:rPr>
          <w:rFonts w:eastAsia="Calibri" w:cs="Arial"/>
          <w:szCs w:val="28"/>
          <w:lang w:bidi="th-TH"/>
        </w:rPr>
      </w:pPr>
    </w:p>
    <w:p w:rsidR="008708FA" w:rsidRPr="008708FA" w:rsidRDefault="008708FA" w:rsidP="00534D0D">
      <w:pPr>
        <w:numPr>
          <w:ilvl w:val="0"/>
          <w:numId w:val="43"/>
        </w:numPr>
        <w:ind w:left="360" w:right="1350" w:firstLine="0"/>
        <w:contextualSpacing/>
        <w:rPr>
          <w:rFonts w:eastAsia="Calibri" w:cs="Arial"/>
          <w:szCs w:val="28"/>
          <w:lang w:bidi="th-TH"/>
        </w:rPr>
      </w:pPr>
      <w:r w:rsidRPr="008708FA">
        <w:rPr>
          <w:rFonts w:eastAsia="Calibri" w:cs="Arial"/>
          <w:szCs w:val="28"/>
          <w:lang w:bidi="th-TH"/>
        </w:rPr>
        <w:fldChar w:fldCharType="begin"/>
      </w:r>
      <w:r w:rsidRPr="008708FA">
        <w:rPr>
          <w:rFonts w:eastAsia="Calibri" w:cs="Arial"/>
          <w:szCs w:val="28"/>
          <w:lang w:bidi="th-TH"/>
        </w:rPr>
        <w:instrText xml:space="preserve"> REF _Ref367870618 \h </w:instrText>
      </w:r>
      <w:r w:rsidR="005C2427" w:rsidRPr="005C2427">
        <w:rPr>
          <w:rFonts w:eastAsia="Calibri" w:cs="Arial"/>
          <w:szCs w:val="28"/>
          <w:lang w:bidi="th-TH"/>
        </w:rPr>
        <w:instrText xml:space="preserve"> \* MERGEFORMAT </w:instrText>
      </w:r>
      <w:r w:rsidRPr="008708FA">
        <w:rPr>
          <w:rFonts w:eastAsia="Calibri" w:cs="Arial"/>
          <w:szCs w:val="28"/>
          <w:lang w:bidi="th-TH"/>
        </w:rPr>
      </w:r>
      <w:r w:rsidRPr="008708FA">
        <w:rPr>
          <w:rFonts w:eastAsia="Calibri" w:cs="Arial"/>
          <w:szCs w:val="28"/>
          <w:lang w:bidi="th-TH"/>
        </w:rPr>
        <w:fldChar w:fldCharType="separate"/>
      </w:r>
      <w:r w:rsidR="006A4BE7" w:rsidRPr="006A4BE7">
        <w:rPr>
          <w:rFonts w:cs="Arial"/>
          <w:bCs/>
        </w:rPr>
        <w:t xml:space="preserve">2.  Are UMs the best fit for Thai </w:t>
      </w:r>
      <w:r w:rsidR="006A4BE7" w:rsidRPr="008708FA">
        <w:t>innovators?</w:t>
      </w:r>
      <w:r w:rsidRPr="008708FA">
        <w:rPr>
          <w:rFonts w:eastAsia="Calibri" w:cs="Arial"/>
          <w:szCs w:val="28"/>
          <w:lang w:bidi="th-TH"/>
        </w:rPr>
        <w:fldChar w:fldCharType="end"/>
      </w:r>
    </w:p>
    <w:p w:rsidR="008708FA" w:rsidRPr="008708FA" w:rsidRDefault="008708FA" w:rsidP="00534D0D">
      <w:pPr>
        <w:ind w:left="360" w:right="1350"/>
        <w:contextualSpacing/>
        <w:rPr>
          <w:rFonts w:eastAsia="Calibri" w:cs="Arial"/>
          <w:szCs w:val="28"/>
          <w:lang w:bidi="th-TH"/>
        </w:rPr>
      </w:pPr>
    </w:p>
    <w:p w:rsidR="008708FA" w:rsidRPr="008708FA" w:rsidRDefault="008708FA" w:rsidP="00534D0D">
      <w:pPr>
        <w:numPr>
          <w:ilvl w:val="0"/>
          <w:numId w:val="43"/>
        </w:numPr>
        <w:ind w:left="360" w:right="1350" w:firstLine="0"/>
        <w:contextualSpacing/>
        <w:rPr>
          <w:rFonts w:eastAsia="Calibri" w:cs="Arial"/>
          <w:szCs w:val="28"/>
          <w:lang w:bidi="th-TH"/>
        </w:rPr>
      </w:pPr>
      <w:r w:rsidRPr="008708FA">
        <w:rPr>
          <w:rFonts w:eastAsia="Calibri" w:cs="Arial"/>
          <w:szCs w:val="28"/>
          <w:lang w:bidi="th-TH"/>
        </w:rPr>
        <w:fldChar w:fldCharType="begin"/>
      </w:r>
      <w:r w:rsidRPr="008708FA">
        <w:rPr>
          <w:rFonts w:eastAsia="Calibri" w:cs="Arial"/>
          <w:szCs w:val="28"/>
          <w:lang w:bidi="th-TH"/>
        </w:rPr>
        <w:instrText xml:space="preserve"> REF _Ref367871770 \h </w:instrText>
      </w:r>
      <w:r w:rsidR="005C2427" w:rsidRPr="005C2427">
        <w:rPr>
          <w:rFonts w:eastAsia="Calibri" w:cs="Arial"/>
          <w:szCs w:val="28"/>
          <w:lang w:bidi="th-TH"/>
        </w:rPr>
        <w:instrText xml:space="preserve"> \* MERGEFORMAT </w:instrText>
      </w:r>
      <w:r w:rsidRPr="008708FA">
        <w:rPr>
          <w:rFonts w:eastAsia="Calibri" w:cs="Arial"/>
          <w:szCs w:val="28"/>
          <w:lang w:bidi="th-TH"/>
        </w:rPr>
      </w:r>
      <w:r w:rsidRPr="008708FA">
        <w:rPr>
          <w:rFonts w:eastAsia="Calibri" w:cs="Arial"/>
          <w:szCs w:val="28"/>
          <w:lang w:bidi="th-TH"/>
        </w:rPr>
        <w:fldChar w:fldCharType="separate"/>
      </w:r>
      <w:r w:rsidR="006A4BE7" w:rsidRPr="006A4BE7">
        <w:rPr>
          <w:rFonts w:cs="Arial"/>
          <w:bCs/>
        </w:rPr>
        <w:t xml:space="preserve">3.  To what degree have UMs complemented other IP </w:t>
      </w:r>
      <w:r w:rsidR="006A4BE7" w:rsidRPr="008708FA">
        <w:t>forms?</w:t>
      </w:r>
      <w:r w:rsidRPr="008708FA">
        <w:rPr>
          <w:rFonts w:eastAsia="Calibri" w:cs="Arial"/>
          <w:szCs w:val="28"/>
          <w:lang w:bidi="th-TH"/>
        </w:rPr>
        <w:fldChar w:fldCharType="end"/>
      </w:r>
    </w:p>
    <w:p w:rsidR="008708FA" w:rsidRPr="008708FA" w:rsidRDefault="008708FA" w:rsidP="00534D0D">
      <w:pPr>
        <w:ind w:left="360" w:right="1350"/>
        <w:contextualSpacing/>
        <w:rPr>
          <w:rFonts w:eastAsia="Calibri" w:cs="Arial"/>
          <w:szCs w:val="28"/>
          <w:lang w:bidi="th-TH"/>
        </w:rPr>
      </w:pPr>
    </w:p>
    <w:p w:rsidR="008708FA" w:rsidRPr="008708FA" w:rsidRDefault="008708FA" w:rsidP="00534D0D">
      <w:pPr>
        <w:numPr>
          <w:ilvl w:val="0"/>
          <w:numId w:val="43"/>
        </w:numPr>
        <w:ind w:left="360" w:right="1350" w:firstLine="0"/>
        <w:contextualSpacing/>
        <w:rPr>
          <w:rFonts w:eastAsia="Calibri" w:cs="Arial"/>
          <w:szCs w:val="28"/>
          <w:lang w:bidi="th-TH"/>
        </w:rPr>
      </w:pPr>
      <w:r w:rsidRPr="008708FA">
        <w:rPr>
          <w:rFonts w:eastAsia="Calibri" w:cs="Arial"/>
          <w:szCs w:val="28"/>
          <w:lang w:bidi="th-TH"/>
        </w:rPr>
        <w:fldChar w:fldCharType="begin"/>
      </w:r>
      <w:r w:rsidRPr="008708FA">
        <w:rPr>
          <w:rFonts w:eastAsia="Calibri" w:cs="Arial"/>
          <w:szCs w:val="28"/>
          <w:lang w:bidi="th-TH"/>
        </w:rPr>
        <w:instrText xml:space="preserve"> REF _Ref367870745 \h </w:instrText>
      </w:r>
      <w:r w:rsidR="005C2427" w:rsidRPr="005C2427">
        <w:rPr>
          <w:rFonts w:eastAsia="Calibri" w:cs="Arial"/>
          <w:szCs w:val="28"/>
          <w:lang w:bidi="th-TH"/>
        </w:rPr>
        <w:instrText xml:space="preserve"> \* MERGEFORMAT </w:instrText>
      </w:r>
      <w:r w:rsidRPr="008708FA">
        <w:rPr>
          <w:rFonts w:eastAsia="Calibri" w:cs="Arial"/>
          <w:szCs w:val="28"/>
          <w:lang w:bidi="th-TH"/>
        </w:rPr>
      </w:r>
      <w:r w:rsidRPr="008708FA">
        <w:rPr>
          <w:rFonts w:eastAsia="Calibri" w:cs="Arial"/>
          <w:szCs w:val="28"/>
          <w:lang w:bidi="th-TH"/>
        </w:rPr>
        <w:fldChar w:fldCharType="separate"/>
      </w:r>
      <w:r w:rsidR="006A4BE7" w:rsidRPr="006A4BE7">
        <w:rPr>
          <w:rFonts w:cs="Arial"/>
          <w:bCs/>
        </w:rPr>
        <w:t xml:space="preserve">4.  What are important challenges for the development of Thailand's UM </w:t>
      </w:r>
      <w:r w:rsidR="006A4BE7" w:rsidRPr="008708FA">
        <w:t>system?</w:t>
      </w:r>
      <w:r w:rsidRPr="008708FA">
        <w:rPr>
          <w:rFonts w:eastAsia="Calibri" w:cs="Arial"/>
          <w:szCs w:val="28"/>
          <w:lang w:bidi="th-TH"/>
        </w:rPr>
        <w:fldChar w:fldCharType="end"/>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bookmarkStart w:id="22" w:name="_Ref367869067"/>
      <w:r w:rsidRPr="008708FA">
        <w:rPr>
          <w:rFonts w:eastAsia="Calibri"/>
        </w:rPr>
        <w:t>A last section concludes with the summary of the main findings and open questions to be addressed by future research.</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p>
    <w:p w:rsidR="008708FA" w:rsidRPr="008708FA" w:rsidRDefault="008708FA" w:rsidP="00534D0D">
      <w:pPr>
        <w:spacing w:line="276" w:lineRule="auto"/>
        <w:ind w:left="360" w:right="1350"/>
        <w:rPr>
          <w:rFonts w:eastAsia="Calibri"/>
        </w:rPr>
      </w:pPr>
      <w:r w:rsidRPr="008708FA">
        <w:rPr>
          <w:rFonts w:eastAsia="Calibri"/>
        </w:rPr>
        <w:br w:type="page"/>
      </w:r>
    </w:p>
    <w:p w:rsidR="008708FA" w:rsidRPr="008708FA" w:rsidRDefault="008708FA" w:rsidP="00534D0D">
      <w:pPr>
        <w:ind w:left="360" w:right="1350"/>
        <w:rPr>
          <w:rFonts w:eastAsia="Calibri"/>
        </w:rPr>
      </w:pPr>
    </w:p>
    <w:p w:rsidR="008708FA" w:rsidRPr="008708FA" w:rsidRDefault="005E44D4" w:rsidP="00534D0D">
      <w:pPr>
        <w:pStyle w:val="Heading1"/>
        <w:numPr>
          <w:ilvl w:val="0"/>
          <w:numId w:val="0"/>
        </w:numPr>
        <w:ind w:left="360" w:right="1350"/>
      </w:pPr>
      <w:bookmarkStart w:id="23" w:name="_Ref367871893"/>
      <w:bookmarkStart w:id="24" w:name="_Toc370307922"/>
      <w:bookmarkStart w:id="25" w:name="_Toc370310331"/>
      <w:r>
        <w:t xml:space="preserve">1.  </w:t>
      </w:r>
      <w:r w:rsidR="008708FA" w:rsidRPr="008708FA">
        <w:t>How have users received the new UM regime?</w:t>
      </w:r>
      <w:bookmarkEnd w:id="22"/>
      <w:bookmarkEnd w:id="23"/>
      <w:bookmarkEnd w:id="24"/>
      <w:bookmarkEnd w:id="25"/>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 xml:space="preserve">The evaluation of the success of implementing an IP policy instrument such as UMs is not a straightforward task.  It is the overall intention of this report to bring a first empirical assessment of this matter.  In answering this question, it is useful to explore two aspects of UM use.  First, to what extent have Thai entities taken up the UM system in absolute terms?  Second, has UM use complemented or simply substituted the existing IP instruments in Thailand?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 xml:space="preserve">These questions are addressed at a general level, leaving a more detailed discussion for section </w:t>
      </w:r>
      <w:r w:rsidRPr="008708FA">
        <w:rPr>
          <w:rFonts w:eastAsia="Calibri"/>
        </w:rPr>
        <w:fldChar w:fldCharType="begin"/>
      </w:r>
      <w:r w:rsidRPr="008708FA">
        <w:rPr>
          <w:rFonts w:eastAsia="Calibri"/>
        </w:rPr>
        <w:instrText xml:space="preserve"> REF _Ref367871770 \r \h </w:instrText>
      </w:r>
      <w:r w:rsidRPr="008708FA">
        <w:rPr>
          <w:rFonts w:eastAsia="Calibri"/>
        </w:rPr>
      </w:r>
      <w:r w:rsidRPr="008708FA">
        <w:rPr>
          <w:rFonts w:eastAsia="Calibri"/>
        </w:rPr>
        <w:fldChar w:fldCharType="separate"/>
      </w:r>
      <w:r w:rsidR="006A4BE7">
        <w:rPr>
          <w:rFonts w:eastAsia="Calibri"/>
        </w:rPr>
        <w:t>0</w:t>
      </w:r>
      <w:r w:rsidRPr="008708FA">
        <w:rPr>
          <w:rFonts w:eastAsia="Calibri"/>
        </w:rPr>
        <w:fldChar w:fldCharType="end"/>
      </w:r>
      <w:r w:rsidRPr="008708FA">
        <w:rPr>
          <w:rFonts w:eastAsia="Calibri"/>
        </w:rPr>
        <w:t xml:space="preserve">. </w:t>
      </w:r>
    </w:p>
    <w:p w:rsidR="008708FA" w:rsidRPr="008708FA" w:rsidRDefault="008708FA" w:rsidP="00534D0D">
      <w:pPr>
        <w:ind w:left="360" w:right="1350"/>
        <w:rPr>
          <w:rFonts w:eastAsia="Calibri"/>
        </w:rPr>
      </w:pPr>
    </w:p>
    <w:p w:rsidR="008708FA" w:rsidRPr="008708FA" w:rsidRDefault="008708FA" w:rsidP="00534D0D">
      <w:pPr>
        <w:pStyle w:val="Heading2"/>
        <w:numPr>
          <w:ilvl w:val="0"/>
          <w:numId w:val="0"/>
        </w:numPr>
        <w:ind w:left="360" w:right="1350"/>
      </w:pPr>
      <w:bookmarkStart w:id="26" w:name="_Ref368389617"/>
      <w:bookmarkStart w:id="27" w:name="_Toc370307923"/>
      <w:bookmarkStart w:id="28" w:name="_Toc370310332"/>
      <w:r w:rsidRPr="008708FA">
        <w:t>A rapid adoption of UMs applications</w:t>
      </w:r>
      <w:bookmarkEnd w:id="26"/>
      <w:bookmarkEnd w:id="27"/>
      <w:bookmarkEnd w:id="28"/>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Generally speaking, Thailand seems to be using their IP system relatively well.  In 2011 and according to the information reported by the Thai Department of Intellectual Property (DIP) to WIPO, Thai IP applications ranked within the Top 20 economies, with the only exception of patents.</w:t>
      </w:r>
      <w:r w:rsidRPr="008708FA">
        <w:rPr>
          <w:rFonts w:eastAsia="Calibri"/>
          <w:vertAlign w:val="superscript"/>
        </w:rPr>
        <w:footnoteReference w:id="6"/>
      </w:r>
      <w:r w:rsidRPr="008708FA">
        <w:rPr>
          <w:rFonts w:eastAsia="Calibri"/>
        </w:rPr>
        <w:t xml:space="preserve">  This was also the case before the implementation of UMs, as depicted in </w:t>
      </w:r>
      <w:r w:rsidRPr="009E1F3F">
        <w:rPr>
          <w:rFonts w:eastAsia="Calibri"/>
        </w:rPr>
        <w:fldChar w:fldCharType="begin"/>
      </w:r>
      <w:r w:rsidRPr="009E1F3F">
        <w:rPr>
          <w:rFonts w:eastAsia="Calibri"/>
        </w:rPr>
        <w:instrText xml:space="preserve"> REF _Ref364428004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w:t>
      </w:r>
      <w:r w:rsidR="006A4BE7">
        <w:rPr>
          <w:rFonts w:eastAsia="Calibri"/>
          <w:b/>
          <w:bCs/>
          <w:i/>
          <w:noProof/>
          <w:sz w:val="20"/>
          <w:szCs w:val="18"/>
        </w:rPr>
        <w:t>1</w:t>
      </w:r>
      <w:r w:rsidRPr="009E1F3F">
        <w:rPr>
          <w:rFonts w:eastAsia="Calibri"/>
        </w:rPr>
        <w:fldChar w:fldCharType="end"/>
      </w:r>
      <w:r w:rsidRPr="008708FA">
        <w:rPr>
          <w:rFonts w:eastAsia="Calibri"/>
        </w:rPr>
        <w:t xml:space="preserve"> where the evolutions of applications in Thailand for each IP are shown in detail from 1995 to 2011.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In particular, it is worth mentioning that Thailand ranked 11</w:t>
      </w:r>
      <w:r w:rsidRPr="008708FA">
        <w:rPr>
          <w:rFonts w:eastAsia="Calibri"/>
          <w:vertAlign w:val="superscript"/>
        </w:rPr>
        <w:t>th</w:t>
      </w:r>
      <w:r w:rsidRPr="008708FA">
        <w:rPr>
          <w:rFonts w:eastAsia="Calibri"/>
        </w:rPr>
        <w:t xml:space="preserve"> and 12</w:t>
      </w:r>
      <w:r w:rsidRPr="008708FA">
        <w:rPr>
          <w:rFonts w:eastAsia="Calibri"/>
          <w:vertAlign w:val="superscript"/>
        </w:rPr>
        <w:t>th</w:t>
      </w:r>
      <w:r w:rsidRPr="008708FA">
        <w:rPr>
          <w:rFonts w:eastAsia="Calibri"/>
        </w:rPr>
        <w:t xml:space="preserve"> in domestic applications for Industrial designs and UM, which is higher than how it performs in terms of Population (rank 19</w:t>
      </w:r>
      <w:r w:rsidRPr="008708FA">
        <w:rPr>
          <w:rFonts w:eastAsia="Calibri"/>
          <w:vertAlign w:val="superscript"/>
        </w:rPr>
        <w:t>th</w:t>
      </w:r>
      <w:r w:rsidRPr="008708FA">
        <w:rPr>
          <w:rFonts w:eastAsia="Calibri"/>
        </w:rPr>
        <w:t>) and Gross Domestic Product (22</w:t>
      </w:r>
      <w:r w:rsidRPr="008708FA">
        <w:rPr>
          <w:rFonts w:eastAsia="Calibri"/>
          <w:vertAlign w:val="superscript"/>
        </w:rPr>
        <w:t>nd</w:t>
      </w:r>
      <w:r w:rsidRPr="008708FA">
        <w:rPr>
          <w:rFonts w:eastAsia="Calibri"/>
        </w:rPr>
        <w:t>). This is even more impressive if compared with domestic patent applications, for which it ranked 36</w:t>
      </w:r>
      <w:r w:rsidRPr="008708FA">
        <w:rPr>
          <w:rFonts w:eastAsia="Calibri"/>
          <w:vertAlign w:val="superscript"/>
        </w:rPr>
        <w:t>th</w:t>
      </w:r>
      <w:r w:rsidRPr="008708FA">
        <w:rPr>
          <w:rFonts w:eastAsia="Calibri"/>
        </w:rPr>
        <w:t xml:space="preserve">.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 xml:space="preserve">Since Thailand introduced UM protection in 1999, the number of UM filings has grown rapidly from 202 applications to a peak of 2,062 applications in 2006 (see </w:t>
      </w:r>
      <w:r w:rsidRPr="009E1F3F">
        <w:rPr>
          <w:rFonts w:eastAsia="Calibri"/>
        </w:rPr>
        <w:fldChar w:fldCharType="begin"/>
      </w:r>
      <w:r w:rsidRPr="009E1F3F">
        <w:rPr>
          <w:rFonts w:eastAsia="Calibri"/>
        </w:rPr>
        <w:instrText xml:space="preserve"> REF _Ref364428004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w:t>
      </w:r>
      <w:r w:rsidR="006A4BE7">
        <w:rPr>
          <w:rFonts w:eastAsia="Calibri"/>
          <w:b/>
          <w:bCs/>
          <w:i/>
          <w:noProof/>
          <w:sz w:val="20"/>
          <w:szCs w:val="18"/>
        </w:rPr>
        <w:t>1</w:t>
      </w:r>
      <w:r w:rsidRPr="009E1F3F">
        <w:rPr>
          <w:rFonts w:eastAsia="Calibri"/>
        </w:rPr>
        <w:fldChar w:fldCharType="end"/>
      </w:r>
      <w:r w:rsidRPr="009E1F3F">
        <w:rPr>
          <w:rFonts w:eastAsia="Calibri"/>
        </w:rPr>
        <w:t>,</w:t>
      </w:r>
      <w:r w:rsidRPr="008708FA">
        <w:rPr>
          <w:rFonts w:eastAsia="Calibri"/>
        </w:rPr>
        <w:t xml:space="preserve"> panel b).  This implies average growth of 27.4% per year, which tops the equivalent growth rates for industrial designs (10.3%), trademarks (6.6%) and patents (3.1%) for the same 8-year period.  </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 xml:space="preserve">A significant portion of this boom can be attributed to an intensive promotion campaign conducted by the DIP as well as the signing of a Memorandum of Understanding between the DIP and the Department of Vocational Education to promote the use of UM.  Another complementary explanation is that UM application process does not require substantive examination, which eases it considerably for the inexperienced applicant.  </w:t>
      </w:r>
      <w:r w:rsidRPr="009E1F3F">
        <w:rPr>
          <w:rFonts w:eastAsia="Calibri"/>
        </w:rPr>
        <w:fldChar w:fldCharType="begin"/>
      </w:r>
      <w:r w:rsidRPr="009E1F3F">
        <w:rPr>
          <w:rFonts w:eastAsia="Calibri"/>
        </w:rPr>
        <w:instrText xml:space="preserve"> REF _Ref367872315 \h </w:instrText>
      </w:r>
      <w:r w:rsidRPr="009E1F3F">
        <w:rPr>
          <w:rFonts w:eastAsia="Calibri"/>
        </w:rPr>
      </w:r>
      <w:r w:rsidRPr="009E1F3F">
        <w:rPr>
          <w:rFonts w:eastAsia="Calibri"/>
        </w:rPr>
        <w:fldChar w:fldCharType="separate"/>
      </w:r>
      <w:r w:rsidR="006A4BE7" w:rsidRPr="008708FA">
        <w:rPr>
          <w:b/>
          <w:bCs/>
          <w:i/>
          <w:szCs w:val="18"/>
        </w:rPr>
        <w:t xml:space="preserve">Box </w:t>
      </w:r>
      <w:r w:rsidR="006A4BE7">
        <w:rPr>
          <w:b/>
          <w:bCs/>
          <w:i/>
          <w:noProof/>
          <w:szCs w:val="18"/>
        </w:rPr>
        <w:t>1</w:t>
      </w:r>
      <w:r w:rsidRPr="009E1F3F">
        <w:rPr>
          <w:rFonts w:eastAsia="Calibri"/>
        </w:rPr>
        <w:fldChar w:fldCharType="end"/>
      </w:r>
      <w:r w:rsidRPr="009E1F3F">
        <w:rPr>
          <w:rFonts w:eastAsia="Calibri"/>
        </w:rPr>
        <w:t xml:space="preserve"> </w:t>
      </w:r>
      <w:r w:rsidRPr="008708FA">
        <w:rPr>
          <w:rFonts w:eastAsia="Calibri"/>
        </w:rPr>
        <w:t>gives more detail about the UM application process.</w:t>
      </w:r>
    </w:p>
    <w:p w:rsidR="008708FA" w:rsidRPr="008708FA" w:rsidRDefault="008708FA" w:rsidP="00534D0D">
      <w:pPr>
        <w:ind w:left="360" w:right="1350"/>
        <w:rPr>
          <w:rFonts w:eastAsia="Calibri"/>
        </w:rPr>
      </w:pPr>
    </w:p>
    <w:p w:rsidR="008708FA" w:rsidRPr="008708FA" w:rsidRDefault="008708FA" w:rsidP="00534D0D">
      <w:pPr>
        <w:ind w:left="360" w:right="1350"/>
        <w:rPr>
          <w:rFonts w:eastAsia="Calibri"/>
        </w:rPr>
      </w:pPr>
      <w:r w:rsidRPr="008708FA">
        <w:rPr>
          <w:rFonts w:eastAsia="Calibri"/>
        </w:rPr>
        <w:t>However, this positive trend reversed in 2007, with applications in that year falling by about one-third (-30%).  Thereafter, the trend has remained relatively flat – with around 1,400 applications per year on average.  However, the observed decline is not exclusive to UMs, as residents filings for patents, trademarks and industrial designs have also dropped around the same period.  This fall seems related at least partially with the Thai investments in R&amp;D, which have decreased 7% in 2007.</w:t>
      </w:r>
      <w:r w:rsidRPr="008708FA">
        <w:rPr>
          <w:rFonts w:eastAsia="Calibri"/>
          <w:vertAlign w:val="superscript"/>
        </w:rPr>
        <w:footnoteReference w:id="7"/>
      </w:r>
    </w:p>
    <w:p w:rsidR="008708FA" w:rsidRPr="008708FA" w:rsidRDefault="008708FA" w:rsidP="00534D0D">
      <w:pPr>
        <w:ind w:left="360" w:right="1350"/>
        <w:rPr>
          <w:rFonts w:eastAsia="Calibri"/>
        </w:rPr>
        <w:sectPr w:rsidR="008708FA" w:rsidRPr="008708FA" w:rsidSect="00D5058F">
          <w:headerReference w:type="default" r:id="rId18"/>
          <w:headerReference w:type="first" r:id="rId19"/>
          <w:footerReference w:type="first" r:id="rId20"/>
          <w:pgSz w:w="11906" w:h="16838"/>
          <w:pgMar w:top="1411" w:right="296" w:bottom="1411" w:left="1350" w:header="706" w:footer="706" w:gutter="0"/>
          <w:pgNumType w:start="1"/>
          <w:cols w:space="720"/>
          <w:titlePg/>
          <w:docGrid w:linePitch="360"/>
        </w:sectPr>
      </w:pPr>
    </w:p>
    <w:p w:rsidR="008708FA" w:rsidRPr="009E1F3F" w:rsidRDefault="008708FA" w:rsidP="00984746">
      <w:pPr>
        <w:rPr>
          <w:rFonts w:eastAsia="Calibri"/>
          <w:b/>
          <w:bCs/>
          <w:i/>
          <w:sz w:val="20"/>
          <w:szCs w:val="20"/>
        </w:rPr>
      </w:pPr>
      <w:bookmarkStart w:id="29" w:name="_Ref364428004"/>
      <w:bookmarkStart w:id="30" w:name="_Ref364427994"/>
      <w:r w:rsidRPr="009E1F3F">
        <w:rPr>
          <w:rFonts w:eastAsia="Calibri"/>
          <w:b/>
          <w:bCs/>
          <w:i/>
          <w:sz w:val="20"/>
          <w:szCs w:val="20"/>
        </w:rPr>
        <w:t xml:space="preserve">Figure </w:t>
      </w:r>
      <w:r w:rsidRPr="008708FA">
        <w:rPr>
          <w:rFonts w:eastAsia="Calibri"/>
          <w:b/>
          <w:bCs/>
          <w:i/>
          <w:sz w:val="20"/>
          <w:szCs w:val="18"/>
        </w:rPr>
        <w:fldChar w:fldCharType="begin"/>
      </w:r>
      <w:r w:rsidRPr="008708FA">
        <w:rPr>
          <w:rFonts w:eastAsia="Calibri"/>
          <w:b/>
          <w:bCs/>
          <w:i/>
          <w:sz w:val="20"/>
          <w:szCs w:val="18"/>
        </w:rPr>
        <w:instrText xml:space="preserve"> SEQ Figure \* ARABIC </w:instrText>
      </w:r>
      <w:r w:rsidRPr="008708FA">
        <w:rPr>
          <w:rFonts w:eastAsia="Calibri"/>
          <w:b/>
          <w:bCs/>
          <w:i/>
          <w:sz w:val="20"/>
          <w:szCs w:val="18"/>
        </w:rPr>
        <w:fldChar w:fldCharType="separate"/>
      </w:r>
      <w:r w:rsidR="006A4BE7">
        <w:rPr>
          <w:rFonts w:eastAsia="Calibri"/>
          <w:b/>
          <w:bCs/>
          <w:i/>
          <w:noProof/>
          <w:sz w:val="20"/>
          <w:szCs w:val="18"/>
        </w:rPr>
        <w:t>1</w:t>
      </w:r>
      <w:r w:rsidRPr="008708FA">
        <w:rPr>
          <w:rFonts w:eastAsia="Calibri"/>
          <w:b/>
          <w:bCs/>
          <w:i/>
          <w:sz w:val="20"/>
          <w:szCs w:val="18"/>
        </w:rPr>
        <w:fldChar w:fldCharType="end"/>
      </w:r>
      <w:bookmarkEnd w:id="29"/>
      <w:r w:rsidRPr="009E1F3F">
        <w:rPr>
          <w:rFonts w:eastAsia="Calibri"/>
          <w:b/>
          <w:bCs/>
          <w:i/>
          <w:sz w:val="20"/>
          <w:szCs w:val="20"/>
        </w:rPr>
        <w:t>: IP Applications in Thailand, 1995-2011</w:t>
      </w:r>
      <w:bookmarkEnd w:id="30"/>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74"/>
        <w:gridCol w:w="7074"/>
      </w:tblGrid>
      <w:tr w:rsidR="008708FA" w:rsidRPr="008708FA" w:rsidTr="005C2427">
        <w:tc>
          <w:tcPr>
            <w:tcW w:w="7074" w:type="dxa"/>
          </w:tcPr>
          <w:p w:rsidR="008708FA" w:rsidRPr="008708FA" w:rsidRDefault="008708FA" w:rsidP="008708FA">
            <w:pPr>
              <w:rPr>
                <w:sz w:val="18"/>
              </w:rPr>
            </w:pPr>
          </w:p>
          <w:p w:rsidR="008708FA" w:rsidRPr="008708FA" w:rsidRDefault="008708FA" w:rsidP="008708FA">
            <w:pPr>
              <w:rPr>
                <w:sz w:val="18"/>
              </w:rPr>
            </w:pPr>
            <w:r w:rsidRPr="008708FA">
              <w:rPr>
                <w:sz w:val="18"/>
              </w:rPr>
              <w:t>(a) patent applications (direct and PCT)</w:t>
            </w:r>
          </w:p>
        </w:tc>
        <w:tc>
          <w:tcPr>
            <w:tcW w:w="7074" w:type="dxa"/>
          </w:tcPr>
          <w:p w:rsidR="008708FA" w:rsidRPr="008708FA" w:rsidRDefault="008708FA" w:rsidP="008708FA">
            <w:pPr>
              <w:rPr>
                <w:sz w:val="18"/>
              </w:rPr>
            </w:pPr>
          </w:p>
          <w:p w:rsidR="008708FA" w:rsidRPr="008708FA" w:rsidRDefault="008708FA" w:rsidP="008708FA">
            <w:pPr>
              <w:rPr>
                <w:sz w:val="18"/>
              </w:rPr>
            </w:pPr>
            <w:r w:rsidRPr="008708FA">
              <w:rPr>
                <w:sz w:val="18"/>
              </w:rPr>
              <w:t>(b) Utility Model applications (direct and PCT)</w:t>
            </w:r>
          </w:p>
        </w:tc>
      </w:tr>
      <w:tr w:rsidR="008708FA" w:rsidRPr="008708FA" w:rsidTr="005C2427">
        <w:tc>
          <w:tcPr>
            <w:tcW w:w="7074" w:type="dxa"/>
          </w:tcPr>
          <w:p w:rsidR="008708FA" w:rsidRPr="008708FA" w:rsidRDefault="008708FA" w:rsidP="008708FA">
            <w:pPr>
              <w:rPr>
                <w:sz w:val="18"/>
                <w:szCs w:val="24"/>
              </w:rPr>
            </w:pPr>
            <w:r w:rsidRPr="008708FA">
              <w:rPr>
                <w:noProof/>
                <w:sz w:val="18"/>
                <w:szCs w:val="24"/>
              </w:rPr>
              <w:drawing>
                <wp:inline distT="0" distB="0" distL="0" distR="0" wp14:anchorId="6C954EA0" wp14:editId="36F6489C">
                  <wp:extent cx="3799164" cy="23774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9164" cy="2377440"/>
                          </a:xfrm>
                          <a:prstGeom prst="rect">
                            <a:avLst/>
                          </a:prstGeom>
                          <a:noFill/>
                        </pic:spPr>
                      </pic:pic>
                    </a:graphicData>
                  </a:graphic>
                </wp:inline>
              </w:drawing>
            </w:r>
          </w:p>
        </w:tc>
        <w:tc>
          <w:tcPr>
            <w:tcW w:w="7074" w:type="dxa"/>
          </w:tcPr>
          <w:p w:rsidR="008708FA" w:rsidRPr="008708FA" w:rsidRDefault="008708FA" w:rsidP="008708FA">
            <w:pPr>
              <w:rPr>
                <w:sz w:val="18"/>
                <w:szCs w:val="24"/>
              </w:rPr>
            </w:pPr>
            <w:r w:rsidRPr="008708FA">
              <w:rPr>
                <w:noProof/>
                <w:sz w:val="18"/>
                <w:szCs w:val="24"/>
              </w:rPr>
              <w:drawing>
                <wp:inline distT="0" distB="0" distL="0" distR="0" wp14:anchorId="214C6583" wp14:editId="0ADF0818">
                  <wp:extent cx="3799164" cy="237744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9164" cy="2377440"/>
                          </a:xfrm>
                          <a:prstGeom prst="rect">
                            <a:avLst/>
                          </a:prstGeom>
                          <a:noFill/>
                        </pic:spPr>
                      </pic:pic>
                    </a:graphicData>
                  </a:graphic>
                </wp:inline>
              </w:drawing>
            </w:r>
          </w:p>
        </w:tc>
      </w:tr>
      <w:tr w:rsidR="008708FA" w:rsidRPr="008708FA" w:rsidTr="005C2427">
        <w:tc>
          <w:tcPr>
            <w:tcW w:w="7074" w:type="dxa"/>
          </w:tcPr>
          <w:p w:rsidR="008708FA" w:rsidRPr="008708FA" w:rsidRDefault="008708FA" w:rsidP="008708FA">
            <w:pPr>
              <w:rPr>
                <w:sz w:val="18"/>
              </w:rPr>
            </w:pPr>
          </w:p>
          <w:p w:rsidR="008708FA" w:rsidRPr="008708FA" w:rsidRDefault="008708FA" w:rsidP="008708FA">
            <w:pPr>
              <w:rPr>
                <w:sz w:val="18"/>
              </w:rPr>
            </w:pPr>
            <w:r w:rsidRPr="008708FA">
              <w:rPr>
                <w:sz w:val="18"/>
              </w:rPr>
              <w:t>(c) Total trademark applications (direct and Madrid)</w:t>
            </w:r>
          </w:p>
        </w:tc>
        <w:tc>
          <w:tcPr>
            <w:tcW w:w="7074" w:type="dxa"/>
          </w:tcPr>
          <w:p w:rsidR="008708FA" w:rsidRPr="008708FA" w:rsidRDefault="008708FA" w:rsidP="008708FA">
            <w:pPr>
              <w:rPr>
                <w:sz w:val="18"/>
              </w:rPr>
            </w:pPr>
          </w:p>
          <w:p w:rsidR="008708FA" w:rsidRPr="008708FA" w:rsidRDefault="008708FA" w:rsidP="008708FA">
            <w:pPr>
              <w:rPr>
                <w:sz w:val="18"/>
              </w:rPr>
            </w:pPr>
            <w:r w:rsidRPr="008708FA">
              <w:rPr>
                <w:sz w:val="18"/>
              </w:rPr>
              <w:t>(d) Total industrial design applications (direct and Hague)</w:t>
            </w:r>
          </w:p>
        </w:tc>
      </w:tr>
      <w:tr w:rsidR="008708FA" w:rsidRPr="008708FA" w:rsidTr="005C2427">
        <w:tc>
          <w:tcPr>
            <w:tcW w:w="7074" w:type="dxa"/>
          </w:tcPr>
          <w:p w:rsidR="008708FA" w:rsidRPr="008708FA" w:rsidRDefault="008708FA" w:rsidP="008708FA">
            <w:pPr>
              <w:rPr>
                <w:sz w:val="18"/>
                <w:szCs w:val="24"/>
              </w:rPr>
            </w:pPr>
            <w:r w:rsidRPr="008708FA">
              <w:rPr>
                <w:noProof/>
                <w:sz w:val="18"/>
                <w:szCs w:val="24"/>
              </w:rPr>
              <w:drawing>
                <wp:inline distT="0" distB="0" distL="0" distR="0" wp14:anchorId="2946285C" wp14:editId="03870846">
                  <wp:extent cx="3891837" cy="23774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1837" cy="2377440"/>
                          </a:xfrm>
                          <a:prstGeom prst="rect">
                            <a:avLst/>
                          </a:prstGeom>
                          <a:noFill/>
                        </pic:spPr>
                      </pic:pic>
                    </a:graphicData>
                  </a:graphic>
                </wp:inline>
              </w:drawing>
            </w:r>
          </w:p>
        </w:tc>
        <w:tc>
          <w:tcPr>
            <w:tcW w:w="7074" w:type="dxa"/>
          </w:tcPr>
          <w:p w:rsidR="008708FA" w:rsidRPr="008708FA" w:rsidRDefault="008708FA" w:rsidP="008708FA">
            <w:pPr>
              <w:rPr>
                <w:sz w:val="18"/>
                <w:szCs w:val="24"/>
              </w:rPr>
            </w:pPr>
            <w:r w:rsidRPr="008708FA">
              <w:rPr>
                <w:noProof/>
                <w:sz w:val="18"/>
                <w:szCs w:val="24"/>
              </w:rPr>
              <w:drawing>
                <wp:inline distT="0" distB="0" distL="0" distR="0" wp14:anchorId="6E551768" wp14:editId="516FD08A">
                  <wp:extent cx="3799003" cy="2377440"/>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9003" cy="2377440"/>
                          </a:xfrm>
                          <a:prstGeom prst="rect">
                            <a:avLst/>
                          </a:prstGeom>
                          <a:noFill/>
                        </pic:spPr>
                      </pic:pic>
                    </a:graphicData>
                  </a:graphic>
                </wp:inline>
              </w:drawing>
            </w:r>
          </w:p>
        </w:tc>
      </w:tr>
    </w:tbl>
    <w:p w:rsidR="008708FA" w:rsidRPr="008708FA" w:rsidRDefault="008708FA" w:rsidP="008708FA">
      <w:pPr>
        <w:rPr>
          <w:rFonts w:eastAsia="Calibri"/>
          <w:i/>
          <w:sz w:val="16"/>
        </w:rPr>
      </w:pPr>
    </w:p>
    <w:p w:rsidR="008708FA" w:rsidRPr="008708FA" w:rsidRDefault="008708FA" w:rsidP="008708FA">
      <w:pPr>
        <w:rPr>
          <w:rFonts w:eastAsia="Calibri"/>
          <w:i/>
          <w:sz w:val="16"/>
        </w:rPr>
      </w:pPr>
      <w:r w:rsidRPr="008708FA">
        <w:rPr>
          <w:rFonts w:eastAsia="Calibri"/>
          <w:i/>
          <w:sz w:val="16"/>
        </w:rPr>
        <w:t>Data source: WIPO Statistical Database, 2013.</w:t>
      </w:r>
    </w:p>
    <w:p w:rsidR="008708FA" w:rsidRPr="008708FA" w:rsidRDefault="008708FA" w:rsidP="008708FA">
      <w:pPr>
        <w:rPr>
          <w:rFonts w:eastAsia="Calibri"/>
        </w:rPr>
        <w:sectPr w:rsidR="008708FA" w:rsidRPr="008708FA" w:rsidSect="008708FA">
          <w:pgSz w:w="16839" w:h="11907" w:orient="landscape" w:code="9"/>
          <w:pgMar w:top="720" w:right="720" w:bottom="720" w:left="720" w:header="720" w:footer="720" w:gutter="0"/>
          <w:cols w:space="720"/>
          <w:docGrid w:linePitch="360"/>
        </w:sectPr>
      </w:pPr>
    </w:p>
    <w:p w:rsidR="008708FA" w:rsidRPr="008708FA" w:rsidRDefault="008708FA" w:rsidP="008708FA">
      <w:pPr>
        <w:rPr>
          <w:rFonts w:eastAsia="Calibri"/>
        </w:rPr>
      </w:pPr>
    </w:p>
    <w:p w:rsidR="008708FA" w:rsidRPr="008708FA" w:rsidRDefault="008708FA" w:rsidP="008708FA">
      <w:pPr>
        <w:rPr>
          <w:rFonts w:eastAsia="Calibri"/>
        </w:rPr>
      </w:pPr>
      <w:r w:rsidRPr="009E1F3F">
        <w:rPr>
          <w:rFonts w:eastAsia="Calibri"/>
        </w:rPr>
        <w:fldChar w:fldCharType="begin"/>
      </w:r>
      <w:r w:rsidRPr="009E1F3F">
        <w:rPr>
          <w:rFonts w:eastAsia="Calibri"/>
        </w:rPr>
        <w:instrText xml:space="preserve"> REF _Ref364428004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w:t>
      </w:r>
      <w:r w:rsidR="006A4BE7">
        <w:rPr>
          <w:rFonts w:eastAsia="Calibri"/>
          <w:b/>
          <w:bCs/>
          <w:i/>
          <w:noProof/>
          <w:sz w:val="20"/>
          <w:szCs w:val="18"/>
        </w:rPr>
        <w:t>1</w:t>
      </w:r>
      <w:r w:rsidRPr="009E1F3F">
        <w:rPr>
          <w:rFonts w:eastAsia="Calibri"/>
        </w:rPr>
        <w:fldChar w:fldCharType="end"/>
      </w:r>
      <w:r w:rsidRPr="009E1F3F">
        <w:rPr>
          <w:rFonts w:eastAsia="Calibri"/>
        </w:rPr>
        <w:t xml:space="preserve"> also displays information broken by residents and non-residents.  As for</w:t>
      </w:r>
      <w:r w:rsidRPr="008708FA">
        <w:rPr>
          <w:rFonts w:eastAsia="Calibri"/>
        </w:rPr>
        <w:t xml:space="preserve"> Trademarks and Industrial </w:t>
      </w:r>
      <w:r w:rsidRPr="009E1F3F">
        <w:rPr>
          <w:rFonts w:eastAsia="Calibri"/>
        </w:rPr>
        <w:t>designs</w:t>
      </w:r>
      <w:r w:rsidRPr="008708FA">
        <w:rPr>
          <w:rFonts w:eastAsia="Calibri"/>
        </w:rPr>
        <w:t xml:space="preserve"> and opposed to patents, Thai residents are behind the vast majority of UM applications.  This domestic impact of the implementation of UM will be discussed in further detail in section </w:t>
      </w:r>
      <w:r w:rsidRPr="008708FA">
        <w:rPr>
          <w:rFonts w:eastAsia="Calibri"/>
        </w:rPr>
        <w:fldChar w:fldCharType="begin"/>
      </w:r>
      <w:r w:rsidRPr="008708FA">
        <w:rPr>
          <w:rFonts w:eastAsia="Calibri"/>
        </w:rPr>
        <w:instrText xml:space="preserve"> REF _Ref367870618 \r \h </w:instrText>
      </w:r>
      <w:r w:rsidRPr="008708FA">
        <w:rPr>
          <w:rFonts w:eastAsia="Calibri"/>
        </w:rPr>
      </w:r>
      <w:r w:rsidRPr="008708FA">
        <w:rPr>
          <w:rFonts w:eastAsia="Calibri"/>
        </w:rPr>
        <w:fldChar w:fldCharType="separate"/>
      </w:r>
      <w:r w:rsidR="006A4BE7">
        <w:rPr>
          <w:rFonts w:eastAsia="Calibri"/>
        </w:rPr>
        <w:t>0</w:t>
      </w:r>
      <w:r w:rsidRPr="008708FA">
        <w:rPr>
          <w:rFonts w:eastAsia="Calibri"/>
        </w:rPr>
        <w:fldChar w:fldCharType="end"/>
      </w:r>
      <w:r w:rsidRPr="008708FA">
        <w:rPr>
          <w:rFonts w:eastAsia="Calibri"/>
        </w:rPr>
        <w:t>.</w:t>
      </w:r>
    </w:p>
    <w:p w:rsidR="008708FA" w:rsidRPr="008708FA" w:rsidRDefault="008708FA" w:rsidP="008708FA">
      <w:pPr>
        <w:rPr>
          <w:rFonts w:eastAsia="Calibri"/>
        </w:rPr>
      </w:pPr>
    </w:p>
    <w:p w:rsidR="008708FA" w:rsidRPr="008708FA" w:rsidRDefault="008708FA" w:rsidP="005C2427">
      <w:pPr>
        <w:pStyle w:val="Heading2"/>
        <w:numPr>
          <w:ilvl w:val="0"/>
          <w:numId w:val="0"/>
        </w:numPr>
        <w:ind w:left="576" w:hanging="576"/>
      </w:pPr>
      <w:bookmarkStart w:id="31" w:name="_Ref368389637"/>
      <w:bookmarkStart w:id="32" w:name="_Toc370307924"/>
      <w:bookmarkStart w:id="33" w:name="_Toc370310333"/>
      <w:r w:rsidRPr="008708FA">
        <w:t>UMs have increased the registration of overall Thai technological activity</w:t>
      </w:r>
      <w:bookmarkEnd w:id="31"/>
      <w:bookmarkEnd w:id="32"/>
      <w:bookmarkEnd w:id="33"/>
      <w:r w:rsidRPr="008708FA">
        <w:t xml:space="preserve">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In 1999, the same year UM</w:t>
      </w:r>
      <w:r w:rsidR="005C2427">
        <w:rPr>
          <w:rFonts w:eastAsia="Calibri"/>
        </w:rPr>
        <w:t>s</w:t>
      </w:r>
      <w:r w:rsidRPr="008708FA">
        <w:rPr>
          <w:rFonts w:eastAsia="Calibri"/>
        </w:rPr>
        <w:t xml:space="preserve"> were introduced, total patent filings increased 2% with respect to those observed in 1998. More importantly, domestic patent applications did it by more than half (54%).  It is also true that both total and domestic patent filings decreased in 2000.  </w:t>
      </w:r>
      <w:proofErr w:type="gramStart"/>
      <w:r w:rsidRPr="008708FA">
        <w:rPr>
          <w:rFonts w:eastAsia="Calibri"/>
        </w:rPr>
        <w:t>patent</w:t>
      </w:r>
      <w:proofErr w:type="gramEnd"/>
      <w:r w:rsidRPr="008708FA">
        <w:rPr>
          <w:rFonts w:eastAsia="Calibri"/>
        </w:rPr>
        <w:t xml:space="preserve"> resident filings started to grow again in 2002 and it took them an extra year to reach the level before the fall, although it was always above the level observed before the implementation of UM protection. </w:t>
      </w:r>
    </w:p>
    <w:p w:rsidR="008708FA" w:rsidRPr="008708FA" w:rsidRDefault="008708FA" w:rsidP="008708FA">
      <w:pPr>
        <w:rPr>
          <w:rFonts w:eastAsia="Calibri"/>
        </w:rPr>
      </w:pPr>
    </w:p>
    <w:p w:rsidR="008708FA" w:rsidRPr="008708FA" w:rsidRDefault="008708FA" w:rsidP="009E1F3F">
      <w:pPr>
        <w:rPr>
          <w:rFonts w:eastAsia="Calibri"/>
        </w:rPr>
      </w:pPr>
      <w:r w:rsidRPr="008708FA">
        <w:rPr>
          <w:rFonts w:eastAsia="Calibri"/>
        </w:rPr>
        <w:t xml:space="preserve">These trends have to be related with caution, as always some substitution between UMs and patents has to be taken into account.  This was part of the UM protection design, where UM applications are allowed to switch to patent and </w:t>
      </w:r>
      <w:r w:rsidRPr="008708FA">
        <w:rPr>
          <w:rFonts w:eastAsia="Calibri"/>
          <w:i/>
        </w:rPr>
        <w:t xml:space="preserve">vice versa </w:t>
      </w:r>
      <w:r w:rsidRPr="008708FA">
        <w:rPr>
          <w:rFonts w:eastAsia="Calibri"/>
        </w:rPr>
        <w:t xml:space="preserve">(see </w:t>
      </w:r>
      <w:r w:rsidRPr="009E1F3F">
        <w:rPr>
          <w:rFonts w:eastAsia="Calibri"/>
        </w:rPr>
        <w:fldChar w:fldCharType="begin"/>
      </w:r>
      <w:r w:rsidRPr="009E1F3F">
        <w:rPr>
          <w:rFonts w:eastAsia="Calibri"/>
        </w:rPr>
        <w:instrText xml:space="preserve"> REF _Ref367872315 \h </w:instrText>
      </w:r>
      <w:r w:rsidRPr="009E1F3F">
        <w:rPr>
          <w:rFonts w:eastAsia="Calibri"/>
        </w:rPr>
      </w:r>
      <w:r w:rsidRPr="009E1F3F">
        <w:rPr>
          <w:rFonts w:eastAsia="Calibri"/>
        </w:rPr>
        <w:fldChar w:fldCharType="separate"/>
      </w:r>
      <w:r w:rsidR="006A4BE7" w:rsidRPr="008708FA">
        <w:rPr>
          <w:b/>
          <w:bCs/>
          <w:i/>
          <w:szCs w:val="18"/>
        </w:rPr>
        <w:t xml:space="preserve">Box </w:t>
      </w:r>
      <w:r w:rsidR="006A4BE7">
        <w:rPr>
          <w:b/>
          <w:bCs/>
          <w:i/>
          <w:noProof/>
          <w:szCs w:val="18"/>
        </w:rPr>
        <w:t>1</w:t>
      </w:r>
      <w:r w:rsidRPr="009E1F3F">
        <w:rPr>
          <w:rFonts w:eastAsia="Calibri"/>
        </w:rPr>
        <w:fldChar w:fldCharType="end"/>
      </w:r>
      <w:r w:rsidRPr="008708FA">
        <w:rPr>
          <w:rFonts w:eastAsia="Calibri"/>
        </w:rPr>
        <w:t xml:space="preserve">).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However, if patents and UM are took into account together, evidence suggests that there is more domestic technological activity which is seeking for IP protection than before the introduction of UM protection.  </w:t>
      </w:r>
      <w:r w:rsidRPr="009E1F3F">
        <w:rPr>
          <w:rFonts w:eastAsia="Calibri"/>
        </w:rPr>
        <w:fldChar w:fldCharType="begin"/>
      </w:r>
      <w:r w:rsidRPr="009E1F3F">
        <w:rPr>
          <w:rFonts w:eastAsia="Calibri"/>
        </w:rPr>
        <w:instrText xml:space="preserve"> REF _Ref367879055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w:t>
      </w:r>
      <w:r w:rsidR="006A4BE7">
        <w:rPr>
          <w:rFonts w:eastAsia="Calibri"/>
          <w:b/>
          <w:bCs/>
          <w:i/>
          <w:noProof/>
          <w:sz w:val="20"/>
          <w:szCs w:val="18"/>
        </w:rPr>
        <w:t>2</w:t>
      </w:r>
      <w:r w:rsidRPr="009E1F3F">
        <w:rPr>
          <w:rFonts w:eastAsia="Calibri"/>
        </w:rPr>
        <w:fldChar w:fldCharType="end"/>
      </w:r>
      <w:r w:rsidRPr="009E1F3F">
        <w:rPr>
          <w:rFonts w:eastAsia="Calibri"/>
        </w:rPr>
        <w:t xml:space="preserve"> depicts the e</w:t>
      </w:r>
      <w:r w:rsidRPr="008708FA">
        <w:rPr>
          <w:rFonts w:eastAsia="Calibri"/>
        </w:rPr>
        <w:t>volution of resident IP applications for the 1995-2011 period; in addition to UMs, patents, and industrial designs, it also shows the sum of patent and UM filings.  It suggests that UM and patent filings by residents have increased in overall magnitude and at a faster rate than that observed for just resident patent filings prior to 1999.  While some UM applications may well have substituted for patent applications, there thus seems to be an overall complementary relationship.</w:t>
      </w:r>
    </w:p>
    <w:p w:rsidR="008708FA" w:rsidRPr="008708FA" w:rsidRDefault="008708FA" w:rsidP="008708FA">
      <w:pPr>
        <w:rPr>
          <w:rFonts w:eastAsia="Calibri"/>
        </w:rPr>
      </w:pPr>
    </w:p>
    <w:p w:rsidR="008708FA" w:rsidRPr="008708FA" w:rsidRDefault="008708FA" w:rsidP="008708FA">
      <w:pPr>
        <w:rPr>
          <w:rFonts w:eastAsia="Calibri"/>
        </w:rPr>
      </w:pPr>
    </w:p>
    <w:p w:rsidR="008708FA" w:rsidRPr="009E1F3F" w:rsidRDefault="008708FA" w:rsidP="008708FA">
      <w:pPr>
        <w:rPr>
          <w:rFonts w:eastAsia="Calibri"/>
          <w:b/>
          <w:bCs/>
          <w:i/>
          <w:sz w:val="20"/>
          <w:szCs w:val="20"/>
        </w:rPr>
      </w:pPr>
      <w:bookmarkStart w:id="34" w:name="_Ref367879055"/>
      <w:bookmarkStart w:id="35" w:name="_Ref367884922"/>
      <w:r w:rsidRPr="009E1F3F">
        <w:rPr>
          <w:rFonts w:eastAsia="Calibri"/>
          <w:b/>
          <w:bCs/>
          <w:i/>
          <w:sz w:val="20"/>
          <w:szCs w:val="20"/>
        </w:rPr>
        <w:t xml:space="preserve">Figure </w:t>
      </w:r>
      <w:r w:rsidRPr="008708FA">
        <w:rPr>
          <w:rFonts w:eastAsia="Calibri"/>
          <w:b/>
          <w:bCs/>
          <w:i/>
          <w:sz w:val="20"/>
          <w:szCs w:val="18"/>
        </w:rPr>
        <w:fldChar w:fldCharType="begin"/>
      </w:r>
      <w:r w:rsidRPr="008708FA">
        <w:rPr>
          <w:rFonts w:eastAsia="Calibri"/>
          <w:b/>
          <w:bCs/>
          <w:i/>
          <w:sz w:val="20"/>
          <w:szCs w:val="18"/>
        </w:rPr>
        <w:instrText xml:space="preserve"> SEQ Figure \* ARABIC </w:instrText>
      </w:r>
      <w:r w:rsidRPr="008708FA">
        <w:rPr>
          <w:rFonts w:eastAsia="Calibri"/>
          <w:b/>
          <w:bCs/>
          <w:i/>
          <w:sz w:val="20"/>
          <w:szCs w:val="18"/>
        </w:rPr>
        <w:fldChar w:fldCharType="separate"/>
      </w:r>
      <w:r w:rsidR="006A4BE7">
        <w:rPr>
          <w:rFonts w:eastAsia="Calibri"/>
          <w:b/>
          <w:bCs/>
          <w:i/>
          <w:noProof/>
          <w:sz w:val="20"/>
          <w:szCs w:val="18"/>
        </w:rPr>
        <w:t>2</w:t>
      </w:r>
      <w:r w:rsidRPr="008708FA">
        <w:rPr>
          <w:rFonts w:eastAsia="Calibri"/>
          <w:b/>
          <w:bCs/>
          <w:i/>
          <w:sz w:val="20"/>
          <w:szCs w:val="18"/>
        </w:rPr>
        <w:fldChar w:fldCharType="end"/>
      </w:r>
      <w:bookmarkEnd w:id="34"/>
      <w:r w:rsidRPr="009E1F3F">
        <w:rPr>
          <w:rFonts w:eastAsia="Calibri"/>
          <w:b/>
          <w:bCs/>
          <w:i/>
          <w:sz w:val="20"/>
          <w:szCs w:val="20"/>
        </w:rPr>
        <w:t>: Evolution of Resident IP applications</w:t>
      </w:r>
      <w:bookmarkEnd w:id="35"/>
      <w:r w:rsidRPr="009E1F3F">
        <w:rPr>
          <w:rFonts w:eastAsia="Calibri"/>
          <w:b/>
          <w:bCs/>
          <w:i/>
          <w:sz w:val="20"/>
          <w:szCs w:val="20"/>
        </w:rPr>
        <w:t xml:space="preserve"> </w:t>
      </w:r>
    </w:p>
    <w:p w:rsidR="008708FA" w:rsidRPr="008708FA" w:rsidRDefault="008708FA" w:rsidP="008708FA">
      <w:pPr>
        <w:rPr>
          <w:rFonts w:eastAsia="Calibri"/>
        </w:rPr>
      </w:pPr>
      <w:r w:rsidRPr="008708FA">
        <w:rPr>
          <w:rFonts w:eastAsia="Calibri"/>
          <w:noProof/>
        </w:rPr>
        <w:drawing>
          <wp:inline distT="0" distB="0" distL="0" distR="0" wp14:anchorId="49A01D37" wp14:editId="1E8DB414">
            <wp:extent cx="4705350" cy="2944512"/>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4699" cy="2944104"/>
                    </a:xfrm>
                    <a:prstGeom prst="rect">
                      <a:avLst/>
                    </a:prstGeom>
                    <a:noFill/>
                  </pic:spPr>
                </pic:pic>
              </a:graphicData>
            </a:graphic>
          </wp:inline>
        </w:drawing>
      </w:r>
    </w:p>
    <w:p w:rsidR="008708FA" w:rsidRPr="008708FA" w:rsidRDefault="008708FA" w:rsidP="008708FA">
      <w:pPr>
        <w:rPr>
          <w:rFonts w:eastAsia="Calibri"/>
          <w:i/>
          <w:sz w:val="16"/>
        </w:rPr>
      </w:pPr>
      <w:r w:rsidRPr="008708FA">
        <w:rPr>
          <w:rFonts w:eastAsia="Calibri"/>
          <w:i/>
          <w:sz w:val="16"/>
        </w:rPr>
        <w:t>Data source: WIPO Statistical Database, 2013.</w:t>
      </w:r>
    </w:p>
    <w:p w:rsidR="008708FA" w:rsidRPr="008708FA" w:rsidRDefault="008708FA" w:rsidP="008708FA">
      <w:pPr>
        <w:rPr>
          <w:rFonts w:eastAsia="Calibri"/>
        </w:rPr>
      </w:pPr>
    </w:p>
    <w:p w:rsidR="008708FA" w:rsidRPr="008708FA" w:rsidRDefault="008708FA" w:rsidP="008708FA">
      <w:pPr>
        <w:rPr>
          <w:rFonts w:eastAsia="Calibri"/>
        </w:rPr>
        <w:sectPr w:rsidR="008708FA" w:rsidRPr="008708FA" w:rsidSect="005C2427">
          <w:footerReference w:type="default" r:id="rId24"/>
          <w:pgSz w:w="11907" w:h="16839" w:code="9"/>
          <w:pgMar w:top="1440" w:right="1440" w:bottom="1440" w:left="1440" w:header="720" w:footer="720" w:gutter="0"/>
          <w:cols w:space="720"/>
          <w:docGrid w:linePitch="360"/>
        </w:sect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7087"/>
        <w:gridCol w:w="7088"/>
      </w:tblGrid>
      <w:tr w:rsidR="008708FA" w:rsidRPr="008708FA" w:rsidTr="005C2427">
        <w:trPr>
          <w:jc w:val="center"/>
        </w:trPr>
        <w:tc>
          <w:tcPr>
            <w:tcW w:w="7087" w:type="dxa"/>
            <w:shd w:val="clear" w:color="auto" w:fill="C6D9F1" w:themeFill="text2" w:themeFillTint="33"/>
          </w:tcPr>
          <w:p w:rsidR="008708FA" w:rsidRPr="008708FA" w:rsidRDefault="008708FA" w:rsidP="008708FA"/>
          <w:p w:rsidR="008708FA" w:rsidRPr="008708FA" w:rsidRDefault="008708FA" w:rsidP="008708FA">
            <w:pPr>
              <w:shd w:val="clear" w:color="auto" w:fill="C6D9F1"/>
              <w:rPr>
                <w:b/>
                <w:bCs/>
                <w:i/>
                <w:szCs w:val="18"/>
              </w:rPr>
            </w:pPr>
            <w:bookmarkStart w:id="36" w:name="_Ref367872315"/>
            <w:r w:rsidRPr="008708FA">
              <w:rPr>
                <w:b/>
                <w:bCs/>
                <w:i/>
                <w:szCs w:val="18"/>
              </w:rPr>
              <w:t xml:space="preserve">Box </w:t>
            </w:r>
            <w:r w:rsidRPr="008708FA">
              <w:rPr>
                <w:b/>
                <w:bCs/>
                <w:i/>
                <w:szCs w:val="18"/>
              </w:rPr>
              <w:fldChar w:fldCharType="begin"/>
            </w:r>
            <w:r w:rsidRPr="008708FA">
              <w:rPr>
                <w:b/>
                <w:bCs/>
                <w:i/>
                <w:szCs w:val="18"/>
              </w:rPr>
              <w:instrText xml:space="preserve"> SEQ Box \* ARABIC </w:instrText>
            </w:r>
            <w:r w:rsidRPr="008708FA">
              <w:rPr>
                <w:b/>
                <w:bCs/>
                <w:i/>
                <w:szCs w:val="18"/>
              </w:rPr>
              <w:fldChar w:fldCharType="separate"/>
            </w:r>
            <w:r w:rsidR="006A4BE7">
              <w:rPr>
                <w:b/>
                <w:bCs/>
                <w:i/>
                <w:noProof/>
                <w:szCs w:val="18"/>
              </w:rPr>
              <w:t>1</w:t>
            </w:r>
            <w:r w:rsidRPr="008708FA">
              <w:rPr>
                <w:b/>
                <w:bCs/>
                <w:i/>
                <w:szCs w:val="18"/>
              </w:rPr>
              <w:fldChar w:fldCharType="end"/>
            </w:r>
            <w:bookmarkEnd w:id="36"/>
            <w:r w:rsidRPr="008708FA">
              <w:rPr>
                <w:b/>
                <w:bCs/>
                <w:i/>
                <w:szCs w:val="18"/>
              </w:rPr>
              <w:t>: Utility Model Application Procedure</w:t>
            </w:r>
          </w:p>
          <w:p w:rsidR="008708FA" w:rsidRPr="008708FA" w:rsidRDefault="008708FA" w:rsidP="008708FA">
            <w:pPr>
              <w:ind w:right="481"/>
              <w:rPr>
                <w:sz w:val="20"/>
              </w:rPr>
            </w:pPr>
          </w:p>
          <w:p w:rsidR="008708FA" w:rsidRPr="008708FA" w:rsidRDefault="008708FA" w:rsidP="008708FA">
            <w:pPr>
              <w:ind w:right="481"/>
              <w:rPr>
                <w:sz w:val="20"/>
              </w:rPr>
            </w:pPr>
            <w:r w:rsidRPr="008708FA">
              <w:rPr>
                <w:sz w:val="20"/>
              </w:rPr>
              <w:t>The procedure to apply for Utility Models (UM) is relatively straightforward.  According to the Thai patent Act (B.E. 2522, 1999, Article 65</w:t>
            </w:r>
            <w:r w:rsidRPr="008708FA">
              <w:rPr>
                <w:i/>
                <w:sz w:val="20"/>
              </w:rPr>
              <w:t>bis</w:t>
            </w:r>
            <w:r w:rsidRPr="008708FA">
              <w:rPr>
                <w:sz w:val="20"/>
              </w:rPr>
              <w:t xml:space="preserve">), to qualify for UM protection, the invention has to be new and capable of industrial application.  </w:t>
            </w:r>
          </w:p>
          <w:p w:rsidR="008708FA" w:rsidRPr="008708FA" w:rsidRDefault="008708FA" w:rsidP="008708FA">
            <w:pPr>
              <w:ind w:right="481"/>
              <w:rPr>
                <w:sz w:val="20"/>
              </w:rPr>
            </w:pPr>
          </w:p>
          <w:p w:rsidR="008708FA" w:rsidRPr="008708FA" w:rsidRDefault="008708FA" w:rsidP="008708FA">
            <w:pPr>
              <w:ind w:right="481"/>
              <w:rPr>
                <w:sz w:val="20"/>
              </w:rPr>
            </w:pPr>
            <w:r w:rsidRPr="008708FA">
              <w:rPr>
                <w:sz w:val="20"/>
              </w:rPr>
              <w:t>In practice, any applicant willing to obtain a UM has to submit an application and pay the appropriate application fee (see A</w:t>
            </w:r>
            <w:r w:rsidR="00385C76">
              <w:rPr>
                <w:sz w:val="20"/>
              </w:rPr>
              <w:t>ppendix</w:t>
            </w:r>
            <w:r w:rsidRPr="008708FA">
              <w:rPr>
                <w:sz w:val="20"/>
              </w:rPr>
              <w:t xml:space="preserve"> </w:t>
            </w:r>
            <w:r w:rsidRPr="008708FA">
              <w:rPr>
                <w:sz w:val="20"/>
              </w:rPr>
              <w:fldChar w:fldCharType="begin"/>
            </w:r>
            <w:r w:rsidRPr="008708FA">
              <w:rPr>
                <w:sz w:val="20"/>
              </w:rPr>
              <w:instrText xml:space="preserve"> REF _Ref364428321 \h  \* MERGEFORMAT </w:instrText>
            </w:r>
            <w:r w:rsidRPr="008708FA">
              <w:rPr>
                <w:sz w:val="20"/>
              </w:rPr>
            </w:r>
            <w:r w:rsidRPr="008708FA">
              <w:rPr>
                <w:sz w:val="20"/>
              </w:rPr>
              <w:fldChar w:fldCharType="separate"/>
            </w:r>
            <w:r w:rsidR="006A4BE7" w:rsidRPr="006A4BE7">
              <w:rPr>
                <w:sz w:val="20"/>
                <w:szCs w:val="20"/>
              </w:rPr>
              <w:t>Table A. 1</w:t>
            </w:r>
            <w:r w:rsidRPr="008708FA">
              <w:rPr>
                <w:sz w:val="20"/>
              </w:rPr>
              <w:fldChar w:fldCharType="end"/>
            </w:r>
            <w:r w:rsidRPr="008708FA">
              <w:rPr>
                <w:sz w:val="20"/>
                <w:szCs w:val="20"/>
              </w:rPr>
              <w:t xml:space="preserve"> </w:t>
            </w:r>
            <w:r w:rsidRPr="008708FA">
              <w:rPr>
                <w:sz w:val="20"/>
              </w:rPr>
              <w:t xml:space="preserve">for a list of maximum imposable fees).  If there is no identified issue with the application, it will be registered and published, which means that the applicant is granted with the UM protection, known locally as “Thai Petty patent”.  The maximum term of protection for UM inventions is eight years from the filing date.  </w:t>
            </w:r>
          </w:p>
          <w:p w:rsidR="008708FA" w:rsidRPr="008708FA" w:rsidRDefault="008708FA" w:rsidP="008708FA">
            <w:pPr>
              <w:ind w:right="481"/>
              <w:rPr>
                <w:sz w:val="20"/>
              </w:rPr>
            </w:pPr>
          </w:p>
          <w:p w:rsidR="008708FA" w:rsidRPr="008708FA" w:rsidRDefault="008708FA" w:rsidP="008708FA">
            <w:pPr>
              <w:ind w:right="481"/>
              <w:rPr>
                <w:sz w:val="20"/>
              </w:rPr>
            </w:pPr>
            <w:r w:rsidRPr="008708FA">
              <w:rPr>
                <w:sz w:val="20"/>
              </w:rPr>
              <w:t>It is worth noting that there is no substantive examination involved in the registration of a Thai UM, but only a formalities one.  Either the applicant or any interested third party can request for substantive examination within one year after the registration has been published.  This examination costs only 250 baht as submission fee, which means that DIP bears the cost of examination.</w:t>
            </w:r>
          </w:p>
          <w:p w:rsidR="008708FA" w:rsidRPr="008708FA" w:rsidRDefault="008708FA" w:rsidP="008708FA">
            <w:pPr>
              <w:ind w:right="481"/>
              <w:rPr>
                <w:sz w:val="20"/>
              </w:rPr>
            </w:pPr>
          </w:p>
          <w:p w:rsidR="008708FA" w:rsidRPr="008708FA" w:rsidRDefault="008708FA" w:rsidP="008708FA">
            <w:pPr>
              <w:ind w:right="481"/>
              <w:rPr>
                <w:sz w:val="20"/>
              </w:rPr>
            </w:pPr>
            <w:r w:rsidRPr="008708FA">
              <w:rPr>
                <w:sz w:val="20"/>
              </w:rPr>
              <w:t>Despite the lack of prior substantive examination, there have been very few requests for examinations and very few granted UM which have been revoked by the IP and foreign trade court, which is the specialized IP court.</w:t>
            </w:r>
          </w:p>
          <w:p w:rsidR="008708FA" w:rsidRPr="008708FA" w:rsidRDefault="008708FA" w:rsidP="008708FA">
            <w:pPr>
              <w:ind w:right="481"/>
              <w:rPr>
                <w:sz w:val="20"/>
              </w:rPr>
            </w:pPr>
          </w:p>
          <w:p w:rsidR="008708FA" w:rsidRPr="008708FA" w:rsidRDefault="008708FA" w:rsidP="008708FA">
            <w:pPr>
              <w:ind w:right="481"/>
              <w:rPr>
                <w:sz w:val="20"/>
              </w:rPr>
            </w:pPr>
            <w:r w:rsidRPr="008708FA">
              <w:rPr>
                <w:sz w:val="20"/>
              </w:rPr>
              <w:t xml:space="preserve">Under the Thai law, applicants may convert their patent application into UM ones – and </w:t>
            </w:r>
            <w:r w:rsidRPr="008708FA">
              <w:rPr>
                <w:i/>
                <w:sz w:val="20"/>
              </w:rPr>
              <w:t>vice versa</w:t>
            </w:r>
            <w:r w:rsidRPr="008708FA">
              <w:rPr>
                <w:sz w:val="20"/>
              </w:rPr>
              <w:t xml:space="preserve"> – as long as a judgment has not been issued. Based on interviews with selected users of the UM system (see Appendix C), UMs are perceived to have lesser protection than patents.  If inventions meet patentability criteria, the inventors are encouraged to apply for patents rather than UMs.</w:t>
            </w:r>
          </w:p>
          <w:p w:rsidR="008708FA" w:rsidRPr="008708FA" w:rsidRDefault="008708FA" w:rsidP="008708FA">
            <w:pPr>
              <w:ind w:right="481"/>
              <w:rPr>
                <w:sz w:val="20"/>
              </w:rPr>
            </w:pPr>
          </w:p>
          <w:p w:rsidR="008708FA" w:rsidRPr="008708FA" w:rsidRDefault="008708FA" w:rsidP="008708FA">
            <w:pPr>
              <w:ind w:right="481"/>
            </w:pPr>
            <w:r w:rsidRPr="008708FA">
              <w:rPr>
                <w:sz w:val="20"/>
              </w:rPr>
              <w:t>The figure at the right outlines the procedure for an UM application and the examination process.</w:t>
            </w:r>
          </w:p>
        </w:tc>
        <w:tc>
          <w:tcPr>
            <w:tcW w:w="7088" w:type="dxa"/>
            <w:shd w:val="clear" w:color="auto" w:fill="C6D9F1" w:themeFill="text2" w:themeFillTint="33"/>
          </w:tcPr>
          <w:p w:rsidR="008708FA" w:rsidRPr="008708FA" w:rsidRDefault="008708FA" w:rsidP="008708FA">
            <w:pPr>
              <w:shd w:val="clear" w:color="auto" w:fill="C6D9F1"/>
              <w:rPr>
                <w:b/>
                <w:bCs/>
                <w:i/>
                <w:sz w:val="20"/>
                <w:szCs w:val="18"/>
              </w:rPr>
            </w:pPr>
          </w:p>
          <w:p w:rsidR="008708FA" w:rsidRPr="008708FA" w:rsidRDefault="008708FA" w:rsidP="008708FA">
            <w:pPr>
              <w:shd w:val="clear" w:color="auto" w:fill="C6D9F1"/>
              <w:rPr>
                <w:b/>
                <w:bCs/>
                <w:i/>
                <w:sz w:val="20"/>
                <w:szCs w:val="18"/>
              </w:rPr>
            </w:pPr>
            <w:r w:rsidRPr="008708FA">
              <w:rPr>
                <w:b/>
                <w:bCs/>
                <w:i/>
                <w:sz w:val="20"/>
                <w:szCs w:val="18"/>
              </w:rPr>
              <w:t>Flow Chart for Utility Model Application and Examination Process</w:t>
            </w:r>
          </w:p>
          <w:p w:rsidR="008708FA" w:rsidRPr="008708FA" w:rsidRDefault="008708FA" w:rsidP="008708FA">
            <w:pPr>
              <w:shd w:val="clear" w:color="auto" w:fill="C6D9F1"/>
              <w:rPr>
                <w:i/>
                <w:sz w:val="16"/>
              </w:rPr>
            </w:pPr>
          </w:p>
          <w:p w:rsidR="008708FA" w:rsidRPr="008708FA" w:rsidRDefault="008708FA" w:rsidP="008708FA">
            <w:pPr>
              <w:shd w:val="clear" w:color="auto" w:fill="C6D9F1"/>
              <w:jc w:val="center"/>
            </w:pPr>
            <w:r w:rsidRPr="008708FA">
              <w:rPr>
                <w:noProof/>
              </w:rPr>
              <w:drawing>
                <wp:inline distT="0" distB="0" distL="0" distR="0" wp14:anchorId="3D4228BA" wp14:editId="2E2129A9">
                  <wp:extent cx="3974520" cy="5029200"/>
                  <wp:effectExtent l="0" t="0" r="698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 procedure.jpg"/>
                          <pic:cNvPicPr/>
                        </pic:nvPicPr>
                        <pic:blipFill rotWithShape="1">
                          <a:blip r:embed="rId25" cstate="print">
                            <a:extLst>
                              <a:ext uri="{28A0092B-C50C-407E-A947-70E740481C1C}">
                                <a14:useLocalDpi xmlns:a14="http://schemas.microsoft.com/office/drawing/2010/main" val="0"/>
                              </a:ext>
                            </a:extLst>
                          </a:blip>
                          <a:srcRect t="5058"/>
                          <a:stretch/>
                        </pic:blipFill>
                        <pic:spPr bwMode="auto">
                          <a:xfrm>
                            <a:off x="0" y="0"/>
                            <a:ext cx="4008660" cy="5072400"/>
                          </a:xfrm>
                          <a:prstGeom prst="rect">
                            <a:avLst/>
                          </a:prstGeom>
                          <a:ln>
                            <a:noFill/>
                          </a:ln>
                          <a:extLst>
                            <a:ext uri="{53640926-AAD7-44D8-BBD7-CCE9431645EC}">
                              <a14:shadowObscured xmlns:a14="http://schemas.microsoft.com/office/drawing/2010/main"/>
                            </a:ext>
                          </a:extLst>
                        </pic:spPr>
                      </pic:pic>
                    </a:graphicData>
                  </a:graphic>
                </wp:inline>
              </w:drawing>
            </w:r>
          </w:p>
          <w:p w:rsidR="008708FA" w:rsidRPr="008708FA" w:rsidRDefault="008708FA" w:rsidP="008708FA">
            <w:pPr>
              <w:shd w:val="clear" w:color="auto" w:fill="C6D9F1"/>
              <w:rPr>
                <w:i/>
                <w:sz w:val="16"/>
              </w:rPr>
            </w:pPr>
          </w:p>
          <w:p w:rsidR="008708FA" w:rsidRDefault="008708FA" w:rsidP="008708FA">
            <w:pPr>
              <w:shd w:val="clear" w:color="auto" w:fill="C6D9F1"/>
              <w:rPr>
                <w:i/>
                <w:sz w:val="16"/>
              </w:rPr>
            </w:pPr>
            <w:r w:rsidRPr="008708FA">
              <w:rPr>
                <w:i/>
                <w:sz w:val="16"/>
              </w:rPr>
              <w:t>Source: Department of Intellectual Property (Thailand)</w:t>
            </w:r>
          </w:p>
          <w:p w:rsidR="008708FA" w:rsidRPr="008708FA" w:rsidRDefault="008708FA" w:rsidP="008708FA">
            <w:pPr>
              <w:shd w:val="clear" w:color="auto" w:fill="C6D9F1"/>
            </w:pPr>
          </w:p>
        </w:tc>
      </w:tr>
    </w:tbl>
    <w:p w:rsidR="008708FA" w:rsidRPr="008708FA" w:rsidRDefault="008708FA" w:rsidP="008708FA">
      <w:pPr>
        <w:rPr>
          <w:rFonts w:eastAsia="Calibri"/>
          <w:i/>
          <w:sz w:val="16"/>
        </w:rPr>
        <w:sectPr w:rsidR="008708FA" w:rsidRPr="008708FA" w:rsidSect="005C2427">
          <w:pgSz w:w="16839" w:h="11907" w:orient="landscape" w:code="9"/>
          <w:pgMar w:top="720" w:right="720" w:bottom="720" w:left="720" w:header="720" w:footer="720" w:gutter="0"/>
          <w:cols w:space="720"/>
          <w:docGrid w:linePitch="360"/>
        </w:sectPr>
      </w:pP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Another way of seeing this is by benchmarking it with domestic filings of Industrial designs.  From 1995 to 1998, there were more than two resident Industrial designs applications for each patent one. After the introduction of UM protection this ratio decreased to little more than one resident Industrial design filing for each resident UM or patent application.</w:t>
      </w:r>
    </w:p>
    <w:p w:rsidR="008708FA" w:rsidRDefault="008708FA" w:rsidP="008708FA">
      <w:pPr>
        <w:rPr>
          <w:rFonts w:eastAsia="Calibri"/>
        </w:rPr>
      </w:pPr>
    </w:p>
    <w:p w:rsidR="009B28FD" w:rsidRPr="008708FA" w:rsidRDefault="009B28FD" w:rsidP="008708FA">
      <w:pPr>
        <w:rPr>
          <w:rFonts w:eastAsia="Calibri"/>
        </w:rPr>
      </w:pPr>
    </w:p>
    <w:p w:rsidR="008708FA" w:rsidRPr="00AF0DDE" w:rsidRDefault="00BF7D3B" w:rsidP="00AF0DDE">
      <w:pPr>
        <w:pStyle w:val="Heading1"/>
        <w:numPr>
          <w:ilvl w:val="0"/>
          <w:numId w:val="0"/>
        </w:numPr>
      </w:pPr>
      <w:bookmarkStart w:id="37" w:name="_Ref367870618"/>
      <w:bookmarkStart w:id="38" w:name="_Toc370307925"/>
      <w:bookmarkStart w:id="39" w:name="_Toc370310334"/>
      <w:r>
        <w:t xml:space="preserve">2.  </w:t>
      </w:r>
      <w:r w:rsidR="008708FA" w:rsidRPr="008708FA">
        <w:t>Are UMs the best fit for Thai innovators?</w:t>
      </w:r>
      <w:bookmarkEnd w:id="37"/>
      <w:bookmarkEnd w:id="38"/>
      <w:bookmarkEnd w:id="39"/>
    </w:p>
    <w:p w:rsidR="008708FA" w:rsidRPr="008708FA" w:rsidRDefault="008708FA" w:rsidP="008708FA">
      <w:pPr>
        <w:rPr>
          <w:rFonts w:eastAsia="Calibri"/>
        </w:rPr>
      </w:pPr>
    </w:p>
    <w:p w:rsidR="008708FA" w:rsidRPr="008708FA" w:rsidRDefault="008708FA" w:rsidP="005C2427">
      <w:pPr>
        <w:pStyle w:val="Heading2"/>
        <w:numPr>
          <w:ilvl w:val="0"/>
          <w:numId w:val="0"/>
        </w:numPr>
        <w:ind w:left="576" w:hanging="576"/>
      </w:pPr>
      <w:bookmarkStart w:id="40" w:name="_Ref368389652"/>
      <w:bookmarkStart w:id="41" w:name="_Toc370307926"/>
      <w:bookmarkStart w:id="42" w:name="_Toc370310335"/>
      <w:r w:rsidRPr="008708FA">
        <w:t>Attractive IP for Thai applicants</w:t>
      </w:r>
      <w:bookmarkEnd w:id="40"/>
      <w:bookmarkEnd w:id="41"/>
      <w:bookmarkEnd w:id="42"/>
      <w:r w:rsidRPr="008708FA">
        <w:t xml:space="preserve"> </w:t>
      </w:r>
    </w:p>
    <w:p w:rsidR="008708FA" w:rsidRPr="008708FA" w:rsidRDefault="008708FA" w:rsidP="008708FA">
      <w:pPr>
        <w:rPr>
          <w:rFonts w:eastAsia="Calibri"/>
        </w:rPr>
      </w:pPr>
    </w:p>
    <w:p w:rsidR="008708FA" w:rsidRPr="008708FA" w:rsidRDefault="008708FA" w:rsidP="008708FA">
      <w:pPr>
        <w:rPr>
          <w:rFonts w:eastAsia="Calibri"/>
        </w:rPr>
      </w:pPr>
      <w:r w:rsidRPr="009E1F3F">
        <w:rPr>
          <w:rFonts w:eastAsia="Calibri"/>
        </w:rPr>
        <w:t xml:space="preserve">As briefly mentioned in the previous section, </w:t>
      </w:r>
      <w:r w:rsidRPr="009E1F3F">
        <w:rPr>
          <w:rFonts w:eastAsia="Calibri"/>
        </w:rPr>
        <w:fldChar w:fldCharType="begin"/>
      </w:r>
      <w:r w:rsidRPr="009E1F3F">
        <w:rPr>
          <w:rFonts w:eastAsia="Calibri"/>
        </w:rPr>
        <w:instrText xml:space="preserve"> REF _Ref364428004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w:t>
      </w:r>
      <w:r w:rsidR="006A4BE7">
        <w:rPr>
          <w:rFonts w:eastAsia="Calibri"/>
          <w:b/>
          <w:bCs/>
          <w:i/>
          <w:noProof/>
          <w:sz w:val="20"/>
          <w:szCs w:val="18"/>
        </w:rPr>
        <w:t>1</w:t>
      </w:r>
      <w:r w:rsidRPr="009E1F3F">
        <w:rPr>
          <w:rFonts w:eastAsia="Calibri"/>
        </w:rPr>
        <w:fldChar w:fldCharType="end"/>
      </w:r>
      <w:r w:rsidRPr="009E1F3F">
        <w:rPr>
          <w:rFonts w:eastAsia="Calibri"/>
        </w:rPr>
        <w:t xml:space="preserve"> also offers a breakdown of UM filings</w:t>
      </w:r>
      <w:r w:rsidRPr="008708FA">
        <w:rPr>
          <w:rFonts w:eastAsia="Calibri"/>
        </w:rPr>
        <w:t xml:space="preserve"> by residents and non-residents.  Similar to trademarks and industrial designs but in contrast to patents, Thai residents are behind the vast majority of UM applications.  As such, it can be argued that the UM protection has been successful in appealing to local innovators.  The 95% resident share for UMs is considerably higher than the equivalent shares for industrial designs (74%) and trademarks (66%); in the case of patents, residents only account for 14% of filings – similar to many other middle-income economies (WIPO, 2012).</w:t>
      </w:r>
    </w:p>
    <w:p w:rsidR="008708FA" w:rsidRPr="008708FA" w:rsidRDefault="008708FA" w:rsidP="008708FA">
      <w:pPr>
        <w:rPr>
          <w:rFonts w:eastAsia="Calibri"/>
        </w:rPr>
      </w:pPr>
    </w:p>
    <w:p w:rsidR="008708FA" w:rsidRPr="008708FA" w:rsidRDefault="008708FA" w:rsidP="008708FA">
      <w:pPr>
        <w:rPr>
          <w:rFonts w:eastAsia="Calibri"/>
        </w:rPr>
      </w:pPr>
      <w:r w:rsidRPr="009E1F3F">
        <w:rPr>
          <w:rFonts w:eastAsia="Calibri"/>
        </w:rPr>
        <w:t xml:space="preserve">As displayed in </w:t>
      </w:r>
      <w:r w:rsidRPr="009E1F3F">
        <w:rPr>
          <w:rFonts w:eastAsia="Calibri"/>
        </w:rPr>
        <w:fldChar w:fldCharType="begin"/>
      </w:r>
      <w:r w:rsidRPr="009E1F3F">
        <w:rPr>
          <w:rFonts w:eastAsia="Calibri"/>
        </w:rPr>
        <w:instrText xml:space="preserve"> REF _Ref367877394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Table </w:t>
      </w:r>
      <w:r w:rsidR="006A4BE7">
        <w:rPr>
          <w:rFonts w:eastAsia="Calibri"/>
          <w:b/>
          <w:bCs/>
          <w:i/>
          <w:noProof/>
          <w:sz w:val="20"/>
          <w:szCs w:val="18"/>
        </w:rPr>
        <w:t>1</w:t>
      </w:r>
      <w:r w:rsidRPr="009E1F3F">
        <w:rPr>
          <w:rFonts w:eastAsia="Calibri"/>
        </w:rPr>
        <w:fldChar w:fldCharType="end"/>
      </w:r>
      <w:r w:rsidRPr="009E1F3F">
        <w:rPr>
          <w:rFonts w:eastAsia="Calibri"/>
        </w:rPr>
        <w:t>, the vast majority of applicants of the registered Utility Models are</w:t>
      </w:r>
      <w:r w:rsidRPr="008708FA">
        <w:rPr>
          <w:rFonts w:eastAsia="Calibri"/>
        </w:rPr>
        <w:t xml:space="preserve"> Thai.</w:t>
      </w:r>
      <w:r w:rsidRPr="008708FA">
        <w:rPr>
          <w:rFonts w:eastAsia="Calibri"/>
          <w:vertAlign w:val="superscript"/>
        </w:rPr>
        <w:footnoteReference w:id="8"/>
      </w:r>
      <w:r w:rsidRPr="008708FA">
        <w:rPr>
          <w:rFonts w:eastAsia="Calibri"/>
        </w:rPr>
        <w:t xml:space="preserve">  With the only exception of the Chinese nationals, who account for 6% of the granted UM, foreign applicants account for a negligible amount of UM.  While few, these are more frequently neighboring countries such as Japan, Malaysia, Republic of Korea, Indonesia and Vietnam.  Interestingly, there are few applicants from the United States where UM protection is not available.</w:t>
      </w:r>
    </w:p>
    <w:p w:rsidR="008708FA" w:rsidRPr="008708FA" w:rsidRDefault="008708FA" w:rsidP="008708FA">
      <w:pPr>
        <w:rPr>
          <w:rFonts w:eastAsia="Calibri"/>
        </w:rPr>
      </w:pPr>
    </w:p>
    <w:p w:rsidR="008708FA" w:rsidRPr="008708FA" w:rsidRDefault="008708FA" w:rsidP="008708FA">
      <w:pPr>
        <w:rPr>
          <w:rFonts w:eastAsia="Calibri"/>
        </w:rPr>
      </w:pPr>
    </w:p>
    <w:p w:rsidR="008708FA" w:rsidRPr="009E1F3F" w:rsidRDefault="008708FA" w:rsidP="008708FA">
      <w:pPr>
        <w:rPr>
          <w:rFonts w:eastAsia="Calibri"/>
          <w:b/>
          <w:bCs/>
          <w:i/>
          <w:sz w:val="20"/>
          <w:szCs w:val="20"/>
        </w:rPr>
      </w:pPr>
      <w:bookmarkStart w:id="43" w:name="_Ref367877394"/>
      <w:r w:rsidRPr="009E1F3F">
        <w:rPr>
          <w:rFonts w:eastAsia="Calibri"/>
          <w:b/>
          <w:bCs/>
          <w:i/>
          <w:sz w:val="20"/>
          <w:szCs w:val="20"/>
        </w:rPr>
        <w:t xml:space="preserve">Table </w:t>
      </w:r>
      <w:r w:rsidRPr="008708FA">
        <w:rPr>
          <w:rFonts w:eastAsia="Calibri"/>
          <w:b/>
          <w:bCs/>
          <w:i/>
          <w:sz w:val="20"/>
          <w:szCs w:val="18"/>
        </w:rPr>
        <w:fldChar w:fldCharType="begin"/>
      </w:r>
      <w:r w:rsidRPr="008708FA">
        <w:rPr>
          <w:rFonts w:eastAsia="Calibri"/>
          <w:b/>
          <w:bCs/>
          <w:i/>
          <w:sz w:val="20"/>
          <w:szCs w:val="18"/>
        </w:rPr>
        <w:instrText xml:space="preserve"> SEQ Table \* ARABIC </w:instrText>
      </w:r>
      <w:r w:rsidRPr="008708FA">
        <w:rPr>
          <w:rFonts w:eastAsia="Calibri"/>
          <w:b/>
          <w:bCs/>
          <w:i/>
          <w:sz w:val="20"/>
          <w:szCs w:val="18"/>
        </w:rPr>
        <w:fldChar w:fldCharType="separate"/>
      </w:r>
      <w:r w:rsidR="006A4BE7">
        <w:rPr>
          <w:rFonts w:eastAsia="Calibri"/>
          <w:b/>
          <w:bCs/>
          <w:i/>
          <w:noProof/>
          <w:sz w:val="20"/>
          <w:szCs w:val="18"/>
        </w:rPr>
        <w:t>1</w:t>
      </w:r>
      <w:r w:rsidRPr="008708FA">
        <w:rPr>
          <w:rFonts w:eastAsia="Calibri"/>
          <w:b/>
          <w:bCs/>
          <w:i/>
          <w:sz w:val="20"/>
          <w:szCs w:val="18"/>
        </w:rPr>
        <w:fldChar w:fldCharType="end"/>
      </w:r>
      <w:bookmarkEnd w:id="43"/>
      <w:r w:rsidRPr="009E1F3F">
        <w:rPr>
          <w:rFonts w:eastAsia="Calibri"/>
          <w:b/>
          <w:bCs/>
          <w:i/>
          <w:sz w:val="20"/>
          <w:szCs w:val="20"/>
        </w:rPr>
        <w:t>: Registered Utility Models by Applicants’ Nationality</w:t>
      </w:r>
    </w:p>
    <w:tbl>
      <w:tblPr>
        <w:tblW w:w="0" w:type="auto"/>
        <w:tblLook w:val="04A0" w:firstRow="1" w:lastRow="0" w:firstColumn="1" w:lastColumn="0" w:noHBand="0" w:noVBand="1"/>
      </w:tblPr>
      <w:tblGrid>
        <w:gridCol w:w="2709"/>
        <w:gridCol w:w="1669"/>
        <w:gridCol w:w="1670"/>
      </w:tblGrid>
      <w:tr w:rsidR="008708FA" w:rsidRPr="008708FA" w:rsidTr="005C2427">
        <w:trPr>
          <w:trHeight w:val="288"/>
          <w:tblHeader/>
        </w:trPr>
        <w:tc>
          <w:tcPr>
            <w:tcW w:w="2709"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708FA" w:rsidRPr="008708FA" w:rsidRDefault="008708FA" w:rsidP="008708FA">
            <w:pPr>
              <w:spacing w:before="60" w:after="60"/>
              <w:jc w:val="center"/>
              <w:rPr>
                <w:rFonts w:eastAsia="Calibri" w:cs="Arial"/>
                <w:b/>
                <w:bCs/>
                <w:szCs w:val="18"/>
              </w:rPr>
            </w:pPr>
            <w:r w:rsidRPr="008708FA">
              <w:rPr>
                <w:rFonts w:eastAsia="Calibri" w:cs="Arial"/>
                <w:b/>
                <w:bCs/>
                <w:szCs w:val="18"/>
              </w:rPr>
              <w:t>Country</w:t>
            </w:r>
          </w:p>
        </w:tc>
        <w:tc>
          <w:tcPr>
            <w:tcW w:w="1669"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8708FA" w:rsidRPr="008708FA" w:rsidRDefault="008708FA" w:rsidP="008708FA">
            <w:pPr>
              <w:spacing w:before="60" w:after="60"/>
              <w:jc w:val="center"/>
              <w:rPr>
                <w:rFonts w:eastAsia="Calibri" w:cs="Arial"/>
                <w:b/>
                <w:bCs/>
                <w:szCs w:val="18"/>
              </w:rPr>
            </w:pPr>
            <w:r w:rsidRPr="008708FA">
              <w:rPr>
                <w:rFonts w:eastAsia="Calibri" w:cs="Arial"/>
                <w:b/>
                <w:bCs/>
                <w:szCs w:val="18"/>
              </w:rPr>
              <w:t>Total</w:t>
            </w:r>
          </w:p>
        </w:tc>
        <w:tc>
          <w:tcPr>
            <w:tcW w:w="1670"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8708FA" w:rsidRPr="008708FA" w:rsidRDefault="008708FA" w:rsidP="008708FA">
            <w:pPr>
              <w:spacing w:before="60" w:after="60"/>
              <w:jc w:val="center"/>
              <w:rPr>
                <w:rFonts w:eastAsia="Calibri" w:cs="Arial"/>
                <w:b/>
                <w:bCs/>
                <w:szCs w:val="18"/>
              </w:rPr>
            </w:pPr>
            <w:r w:rsidRPr="008708FA">
              <w:rPr>
                <w:rFonts w:eastAsia="Calibri" w:cs="Arial"/>
                <w:b/>
                <w:bCs/>
                <w:szCs w:val="18"/>
              </w:rPr>
              <w:t>%</w:t>
            </w:r>
          </w:p>
        </w:tc>
      </w:tr>
      <w:tr w:rsidR="008708FA" w:rsidRPr="008708FA" w:rsidTr="005C2427">
        <w:trPr>
          <w:trHeight w:val="288"/>
        </w:trPr>
        <w:tc>
          <w:tcPr>
            <w:tcW w:w="2709" w:type="dxa"/>
            <w:tcBorders>
              <w:top w:val="single" w:sz="4" w:space="0" w:color="auto"/>
              <w:left w:val="single" w:sz="4" w:space="0" w:color="auto"/>
              <w:right w:val="single" w:sz="4" w:space="0" w:color="auto"/>
            </w:tcBorders>
            <w:shd w:val="clear" w:color="auto" w:fill="auto"/>
            <w:noWrap/>
            <w:vAlign w:val="center"/>
            <w:hideMark/>
          </w:tcPr>
          <w:p w:rsidR="008708FA" w:rsidRPr="008708FA" w:rsidRDefault="008708FA" w:rsidP="008708FA">
            <w:pPr>
              <w:spacing w:before="60" w:after="60"/>
              <w:rPr>
                <w:rFonts w:eastAsia="Calibri" w:cs="Arial"/>
                <w:szCs w:val="18"/>
              </w:rPr>
            </w:pPr>
            <w:r w:rsidRPr="008708FA">
              <w:rPr>
                <w:rFonts w:eastAsia="Calibri" w:cs="Arial"/>
                <w:szCs w:val="18"/>
              </w:rPr>
              <w:t>Thailand</w:t>
            </w:r>
          </w:p>
        </w:tc>
        <w:tc>
          <w:tcPr>
            <w:tcW w:w="1669" w:type="dxa"/>
            <w:tcBorders>
              <w:top w:val="single" w:sz="4" w:space="0" w:color="auto"/>
              <w:left w:val="nil"/>
              <w:right w:val="single" w:sz="4" w:space="0" w:color="auto"/>
            </w:tcBorders>
            <w:shd w:val="clear" w:color="auto" w:fill="auto"/>
            <w:noWrap/>
            <w:vAlign w:val="center"/>
            <w:hideMark/>
          </w:tcPr>
          <w:p w:rsidR="008708FA" w:rsidRPr="008708FA" w:rsidRDefault="008708FA" w:rsidP="008708FA">
            <w:pPr>
              <w:spacing w:before="60" w:after="60"/>
              <w:jc w:val="center"/>
              <w:rPr>
                <w:rFonts w:eastAsia="Calibri" w:cs="Arial"/>
                <w:szCs w:val="18"/>
              </w:rPr>
            </w:pPr>
            <w:r w:rsidRPr="008708FA">
              <w:rPr>
                <w:rFonts w:eastAsia="Calibri" w:cs="Arial"/>
                <w:szCs w:val="18"/>
              </w:rPr>
              <w:t>6,788</w:t>
            </w:r>
          </w:p>
        </w:tc>
        <w:tc>
          <w:tcPr>
            <w:tcW w:w="1670" w:type="dxa"/>
            <w:tcBorders>
              <w:top w:val="single" w:sz="4" w:space="0" w:color="auto"/>
              <w:left w:val="nil"/>
              <w:right w:val="single" w:sz="4" w:space="0" w:color="auto"/>
            </w:tcBorders>
            <w:vAlign w:val="center"/>
          </w:tcPr>
          <w:p w:rsidR="008708FA" w:rsidRPr="008708FA" w:rsidRDefault="008708FA" w:rsidP="008708FA">
            <w:pPr>
              <w:spacing w:before="60" w:after="60"/>
              <w:jc w:val="right"/>
              <w:rPr>
                <w:rFonts w:eastAsia="Calibri" w:cs="Arial"/>
                <w:szCs w:val="18"/>
              </w:rPr>
            </w:pPr>
            <w:r w:rsidRPr="008708FA">
              <w:rPr>
                <w:rFonts w:eastAsia="Calibri" w:cs="Arial"/>
                <w:szCs w:val="18"/>
              </w:rPr>
              <w:t>90.5%</w:t>
            </w:r>
          </w:p>
        </w:tc>
      </w:tr>
      <w:tr w:rsidR="008708FA" w:rsidRPr="008708FA" w:rsidTr="005C2427">
        <w:trPr>
          <w:trHeight w:val="288"/>
        </w:trPr>
        <w:tc>
          <w:tcPr>
            <w:tcW w:w="2709" w:type="dxa"/>
            <w:tcBorders>
              <w:top w:val="nil"/>
              <w:left w:val="single" w:sz="4" w:space="0" w:color="auto"/>
              <w:right w:val="single" w:sz="4" w:space="0" w:color="auto"/>
            </w:tcBorders>
            <w:shd w:val="clear" w:color="auto" w:fill="auto"/>
            <w:noWrap/>
            <w:vAlign w:val="center"/>
            <w:hideMark/>
          </w:tcPr>
          <w:p w:rsidR="008708FA" w:rsidRPr="008708FA" w:rsidRDefault="008708FA" w:rsidP="008708FA">
            <w:pPr>
              <w:spacing w:before="60" w:after="60"/>
              <w:rPr>
                <w:rFonts w:eastAsia="Calibri" w:cs="Arial"/>
                <w:szCs w:val="18"/>
              </w:rPr>
            </w:pPr>
            <w:r w:rsidRPr="008708FA">
              <w:rPr>
                <w:rFonts w:eastAsia="Calibri" w:cs="Arial"/>
                <w:szCs w:val="18"/>
              </w:rPr>
              <w:t>China</w:t>
            </w:r>
          </w:p>
        </w:tc>
        <w:tc>
          <w:tcPr>
            <w:tcW w:w="1669" w:type="dxa"/>
            <w:tcBorders>
              <w:top w:val="nil"/>
              <w:left w:val="nil"/>
              <w:right w:val="single" w:sz="4" w:space="0" w:color="auto"/>
            </w:tcBorders>
            <w:shd w:val="clear" w:color="auto" w:fill="auto"/>
            <w:noWrap/>
            <w:vAlign w:val="center"/>
            <w:hideMark/>
          </w:tcPr>
          <w:p w:rsidR="008708FA" w:rsidRPr="008708FA" w:rsidRDefault="008708FA" w:rsidP="008708FA">
            <w:pPr>
              <w:spacing w:before="60" w:after="60"/>
              <w:jc w:val="center"/>
              <w:rPr>
                <w:rFonts w:eastAsia="Calibri" w:cs="Arial"/>
                <w:szCs w:val="18"/>
              </w:rPr>
            </w:pPr>
            <w:r w:rsidRPr="008708FA">
              <w:rPr>
                <w:rFonts w:eastAsia="Calibri" w:cs="Arial"/>
                <w:szCs w:val="18"/>
              </w:rPr>
              <w:t>430</w:t>
            </w:r>
          </w:p>
        </w:tc>
        <w:tc>
          <w:tcPr>
            <w:tcW w:w="1670" w:type="dxa"/>
            <w:tcBorders>
              <w:top w:val="nil"/>
              <w:left w:val="nil"/>
              <w:right w:val="single" w:sz="4" w:space="0" w:color="auto"/>
            </w:tcBorders>
            <w:vAlign w:val="center"/>
          </w:tcPr>
          <w:p w:rsidR="008708FA" w:rsidRPr="008708FA" w:rsidRDefault="008708FA" w:rsidP="008708FA">
            <w:pPr>
              <w:spacing w:before="60" w:after="60"/>
              <w:jc w:val="right"/>
              <w:rPr>
                <w:rFonts w:eastAsia="Calibri" w:cs="Arial"/>
                <w:szCs w:val="18"/>
              </w:rPr>
            </w:pPr>
            <w:r w:rsidRPr="008708FA">
              <w:rPr>
                <w:rFonts w:eastAsia="Calibri" w:cs="Arial"/>
                <w:szCs w:val="18"/>
              </w:rPr>
              <w:t>5.7%</w:t>
            </w:r>
          </w:p>
        </w:tc>
      </w:tr>
      <w:tr w:rsidR="008708FA" w:rsidRPr="008708FA" w:rsidTr="005C2427">
        <w:trPr>
          <w:trHeight w:val="288"/>
        </w:trPr>
        <w:tc>
          <w:tcPr>
            <w:tcW w:w="2709" w:type="dxa"/>
            <w:tcBorders>
              <w:top w:val="nil"/>
              <w:left w:val="single" w:sz="4" w:space="0" w:color="auto"/>
              <w:right w:val="single" w:sz="4" w:space="0" w:color="auto"/>
            </w:tcBorders>
            <w:shd w:val="clear" w:color="auto" w:fill="auto"/>
            <w:noWrap/>
            <w:vAlign w:val="center"/>
            <w:hideMark/>
          </w:tcPr>
          <w:p w:rsidR="008708FA" w:rsidRPr="008708FA" w:rsidRDefault="008708FA" w:rsidP="008708FA">
            <w:pPr>
              <w:spacing w:before="60" w:after="60"/>
              <w:rPr>
                <w:rFonts w:eastAsia="Calibri" w:cs="Arial"/>
                <w:szCs w:val="18"/>
              </w:rPr>
            </w:pPr>
            <w:r w:rsidRPr="008708FA">
              <w:rPr>
                <w:rFonts w:eastAsia="Calibri" w:cs="Arial"/>
                <w:szCs w:val="18"/>
              </w:rPr>
              <w:t>Japan</w:t>
            </w:r>
          </w:p>
        </w:tc>
        <w:tc>
          <w:tcPr>
            <w:tcW w:w="1669" w:type="dxa"/>
            <w:tcBorders>
              <w:top w:val="nil"/>
              <w:left w:val="nil"/>
              <w:right w:val="single" w:sz="4" w:space="0" w:color="auto"/>
            </w:tcBorders>
            <w:shd w:val="clear" w:color="auto" w:fill="auto"/>
            <w:noWrap/>
            <w:vAlign w:val="center"/>
            <w:hideMark/>
          </w:tcPr>
          <w:p w:rsidR="008708FA" w:rsidRPr="008708FA" w:rsidRDefault="008708FA" w:rsidP="008708FA">
            <w:pPr>
              <w:spacing w:before="60" w:after="60"/>
              <w:jc w:val="center"/>
              <w:rPr>
                <w:rFonts w:eastAsia="Calibri" w:cs="Arial"/>
                <w:szCs w:val="18"/>
              </w:rPr>
            </w:pPr>
            <w:r w:rsidRPr="008708FA">
              <w:rPr>
                <w:rFonts w:eastAsia="Calibri" w:cs="Arial"/>
                <w:szCs w:val="18"/>
              </w:rPr>
              <w:t>27</w:t>
            </w:r>
          </w:p>
        </w:tc>
        <w:tc>
          <w:tcPr>
            <w:tcW w:w="1670" w:type="dxa"/>
            <w:tcBorders>
              <w:top w:val="nil"/>
              <w:left w:val="nil"/>
              <w:right w:val="single" w:sz="4" w:space="0" w:color="auto"/>
            </w:tcBorders>
            <w:vAlign w:val="center"/>
          </w:tcPr>
          <w:p w:rsidR="008708FA" w:rsidRPr="008708FA" w:rsidRDefault="008708FA" w:rsidP="008708FA">
            <w:pPr>
              <w:spacing w:before="60" w:after="60"/>
              <w:jc w:val="right"/>
              <w:rPr>
                <w:rFonts w:eastAsia="Calibri" w:cs="Arial"/>
                <w:szCs w:val="18"/>
              </w:rPr>
            </w:pPr>
            <w:r w:rsidRPr="008708FA">
              <w:rPr>
                <w:rFonts w:eastAsia="Calibri" w:cs="Arial"/>
                <w:szCs w:val="18"/>
              </w:rPr>
              <w:t>0.4%</w:t>
            </w:r>
          </w:p>
        </w:tc>
      </w:tr>
      <w:tr w:rsidR="008708FA" w:rsidRPr="008708FA" w:rsidTr="005C2427">
        <w:trPr>
          <w:trHeight w:val="288"/>
        </w:trPr>
        <w:tc>
          <w:tcPr>
            <w:tcW w:w="2709" w:type="dxa"/>
            <w:tcBorders>
              <w:top w:val="nil"/>
              <w:left w:val="single" w:sz="4" w:space="0" w:color="auto"/>
              <w:right w:val="single" w:sz="4" w:space="0" w:color="auto"/>
            </w:tcBorders>
            <w:shd w:val="clear" w:color="auto" w:fill="auto"/>
            <w:noWrap/>
            <w:vAlign w:val="center"/>
            <w:hideMark/>
          </w:tcPr>
          <w:p w:rsidR="008708FA" w:rsidRPr="008708FA" w:rsidRDefault="008708FA" w:rsidP="008708FA">
            <w:pPr>
              <w:spacing w:before="60" w:after="60"/>
              <w:rPr>
                <w:rFonts w:eastAsia="Calibri" w:cs="Arial"/>
                <w:szCs w:val="18"/>
              </w:rPr>
            </w:pPr>
            <w:r w:rsidRPr="008708FA">
              <w:rPr>
                <w:rFonts w:eastAsia="Calibri" w:cs="Arial"/>
                <w:szCs w:val="18"/>
              </w:rPr>
              <w:t>United States</w:t>
            </w:r>
          </w:p>
        </w:tc>
        <w:tc>
          <w:tcPr>
            <w:tcW w:w="1669" w:type="dxa"/>
            <w:tcBorders>
              <w:top w:val="nil"/>
              <w:left w:val="nil"/>
              <w:right w:val="single" w:sz="4" w:space="0" w:color="auto"/>
            </w:tcBorders>
            <w:shd w:val="clear" w:color="auto" w:fill="auto"/>
            <w:noWrap/>
            <w:vAlign w:val="center"/>
            <w:hideMark/>
          </w:tcPr>
          <w:p w:rsidR="008708FA" w:rsidRPr="008708FA" w:rsidRDefault="008708FA" w:rsidP="008708FA">
            <w:pPr>
              <w:spacing w:before="60" w:after="60"/>
              <w:jc w:val="center"/>
              <w:rPr>
                <w:rFonts w:eastAsia="Calibri" w:cs="Arial"/>
                <w:szCs w:val="18"/>
              </w:rPr>
            </w:pPr>
            <w:r w:rsidRPr="008708FA">
              <w:rPr>
                <w:rFonts w:eastAsia="Calibri" w:cs="Arial"/>
                <w:szCs w:val="18"/>
              </w:rPr>
              <w:t>21</w:t>
            </w:r>
          </w:p>
        </w:tc>
        <w:tc>
          <w:tcPr>
            <w:tcW w:w="1670" w:type="dxa"/>
            <w:tcBorders>
              <w:top w:val="nil"/>
              <w:left w:val="nil"/>
              <w:right w:val="single" w:sz="4" w:space="0" w:color="auto"/>
            </w:tcBorders>
            <w:vAlign w:val="center"/>
          </w:tcPr>
          <w:p w:rsidR="008708FA" w:rsidRPr="008708FA" w:rsidRDefault="008708FA" w:rsidP="008708FA">
            <w:pPr>
              <w:spacing w:before="60" w:after="60"/>
              <w:jc w:val="right"/>
              <w:rPr>
                <w:rFonts w:eastAsia="Calibri" w:cs="Arial"/>
                <w:szCs w:val="18"/>
              </w:rPr>
            </w:pPr>
            <w:r w:rsidRPr="008708FA">
              <w:rPr>
                <w:rFonts w:eastAsia="Calibri" w:cs="Arial"/>
                <w:szCs w:val="18"/>
              </w:rPr>
              <w:t>0.3%</w:t>
            </w:r>
          </w:p>
        </w:tc>
      </w:tr>
      <w:tr w:rsidR="008708FA" w:rsidRPr="008708FA" w:rsidTr="005C2427">
        <w:trPr>
          <w:trHeight w:val="288"/>
        </w:trPr>
        <w:tc>
          <w:tcPr>
            <w:tcW w:w="2709" w:type="dxa"/>
            <w:tcBorders>
              <w:top w:val="nil"/>
              <w:left w:val="single" w:sz="4" w:space="0" w:color="auto"/>
              <w:right w:val="single" w:sz="4" w:space="0" w:color="auto"/>
            </w:tcBorders>
            <w:shd w:val="clear" w:color="auto" w:fill="auto"/>
            <w:noWrap/>
            <w:vAlign w:val="center"/>
            <w:hideMark/>
          </w:tcPr>
          <w:p w:rsidR="008708FA" w:rsidRPr="008708FA" w:rsidRDefault="008708FA" w:rsidP="008708FA">
            <w:pPr>
              <w:spacing w:before="60" w:after="60"/>
              <w:rPr>
                <w:rFonts w:eastAsia="Calibri" w:cs="Arial"/>
                <w:szCs w:val="18"/>
              </w:rPr>
            </w:pPr>
            <w:r w:rsidRPr="008708FA">
              <w:rPr>
                <w:rFonts w:eastAsia="Calibri" w:cs="Arial"/>
                <w:szCs w:val="18"/>
              </w:rPr>
              <w:t>Malaysia</w:t>
            </w:r>
          </w:p>
        </w:tc>
        <w:tc>
          <w:tcPr>
            <w:tcW w:w="1669" w:type="dxa"/>
            <w:tcBorders>
              <w:top w:val="nil"/>
              <w:left w:val="nil"/>
              <w:right w:val="single" w:sz="4" w:space="0" w:color="auto"/>
            </w:tcBorders>
            <w:shd w:val="clear" w:color="auto" w:fill="auto"/>
            <w:noWrap/>
            <w:vAlign w:val="center"/>
            <w:hideMark/>
          </w:tcPr>
          <w:p w:rsidR="008708FA" w:rsidRPr="008708FA" w:rsidRDefault="008708FA" w:rsidP="008708FA">
            <w:pPr>
              <w:spacing w:before="60" w:after="60"/>
              <w:jc w:val="center"/>
              <w:rPr>
                <w:rFonts w:eastAsia="Calibri" w:cs="Arial"/>
                <w:szCs w:val="18"/>
              </w:rPr>
            </w:pPr>
            <w:r w:rsidRPr="008708FA">
              <w:rPr>
                <w:rFonts w:eastAsia="Calibri" w:cs="Arial"/>
                <w:szCs w:val="18"/>
              </w:rPr>
              <w:t>12</w:t>
            </w:r>
          </w:p>
        </w:tc>
        <w:tc>
          <w:tcPr>
            <w:tcW w:w="1670" w:type="dxa"/>
            <w:tcBorders>
              <w:top w:val="nil"/>
              <w:left w:val="nil"/>
              <w:right w:val="single" w:sz="4" w:space="0" w:color="auto"/>
            </w:tcBorders>
            <w:vAlign w:val="center"/>
          </w:tcPr>
          <w:p w:rsidR="008708FA" w:rsidRPr="008708FA" w:rsidRDefault="008708FA" w:rsidP="008708FA">
            <w:pPr>
              <w:spacing w:before="60" w:after="60"/>
              <w:jc w:val="right"/>
              <w:rPr>
                <w:rFonts w:eastAsia="Calibri" w:cs="Arial"/>
                <w:szCs w:val="18"/>
              </w:rPr>
            </w:pPr>
            <w:r w:rsidRPr="008708FA">
              <w:rPr>
                <w:rFonts w:eastAsia="Calibri" w:cs="Arial"/>
                <w:szCs w:val="18"/>
              </w:rPr>
              <w:t>0.2%</w:t>
            </w:r>
          </w:p>
        </w:tc>
      </w:tr>
      <w:tr w:rsidR="008708FA" w:rsidRPr="008708FA" w:rsidTr="005C2427">
        <w:trPr>
          <w:trHeight w:val="288"/>
        </w:trPr>
        <w:tc>
          <w:tcPr>
            <w:tcW w:w="2709" w:type="dxa"/>
            <w:tcBorders>
              <w:top w:val="nil"/>
              <w:left w:val="single" w:sz="4" w:space="0" w:color="auto"/>
              <w:right w:val="single" w:sz="4" w:space="0" w:color="auto"/>
            </w:tcBorders>
            <w:shd w:val="clear" w:color="auto" w:fill="auto"/>
            <w:noWrap/>
            <w:vAlign w:val="center"/>
            <w:hideMark/>
          </w:tcPr>
          <w:p w:rsidR="008708FA" w:rsidRPr="008708FA" w:rsidRDefault="008708FA" w:rsidP="008708FA">
            <w:pPr>
              <w:spacing w:before="60" w:after="60"/>
              <w:rPr>
                <w:rFonts w:eastAsia="Calibri" w:cs="Arial"/>
                <w:i/>
                <w:szCs w:val="18"/>
              </w:rPr>
            </w:pPr>
            <w:r w:rsidRPr="008708FA">
              <w:rPr>
                <w:rFonts w:eastAsia="Calibri" w:cs="Arial"/>
                <w:i/>
                <w:szCs w:val="18"/>
              </w:rPr>
              <w:t>Other</w:t>
            </w:r>
          </w:p>
        </w:tc>
        <w:tc>
          <w:tcPr>
            <w:tcW w:w="1669" w:type="dxa"/>
            <w:tcBorders>
              <w:top w:val="nil"/>
              <w:left w:val="nil"/>
              <w:right w:val="single" w:sz="4" w:space="0" w:color="auto"/>
            </w:tcBorders>
            <w:shd w:val="clear" w:color="auto" w:fill="auto"/>
            <w:noWrap/>
            <w:vAlign w:val="center"/>
            <w:hideMark/>
          </w:tcPr>
          <w:p w:rsidR="008708FA" w:rsidRPr="008708FA" w:rsidRDefault="008708FA" w:rsidP="008708FA">
            <w:pPr>
              <w:spacing w:before="60" w:after="60"/>
              <w:jc w:val="center"/>
              <w:rPr>
                <w:rFonts w:eastAsia="Calibri" w:cs="Arial"/>
                <w:szCs w:val="18"/>
              </w:rPr>
            </w:pPr>
            <w:r w:rsidRPr="008708FA">
              <w:rPr>
                <w:rFonts w:eastAsia="Calibri" w:cs="Arial"/>
                <w:szCs w:val="18"/>
              </w:rPr>
              <w:t>95</w:t>
            </w:r>
          </w:p>
        </w:tc>
        <w:tc>
          <w:tcPr>
            <w:tcW w:w="1670" w:type="dxa"/>
            <w:tcBorders>
              <w:top w:val="nil"/>
              <w:left w:val="nil"/>
              <w:right w:val="single" w:sz="4" w:space="0" w:color="auto"/>
            </w:tcBorders>
            <w:vAlign w:val="center"/>
          </w:tcPr>
          <w:p w:rsidR="008708FA" w:rsidRPr="008708FA" w:rsidRDefault="008708FA" w:rsidP="008708FA">
            <w:pPr>
              <w:spacing w:before="60" w:after="60"/>
              <w:jc w:val="right"/>
              <w:rPr>
                <w:rFonts w:eastAsia="Calibri" w:cs="Arial"/>
                <w:szCs w:val="18"/>
              </w:rPr>
            </w:pPr>
            <w:r w:rsidRPr="008708FA">
              <w:rPr>
                <w:rFonts w:eastAsia="Calibri" w:cs="Arial"/>
                <w:szCs w:val="18"/>
              </w:rPr>
              <w:t>1.3%</w:t>
            </w:r>
          </w:p>
        </w:tc>
      </w:tr>
      <w:tr w:rsidR="008708FA" w:rsidRPr="008708FA" w:rsidTr="005C2427">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spacing w:before="60" w:after="60"/>
              <w:rPr>
                <w:rFonts w:eastAsia="Calibri" w:cs="Arial"/>
                <w:i/>
                <w:szCs w:val="18"/>
              </w:rPr>
            </w:pPr>
            <w:r w:rsidRPr="008708FA">
              <w:rPr>
                <w:rFonts w:eastAsia="Calibri" w:cs="Arial"/>
                <w:i/>
                <w:szCs w:val="18"/>
              </w:rPr>
              <w:t>Unknown</w:t>
            </w:r>
          </w:p>
        </w:tc>
        <w:tc>
          <w:tcPr>
            <w:tcW w:w="1669"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spacing w:before="60" w:after="60"/>
              <w:jc w:val="center"/>
              <w:rPr>
                <w:rFonts w:eastAsia="Calibri" w:cs="Arial"/>
                <w:szCs w:val="18"/>
              </w:rPr>
            </w:pPr>
            <w:r w:rsidRPr="008708FA">
              <w:rPr>
                <w:rFonts w:eastAsia="Calibri" w:cs="Arial"/>
                <w:szCs w:val="18"/>
              </w:rPr>
              <w:t>145</w:t>
            </w:r>
          </w:p>
        </w:tc>
        <w:tc>
          <w:tcPr>
            <w:tcW w:w="1670" w:type="dxa"/>
            <w:tcBorders>
              <w:top w:val="nil"/>
              <w:left w:val="nil"/>
              <w:bottom w:val="single" w:sz="4" w:space="0" w:color="auto"/>
              <w:right w:val="single" w:sz="4" w:space="0" w:color="auto"/>
            </w:tcBorders>
            <w:vAlign w:val="center"/>
          </w:tcPr>
          <w:p w:rsidR="008708FA" w:rsidRPr="008708FA" w:rsidRDefault="008708FA" w:rsidP="008708FA">
            <w:pPr>
              <w:spacing w:before="60" w:after="60"/>
              <w:jc w:val="right"/>
              <w:rPr>
                <w:rFonts w:eastAsia="Calibri" w:cs="Arial"/>
                <w:szCs w:val="18"/>
              </w:rPr>
            </w:pPr>
            <w:r w:rsidRPr="008708FA">
              <w:rPr>
                <w:rFonts w:eastAsia="Calibri" w:cs="Arial"/>
                <w:szCs w:val="18"/>
              </w:rPr>
              <w:t>1.9%</w:t>
            </w:r>
          </w:p>
        </w:tc>
      </w:tr>
      <w:tr w:rsidR="008708FA" w:rsidRPr="008708FA" w:rsidTr="005C2427">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spacing w:before="60" w:after="60"/>
              <w:jc w:val="center"/>
              <w:rPr>
                <w:rFonts w:eastAsia="Calibri" w:cs="Arial"/>
                <w:b/>
                <w:bCs/>
                <w:szCs w:val="18"/>
              </w:rPr>
            </w:pPr>
            <w:r w:rsidRPr="008708FA">
              <w:rPr>
                <w:rFonts w:eastAsia="Calibri" w:cs="Arial"/>
                <w:b/>
                <w:bCs/>
                <w:szCs w:val="18"/>
              </w:rPr>
              <w:t>Total</w:t>
            </w:r>
          </w:p>
        </w:tc>
        <w:tc>
          <w:tcPr>
            <w:tcW w:w="1669"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spacing w:before="60" w:after="60"/>
              <w:jc w:val="center"/>
              <w:rPr>
                <w:rFonts w:eastAsia="Calibri" w:cs="Arial"/>
                <w:b/>
                <w:bCs/>
                <w:szCs w:val="18"/>
              </w:rPr>
            </w:pPr>
            <w:r w:rsidRPr="008708FA">
              <w:rPr>
                <w:rFonts w:eastAsia="Calibri" w:cs="Arial"/>
                <w:b/>
                <w:bCs/>
                <w:szCs w:val="18"/>
              </w:rPr>
              <w:t>7,498</w:t>
            </w:r>
          </w:p>
        </w:tc>
        <w:tc>
          <w:tcPr>
            <w:tcW w:w="1670" w:type="dxa"/>
            <w:tcBorders>
              <w:top w:val="nil"/>
              <w:left w:val="nil"/>
              <w:bottom w:val="single" w:sz="4" w:space="0" w:color="auto"/>
              <w:right w:val="single" w:sz="4" w:space="0" w:color="auto"/>
            </w:tcBorders>
            <w:vAlign w:val="center"/>
          </w:tcPr>
          <w:p w:rsidR="008708FA" w:rsidRPr="008708FA" w:rsidRDefault="008708FA" w:rsidP="008708FA">
            <w:pPr>
              <w:spacing w:before="60" w:after="60"/>
              <w:jc w:val="right"/>
              <w:rPr>
                <w:rFonts w:eastAsia="Calibri" w:cs="Arial"/>
                <w:b/>
                <w:szCs w:val="18"/>
              </w:rPr>
            </w:pPr>
            <w:r w:rsidRPr="008708FA">
              <w:rPr>
                <w:rFonts w:eastAsia="Calibri" w:cs="Arial"/>
                <w:b/>
                <w:szCs w:val="18"/>
              </w:rPr>
              <w:t>100%</w:t>
            </w:r>
          </w:p>
        </w:tc>
      </w:tr>
    </w:tbl>
    <w:p w:rsidR="008708FA" w:rsidRPr="008708FA" w:rsidRDefault="008708FA" w:rsidP="008708FA">
      <w:pPr>
        <w:rPr>
          <w:rFonts w:eastAsia="Calibri"/>
          <w:i/>
          <w:sz w:val="16"/>
        </w:rPr>
      </w:pPr>
      <w:r w:rsidRPr="008708FA">
        <w:rPr>
          <w:rFonts w:eastAsia="Calibri"/>
          <w:i/>
          <w:sz w:val="16"/>
        </w:rPr>
        <w:t xml:space="preserve">Source: Own elaboration, based on DIP data. </w:t>
      </w:r>
      <w:r w:rsidRPr="008708FA">
        <w:rPr>
          <w:rFonts w:eastAsia="Calibri"/>
          <w:i/>
          <w:sz w:val="16"/>
        </w:rPr>
        <w:br/>
        <w:t>Note: percentages may exceed 100% due to multiple applicants.</w:t>
      </w:r>
    </w:p>
    <w:p w:rsidR="008708FA" w:rsidRPr="008708FA" w:rsidRDefault="008708FA" w:rsidP="008708FA">
      <w:pPr>
        <w:rPr>
          <w:rFonts w:eastAsia="Calibri"/>
        </w:rPr>
      </w:pP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The overwhelmingly local use of the UM protection seems to fit the objective targeted by the Thai government, which was to introduce an IP instrument that is likely to be more useful for its residents.  This is of course not unusual as the same trend has been evidenced in many other Asian economies with UM protection, such as Korea, Malaysia or China (Kim et al, 2012; </w:t>
      </w:r>
      <w:proofErr w:type="spellStart"/>
      <w:r w:rsidRPr="008708FA">
        <w:rPr>
          <w:rFonts w:eastAsia="Calibri"/>
        </w:rPr>
        <w:t>Suthersanen</w:t>
      </w:r>
      <w:proofErr w:type="spellEnd"/>
      <w:r w:rsidRPr="008708FA">
        <w:rPr>
          <w:rFonts w:eastAsia="Calibri"/>
        </w:rPr>
        <w:t xml:space="preserve">, 2006; Yang and Clarke, 2005). </w:t>
      </w:r>
    </w:p>
    <w:p w:rsidR="008708FA" w:rsidRPr="008708FA" w:rsidRDefault="008708FA" w:rsidP="008708FA">
      <w:pPr>
        <w:rPr>
          <w:rFonts w:eastAsia="Calibri"/>
        </w:rPr>
      </w:pPr>
    </w:p>
    <w:p w:rsidR="008708FA" w:rsidRPr="008708FA" w:rsidRDefault="008708FA" w:rsidP="008708FA">
      <w:pPr>
        <w:rPr>
          <w:rFonts w:eastAsia="Calibri"/>
        </w:rPr>
      </w:pPr>
    </w:p>
    <w:p w:rsidR="008708FA" w:rsidRPr="008708FA" w:rsidRDefault="008708FA" w:rsidP="005C2427">
      <w:pPr>
        <w:pStyle w:val="Heading2"/>
        <w:numPr>
          <w:ilvl w:val="0"/>
          <w:numId w:val="0"/>
        </w:numPr>
        <w:ind w:left="576" w:hanging="576"/>
      </w:pPr>
      <w:bookmarkStart w:id="44" w:name="_Ref368389665"/>
      <w:bookmarkStart w:id="45" w:name="_Toc370307927"/>
      <w:bookmarkStart w:id="46" w:name="_Toc370310336"/>
      <w:r w:rsidRPr="008708FA">
        <w:t>Better fit for Entrepreneurs and SMEs</w:t>
      </w:r>
      <w:bookmarkEnd w:id="44"/>
      <w:bookmarkEnd w:id="45"/>
      <w:bookmarkEnd w:id="46"/>
    </w:p>
    <w:p w:rsidR="008708FA" w:rsidRPr="008708FA" w:rsidRDefault="008708FA" w:rsidP="008708FA">
      <w:pPr>
        <w:rPr>
          <w:rFonts w:eastAsia="Calibri"/>
        </w:rPr>
      </w:pPr>
    </w:p>
    <w:p w:rsidR="008708FA" w:rsidRPr="008708FA" w:rsidRDefault="008708FA" w:rsidP="008708FA">
      <w:pPr>
        <w:rPr>
          <w:rFonts w:ascii="Arial Unicode MS" w:eastAsia="Calibri" w:hAnsi="Arial Unicode MS" w:cs="Arial Unicode MS"/>
        </w:rPr>
      </w:pPr>
      <w:r w:rsidRPr="009E1F3F">
        <w:rPr>
          <w:rFonts w:eastAsia="Calibri"/>
        </w:rPr>
        <w:t xml:space="preserve">As shown in </w:t>
      </w:r>
      <w:r w:rsidRPr="009E1F3F">
        <w:rPr>
          <w:rFonts w:eastAsia="Calibri"/>
        </w:rPr>
        <w:fldChar w:fldCharType="begin"/>
      </w:r>
      <w:r w:rsidRPr="009E1F3F">
        <w:rPr>
          <w:rFonts w:eastAsia="Calibri"/>
        </w:rPr>
        <w:instrText xml:space="preserve"> REF _Ref364692158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Table </w:t>
      </w:r>
      <w:r w:rsidR="006A4BE7">
        <w:rPr>
          <w:rFonts w:eastAsia="Calibri"/>
          <w:b/>
          <w:bCs/>
          <w:i/>
          <w:noProof/>
          <w:sz w:val="20"/>
          <w:szCs w:val="18"/>
        </w:rPr>
        <w:t>2</w:t>
      </w:r>
      <w:r w:rsidRPr="009E1F3F">
        <w:rPr>
          <w:rFonts w:eastAsia="Calibri"/>
        </w:rPr>
        <w:fldChar w:fldCharType="end"/>
      </w:r>
      <w:r w:rsidRPr="009E1F3F">
        <w:rPr>
          <w:rFonts w:eastAsia="Calibri"/>
        </w:rPr>
        <w:t>, companies account for a quarter of the registered UMs (25%) and</w:t>
      </w:r>
      <w:r w:rsidRPr="008708FA">
        <w:rPr>
          <w:rFonts w:eastAsia="Calibri"/>
        </w:rPr>
        <w:t xml:space="preserve"> public institutions add up to somewhat less than a quarter of registrations (22%).  This means that more than half of granted UM belong to individuals.  This high proportion of individual filing has also been noted in other countries.  For instance, two thirds of the UM filings from 1999-2003 in Malaysia were done by individuals (</w:t>
      </w:r>
      <w:proofErr w:type="spellStart"/>
      <w:r w:rsidRPr="008708FA">
        <w:rPr>
          <w:rFonts w:eastAsia="Calibri"/>
        </w:rPr>
        <w:t>Suthersanen</w:t>
      </w:r>
      <w:proofErr w:type="spellEnd"/>
      <w:r w:rsidRPr="008708FA">
        <w:rPr>
          <w:rFonts w:eastAsia="Calibri"/>
        </w:rPr>
        <w:t xml:space="preserve">, 2006).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However, anecdotal evidence suggests that some young and small businesses – particularly when applying for the first time – prefer having their UM rights registered under the name of the company owner rather than the company itself.  One explanation could be the higher risk faced by new entrepreneurial businesses.  In such cases, the prospect of retaining IP rights after business failure may act as an incentive to register the UM under the name of an individual.  Another one could be related to the fact that UM owners are accountable for IP infringements under criminal law, possibly implicating company executives.  In any case, at this stage, it seems this matter deserves further analysis. </w:t>
      </w:r>
    </w:p>
    <w:p w:rsidR="008708FA" w:rsidRPr="008708FA" w:rsidRDefault="008708FA" w:rsidP="008708FA">
      <w:pPr>
        <w:rPr>
          <w:rFonts w:eastAsia="Calibri"/>
        </w:rPr>
      </w:pPr>
    </w:p>
    <w:p w:rsidR="008708FA" w:rsidRPr="008708FA" w:rsidRDefault="008708FA" w:rsidP="008708FA">
      <w:pPr>
        <w:rPr>
          <w:rFonts w:eastAsia="Calibri"/>
        </w:rPr>
      </w:pPr>
    </w:p>
    <w:p w:rsidR="008708FA" w:rsidRPr="00867E76" w:rsidRDefault="008708FA" w:rsidP="00867E76">
      <w:pPr>
        <w:rPr>
          <w:rFonts w:eastAsia="Calibri"/>
          <w:b/>
          <w:bCs/>
          <w:i/>
          <w:sz w:val="20"/>
          <w:szCs w:val="20"/>
        </w:rPr>
      </w:pPr>
      <w:bookmarkStart w:id="47" w:name="_Ref364692158"/>
      <w:r w:rsidRPr="009E1F3F">
        <w:rPr>
          <w:rFonts w:eastAsia="Calibri"/>
          <w:b/>
          <w:bCs/>
          <w:i/>
          <w:sz w:val="20"/>
          <w:szCs w:val="20"/>
        </w:rPr>
        <w:t xml:space="preserve">Table </w:t>
      </w:r>
      <w:r w:rsidRPr="008708FA">
        <w:rPr>
          <w:rFonts w:eastAsia="Calibri"/>
          <w:b/>
          <w:bCs/>
          <w:i/>
          <w:sz w:val="20"/>
          <w:szCs w:val="18"/>
        </w:rPr>
        <w:fldChar w:fldCharType="begin"/>
      </w:r>
      <w:r w:rsidRPr="008708FA">
        <w:rPr>
          <w:rFonts w:eastAsia="Calibri"/>
          <w:b/>
          <w:bCs/>
          <w:i/>
          <w:sz w:val="20"/>
          <w:szCs w:val="18"/>
        </w:rPr>
        <w:instrText xml:space="preserve"> SEQ Table \* ARABIC </w:instrText>
      </w:r>
      <w:r w:rsidRPr="008708FA">
        <w:rPr>
          <w:rFonts w:eastAsia="Calibri"/>
          <w:b/>
          <w:bCs/>
          <w:i/>
          <w:sz w:val="20"/>
          <w:szCs w:val="18"/>
        </w:rPr>
        <w:fldChar w:fldCharType="separate"/>
      </w:r>
      <w:r w:rsidR="006A4BE7">
        <w:rPr>
          <w:rFonts w:eastAsia="Calibri"/>
          <w:b/>
          <w:bCs/>
          <w:i/>
          <w:noProof/>
          <w:sz w:val="20"/>
          <w:szCs w:val="18"/>
        </w:rPr>
        <w:t>2</w:t>
      </w:r>
      <w:r w:rsidRPr="008708FA">
        <w:rPr>
          <w:rFonts w:eastAsia="Calibri"/>
          <w:b/>
          <w:bCs/>
          <w:i/>
          <w:sz w:val="20"/>
          <w:szCs w:val="18"/>
        </w:rPr>
        <w:fldChar w:fldCharType="end"/>
      </w:r>
      <w:bookmarkEnd w:id="47"/>
      <w:r w:rsidRPr="009E1F3F">
        <w:rPr>
          <w:rFonts w:eastAsia="Calibri"/>
          <w:b/>
          <w:bCs/>
          <w:i/>
          <w:sz w:val="20"/>
          <w:szCs w:val="20"/>
        </w:rPr>
        <w:t>: Number of Applications by Applicant Type</w:t>
      </w:r>
    </w:p>
    <w:tbl>
      <w:tblPr>
        <w:tblW w:w="32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1261"/>
        <w:gridCol w:w="1439"/>
      </w:tblGrid>
      <w:tr w:rsidR="008708FA" w:rsidRPr="008708FA" w:rsidTr="005C2427">
        <w:tc>
          <w:tcPr>
            <w:tcW w:w="2734" w:type="pct"/>
            <w:tcBorders>
              <w:bottom w:val="single" w:sz="4" w:space="0" w:color="auto"/>
            </w:tcBorders>
            <w:shd w:val="clear" w:color="auto" w:fill="B6DDE8" w:themeFill="accent5" w:themeFillTint="66"/>
            <w:noWrap/>
            <w:vAlign w:val="center"/>
          </w:tcPr>
          <w:p w:rsidR="008708FA" w:rsidRPr="008708FA" w:rsidRDefault="008708FA" w:rsidP="008708FA">
            <w:pPr>
              <w:spacing w:before="60" w:after="60"/>
              <w:jc w:val="center"/>
              <w:rPr>
                <w:rFonts w:eastAsia="Calibri"/>
                <w:b/>
                <w:bCs/>
              </w:rPr>
            </w:pPr>
            <w:r w:rsidRPr="008708FA">
              <w:rPr>
                <w:rFonts w:eastAsia="Calibri"/>
                <w:b/>
                <w:bCs/>
              </w:rPr>
              <w:t>Applicant type</w:t>
            </w:r>
          </w:p>
        </w:tc>
        <w:tc>
          <w:tcPr>
            <w:tcW w:w="1058" w:type="pct"/>
            <w:tcBorders>
              <w:bottom w:val="single" w:sz="4" w:space="0" w:color="auto"/>
            </w:tcBorders>
            <w:shd w:val="clear" w:color="auto" w:fill="B6DDE8" w:themeFill="accent5" w:themeFillTint="66"/>
            <w:noWrap/>
            <w:vAlign w:val="center"/>
          </w:tcPr>
          <w:p w:rsidR="008708FA" w:rsidRPr="008708FA" w:rsidRDefault="008708FA" w:rsidP="008708FA">
            <w:pPr>
              <w:spacing w:before="60" w:after="60"/>
              <w:jc w:val="center"/>
              <w:rPr>
                <w:rFonts w:eastAsia="Calibri"/>
                <w:b/>
                <w:bCs/>
              </w:rPr>
            </w:pPr>
            <w:r w:rsidRPr="008708FA">
              <w:rPr>
                <w:rFonts w:eastAsia="Calibri"/>
                <w:b/>
                <w:bCs/>
              </w:rPr>
              <w:t>Total</w:t>
            </w:r>
          </w:p>
        </w:tc>
        <w:tc>
          <w:tcPr>
            <w:tcW w:w="1208" w:type="pct"/>
            <w:tcBorders>
              <w:bottom w:val="single" w:sz="4" w:space="0" w:color="auto"/>
            </w:tcBorders>
            <w:shd w:val="clear" w:color="auto" w:fill="B6DDE8" w:themeFill="accent5" w:themeFillTint="66"/>
            <w:noWrap/>
            <w:vAlign w:val="center"/>
          </w:tcPr>
          <w:p w:rsidR="008708FA" w:rsidRPr="008708FA" w:rsidRDefault="008708FA" w:rsidP="008708FA">
            <w:pPr>
              <w:spacing w:before="60" w:after="60"/>
              <w:jc w:val="center"/>
              <w:rPr>
                <w:rFonts w:eastAsia="Calibri"/>
                <w:b/>
                <w:bCs/>
              </w:rPr>
            </w:pPr>
            <w:r w:rsidRPr="008708FA">
              <w:rPr>
                <w:rFonts w:eastAsia="Calibri"/>
                <w:b/>
                <w:bCs/>
              </w:rPr>
              <w:t>%</w:t>
            </w:r>
          </w:p>
        </w:tc>
      </w:tr>
      <w:tr w:rsidR="008708FA" w:rsidRPr="008708FA" w:rsidTr="005C2427">
        <w:tc>
          <w:tcPr>
            <w:tcW w:w="2734" w:type="pct"/>
            <w:tcBorders>
              <w:bottom w:val="nil"/>
            </w:tcBorders>
            <w:shd w:val="clear" w:color="auto" w:fill="auto"/>
            <w:noWrap/>
            <w:vAlign w:val="center"/>
            <w:hideMark/>
          </w:tcPr>
          <w:p w:rsidR="008708FA" w:rsidRPr="008708FA" w:rsidRDefault="008708FA" w:rsidP="008708FA">
            <w:pPr>
              <w:spacing w:before="60" w:after="60"/>
              <w:rPr>
                <w:rFonts w:eastAsia="Calibri"/>
              </w:rPr>
            </w:pPr>
            <w:r w:rsidRPr="008708FA">
              <w:rPr>
                <w:rFonts w:eastAsia="Calibri"/>
              </w:rPr>
              <w:t>Natural person</w:t>
            </w:r>
          </w:p>
        </w:tc>
        <w:tc>
          <w:tcPr>
            <w:tcW w:w="1058" w:type="pct"/>
            <w:tcBorders>
              <w:bottom w:val="nil"/>
            </w:tcBorders>
            <w:shd w:val="clear" w:color="auto" w:fill="auto"/>
            <w:noWrap/>
            <w:vAlign w:val="center"/>
            <w:hideMark/>
          </w:tcPr>
          <w:p w:rsidR="008708FA" w:rsidRPr="008708FA" w:rsidRDefault="008708FA" w:rsidP="008708FA">
            <w:pPr>
              <w:spacing w:before="60" w:after="60"/>
              <w:jc w:val="center"/>
              <w:rPr>
                <w:rFonts w:eastAsia="Calibri"/>
              </w:rPr>
            </w:pPr>
            <w:r w:rsidRPr="008708FA">
              <w:rPr>
                <w:rFonts w:eastAsia="Calibri"/>
              </w:rPr>
              <w:t>3,950</w:t>
            </w:r>
          </w:p>
        </w:tc>
        <w:tc>
          <w:tcPr>
            <w:tcW w:w="1208" w:type="pct"/>
            <w:tcBorders>
              <w:bottom w:val="nil"/>
            </w:tcBorders>
            <w:shd w:val="clear" w:color="auto" w:fill="auto"/>
            <w:noWrap/>
            <w:vAlign w:val="center"/>
            <w:hideMark/>
          </w:tcPr>
          <w:p w:rsidR="008708FA" w:rsidRPr="008708FA" w:rsidRDefault="008708FA" w:rsidP="008708FA">
            <w:pPr>
              <w:spacing w:before="60" w:after="60"/>
              <w:jc w:val="center"/>
              <w:rPr>
                <w:rFonts w:eastAsia="Calibri"/>
              </w:rPr>
            </w:pPr>
            <w:r w:rsidRPr="008708FA">
              <w:rPr>
                <w:rFonts w:eastAsia="Calibri"/>
              </w:rPr>
              <w:t>52.7</w:t>
            </w:r>
          </w:p>
        </w:tc>
      </w:tr>
      <w:tr w:rsidR="008708FA" w:rsidRPr="008708FA" w:rsidTr="005C2427">
        <w:tc>
          <w:tcPr>
            <w:tcW w:w="2734" w:type="pct"/>
            <w:tcBorders>
              <w:top w:val="nil"/>
              <w:bottom w:val="nil"/>
            </w:tcBorders>
            <w:shd w:val="clear" w:color="auto" w:fill="auto"/>
            <w:noWrap/>
            <w:vAlign w:val="center"/>
            <w:hideMark/>
          </w:tcPr>
          <w:p w:rsidR="008708FA" w:rsidRPr="008708FA" w:rsidRDefault="008708FA" w:rsidP="008708FA">
            <w:pPr>
              <w:spacing w:before="60" w:after="60"/>
              <w:rPr>
                <w:rFonts w:eastAsia="Calibri"/>
              </w:rPr>
            </w:pPr>
            <w:r w:rsidRPr="008708FA">
              <w:rPr>
                <w:rFonts w:eastAsia="Calibri"/>
              </w:rPr>
              <w:t>Corporation</w:t>
            </w:r>
          </w:p>
        </w:tc>
        <w:tc>
          <w:tcPr>
            <w:tcW w:w="1058" w:type="pct"/>
            <w:tcBorders>
              <w:top w:val="nil"/>
              <w:bottom w:val="nil"/>
            </w:tcBorders>
            <w:shd w:val="clear" w:color="auto" w:fill="auto"/>
            <w:noWrap/>
            <w:vAlign w:val="center"/>
            <w:hideMark/>
          </w:tcPr>
          <w:p w:rsidR="008708FA" w:rsidRPr="008708FA" w:rsidRDefault="008708FA" w:rsidP="008708FA">
            <w:pPr>
              <w:spacing w:before="60" w:after="60"/>
              <w:jc w:val="center"/>
              <w:rPr>
                <w:rFonts w:eastAsia="Calibri"/>
              </w:rPr>
            </w:pPr>
            <w:r w:rsidRPr="008708FA">
              <w:rPr>
                <w:rFonts w:eastAsia="Calibri"/>
              </w:rPr>
              <w:t>1,895</w:t>
            </w:r>
          </w:p>
        </w:tc>
        <w:tc>
          <w:tcPr>
            <w:tcW w:w="1208" w:type="pct"/>
            <w:tcBorders>
              <w:top w:val="nil"/>
              <w:bottom w:val="nil"/>
            </w:tcBorders>
            <w:shd w:val="clear" w:color="auto" w:fill="auto"/>
            <w:noWrap/>
            <w:vAlign w:val="center"/>
            <w:hideMark/>
          </w:tcPr>
          <w:p w:rsidR="008708FA" w:rsidRPr="008708FA" w:rsidRDefault="008708FA" w:rsidP="008708FA">
            <w:pPr>
              <w:spacing w:before="60" w:after="60"/>
              <w:jc w:val="center"/>
              <w:rPr>
                <w:rFonts w:eastAsia="Calibri"/>
              </w:rPr>
            </w:pPr>
            <w:r w:rsidRPr="008708FA">
              <w:rPr>
                <w:rFonts w:eastAsia="Calibri"/>
              </w:rPr>
              <w:t>25.3</w:t>
            </w:r>
          </w:p>
        </w:tc>
      </w:tr>
      <w:tr w:rsidR="008708FA" w:rsidRPr="008708FA" w:rsidTr="005C2427">
        <w:tc>
          <w:tcPr>
            <w:tcW w:w="2734" w:type="pct"/>
            <w:tcBorders>
              <w:top w:val="nil"/>
              <w:bottom w:val="nil"/>
            </w:tcBorders>
            <w:shd w:val="clear" w:color="auto" w:fill="auto"/>
            <w:noWrap/>
            <w:vAlign w:val="center"/>
            <w:hideMark/>
          </w:tcPr>
          <w:p w:rsidR="008708FA" w:rsidRPr="008708FA" w:rsidRDefault="008708FA" w:rsidP="008708FA">
            <w:pPr>
              <w:spacing w:before="60" w:after="60"/>
              <w:rPr>
                <w:rFonts w:eastAsia="Calibri"/>
              </w:rPr>
            </w:pPr>
            <w:r w:rsidRPr="008708FA">
              <w:rPr>
                <w:rFonts w:eastAsia="Calibri"/>
              </w:rPr>
              <w:t>University</w:t>
            </w:r>
          </w:p>
        </w:tc>
        <w:tc>
          <w:tcPr>
            <w:tcW w:w="1058" w:type="pct"/>
            <w:tcBorders>
              <w:top w:val="nil"/>
              <w:bottom w:val="nil"/>
            </w:tcBorders>
            <w:shd w:val="clear" w:color="auto" w:fill="auto"/>
            <w:noWrap/>
            <w:vAlign w:val="center"/>
            <w:hideMark/>
          </w:tcPr>
          <w:p w:rsidR="008708FA" w:rsidRPr="008708FA" w:rsidRDefault="008708FA" w:rsidP="008708FA">
            <w:pPr>
              <w:spacing w:before="60" w:after="60"/>
              <w:jc w:val="center"/>
              <w:rPr>
                <w:rFonts w:eastAsia="Calibri"/>
              </w:rPr>
            </w:pPr>
            <w:r w:rsidRPr="008708FA">
              <w:rPr>
                <w:rFonts w:eastAsia="Calibri"/>
              </w:rPr>
              <w:t>696</w:t>
            </w:r>
          </w:p>
        </w:tc>
        <w:tc>
          <w:tcPr>
            <w:tcW w:w="1208" w:type="pct"/>
            <w:tcBorders>
              <w:top w:val="nil"/>
              <w:bottom w:val="nil"/>
            </w:tcBorders>
            <w:shd w:val="clear" w:color="auto" w:fill="auto"/>
            <w:noWrap/>
            <w:vAlign w:val="center"/>
            <w:hideMark/>
          </w:tcPr>
          <w:p w:rsidR="008708FA" w:rsidRPr="008708FA" w:rsidRDefault="008708FA" w:rsidP="008708FA">
            <w:pPr>
              <w:spacing w:before="60" w:after="60"/>
              <w:jc w:val="center"/>
              <w:rPr>
                <w:rFonts w:eastAsia="Calibri"/>
              </w:rPr>
            </w:pPr>
            <w:r w:rsidRPr="008708FA">
              <w:rPr>
                <w:rFonts w:eastAsia="Calibri"/>
              </w:rPr>
              <w:t>9.3</w:t>
            </w:r>
          </w:p>
        </w:tc>
      </w:tr>
      <w:tr w:rsidR="008708FA" w:rsidRPr="008708FA" w:rsidTr="005C2427">
        <w:tc>
          <w:tcPr>
            <w:tcW w:w="2734" w:type="pct"/>
            <w:tcBorders>
              <w:top w:val="nil"/>
              <w:bottom w:val="nil"/>
            </w:tcBorders>
            <w:shd w:val="clear" w:color="auto" w:fill="auto"/>
            <w:noWrap/>
            <w:vAlign w:val="center"/>
            <w:hideMark/>
          </w:tcPr>
          <w:p w:rsidR="008708FA" w:rsidRPr="008708FA" w:rsidRDefault="008708FA" w:rsidP="008708FA">
            <w:pPr>
              <w:spacing w:before="60" w:after="60"/>
              <w:rPr>
                <w:rFonts w:eastAsia="Calibri"/>
              </w:rPr>
            </w:pPr>
            <w:r w:rsidRPr="008708FA">
              <w:rPr>
                <w:rFonts w:eastAsia="Calibri"/>
              </w:rPr>
              <w:t>OVEC</w:t>
            </w:r>
          </w:p>
        </w:tc>
        <w:tc>
          <w:tcPr>
            <w:tcW w:w="1058" w:type="pct"/>
            <w:tcBorders>
              <w:top w:val="nil"/>
              <w:bottom w:val="nil"/>
            </w:tcBorders>
            <w:shd w:val="clear" w:color="auto" w:fill="auto"/>
            <w:noWrap/>
            <w:vAlign w:val="center"/>
            <w:hideMark/>
          </w:tcPr>
          <w:p w:rsidR="008708FA" w:rsidRPr="008708FA" w:rsidRDefault="008708FA" w:rsidP="008708FA">
            <w:pPr>
              <w:spacing w:before="60" w:after="60"/>
              <w:jc w:val="center"/>
              <w:rPr>
                <w:rFonts w:eastAsia="Calibri"/>
              </w:rPr>
            </w:pPr>
            <w:r w:rsidRPr="008708FA">
              <w:rPr>
                <w:rFonts w:eastAsia="Calibri"/>
              </w:rPr>
              <w:t>528</w:t>
            </w:r>
          </w:p>
        </w:tc>
        <w:tc>
          <w:tcPr>
            <w:tcW w:w="1208" w:type="pct"/>
            <w:tcBorders>
              <w:top w:val="nil"/>
              <w:bottom w:val="nil"/>
            </w:tcBorders>
            <w:shd w:val="clear" w:color="auto" w:fill="auto"/>
            <w:noWrap/>
            <w:vAlign w:val="center"/>
            <w:hideMark/>
          </w:tcPr>
          <w:p w:rsidR="008708FA" w:rsidRPr="008708FA" w:rsidRDefault="008708FA" w:rsidP="008708FA">
            <w:pPr>
              <w:spacing w:before="60" w:after="60"/>
              <w:jc w:val="center"/>
              <w:rPr>
                <w:rFonts w:eastAsia="Calibri"/>
              </w:rPr>
            </w:pPr>
            <w:r w:rsidRPr="008708FA">
              <w:rPr>
                <w:rFonts w:eastAsia="Calibri"/>
              </w:rPr>
              <w:t>7.0</w:t>
            </w:r>
          </w:p>
        </w:tc>
      </w:tr>
      <w:tr w:rsidR="008708FA" w:rsidRPr="008708FA" w:rsidTr="005C2427">
        <w:tc>
          <w:tcPr>
            <w:tcW w:w="2734" w:type="pct"/>
            <w:tcBorders>
              <w:top w:val="nil"/>
              <w:bottom w:val="nil"/>
            </w:tcBorders>
            <w:shd w:val="clear" w:color="auto" w:fill="auto"/>
            <w:noWrap/>
            <w:vAlign w:val="center"/>
            <w:hideMark/>
          </w:tcPr>
          <w:p w:rsidR="008708FA" w:rsidRPr="008708FA" w:rsidRDefault="008708FA" w:rsidP="008708FA">
            <w:pPr>
              <w:spacing w:before="60" w:after="60"/>
              <w:rPr>
                <w:rFonts w:eastAsia="Calibri"/>
              </w:rPr>
            </w:pPr>
            <w:r w:rsidRPr="008708FA">
              <w:rPr>
                <w:rFonts w:eastAsia="Calibri"/>
              </w:rPr>
              <w:t>Government agency</w:t>
            </w:r>
          </w:p>
        </w:tc>
        <w:tc>
          <w:tcPr>
            <w:tcW w:w="1058" w:type="pct"/>
            <w:tcBorders>
              <w:top w:val="nil"/>
              <w:bottom w:val="nil"/>
            </w:tcBorders>
            <w:shd w:val="clear" w:color="auto" w:fill="auto"/>
            <w:noWrap/>
            <w:vAlign w:val="center"/>
            <w:hideMark/>
          </w:tcPr>
          <w:p w:rsidR="008708FA" w:rsidRPr="008708FA" w:rsidRDefault="008708FA" w:rsidP="008708FA">
            <w:pPr>
              <w:spacing w:before="60" w:after="60"/>
              <w:jc w:val="center"/>
              <w:rPr>
                <w:rFonts w:eastAsia="Calibri"/>
              </w:rPr>
            </w:pPr>
            <w:r w:rsidRPr="008708FA">
              <w:rPr>
                <w:rFonts w:eastAsia="Calibri"/>
              </w:rPr>
              <w:t>238</w:t>
            </w:r>
          </w:p>
        </w:tc>
        <w:tc>
          <w:tcPr>
            <w:tcW w:w="1208" w:type="pct"/>
            <w:tcBorders>
              <w:top w:val="nil"/>
              <w:bottom w:val="nil"/>
            </w:tcBorders>
            <w:shd w:val="clear" w:color="auto" w:fill="auto"/>
            <w:noWrap/>
            <w:vAlign w:val="center"/>
            <w:hideMark/>
          </w:tcPr>
          <w:p w:rsidR="008708FA" w:rsidRPr="008708FA" w:rsidRDefault="008708FA" w:rsidP="008708FA">
            <w:pPr>
              <w:spacing w:before="60" w:after="60"/>
              <w:jc w:val="center"/>
              <w:rPr>
                <w:rFonts w:eastAsia="Calibri"/>
              </w:rPr>
            </w:pPr>
            <w:r w:rsidRPr="008708FA">
              <w:rPr>
                <w:rFonts w:eastAsia="Calibri"/>
              </w:rPr>
              <w:t>3.2</w:t>
            </w:r>
          </w:p>
        </w:tc>
      </w:tr>
      <w:tr w:rsidR="008708FA" w:rsidRPr="008708FA" w:rsidTr="005C2427">
        <w:tc>
          <w:tcPr>
            <w:tcW w:w="2734" w:type="pct"/>
            <w:tcBorders>
              <w:top w:val="nil"/>
            </w:tcBorders>
            <w:shd w:val="clear" w:color="auto" w:fill="auto"/>
            <w:noWrap/>
            <w:vAlign w:val="center"/>
            <w:hideMark/>
          </w:tcPr>
          <w:p w:rsidR="008708FA" w:rsidRPr="008708FA" w:rsidRDefault="008708FA" w:rsidP="008708FA">
            <w:pPr>
              <w:spacing w:before="60" w:after="60"/>
              <w:rPr>
                <w:rFonts w:eastAsia="Calibri"/>
              </w:rPr>
            </w:pPr>
            <w:r w:rsidRPr="008708FA">
              <w:rPr>
                <w:rFonts w:eastAsia="Calibri"/>
              </w:rPr>
              <w:t>NSTDA</w:t>
            </w:r>
          </w:p>
        </w:tc>
        <w:tc>
          <w:tcPr>
            <w:tcW w:w="1058" w:type="pct"/>
            <w:tcBorders>
              <w:top w:val="nil"/>
            </w:tcBorders>
            <w:shd w:val="clear" w:color="auto" w:fill="auto"/>
            <w:noWrap/>
            <w:vAlign w:val="center"/>
            <w:hideMark/>
          </w:tcPr>
          <w:p w:rsidR="008708FA" w:rsidRPr="008708FA" w:rsidRDefault="008708FA" w:rsidP="008708FA">
            <w:pPr>
              <w:spacing w:before="60" w:after="60"/>
              <w:jc w:val="center"/>
              <w:rPr>
                <w:rFonts w:eastAsia="Calibri"/>
              </w:rPr>
            </w:pPr>
            <w:r w:rsidRPr="008708FA">
              <w:rPr>
                <w:rFonts w:eastAsia="Calibri"/>
              </w:rPr>
              <w:t>191</w:t>
            </w:r>
          </w:p>
        </w:tc>
        <w:tc>
          <w:tcPr>
            <w:tcW w:w="1208" w:type="pct"/>
            <w:tcBorders>
              <w:top w:val="nil"/>
            </w:tcBorders>
            <w:shd w:val="clear" w:color="auto" w:fill="auto"/>
            <w:noWrap/>
            <w:vAlign w:val="center"/>
            <w:hideMark/>
          </w:tcPr>
          <w:p w:rsidR="008708FA" w:rsidRPr="008708FA" w:rsidRDefault="008708FA" w:rsidP="008708FA">
            <w:pPr>
              <w:spacing w:before="60" w:after="60"/>
              <w:jc w:val="center"/>
              <w:rPr>
                <w:rFonts w:eastAsia="Calibri"/>
              </w:rPr>
            </w:pPr>
            <w:r w:rsidRPr="008708FA">
              <w:rPr>
                <w:rFonts w:eastAsia="Calibri"/>
              </w:rPr>
              <w:t>2.6</w:t>
            </w:r>
          </w:p>
        </w:tc>
      </w:tr>
      <w:tr w:rsidR="008708FA" w:rsidRPr="008708FA" w:rsidTr="005C2427">
        <w:tc>
          <w:tcPr>
            <w:tcW w:w="2734" w:type="pct"/>
            <w:shd w:val="clear" w:color="auto" w:fill="auto"/>
            <w:noWrap/>
            <w:vAlign w:val="center"/>
          </w:tcPr>
          <w:p w:rsidR="008708FA" w:rsidRPr="008708FA" w:rsidRDefault="008708FA" w:rsidP="008708FA">
            <w:pPr>
              <w:spacing w:before="60" w:after="60"/>
              <w:rPr>
                <w:rFonts w:eastAsia="Calibri"/>
                <w:b/>
                <w:bCs/>
              </w:rPr>
            </w:pPr>
            <w:r w:rsidRPr="008708FA">
              <w:rPr>
                <w:rFonts w:eastAsia="Calibri"/>
                <w:b/>
                <w:bCs/>
              </w:rPr>
              <w:t>Total</w:t>
            </w:r>
          </w:p>
        </w:tc>
        <w:tc>
          <w:tcPr>
            <w:tcW w:w="1058" w:type="pct"/>
            <w:shd w:val="clear" w:color="auto" w:fill="auto"/>
            <w:noWrap/>
            <w:vAlign w:val="center"/>
          </w:tcPr>
          <w:p w:rsidR="008708FA" w:rsidRPr="008708FA" w:rsidRDefault="008708FA" w:rsidP="008708FA">
            <w:pPr>
              <w:spacing w:before="60" w:after="60"/>
              <w:jc w:val="center"/>
              <w:rPr>
                <w:rFonts w:eastAsia="Calibri"/>
                <w:b/>
                <w:bCs/>
              </w:rPr>
            </w:pPr>
            <w:r w:rsidRPr="008708FA">
              <w:rPr>
                <w:rFonts w:eastAsia="Calibri"/>
                <w:b/>
                <w:bCs/>
              </w:rPr>
              <w:t>7,498</w:t>
            </w:r>
          </w:p>
        </w:tc>
        <w:tc>
          <w:tcPr>
            <w:tcW w:w="1208" w:type="pct"/>
            <w:shd w:val="clear" w:color="auto" w:fill="auto"/>
            <w:noWrap/>
            <w:vAlign w:val="center"/>
          </w:tcPr>
          <w:p w:rsidR="008708FA" w:rsidRPr="008708FA" w:rsidRDefault="008708FA" w:rsidP="008708FA">
            <w:pPr>
              <w:spacing w:before="60" w:after="60"/>
              <w:jc w:val="center"/>
              <w:rPr>
                <w:rFonts w:eastAsia="Calibri"/>
                <w:b/>
                <w:bCs/>
              </w:rPr>
            </w:pPr>
            <w:r w:rsidRPr="008708FA">
              <w:rPr>
                <w:rFonts w:eastAsia="Calibri"/>
                <w:b/>
                <w:bCs/>
              </w:rPr>
              <w:t>100%</w:t>
            </w:r>
          </w:p>
        </w:tc>
      </w:tr>
    </w:tbl>
    <w:p w:rsidR="008708FA" w:rsidRPr="008708FA" w:rsidRDefault="008708FA" w:rsidP="008708FA">
      <w:pPr>
        <w:rPr>
          <w:rFonts w:eastAsia="Calibri"/>
          <w:i/>
          <w:sz w:val="16"/>
        </w:rPr>
      </w:pPr>
      <w:r w:rsidRPr="008708FA">
        <w:rPr>
          <w:rFonts w:eastAsia="Calibri"/>
          <w:i/>
          <w:sz w:val="16"/>
        </w:rPr>
        <w:t xml:space="preserve">Source: Own elaboration, based on DIP data. </w:t>
      </w:r>
      <w:r w:rsidRPr="008708FA">
        <w:rPr>
          <w:rFonts w:eastAsia="Calibri"/>
          <w:i/>
          <w:sz w:val="16"/>
        </w:rPr>
        <w:br/>
        <w:t>Note: Only the first applicant is taken into consideration.</w:t>
      </w:r>
    </w:p>
    <w:p w:rsidR="008708FA" w:rsidRPr="008708FA" w:rsidRDefault="008708FA" w:rsidP="008708FA">
      <w:pPr>
        <w:rPr>
          <w:rFonts w:eastAsia="Calibri"/>
        </w:rPr>
      </w:pP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Among public institutions applicants, there are found the Office of Vocational Education Commission (OVEC), the National Science and Technology Development Agency (NSTDA), </w:t>
      </w:r>
      <w:r w:rsidRPr="009E1F3F">
        <w:rPr>
          <w:rFonts w:eastAsia="Calibri"/>
        </w:rPr>
        <w:t xml:space="preserve">the Government Pharmaceutical Organization and several Universities (see </w:t>
      </w:r>
      <w:r w:rsidRPr="009E1F3F">
        <w:rPr>
          <w:rFonts w:eastAsia="Calibri"/>
        </w:rPr>
        <w:fldChar w:fldCharType="begin"/>
      </w:r>
      <w:r w:rsidRPr="009E1F3F">
        <w:rPr>
          <w:rFonts w:eastAsia="Calibri"/>
        </w:rPr>
        <w:instrText xml:space="preserve"> REF _Ref364692158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Table </w:t>
      </w:r>
      <w:r w:rsidR="006A4BE7">
        <w:rPr>
          <w:rFonts w:eastAsia="Calibri"/>
          <w:b/>
          <w:bCs/>
          <w:i/>
          <w:noProof/>
          <w:sz w:val="20"/>
          <w:szCs w:val="18"/>
        </w:rPr>
        <w:t>2</w:t>
      </w:r>
      <w:r w:rsidRPr="009E1F3F">
        <w:rPr>
          <w:rFonts w:eastAsia="Calibri"/>
        </w:rPr>
        <w:fldChar w:fldCharType="end"/>
      </w:r>
      <w:r w:rsidRPr="009E1F3F">
        <w:rPr>
          <w:rFonts w:eastAsia="Calibri"/>
        </w:rPr>
        <w:t>)</w:t>
      </w:r>
      <w:r w:rsidRPr="008708FA">
        <w:rPr>
          <w:rFonts w:eastAsia="Calibri"/>
        </w:rPr>
        <w:t>.</w:t>
      </w:r>
      <w:r w:rsidRPr="008708FA">
        <w:rPr>
          <w:rFonts w:eastAsia="Calibri"/>
          <w:vertAlign w:val="superscript"/>
        </w:rPr>
        <w:footnoteReference w:id="9"/>
      </w:r>
      <w:r w:rsidRPr="008708FA">
        <w:rPr>
          <w:rFonts w:eastAsia="Calibri"/>
        </w:rPr>
        <w:t xml:space="preserve">  Observing these public institutions as UM applicants reflects their roles in promoting innovative activities, as well as in financially supporting research work and other innovation related activities.  Some of the UMs registered by these institutions may well result in subsequent entrepreneurial activities, including start-ups.  For instance, OVEC’s applications are inventions related with an annual competition from the students’ course work, where the winning prize is the application for an UM.</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It is worth mentioning that the registration of UM – or any other IP right – under the company owners’ name is not only problematic for the correct assessment of the use of IP in Thailand.  Indeed, this can also become problematic when the invention should be counted as part of the companies’ assets.  Young firms – notably start-ups – may encounter constraints by financial institutions to access credit under such setup.  In any case, the owner of the UM right would have to arrange a licensing contract between himself and his company, which will add transaction costs to the company activities.  </w:t>
      </w:r>
    </w:p>
    <w:p w:rsidR="008708FA" w:rsidRPr="008708FA" w:rsidRDefault="008708FA" w:rsidP="008708FA">
      <w:pPr>
        <w:rPr>
          <w:rFonts w:eastAsia="Calibri"/>
        </w:rPr>
      </w:pPr>
    </w:p>
    <w:p w:rsidR="008708FA" w:rsidRPr="008708FA" w:rsidRDefault="008708FA" w:rsidP="005C2427">
      <w:pPr>
        <w:pStyle w:val="Heading2"/>
        <w:numPr>
          <w:ilvl w:val="0"/>
          <w:numId w:val="0"/>
        </w:numPr>
        <w:ind w:left="576" w:hanging="576"/>
      </w:pPr>
      <w:bookmarkStart w:id="48" w:name="_Ref368389672"/>
      <w:bookmarkStart w:id="49" w:name="_Toc370307928"/>
      <w:bookmarkStart w:id="50" w:name="_Toc370310337"/>
      <w:r w:rsidRPr="008708FA">
        <w:t>A diverse adoption by industry</w:t>
      </w:r>
      <w:bookmarkEnd w:id="48"/>
      <w:bookmarkEnd w:id="49"/>
      <w:bookmarkEnd w:id="50"/>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As in the case of patents, the technologies described in UM applications are classified using the International patent Classification (IPC) system, which can in turn be re-classified into 35 broad technological fields.</w:t>
      </w:r>
      <w:r w:rsidRPr="008708FA">
        <w:rPr>
          <w:rFonts w:eastAsia="Calibri"/>
          <w:vertAlign w:val="superscript"/>
        </w:rPr>
        <w:footnoteReference w:id="10"/>
      </w:r>
      <w:r w:rsidRPr="008708FA">
        <w:rPr>
          <w:rFonts w:eastAsia="Calibri"/>
        </w:rPr>
        <w:t xml:space="preserve">  Applying this technological field classification to the totality of registered UMs in Thailand gives us a broad representation of the main industries using the UM protection. </w:t>
      </w:r>
    </w:p>
    <w:p w:rsidR="008708FA" w:rsidRPr="008708FA" w:rsidRDefault="008708FA" w:rsidP="008708FA">
      <w:pPr>
        <w:rPr>
          <w:rFonts w:eastAsia="Calibri"/>
        </w:rPr>
      </w:pPr>
    </w:p>
    <w:p w:rsidR="008708FA" w:rsidRPr="008708FA" w:rsidRDefault="008708FA" w:rsidP="008708FA">
      <w:pPr>
        <w:rPr>
          <w:rFonts w:eastAsia="Calibri"/>
        </w:rPr>
      </w:pPr>
      <w:r w:rsidRPr="009E1F3F">
        <w:rPr>
          <w:rFonts w:eastAsia="Calibri"/>
        </w:rPr>
        <w:fldChar w:fldCharType="begin"/>
      </w:r>
      <w:r w:rsidRPr="009E1F3F">
        <w:rPr>
          <w:rFonts w:eastAsia="Calibri"/>
        </w:rPr>
        <w:instrText xml:space="preserve"> REF _Ref367894408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w:t>
      </w:r>
      <w:r w:rsidR="006A4BE7">
        <w:rPr>
          <w:rFonts w:eastAsia="Calibri"/>
          <w:b/>
          <w:bCs/>
          <w:i/>
          <w:noProof/>
          <w:sz w:val="20"/>
          <w:szCs w:val="18"/>
        </w:rPr>
        <w:t>3</w:t>
      </w:r>
      <w:r w:rsidRPr="009E1F3F">
        <w:rPr>
          <w:rFonts w:eastAsia="Calibri"/>
        </w:rPr>
        <w:fldChar w:fldCharType="end"/>
      </w:r>
      <w:r w:rsidRPr="009E1F3F">
        <w:rPr>
          <w:rFonts w:eastAsia="Calibri"/>
        </w:rPr>
        <w:t xml:space="preserve"> depicts the top-10 technology fields, which roughly account for two thirds of the</w:t>
      </w:r>
      <w:r w:rsidRPr="008708FA">
        <w:rPr>
          <w:rFonts w:eastAsia="Calibri"/>
        </w:rPr>
        <w:t xml:space="preserve"> registered UM.  Besides this apparent concentration with respect to the other 25 technological fields, there is no clear industrial specialization pattern arising.  Ranging from 10.5% to 4.3%, there is no clear-cut concentration between the first and tenth technological field.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The top technology field relates to </w:t>
      </w:r>
      <w:r w:rsidRPr="008708FA">
        <w:rPr>
          <w:rFonts w:eastAsia="Calibri"/>
          <w:i/>
        </w:rPr>
        <w:t>Food chemistry</w:t>
      </w:r>
      <w:r w:rsidRPr="008708FA">
        <w:rPr>
          <w:rFonts w:eastAsia="Calibri"/>
        </w:rPr>
        <w:t xml:space="preserve"> technologies, which account for more than 10% of all registered UMs.  Registrations in this field have seen considerable growth from the adoption of UM protection in 1999 until 2005, coinciding with the boom in UM </w:t>
      </w:r>
      <w:r w:rsidRPr="009E1F3F">
        <w:rPr>
          <w:rFonts w:eastAsia="Calibri"/>
        </w:rPr>
        <w:t xml:space="preserve">applications in Thailand (see </w:t>
      </w:r>
      <w:r w:rsidRPr="009E1F3F">
        <w:rPr>
          <w:rFonts w:eastAsia="Calibri"/>
        </w:rPr>
        <w:fldChar w:fldCharType="begin"/>
      </w:r>
      <w:r w:rsidRPr="009E1F3F">
        <w:rPr>
          <w:rFonts w:eastAsia="Calibri"/>
        </w:rPr>
        <w:instrText xml:space="preserve"> REF _Ref367895123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w:t>
      </w:r>
      <w:r w:rsidR="006A4BE7">
        <w:rPr>
          <w:rFonts w:eastAsia="Calibri"/>
          <w:b/>
          <w:bCs/>
          <w:i/>
          <w:noProof/>
          <w:sz w:val="20"/>
          <w:szCs w:val="18"/>
        </w:rPr>
        <w:t>4</w:t>
      </w:r>
      <w:r w:rsidRPr="009E1F3F">
        <w:rPr>
          <w:rFonts w:eastAsia="Calibri"/>
        </w:rPr>
        <w:fldChar w:fldCharType="end"/>
      </w:r>
      <w:r w:rsidRPr="009E1F3F">
        <w:rPr>
          <w:rFonts w:eastAsia="Calibri"/>
        </w:rPr>
        <w:t>).  As consequence, it has almost doubled its share in</w:t>
      </w:r>
      <w:r w:rsidRPr="008708FA">
        <w:rPr>
          <w:rFonts w:eastAsia="Calibri"/>
        </w:rPr>
        <w:t xml:space="preserve"> only six years.  However, since then, from 2006 to 2011, this industry has been decreasing almost as sharply as its previous boom.  This has relegated it to the third position by 2011, reaching a share equivalent to the one observed one decade before.</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The reverse pattern holds for </w:t>
      </w:r>
      <w:r w:rsidRPr="008708FA">
        <w:rPr>
          <w:rFonts w:eastAsia="Calibri"/>
          <w:i/>
        </w:rPr>
        <w:t>Civil engineering</w:t>
      </w:r>
      <w:r w:rsidRPr="008708FA">
        <w:rPr>
          <w:rFonts w:eastAsia="Calibri"/>
        </w:rPr>
        <w:t xml:space="preserve">, </w:t>
      </w:r>
      <w:proofErr w:type="gramStart"/>
      <w:r w:rsidRPr="008708FA">
        <w:rPr>
          <w:rFonts w:eastAsia="Calibri"/>
          <w:i/>
        </w:rPr>
        <w:t>Other</w:t>
      </w:r>
      <w:proofErr w:type="gramEnd"/>
      <w:r w:rsidRPr="008708FA">
        <w:rPr>
          <w:rFonts w:eastAsia="Calibri"/>
          <w:i/>
        </w:rPr>
        <w:t xml:space="preserve"> special machines</w:t>
      </w:r>
      <w:r w:rsidRPr="008708FA">
        <w:rPr>
          <w:rFonts w:eastAsia="Calibri"/>
        </w:rPr>
        <w:t xml:space="preserve">, </w:t>
      </w:r>
      <w:r w:rsidRPr="008708FA">
        <w:rPr>
          <w:rFonts w:eastAsia="Calibri"/>
          <w:i/>
        </w:rPr>
        <w:t>Furniture &amp; games</w:t>
      </w:r>
      <w:r w:rsidRPr="008708FA">
        <w:rPr>
          <w:rFonts w:eastAsia="Calibri"/>
        </w:rPr>
        <w:t xml:space="preserve"> and </w:t>
      </w:r>
      <w:r w:rsidRPr="008708FA">
        <w:rPr>
          <w:rFonts w:eastAsia="Calibri"/>
          <w:i/>
        </w:rPr>
        <w:t>Handling</w:t>
      </w:r>
      <w:r w:rsidRPr="008708FA">
        <w:rPr>
          <w:rFonts w:eastAsia="Calibri"/>
        </w:rPr>
        <w:t xml:space="preserve"> technologies, which have seen most registration activity after 2005 during the </w:t>
      </w:r>
      <w:r w:rsidRPr="008708FA">
        <w:rPr>
          <w:rFonts w:eastAsia="Calibri"/>
          <w:i/>
        </w:rPr>
        <w:t xml:space="preserve">Food Chemistry </w:t>
      </w:r>
      <w:r w:rsidRPr="008708FA">
        <w:rPr>
          <w:rFonts w:eastAsia="Calibri"/>
        </w:rPr>
        <w:t>field decline.</w:t>
      </w:r>
    </w:p>
    <w:p w:rsidR="008708FA" w:rsidRPr="008708FA" w:rsidRDefault="008708FA" w:rsidP="008708FA">
      <w:pPr>
        <w:rPr>
          <w:rFonts w:eastAsia="Calibri"/>
        </w:rPr>
      </w:pPr>
    </w:p>
    <w:p w:rsidR="008708FA" w:rsidRPr="008708FA" w:rsidRDefault="008708FA" w:rsidP="008708FA">
      <w:pPr>
        <w:rPr>
          <w:rFonts w:eastAsia="Calibri"/>
        </w:rPr>
      </w:pPr>
      <w:r w:rsidRPr="009E1F3F">
        <w:rPr>
          <w:rFonts w:eastAsia="Calibri"/>
        </w:rPr>
        <w:fldChar w:fldCharType="begin"/>
      </w:r>
      <w:r w:rsidRPr="009E1F3F">
        <w:rPr>
          <w:rFonts w:eastAsia="Calibri"/>
        </w:rPr>
        <w:instrText xml:space="preserve"> REF _Ref368301276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w:t>
      </w:r>
      <w:r w:rsidR="006A4BE7">
        <w:rPr>
          <w:rFonts w:eastAsia="Calibri"/>
          <w:b/>
          <w:bCs/>
          <w:i/>
          <w:noProof/>
          <w:sz w:val="20"/>
          <w:szCs w:val="18"/>
        </w:rPr>
        <w:t>5</w:t>
      </w:r>
      <w:r w:rsidRPr="009E1F3F">
        <w:rPr>
          <w:rFonts w:eastAsia="Calibri"/>
        </w:rPr>
        <w:fldChar w:fldCharType="end"/>
      </w:r>
      <w:r w:rsidRPr="009E1F3F">
        <w:rPr>
          <w:rFonts w:eastAsia="Calibri"/>
        </w:rPr>
        <w:t xml:space="preserve"> display the share of registered UMs by</w:t>
      </w:r>
      <w:r w:rsidRPr="009E1F3F">
        <w:rPr>
          <w:rFonts w:eastAsia="Calibri"/>
          <w:i/>
        </w:rPr>
        <w:t xml:space="preserve"> Mechanical Engineering</w:t>
      </w:r>
      <w:r w:rsidRPr="009E1F3F">
        <w:rPr>
          <w:rFonts w:eastAsia="Calibri"/>
        </w:rPr>
        <w:t xml:space="preserve"> and </w:t>
      </w:r>
      <w:r w:rsidRPr="009E1F3F">
        <w:rPr>
          <w:rFonts w:eastAsia="Calibri"/>
          <w:i/>
        </w:rPr>
        <w:t>Chemical</w:t>
      </w:r>
      <w:r w:rsidRPr="008708FA">
        <w:rPr>
          <w:rFonts w:eastAsia="Calibri"/>
          <w:i/>
        </w:rPr>
        <w:t xml:space="preserve"> Engineering</w:t>
      </w:r>
      <w:r w:rsidRPr="008708FA">
        <w:rPr>
          <w:rFonts w:eastAsia="Calibri"/>
        </w:rPr>
        <w:t xml:space="preserve">, which is the broad distinction employed by DIP.  There is an increase of technologies related to </w:t>
      </w:r>
      <w:r w:rsidRPr="008708FA">
        <w:rPr>
          <w:rFonts w:eastAsia="Calibri"/>
          <w:i/>
        </w:rPr>
        <w:t>Chemical Engineering</w:t>
      </w:r>
      <w:r w:rsidRPr="008708FA">
        <w:rPr>
          <w:rFonts w:eastAsia="Calibri"/>
        </w:rPr>
        <w:t xml:space="preserve">, which follows the same pattern mentioned above for </w:t>
      </w:r>
      <w:r w:rsidRPr="008708FA">
        <w:rPr>
          <w:rFonts w:eastAsia="Calibri"/>
          <w:i/>
        </w:rPr>
        <w:t>Food Chemistry</w:t>
      </w:r>
      <w:r w:rsidRPr="008708FA">
        <w:rPr>
          <w:rFonts w:eastAsia="Calibri"/>
        </w:rPr>
        <w:t xml:space="preserve"> (see A</w:t>
      </w:r>
      <w:r w:rsidR="009E1F3F">
        <w:rPr>
          <w:rFonts w:eastAsia="Calibri"/>
        </w:rPr>
        <w:t>ppendix</w:t>
      </w:r>
      <w:r w:rsidRPr="008708FA">
        <w:rPr>
          <w:rFonts w:eastAsia="Calibri"/>
        </w:rPr>
        <w:t xml:space="preserve"> </w:t>
      </w:r>
      <w:r w:rsidRPr="009E1F3F">
        <w:rPr>
          <w:rFonts w:eastAsia="Calibri"/>
        </w:rPr>
        <w:fldChar w:fldCharType="begin"/>
      </w:r>
      <w:r w:rsidRPr="009E1F3F">
        <w:rPr>
          <w:rFonts w:eastAsia="Calibri"/>
        </w:rPr>
        <w:instrText xml:space="preserve"> REF _Ref368304436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Table A. </w:t>
      </w:r>
      <w:r w:rsidR="006A4BE7">
        <w:rPr>
          <w:rFonts w:eastAsia="Calibri"/>
          <w:b/>
          <w:bCs/>
          <w:i/>
          <w:noProof/>
          <w:sz w:val="20"/>
          <w:szCs w:val="18"/>
        </w:rPr>
        <w:t>5</w:t>
      </w:r>
      <w:r w:rsidRPr="009E1F3F">
        <w:rPr>
          <w:rFonts w:eastAsia="Calibri"/>
        </w:rPr>
        <w:fldChar w:fldCharType="end"/>
      </w:r>
      <w:r w:rsidRPr="009E1F3F">
        <w:rPr>
          <w:rFonts w:eastAsia="Calibri"/>
        </w:rPr>
        <w:t>,</w:t>
      </w:r>
      <w:r w:rsidRPr="008708FA">
        <w:rPr>
          <w:rFonts w:eastAsia="Calibri"/>
        </w:rPr>
        <w:t xml:space="preserve"> for a double breakdown).  As these evolutions reflect only registered UMs, these are not unrelated with DIP availability of examiners for each type.</w:t>
      </w:r>
      <w:r w:rsidRPr="008708FA">
        <w:rPr>
          <w:rFonts w:eastAsia="Calibri"/>
          <w:vertAlign w:val="superscript"/>
        </w:rPr>
        <w:footnoteReference w:id="11"/>
      </w:r>
      <w:r w:rsidRPr="008708FA">
        <w:rPr>
          <w:rFonts w:eastAsia="Calibri"/>
        </w:rPr>
        <w:t xml:space="preserve">  </w:t>
      </w:r>
    </w:p>
    <w:p w:rsidR="008708FA" w:rsidRPr="008708FA" w:rsidRDefault="008708FA" w:rsidP="008708FA">
      <w:pPr>
        <w:rPr>
          <w:rFonts w:eastAsia="Calibri"/>
        </w:rPr>
      </w:pPr>
    </w:p>
    <w:p w:rsidR="008708FA" w:rsidRDefault="008708FA" w:rsidP="008708FA">
      <w:pPr>
        <w:rPr>
          <w:rFonts w:eastAsia="Calibri"/>
        </w:rPr>
      </w:pPr>
      <w:r w:rsidRPr="008708FA">
        <w:rPr>
          <w:rFonts w:eastAsia="Calibri"/>
        </w:rPr>
        <w:t xml:space="preserve">Besides this apparent heterogeneous adoption pattern – particularly over time – it seems difficult to extract further conclusions without engaging in further analysis.  Nevertheless, this is an interesting aspect which deserves further attention not only from an IP policy perspective, but also from an innovation and industrial ones. </w:t>
      </w:r>
    </w:p>
    <w:p w:rsidR="008708FA" w:rsidRDefault="008708FA" w:rsidP="008708FA">
      <w:pPr>
        <w:rPr>
          <w:rFonts w:eastAsia="Calibri"/>
        </w:rPr>
      </w:pPr>
    </w:p>
    <w:p w:rsidR="009E1F3F" w:rsidRDefault="009E1F3F">
      <w:pPr>
        <w:rPr>
          <w:rFonts w:eastAsia="Calibri"/>
        </w:rPr>
      </w:pPr>
      <w:r>
        <w:rPr>
          <w:rFonts w:eastAsia="Calibri"/>
        </w:rPr>
        <w:br w:type="page"/>
      </w:r>
    </w:p>
    <w:p w:rsidR="008708FA" w:rsidRPr="008708FA" w:rsidRDefault="008708FA" w:rsidP="008708FA">
      <w:pPr>
        <w:rPr>
          <w:rFonts w:eastAsia="Calibri"/>
        </w:rPr>
      </w:pPr>
    </w:p>
    <w:p w:rsidR="008708FA" w:rsidRPr="00A2408C" w:rsidRDefault="008708FA" w:rsidP="008708FA">
      <w:pPr>
        <w:rPr>
          <w:rFonts w:eastAsia="Calibri"/>
          <w:b/>
          <w:bCs/>
          <w:i/>
          <w:sz w:val="20"/>
          <w:szCs w:val="20"/>
        </w:rPr>
      </w:pPr>
      <w:bookmarkStart w:id="51" w:name="_Ref367894408"/>
      <w:r w:rsidRPr="009E1F3F">
        <w:rPr>
          <w:rFonts w:eastAsia="Calibri"/>
          <w:b/>
          <w:bCs/>
          <w:i/>
          <w:sz w:val="20"/>
          <w:szCs w:val="20"/>
        </w:rPr>
        <w:t xml:space="preserve">Figure </w:t>
      </w:r>
      <w:r w:rsidRPr="008708FA">
        <w:rPr>
          <w:rFonts w:eastAsia="Calibri"/>
          <w:b/>
          <w:bCs/>
          <w:i/>
          <w:sz w:val="20"/>
          <w:szCs w:val="18"/>
        </w:rPr>
        <w:fldChar w:fldCharType="begin"/>
      </w:r>
      <w:r w:rsidRPr="008708FA">
        <w:rPr>
          <w:rFonts w:eastAsia="Calibri"/>
          <w:b/>
          <w:bCs/>
          <w:i/>
          <w:sz w:val="20"/>
          <w:szCs w:val="18"/>
        </w:rPr>
        <w:instrText xml:space="preserve"> SEQ Figure \* ARABIC </w:instrText>
      </w:r>
      <w:r w:rsidRPr="008708FA">
        <w:rPr>
          <w:rFonts w:eastAsia="Calibri"/>
          <w:b/>
          <w:bCs/>
          <w:i/>
          <w:sz w:val="20"/>
          <w:szCs w:val="18"/>
        </w:rPr>
        <w:fldChar w:fldCharType="separate"/>
      </w:r>
      <w:r w:rsidR="006A4BE7">
        <w:rPr>
          <w:rFonts w:eastAsia="Calibri"/>
          <w:b/>
          <w:bCs/>
          <w:i/>
          <w:noProof/>
          <w:sz w:val="20"/>
          <w:szCs w:val="18"/>
        </w:rPr>
        <w:t>3</w:t>
      </w:r>
      <w:r w:rsidRPr="008708FA">
        <w:rPr>
          <w:rFonts w:eastAsia="Calibri"/>
          <w:b/>
          <w:bCs/>
          <w:i/>
          <w:sz w:val="20"/>
          <w:szCs w:val="18"/>
        </w:rPr>
        <w:fldChar w:fldCharType="end"/>
      </w:r>
      <w:bookmarkEnd w:id="51"/>
      <w:r w:rsidRPr="009E1F3F">
        <w:rPr>
          <w:rFonts w:eastAsia="Calibri"/>
          <w:b/>
          <w:bCs/>
          <w:i/>
          <w:sz w:val="20"/>
          <w:szCs w:val="20"/>
        </w:rPr>
        <w:t>: Top10 Technological fields</w:t>
      </w:r>
    </w:p>
    <w:p w:rsidR="008708FA" w:rsidRPr="008708FA" w:rsidRDefault="008708FA" w:rsidP="008708FA">
      <w:pPr>
        <w:rPr>
          <w:rFonts w:eastAsia="Calibri"/>
        </w:rPr>
      </w:pPr>
      <w:r w:rsidRPr="008708FA">
        <w:rPr>
          <w:rFonts w:eastAsia="Calibri"/>
          <w:noProof/>
        </w:rPr>
        <w:drawing>
          <wp:inline distT="0" distB="0" distL="0" distR="0" wp14:anchorId="4947F3D0" wp14:editId="68614DF9">
            <wp:extent cx="4770683" cy="4583875"/>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9452" cy="4582692"/>
                    </a:xfrm>
                    <a:prstGeom prst="rect">
                      <a:avLst/>
                    </a:prstGeom>
                    <a:noFill/>
                  </pic:spPr>
                </pic:pic>
              </a:graphicData>
            </a:graphic>
          </wp:inline>
        </w:drawing>
      </w:r>
    </w:p>
    <w:p w:rsidR="008708FA" w:rsidRPr="008708FA" w:rsidRDefault="008708FA" w:rsidP="008708FA">
      <w:pPr>
        <w:rPr>
          <w:rFonts w:eastAsia="Calibri"/>
          <w:i/>
          <w:sz w:val="24"/>
        </w:rPr>
      </w:pPr>
      <w:r w:rsidRPr="008708FA">
        <w:rPr>
          <w:rFonts w:eastAsia="Calibri"/>
          <w:i/>
          <w:sz w:val="16"/>
        </w:rPr>
        <w:t xml:space="preserve">Source: Own elaboration, based on DIP data and WIPO’s IPC-Technology concordance. </w:t>
      </w:r>
      <w:r w:rsidRPr="008708FA">
        <w:rPr>
          <w:rFonts w:eastAsia="Calibri"/>
          <w:i/>
          <w:sz w:val="16"/>
        </w:rPr>
        <w:br/>
        <w:t>Note: Percentages may exceed 100% due to 504 UMs registrations which are assigned to more than one technological field.</w:t>
      </w:r>
    </w:p>
    <w:p w:rsidR="008708FA" w:rsidRDefault="008708FA" w:rsidP="008708FA">
      <w:pPr>
        <w:rPr>
          <w:rFonts w:eastAsia="Calibri"/>
        </w:rPr>
      </w:pPr>
    </w:p>
    <w:p w:rsidR="008708FA" w:rsidRDefault="008708FA">
      <w:pPr>
        <w:rPr>
          <w:rFonts w:eastAsia="Calibri"/>
        </w:rPr>
      </w:pPr>
      <w:r>
        <w:rPr>
          <w:rFonts w:eastAsia="Calibri"/>
        </w:rPr>
        <w:br w:type="page"/>
      </w:r>
    </w:p>
    <w:p w:rsidR="008708FA" w:rsidRDefault="008708FA" w:rsidP="008708FA">
      <w:pPr>
        <w:rPr>
          <w:rFonts w:eastAsia="Calibri"/>
        </w:rPr>
      </w:pPr>
    </w:p>
    <w:p w:rsidR="008708FA" w:rsidRPr="009E1F3F" w:rsidRDefault="008708FA" w:rsidP="008708FA">
      <w:pPr>
        <w:rPr>
          <w:rFonts w:eastAsia="Calibri"/>
          <w:b/>
          <w:bCs/>
          <w:i/>
          <w:sz w:val="20"/>
          <w:szCs w:val="20"/>
        </w:rPr>
      </w:pPr>
      <w:bookmarkStart w:id="52" w:name="_Ref367895123"/>
      <w:r w:rsidRPr="009E1F3F">
        <w:rPr>
          <w:rFonts w:eastAsia="Calibri"/>
          <w:b/>
          <w:bCs/>
          <w:i/>
          <w:sz w:val="20"/>
          <w:szCs w:val="20"/>
        </w:rPr>
        <w:t xml:space="preserve">Figure </w:t>
      </w:r>
      <w:r w:rsidRPr="008708FA">
        <w:rPr>
          <w:rFonts w:eastAsia="Calibri"/>
          <w:b/>
          <w:bCs/>
          <w:i/>
          <w:sz w:val="20"/>
          <w:szCs w:val="18"/>
        </w:rPr>
        <w:fldChar w:fldCharType="begin"/>
      </w:r>
      <w:r w:rsidRPr="008708FA">
        <w:rPr>
          <w:rFonts w:eastAsia="Calibri"/>
          <w:b/>
          <w:bCs/>
          <w:i/>
          <w:sz w:val="20"/>
          <w:szCs w:val="18"/>
        </w:rPr>
        <w:instrText xml:space="preserve"> SEQ Figure \* ARABIC </w:instrText>
      </w:r>
      <w:r w:rsidRPr="008708FA">
        <w:rPr>
          <w:rFonts w:eastAsia="Calibri"/>
          <w:b/>
          <w:bCs/>
          <w:i/>
          <w:sz w:val="20"/>
          <w:szCs w:val="18"/>
        </w:rPr>
        <w:fldChar w:fldCharType="separate"/>
      </w:r>
      <w:r w:rsidR="006A4BE7">
        <w:rPr>
          <w:rFonts w:eastAsia="Calibri"/>
          <w:b/>
          <w:bCs/>
          <w:i/>
          <w:noProof/>
          <w:sz w:val="20"/>
          <w:szCs w:val="18"/>
        </w:rPr>
        <w:t>4</w:t>
      </w:r>
      <w:r w:rsidRPr="008708FA">
        <w:rPr>
          <w:rFonts w:eastAsia="Calibri"/>
          <w:b/>
          <w:bCs/>
          <w:i/>
          <w:sz w:val="20"/>
          <w:szCs w:val="18"/>
        </w:rPr>
        <w:fldChar w:fldCharType="end"/>
      </w:r>
      <w:bookmarkEnd w:id="52"/>
      <w:r w:rsidRPr="009E1F3F">
        <w:rPr>
          <w:rFonts w:eastAsia="Calibri"/>
          <w:b/>
          <w:bCs/>
          <w:i/>
          <w:sz w:val="20"/>
          <w:szCs w:val="20"/>
        </w:rPr>
        <w:t xml:space="preserve">: Evolution of Top10 Technological Fields (3 years moving average) </w:t>
      </w:r>
    </w:p>
    <w:p w:rsidR="008708FA" w:rsidRPr="008708FA" w:rsidRDefault="008708FA" w:rsidP="008708FA">
      <w:pPr>
        <w:rPr>
          <w:rFonts w:eastAsia="Calibri"/>
        </w:rPr>
      </w:pPr>
      <w:r w:rsidRPr="008708FA">
        <w:rPr>
          <w:rFonts w:eastAsia="Calibri"/>
          <w:noProof/>
        </w:rPr>
        <w:drawing>
          <wp:inline distT="0" distB="0" distL="0" distR="0" wp14:anchorId="77F93A5F" wp14:editId="2F414473">
            <wp:extent cx="5038344" cy="330098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8344" cy="3300984"/>
                    </a:xfrm>
                    <a:prstGeom prst="rect">
                      <a:avLst/>
                    </a:prstGeom>
                    <a:noFill/>
                  </pic:spPr>
                </pic:pic>
              </a:graphicData>
            </a:graphic>
          </wp:inline>
        </w:drawing>
      </w:r>
    </w:p>
    <w:p w:rsidR="008708FA" w:rsidRPr="008708FA" w:rsidRDefault="008708FA" w:rsidP="008708FA">
      <w:pPr>
        <w:rPr>
          <w:rFonts w:eastAsia="Calibri"/>
          <w:i/>
          <w:sz w:val="24"/>
        </w:rPr>
      </w:pPr>
      <w:r w:rsidRPr="008708FA">
        <w:rPr>
          <w:rFonts w:eastAsia="Calibri"/>
          <w:i/>
          <w:sz w:val="16"/>
        </w:rPr>
        <w:t xml:space="preserve">Source: Own elaboration, based on DIP data and WIPO’s IPC-Technology concordance. </w:t>
      </w:r>
    </w:p>
    <w:p w:rsidR="008708FA" w:rsidRDefault="008708FA" w:rsidP="008708FA">
      <w:pPr>
        <w:rPr>
          <w:rFonts w:eastAsia="Calibri"/>
        </w:rPr>
      </w:pPr>
    </w:p>
    <w:p w:rsidR="008708FA" w:rsidRDefault="008708FA" w:rsidP="008708FA">
      <w:pPr>
        <w:rPr>
          <w:rFonts w:eastAsia="Calibri"/>
        </w:rPr>
      </w:pPr>
    </w:p>
    <w:p w:rsidR="008708FA" w:rsidRPr="009E1F3F" w:rsidRDefault="008708FA" w:rsidP="008708FA">
      <w:pPr>
        <w:rPr>
          <w:rFonts w:eastAsia="Calibri"/>
          <w:b/>
          <w:bCs/>
          <w:i/>
          <w:sz w:val="20"/>
          <w:szCs w:val="20"/>
        </w:rPr>
      </w:pPr>
      <w:bookmarkStart w:id="53" w:name="_Ref368301276"/>
      <w:r w:rsidRPr="009E1F3F">
        <w:rPr>
          <w:rFonts w:eastAsia="Calibri"/>
          <w:b/>
          <w:bCs/>
          <w:i/>
          <w:sz w:val="20"/>
          <w:szCs w:val="20"/>
        </w:rPr>
        <w:t xml:space="preserve">Figure </w:t>
      </w:r>
      <w:r w:rsidRPr="008708FA">
        <w:rPr>
          <w:rFonts w:eastAsia="Calibri"/>
          <w:b/>
          <w:bCs/>
          <w:i/>
          <w:sz w:val="20"/>
          <w:szCs w:val="18"/>
        </w:rPr>
        <w:fldChar w:fldCharType="begin"/>
      </w:r>
      <w:r w:rsidRPr="008708FA">
        <w:rPr>
          <w:rFonts w:eastAsia="Calibri"/>
          <w:b/>
          <w:bCs/>
          <w:i/>
          <w:sz w:val="20"/>
          <w:szCs w:val="18"/>
        </w:rPr>
        <w:instrText xml:space="preserve"> SEQ Figure \* ARABIC </w:instrText>
      </w:r>
      <w:r w:rsidRPr="008708FA">
        <w:rPr>
          <w:rFonts w:eastAsia="Calibri"/>
          <w:b/>
          <w:bCs/>
          <w:i/>
          <w:sz w:val="20"/>
          <w:szCs w:val="18"/>
        </w:rPr>
        <w:fldChar w:fldCharType="separate"/>
      </w:r>
      <w:r w:rsidR="006A4BE7">
        <w:rPr>
          <w:rFonts w:eastAsia="Calibri"/>
          <w:b/>
          <w:bCs/>
          <w:i/>
          <w:noProof/>
          <w:sz w:val="20"/>
          <w:szCs w:val="18"/>
        </w:rPr>
        <w:t>5</w:t>
      </w:r>
      <w:r w:rsidRPr="008708FA">
        <w:rPr>
          <w:rFonts w:eastAsia="Calibri"/>
          <w:b/>
          <w:bCs/>
          <w:i/>
          <w:sz w:val="20"/>
          <w:szCs w:val="18"/>
        </w:rPr>
        <w:fldChar w:fldCharType="end"/>
      </w:r>
      <w:bookmarkEnd w:id="53"/>
      <w:r w:rsidRPr="009E1F3F">
        <w:rPr>
          <w:rFonts w:eastAsia="Calibri"/>
          <w:b/>
          <w:bCs/>
          <w:i/>
          <w:sz w:val="20"/>
          <w:szCs w:val="20"/>
        </w:rPr>
        <w:t>: Registered Utility Model Applications by Type</w:t>
      </w:r>
    </w:p>
    <w:p w:rsidR="008708FA" w:rsidRPr="008708FA" w:rsidRDefault="008708FA" w:rsidP="008708FA">
      <w:pPr>
        <w:rPr>
          <w:rFonts w:eastAsia="Calibri"/>
        </w:rPr>
      </w:pPr>
      <w:r w:rsidRPr="008708FA">
        <w:rPr>
          <w:rFonts w:eastAsia="Calibri"/>
          <w:noProof/>
        </w:rPr>
        <w:drawing>
          <wp:inline distT="0" distB="0" distL="0" distR="0" wp14:anchorId="75EBC5DE" wp14:editId="7112CA89">
            <wp:extent cx="4123944" cy="377647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3944" cy="3776472"/>
                    </a:xfrm>
                    <a:prstGeom prst="rect">
                      <a:avLst/>
                    </a:prstGeom>
                    <a:noFill/>
                  </pic:spPr>
                </pic:pic>
              </a:graphicData>
            </a:graphic>
          </wp:inline>
        </w:drawing>
      </w:r>
    </w:p>
    <w:p w:rsidR="008708FA" w:rsidRPr="008708FA" w:rsidRDefault="008708FA" w:rsidP="008708FA">
      <w:pPr>
        <w:rPr>
          <w:rFonts w:eastAsia="Calibri"/>
        </w:rPr>
      </w:pPr>
      <w:r w:rsidRPr="008708FA">
        <w:rPr>
          <w:rFonts w:eastAsia="Calibri"/>
          <w:i/>
          <w:sz w:val="16"/>
        </w:rPr>
        <w:t>Source: Own elaboration, based on DIP data.</w:t>
      </w:r>
    </w:p>
    <w:p w:rsidR="008708FA" w:rsidRDefault="008708FA" w:rsidP="008708FA">
      <w:pPr>
        <w:rPr>
          <w:rFonts w:eastAsia="Calibri"/>
        </w:rPr>
      </w:pPr>
    </w:p>
    <w:p w:rsidR="009E1F3F" w:rsidRDefault="009E1F3F">
      <w:pPr>
        <w:rPr>
          <w:rFonts w:eastAsia="Calibri"/>
        </w:rPr>
      </w:pPr>
      <w:r>
        <w:rPr>
          <w:rFonts w:eastAsia="Calibri"/>
        </w:rPr>
        <w:br w:type="page"/>
      </w:r>
    </w:p>
    <w:p w:rsidR="008708FA" w:rsidRPr="008708FA" w:rsidRDefault="008708FA" w:rsidP="008708FA">
      <w:pPr>
        <w:rPr>
          <w:rFonts w:eastAsia="Calibri"/>
        </w:rPr>
      </w:pPr>
    </w:p>
    <w:p w:rsidR="008708FA" w:rsidRPr="008708FA" w:rsidRDefault="008708FA" w:rsidP="008708FA">
      <w:pPr>
        <w:rPr>
          <w:rFonts w:eastAsia="Calibri"/>
        </w:rPr>
      </w:pPr>
    </w:p>
    <w:p w:rsidR="008708FA" w:rsidRPr="008708FA" w:rsidRDefault="009D2977" w:rsidP="009D2977">
      <w:pPr>
        <w:pStyle w:val="Heading1"/>
        <w:numPr>
          <w:ilvl w:val="0"/>
          <w:numId w:val="0"/>
        </w:numPr>
        <w:ind w:left="432" w:hanging="432"/>
      </w:pPr>
      <w:bookmarkStart w:id="54" w:name="_Ref367871770"/>
      <w:bookmarkStart w:id="55" w:name="_Toc370307929"/>
      <w:bookmarkStart w:id="56" w:name="_Toc370310338"/>
      <w:r>
        <w:t xml:space="preserve">3.  </w:t>
      </w:r>
      <w:r w:rsidR="008708FA" w:rsidRPr="008708FA">
        <w:t>To what degree have UMs complemented other IP forms?</w:t>
      </w:r>
      <w:bookmarkEnd w:id="54"/>
      <w:bookmarkEnd w:id="55"/>
      <w:bookmarkEnd w:id="56"/>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Building on the finding in section </w:t>
      </w:r>
      <w:r w:rsidRPr="008708FA">
        <w:rPr>
          <w:rFonts w:eastAsia="Calibri"/>
        </w:rPr>
        <w:fldChar w:fldCharType="begin"/>
      </w:r>
      <w:r w:rsidRPr="008708FA">
        <w:rPr>
          <w:rFonts w:eastAsia="Calibri"/>
        </w:rPr>
        <w:instrText xml:space="preserve"> REF _Ref367871893 \r \h </w:instrText>
      </w:r>
      <w:r w:rsidRPr="008708FA">
        <w:rPr>
          <w:rFonts w:eastAsia="Calibri"/>
        </w:rPr>
      </w:r>
      <w:r w:rsidRPr="008708FA">
        <w:rPr>
          <w:rFonts w:eastAsia="Calibri"/>
        </w:rPr>
        <w:fldChar w:fldCharType="separate"/>
      </w:r>
      <w:r w:rsidR="006A4BE7">
        <w:rPr>
          <w:rFonts w:eastAsia="Calibri"/>
        </w:rPr>
        <w:t>0</w:t>
      </w:r>
      <w:r w:rsidRPr="008708FA">
        <w:rPr>
          <w:rFonts w:eastAsia="Calibri"/>
        </w:rPr>
        <w:fldChar w:fldCharType="end"/>
      </w:r>
      <w:r w:rsidRPr="008708FA">
        <w:rPr>
          <w:rFonts w:eastAsia="Calibri"/>
        </w:rPr>
        <w:t xml:space="preserve"> of complementary between UM and patent use, this section explores in greater detail to what extent UMs have filled a gap in Thailand’s IP system.  In particular, one can analyze whether UM holders introduced technologies for the first time to Thailand’s IP system, as opposed to simply claiming priority on existing IP filings elsewhere.</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With this purpose, this section addresses two complementary topics.  First, it analyzes if the UM users were bringing technologies for the first time to the IP System, as opposed to simply claiming priority on existing IP filings elsewhere.  Second, it analyses in which extent UM applicants were using the IP system for the first time, as opposed to already experienced users which were shifting other IP filings to UM ones. </w:t>
      </w:r>
    </w:p>
    <w:p w:rsidR="008708FA" w:rsidRPr="008708FA" w:rsidRDefault="008708FA" w:rsidP="008708FA">
      <w:pPr>
        <w:rPr>
          <w:rFonts w:eastAsia="Calibri"/>
        </w:rPr>
      </w:pPr>
    </w:p>
    <w:p w:rsidR="008708FA" w:rsidRPr="008708FA" w:rsidRDefault="008708FA" w:rsidP="005C2427">
      <w:pPr>
        <w:pStyle w:val="Heading2"/>
        <w:numPr>
          <w:ilvl w:val="0"/>
          <w:numId w:val="0"/>
        </w:numPr>
        <w:ind w:left="576" w:hanging="576"/>
      </w:pPr>
      <w:bookmarkStart w:id="57" w:name="_Ref368389695"/>
      <w:bookmarkStart w:id="58" w:name="_Toc370307930"/>
      <w:bookmarkStart w:id="59" w:name="_Toc370310339"/>
      <w:r w:rsidRPr="008708FA">
        <w:t>Locally-New Technologies</w:t>
      </w:r>
      <w:bookmarkEnd w:id="57"/>
      <w:bookmarkEnd w:id="58"/>
      <w:bookmarkEnd w:id="59"/>
    </w:p>
    <w:p w:rsidR="008708FA" w:rsidRPr="008708FA" w:rsidRDefault="008708FA" w:rsidP="008708FA">
      <w:pPr>
        <w:rPr>
          <w:rFonts w:eastAsia="Calibri"/>
        </w:rPr>
      </w:pPr>
    </w:p>
    <w:p w:rsidR="008708FA" w:rsidRPr="008708FA" w:rsidRDefault="008708FA" w:rsidP="008708FA">
      <w:pPr>
        <w:rPr>
          <w:rFonts w:eastAsia="Calibri"/>
        </w:rPr>
      </w:pPr>
      <w:r w:rsidRPr="009E1F3F">
        <w:rPr>
          <w:rFonts w:eastAsia="Calibri"/>
        </w:rPr>
        <w:fldChar w:fldCharType="begin"/>
      </w:r>
      <w:r w:rsidRPr="009E1F3F">
        <w:rPr>
          <w:rFonts w:eastAsia="Calibri"/>
        </w:rPr>
        <w:instrText xml:space="preserve"> REF _Ref364697825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Table </w:t>
      </w:r>
      <w:r w:rsidR="006A4BE7">
        <w:rPr>
          <w:rFonts w:eastAsia="Calibri"/>
          <w:b/>
          <w:bCs/>
          <w:i/>
          <w:noProof/>
          <w:sz w:val="20"/>
          <w:szCs w:val="18"/>
        </w:rPr>
        <w:t>3</w:t>
      </w:r>
      <w:r w:rsidRPr="009E1F3F">
        <w:rPr>
          <w:rFonts w:eastAsia="Calibri"/>
        </w:rPr>
        <w:fldChar w:fldCharType="end"/>
      </w:r>
      <w:r w:rsidRPr="009E1F3F">
        <w:rPr>
          <w:rFonts w:eastAsia="Calibri"/>
        </w:rPr>
        <w:t xml:space="preserve"> shows that the vast majority of registered UMs in Thailand are first filings; only 4% of</w:t>
      </w:r>
      <w:r w:rsidRPr="008708FA">
        <w:rPr>
          <w:rFonts w:eastAsia="Calibri"/>
        </w:rPr>
        <w:t xml:space="preserve"> registrations claim a foreign priority.  This implies that the underlying inventions are presumed to be new in Thailand, confirming the local appeal of Thailand’s UM system.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It is relevant to note that the UM registration process has no substantive examination </w:t>
      </w:r>
      <w:r w:rsidRPr="009E1F3F">
        <w:rPr>
          <w:rFonts w:eastAsia="Calibri"/>
        </w:rPr>
        <w:t xml:space="preserve">involved (see </w:t>
      </w:r>
      <w:r w:rsidRPr="009E1F3F">
        <w:rPr>
          <w:rFonts w:eastAsia="Calibri"/>
        </w:rPr>
        <w:fldChar w:fldCharType="begin"/>
      </w:r>
      <w:r w:rsidRPr="009E1F3F">
        <w:rPr>
          <w:rFonts w:eastAsia="Calibri"/>
        </w:rPr>
        <w:instrText xml:space="preserve"> REF _Ref367872315 \h </w:instrText>
      </w:r>
      <w:r w:rsidRPr="009E1F3F">
        <w:rPr>
          <w:rFonts w:eastAsia="Calibri"/>
        </w:rPr>
      </w:r>
      <w:r w:rsidRPr="009E1F3F">
        <w:rPr>
          <w:rFonts w:eastAsia="Calibri"/>
        </w:rPr>
        <w:fldChar w:fldCharType="separate"/>
      </w:r>
      <w:r w:rsidR="006A4BE7" w:rsidRPr="008708FA">
        <w:rPr>
          <w:b/>
          <w:bCs/>
          <w:i/>
          <w:szCs w:val="18"/>
        </w:rPr>
        <w:t xml:space="preserve">Box </w:t>
      </w:r>
      <w:r w:rsidR="006A4BE7">
        <w:rPr>
          <w:b/>
          <w:bCs/>
          <w:i/>
          <w:noProof/>
          <w:szCs w:val="18"/>
        </w:rPr>
        <w:t>1</w:t>
      </w:r>
      <w:r w:rsidRPr="009E1F3F">
        <w:rPr>
          <w:rFonts w:eastAsia="Calibri"/>
        </w:rPr>
        <w:fldChar w:fldCharType="end"/>
      </w:r>
      <w:r w:rsidRPr="009E1F3F">
        <w:rPr>
          <w:rFonts w:eastAsia="Calibri"/>
        </w:rPr>
        <w:t>).  As such, it is difficult to determine if the invention is new to the world</w:t>
      </w:r>
      <w:r w:rsidRPr="008708FA">
        <w:rPr>
          <w:rFonts w:eastAsia="Calibri"/>
        </w:rPr>
        <w:t xml:space="preserve"> as well.  Different is the case for patent examination, where the Thai DIP conducts an international examination for novelty.  As a consequence, the fact that there are very few priorities claimed in the UM applications cannot be directly related to the inventions being internationally novel.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Despite this limitation, the results can be seen as an indication that UM protection has been attractive to, at least, locally-new technologies.  It will be shown in the following subsection that these inventions were in a great extent not covered by previous existing IP instruments.</w:t>
      </w:r>
    </w:p>
    <w:p w:rsidR="008708FA" w:rsidRPr="008708FA" w:rsidRDefault="008708FA" w:rsidP="008708FA">
      <w:pPr>
        <w:rPr>
          <w:rFonts w:eastAsia="Calibri"/>
        </w:rPr>
      </w:pPr>
    </w:p>
    <w:p w:rsidR="008708FA" w:rsidRPr="008708FA" w:rsidRDefault="008708FA" w:rsidP="008708FA">
      <w:pPr>
        <w:rPr>
          <w:rFonts w:eastAsia="Calibri"/>
        </w:rPr>
      </w:pPr>
      <w:r w:rsidRPr="009E1F3F">
        <w:rPr>
          <w:rFonts w:eastAsia="Calibri"/>
        </w:rPr>
        <w:fldChar w:fldCharType="begin"/>
      </w:r>
      <w:r w:rsidRPr="009E1F3F">
        <w:rPr>
          <w:rFonts w:eastAsia="Calibri"/>
        </w:rPr>
        <w:instrText xml:space="preserve"> REF _Ref364697838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w:t>
      </w:r>
      <w:r w:rsidR="006A4BE7">
        <w:rPr>
          <w:rFonts w:eastAsia="Calibri"/>
          <w:b/>
          <w:bCs/>
          <w:i/>
          <w:noProof/>
          <w:sz w:val="20"/>
          <w:szCs w:val="18"/>
        </w:rPr>
        <w:t>6</w:t>
      </w:r>
      <w:r w:rsidRPr="009E1F3F">
        <w:rPr>
          <w:rFonts w:eastAsia="Calibri"/>
        </w:rPr>
        <w:fldChar w:fldCharType="end"/>
      </w:r>
      <w:r w:rsidRPr="009E1F3F">
        <w:rPr>
          <w:rFonts w:eastAsia="Calibri"/>
        </w:rPr>
        <w:t xml:space="preserve"> shows the few registered UM that have had claimed priority broken-down by priority</w:t>
      </w:r>
      <w:r w:rsidRPr="008708FA">
        <w:rPr>
          <w:rFonts w:eastAsia="Calibri"/>
        </w:rPr>
        <w:t xml:space="preserve"> office.  As it can be seen, most of the first filings were done in China, followed by the United States and Japan.  As United States does not provide for UM protection, these priority claims are related to US patent applications.  </w:t>
      </w:r>
    </w:p>
    <w:p w:rsidR="008708FA" w:rsidRPr="008708FA" w:rsidRDefault="008708FA" w:rsidP="008708FA">
      <w:pPr>
        <w:rPr>
          <w:rFonts w:eastAsia="Calibri"/>
        </w:rPr>
      </w:pPr>
    </w:p>
    <w:p w:rsidR="008708FA" w:rsidRPr="008708FA" w:rsidRDefault="008708FA" w:rsidP="008708FA">
      <w:pPr>
        <w:rPr>
          <w:rFonts w:eastAsia="Calibri"/>
        </w:rPr>
      </w:pPr>
    </w:p>
    <w:p w:rsidR="008708FA" w:rsidRPr="008708FA" w:rsidRDefault="008708FA" w:rsidP="008708FA">
      <w:pPr>
        <w:spacing w:line="276" w:lineRule="auto"/>
        <w:rPr>
          <w:rFonts w:eastAsia="Calibri"/>
        </w:rPr>
      </w:pPr>
      <w:r w:rsidRPr="008708FA">
        <w:rPr>
          <w:rFonts w:eastAsia="Calibri"/>
        </w:rPr>
        <w:br w:type="page"/>
      </w:r>
    </w:p>
    <w:p w:rsidR="008708FA" w:rsidRPr="008708FA" w:rsidRDefault="008708FA" w:rsidP="008708FA">
      <w:pPr>
        <w:rPr>
          <w:rFonts w:eastAsia="Calibri"/>
        </w:rPr>
      </w:pPr>
    </w:p>
    <w:p w:rsidR="008708FA" w:rsidRPr="009E1F3F" w:rsidRDefault="008708FA" w:rsidP="008708FA">
      <w:pPr>
        <w:rPr>
          <w:rFonts w:eastAsia="Calibri"/>
          <w:b/>
          <w:bCs/>
          <w:i/>
          <w:sz w:val="20"/>
          <w:szCs w:val="20"/>
        </w:rPr>
      </w:pPr>
      <w:bookmarkStart w:id="60" w:name="_Ref364697825"/>
      <w:r w:rsidRPr="009E1F3F">
        <w:rPr>
          <w:rFonts w:eastAsia="Calibri"/>
          <w:b/>
          <w:bCs/>
          <w:i/>
          <w:sz w:val="20"/>
          <w:szCs w:val="20"/>
        </w:rPr>
        <w:t xml:space="preserve">Table </w:t>
      </w:r>
      <w:r w:rsidRPr="008708FA">
        <w:rPr>
          <w:rFonts w:eastAsia="Calibri"/>
          <w:b/>
          <w:bCs/>
          <w:i/>
          <w:sz w:val="20"/>
          <w:szCs w:val="18"/>
        </w:rPr>
        <w:fldChar w:fldCharType="begin"/>
      </w:r>
      <w:r w:rsidRPr="008708FA">
        <w:rPr>
          <w:rFonts w:eastAsia="Calibri"/>
          <w:b/>
          <w:bCs/>
          <w:i/>
          <w:sz w:val="20"/>
          <w:szCs w:val="18"/>
        </w:rPr>
        <w:instrText xml:space="preserve"> SEQ Table \* ARABIC </w:instrText>
      </w:r>
      <w:r w:rsidRPr="008708FA">
        <w:rPr>
          <w:rFonts w:eastAsia="Calibri"/>
          <w:b/>
          <w:bCs/>
          <w:i/>
          <w:sz w:val="20"/>
          <w:szCs w:val="18"/>
        </w:rPr>
        <w:fldChar w:fldCharType="separate"/>
      </w:r>
      <w:r w:rsidR="006A4BE7">
        <w:rPr>
          <w:rFonts w:eastAsia="Calibri"/>
          <w:b/>
          <w:bCs/>
          <w:i/>
          <w:noProof/>
          <w:sz w:val="20"/>
          <w:szCs w:val="18"/>
        </w:rPr>
        <w:t>3</w:t>
      </w:r>
      <w:r w:rsidRPr="008708FA">
        <w:rPr>
          <w:rFonts w:eastAsia="Calibri"/>
          <w:b/>
          <w:bCs/>
          <w:i/>
          <w:sz w:val="20"/>
          <w:szCs w:val="18"/>
        </w:rPr>
        <w:fldChar w:fldCharType="end"/>
      </w:r>
      <w:bookmarkEnd w:id="60"/>
      <w:r w:rsidRPr="009E1F3F">
        <w:rPr>
          <w:rFonts w:eastAsia="Calibri"/>
          <w:b/>
          <w:bCs/>
          <w:i/>
          <w:sz w:val="20"/>
          <w:szCs w:val="20"/>
        </w:rPr>
        <w:t>: Registered UM by First and Subsequent filings</w:t>
      </w:r>
    </w:p>
    <w:tbl>
      <w:tblPr>
        <w:tblW w:w="871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475"/>
        <w:gridCol w:w="1120"/>
        <w:gridCol w:w="1120"/>
        <w:gridCol w:w="1475"/>
        <w:gridCol w:w="1120"/>
        <w:gridCol w:w="1120"/>
      </w:tblGrid>
      <w:tr w:rsidR="008708FA" w:rsidRPr="008708FA" w:rsidTr="005C2427">
        <w:trPr>
          <w:trHeight w:val="255"/>
        </w:trPr>
        <w:tc>
          <w:tcPr>
            <w:tcW w:w="1284" w:type="dxa"/>
            <w:tcBorders>
              <w:bottom w:val="nil"/>
            </w:tcBorders>
            <w:shd w:val="clear" w:color="auto" w:fill="B6DDE8" w:themeFill="accent5" w:themeFillTint="66"/>
            <w:noWrap/>
            <w:vAlign w:val="bottom"/>
            <w:hideMark/>
          </w:tcPr>
          <w:p w:rsidR="008708FA" w:rsidRPr="008708FA" w:rsidRDefault="008708FA" w:rsidP="008708FA">
            <w:pPr>
              <w:spacing w:before="60" w:after="60"/>
              <w:jc w:val="center"/>
              <w:rPr>
                <w:rFonts w:eastAsia="Calibri"/>
                <w:sz w:val="20"/>
                <w:szCs w:val="20"/>
              </w:rPr>
            </w:pPr>
          </w:p>
        </w:tc>
        <w:tc>
          <w:tcPr>
            <w:tcW w:w="2595" w:type="dxa"/>
            <w:gridSpan w:val="2"/>
            <w:tcBorders>
              <w:bottom w:val="single" w:sz="4" w:space="0" w:color="auto"/>
              <w:right w:val="nil"/>
            </w:tcBorders>
            <w:shd w:val="clear" w:color="auto" w:fill="B6DDE8" w:themeFill="accent5" w:themeFillTint="66"/>
            <w:noWrap/>
            <w:vAlign w:val="bottom"/>
            <w:hideMark/>
          </w:tcPr>
          <w:p w:rsidR="008708FA" w:rsidRPr="008708FA" w:rsidRDefault="008708FA" w:rsidP="008708FA">
            <w:pPr>
              <w:spacing w:before="60" w:after="60"/>
              <w:rPr>
                <w:rFonts w:eastAsia="Calibri"/>
                <w:b/>
                <w:sz w:val="20"/>
                <w:szCs w:val="20"/>
              </w:rPr>
            </w:pPr>
            <w:r w:rsidRPr="008708FA">
              <w:rPr>
                <w:rFonts w:eastAsia="Calibri"/>
                <w:b/>
                <w:sz w:val="20"/>
                <w:szCs w:val="20"/>
              </w:rPr>
              <w:t>by Application year</w:t>
            </w:r>
          </w:p>
        </w:tc>
        <w:tc>
          <w:tcPr>
            <w:tcW w:w="1120" w:type="dxa"/>
            <w:tcBorders>
              <w:left w:val="nil"/>
              <w:bottom w:val="single" w:sz="4" w:space="0" w:color="auto"/>
            </w:tcBorders>
            <w:shd w:val="clear" w:color="auto" w:fill="B6DDE8" w:themeFill="accent5" w:themeFillTint="66"/>
            <w:noWrap/>
            <w:vAlign w:val="bottom"/>
            <w:hideMark/>
          </w:tcPr>
          <w:p w:rsidR="008708FA" w:rsidRPr="008708FA" w:rsidRDefault="008708FA" w:rsidP="008708FA">
            <w:pPr>
              <w:spacing w:before="60" w:after="60"/>
              <w:rPr>
                <w:rFonts w:eastAsia="Calibri"/>
                <w:b/>
                <w:sz w:val="20"/>
                <w:szCs w:val="20"/>
              </w:rPr>
            </w:pPr>
            <w:r w:rsidRPr="008708FA">
              <w:rPr>
                <w:rFonts w:eastAsia="Calibri"/>
                <w:b/>
                <w:sz w:val="20"/>
                <w:szCs w:val="20"/>
              </w:rPr>
              <w:t> </w:t>
            </w:r>
          </w:p>
        </w:tc>
        <w:tc>
          <w:tcPr>
            <w:tcW w:w="2595" w:type="dxa"/>
            <w:gridSpan w:val="2"/>
            <w:tcBorders>
              <w:bottom w:val="single" w:sz="4" w:space="0" w:color="auto"/>
              <w:right w:val="nil"/>
            </w:tcBorders>
            <w:shd w:val="clear" w:color="auto" w:fill="B6DDE8" w:themeFill="accent5" w:themeFillTint="66"/>
            <w:noWrap/>
            <w:vAlign w:val="bottom"/>
            <w:hideMark/>
          </w:tcPr>
          <w:p w:rsidR="008708FA" w:rsidRPr="008708FA" w:rsidRDefault="008708FA" w:rsidP="008708FA">
            <w:pPr>
              <w:spacing w:before="60" w:after="60"/>
              <w:rPr>
                <w:rFonts w:eastAsia="Calibri"/>
                <w:b/>
                <w:sz w:val="20"/>
                <w:szCs w:val="20"/>
              </w:rPr>
            </w:pPr>
            <w:r w:rsidRPr="008708FA">
              <w:rPr>
                <w:rFonts w:eastAsia="Calibri"/>
                <w:b/>
                <w:sz w:val="20"/>
                <w:szCs w:val="20"/>
              </w:rPr>
              <w:t>by Priority year</w:t>
            </w:r>
          </w:p>
        </w:tc>
        <w:tc>
          <w:tcPr>
            <w:tcW w:w="1120" w:type="dxa"/>
            <w:tcBorders>
              <w:left w:val="nil"/>
              <w:bottom w:val="single" w:sz="4" w:space="0" w:color="auto"/>
            </w:tcBorders>
            <w:shd w:val="clear" w:color="auto" w:fill="B6DDE8" w:themeFill="accent5" w:themeFillTint="66"/>
            <w:noWrap/>
            <w:vAlign w:val="bottom"/>
            <w:hideMark/>
          </w:tcPr>
          <w:p w:rsidR="008708FA" w:rsidRPr="008708FA" w:rsidRDefault="008708FA" w:rsidP="008708FA">
            <w:pPr>
              <w:spacing w:before="60" w:after="60"/>
              <w:rPr>
                <w:rFonts w:eastAsia="Calibri"/>
                <w:b/>
                <w:sz w:val="20"/>
                <w:szCs w:val="20"/>
              </w:rPr>
            </w:pPr>
            <w:r w:rsidRPr="008708FA">
              <w:rPr>
                <w:rFonts w:eastAsia="Calibri"/>
                <w:b/>
                <w:sz w:val="20"/>
                <w:szCs w:val="20"/>
              </w:rPr>
              <w:t> </w:t>
            </w:r>
          </w:p>
        </w:tc>
      </w:tr>
      <w:tr w:rsidR="008708FA" w:rsidRPr="008708FA" w:rsidTr="005C2427">
        <w:trPr>
          <w:trHeight w:val="525"/>
        </w:trPr>
        <w:tc>
          <w:tcPr>
            <w:tcW w:w="1284" w:type="dxa"/>
            <w:tcBorders>
              <w:top w:val="nil"/>
            </w:tcBorders>
            <w:shd w:val="clear" w:color="auto" w:fill="B6DDE8" w:themeFill="accent5" w:themeFillTint="66"/>
            <w:vAlign w:val="center"/>
            <w:hideMark/>
          </w:tcPr>
          <w:p w:rsidR="008708FA" w:rsidRPr="008708FA" w:rsidRDefault="008708FA" w:rsidP="008708FA">
            <w:pPr>
              <w:spacing w:before="60" w:after="60"/>
              <w:jc w:val="center"/>
              <w:rPr>
                <w:rFonts w:eastAsia="Calibri"/>
                <w:sz w:val="20"/>
                <w:szCs w:val="20"/>
              </w:rPr>
            </w:pPr>
          </w:p>
        </w:tc>
        <w:tc>
          <w:tcPr>
            <w:tcW w:w="1475" w:type="dxa"/>
            <w:tcBorders>
              <w:right w:val="nil"/>
            </w:tcBorders>
            <w:shd w:val="clear" w:color="auto" w:fill="B6DDE8" w:themeFill="accent5" w:themeFillTint="66"/>
            <w:vAlign w:val="center"/>
            <w:hideMark/>
          </w:tcPr>
          <w:p w:rsidR="008708FA" w:rsidRPr="008708FA" w:rsidRDefault="008708FA" w:rsidP="008708FA">
            <w:pPr>
              <w:spacing w:before="60" w:after="60"/>
              <w:rPr>
                <w:rFonts w:eastAsia="Calibri"/>
                <w:b/>
                <w:sz w:val="20"/>
                <w:szCs w:val="20"/>
              </w:rPr>
            </w:pPr>
            <w:r w:rsidRPr="008708FA">
              <w:rPr>
                <w:rFonts w:eastAsia="Calibri"/>
                <w:b/>
                <w:sz w:val="20"/>
                <w:szCs w:val="20"/>
              </w:rPr>
              <w:t>Subsequent filings</w:t>
            </w:r>
          </w:p>
        </w:tc>
        <w:tc>
          <w:tcPr>
            <w:tcW w:w="1120" w:type="dxa"/>
            <w:tcBorders>
              <w:left w:val="nil"/>
              <w:right w:val="nil"/>
            </w:tcBorders>
            <w:shd w:val="clear" w:color="auto" w:fill="B6DDE8" w:themeFill="accent5" w:themeFillTint="66"/>
            <w:vAlign w:val="center"/>
            <w:hideMark/>
          </w:tcPr>
          <w:p w:rsidR="008708FA" w:rsidRPr="008708FA" w:rsidRDefault="008708FA" w:rsidP="008708FA">
            <w:pPr>
              <w:spacing w:before="60" w:after="60"/>
              <w:rPr>
                <w:rFonts w:eastAsia="Calibri"/>
                <w:b/>
                <w:sz w:val="20"/>
                <w:szCs w:val="20"/>
              </w:rPr>
            </w:pPr>
            <w:r w:rsidRPr="008708FA">
              <w:rPr>
                <w:rFonts w:eastAsia="Calibri"/>
                <w:b/>
                <w:sz w:val="20"/>
                <w:szCs w:val="20"/>
              </w:rPr>
              <w:t>First filings</w:t>
            </w:r>
          </w:p>
        </w:tc>
        <w:tc>
          <w:tcPr>
            <w:tcW w:w="1120" w:type="dxa"/>
            <w:tcBorders>
              <w:left w:val="nil"/>
            </w:tcBorders>
            <w:shd w:val="clear" w:color="auto" w:fill="B6DDE8" w:themeFill="accent5" w:themeFillTint="66"/>
            <w:vAlign w:val="center"/>
            <w:hideMark/>
          </w:tcPr>
          <w:p w:rsidR="008708FA" w:rsidRPr="008708FA" w:rsidRDefault="008708FA" w:rsidP="008708FA">
            <w:pPr>
              <w:spacing w:before="60" w:after="60"/>
              <w:rPr>
                <w:rFonts w:eastAsia="Calibri"/>
                <w:b/>
                <w:sz w:val="20"/>
                <w:szCs w:val="20"/>
              </w:rPr>
            </w:pPr>
            <w:r w:rsidRPr="008708FA">
              <w:rPr>
                <w:rFonts w:eastAsia="Calibri"/>
                <w:b/>
                <w:sz w:val="20"/>
                <w:szCs w:val="20"/>
              </w:rPr>
              <w:t>Total filings</w:t>
            </w:r>
          </w:p>
        </w:tc>
        <w:tc>
          <w:tcPr>
            <w:tcW w:w="1475" w:type="dxa"/>
            <w:tcBorders>
              <w:right w:val="nil"/>
            </w:tcBorders>
            <w:shd w:val="clear" w:color="auto" w:fill="B6DDE8" w:themeFill="accent5" w:themeFillTint="66"/>
            <w:vAlign w:val="center"/>
            <w:hideMark/>
          </w:tcPr>
          <w:p w:rsidR="008708FA" w:rsidRPr="008708FA" w:rsidRDefault="008708FA" w:rsidP="008708FA">
            <w:pPr>
              <w:spacing w:before="60" w:after="60"/>
              <w:rPr>
                <w:rFonts w:eastAsia="Calibri"/>
                <w:b/>
                <w:sz w:val="20"/>
                <w:szCs w:val="20"/>
              </w:rPr>
            </w:pPr>
            <w:r w:rsidRPr="008708FA">
              <w:rPr>
                <w:rFonts w:eastAsia="Calibri"/>
                <w:b/>
                <w:sz w:val="20"/>
                <w:szCs w:val="20"/>
              </w:rPr>
              <w:t>Subsequent filings</w:t>
            </w:r>
          </w:p>
        </w:tc>
        <w:tc>
          <w:tcPr>
            <w:tcW w:w="1120" w:type="dxa"/>
            <w:tcBorders>
              <w:left w:val="nil"/>
              <w:right w:val="nil"/>
            </w:tcBorders>
            <w:shd w:val="clear" w:color="auto" w:fill="B6DDE8" w:themeFill="accent5" w:themeFillTint="66"/>
            <w:vAlign w:val="center"/>
            <w:hideMark/>
          </w:tcPr>
          <w:p w:rsidR="008708FA" w:rsidRPr="008708FA" w:rsidRDefault="008708FA" w:rsidP="008708FA">
            <w:pPr>
              <w:spacing w:before="60" w:after="60"/>
              <w:rPr>
                <w:rFonts w:eastAsia="Calibri"/>
                <w:b/>
                <w:sz w:val="20"/>
                <w:szCs w:val="20"/>
              </w:rPr>
            </w:pPr>
            <w:r w:rsidRPr="008708FA">
              <w:rPr>
                <w:rFonts w:eastAsia="Calibri"/>
                <w:b/>
                <w:sz w:val="20"/>
                <w:szCs w:val="20"/>
              </w:rPr>
              <w:t>First filings</w:t>
            </w:r>
          </w:p>
        </w:tc>
        <w:tc>
          <w:tcPr>
            <w:tcW w:w="1120" w:type="dxa"/>
            <w:tcBorders>
              <w:left w:val="nil"/>
            </w:tcBorders>
            <w:shd w:val="clear" w:color="auto" w:fill="B6DDE8" w:themeFill="accent5" w:themeFillTint="66"/>
            <w:vAlign w:val="center"/>
            <w:hideMark/>
          </w:tcPr>
          <w:p w:rsidR="008708FA" w:rsidRPr="008708FA" w:rsidRDefault="008708FA" w:rsidP="008708FA">
            <w:pPr>
              <w:spacing w:before="60" w:after="60"/>
              <w:rPr>
                <w:rFonts w:eastAsia="Calibri"/>
                <w:b/>
                <w:sz w:val="20"/>
                <w:szCs w:val="20"/>
              </w:rPr>
            </w:pPr>
            <w:r w:rsidRPr="008708FA">
              <w:rPr>
                <w:rFonts w:eastAsia="Calibri"/>
                <w:b/>
                <w:sz w:val="20"/>
                <w:szCs w:val="20"/>
              </w:rPr>
              <w:t>Total filings</w:t>
            </w:r>
          </w:p>
        </w:tc>
      </w:tr>
      <w:tr w:rsidR="008708FA" w:rsidRPr="008708FA" w:rsidTr="005C2427">
        <w:trPr>
          <w:trHeight w:val="255"/>
        </w:trPr>
        <w:tc>
          <w:tcPr>
            <w:tcW w:w="1284" w:type="dxa"/>
            <w:tcBorders>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1996</w:t>
            </w:r>
          </w:p>
        </w:tc>
        <w:tc>
          <w:tcPr>
            <w:tcW w:w="1475" w:type="dxa"/>
            <w:tcBorders>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w:t>
            </w:r>
          </w:p>
        </w:tc>
        <w:tc>
          <w:tcPr>
            <w:tcW w:w="1120" w:type="dxa"/>
            <w:tcBorders>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0</w:t>
            </w:r>
          </w:p>
        </w:tc>
        <w:tc>
          <w:tcPr>
            <w:tcW w:w="1120" w:type="dxa"/>
            <w:tcBorders>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w:t>
            </w:r>
          </w:p>
        </w:tc>
        <w:tc>
          <w:tcPr>
            <w:tcW w:w="1475" w:type="dxa"/>
            <w:tcBorders>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w:t>
            </w:r>
          </w:p>
        </w:tc>
        <w:tc>
          <w:tcPr>
            <w:tcW w:w="1120" w:type="dxa"/>
            <w:tcBorders>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0</w:t>
            </w:r>
          </w:p>
        </w:tc>
        <w:tc>
          <w:tcPr>
            <w:tcW w:w="1120" w:type="dxa"/>
            <w:tcBorders>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w:t>
            </w:r>
          </w:p>
        </w:tc>
      </w:tr>
      <w:tr w:rsidR="008708FA" w:rsidRPr="008708FA" w:rsidTr="005C2427">
        <w:trPr>
          <w:trHeight w:val="255"/>
        </w:trPr>
        <w:tc>
          <w:tcPr>
            <w:tcW w:w="1284" w:type="dxa"/>
            <w:tcBorders>
              <w:top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1997</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0</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0</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0</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0</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0</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0</w:t>
            </w:r>
          </w:p>
        </w:tc>
      </w:tr>
      <w:tr w:rsidR="008708FA" w:rsidRPr="008708FA" w:rsidTr="005C2427">
        <w:trPr>
          <w:trHeight w:val="255"/>
        </w:trPr>
        <w:tc>
          <w:tcPr>
            <w:tcW w:w="1284" w:type="dxa"/>
            <w:tcBorders>
              <w:top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1998</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5</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7</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4</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5</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9</w:t>
            </w:r>
          </w:p>
        </w:tc>
      </w:tr>
      <w:tr w:rsidR="008708FA" w:rsidRPr="008708FA" w:rsidTr="005C2427">
        <w:trPr>
          <w:trHeight w:val="255"/>
        </w:trPr>
        <w:tc>
          <w:tcPr>
            <w:tcW w:w="1284" w:type="dxa"/>
            <w:tcBorders>
              <w:top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1999</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7</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112</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119</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34</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112</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146</w:t>
            </w:r>
          </w:p>
        </w:tc>
      </w:tr>
      <w:tr w:rsidR="008708FA" w:rsidRPr="008708FA" w:rsidTr="008708FA">
        <w:trPr>
          <w:trHeight w:val="255"/>
        </w:trPr>
        <w:tc>
          <w:tcPr>
            <w:tcW w:w="1284" w:type="dxa"/>
            <w:tcBorders>
              <w:top w:val="nil"/>
              <w:bottom w:val="nil"/>
            </w:tcBorders>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2000</w:t>
            </w:r>
          </w:p>
        </w:tc>
        <w:tc>
          <w:tcPr>
            <w:tcW w:w="1475" w:type="dxa"/>
            <w:tcBorders>
              <w:top w:val="nil"/>
              <w:bottom w:val="nil"/>
              <w:right w:val="nil"/>
            </w:tcBorders>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40</w:t>
            </w:r>
          </w:p>
        </w:tc>
        <w:tc>
          <w:tcPr>
            <w:tcW w:w="1120" w:type="dxa"/>
            <w:tcBorders>
              <w:top w:val="nil"/>
              <w:left w:val="nil"/>
              <w:bottom w:val="nil"/>
              <w:right w:val="nil"/>
            </w:tcBorders>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291</w:t>
            </w:r>
          </w:p>
        </w:tc>
        <w:tc>
          <w:tcPr>
            <w:tcW w:w="1120" w:type="dxa"/>
            <w:tcBorders>
              <w:top w:val="nil"/>
              <w:left w:val="nil"/>
              <w:bottom w:val="nil"/>
            </w:tcBorders>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331</w:t>
            </w:r>
          </w:p>
        </w:tc>
        <w:tc>
          <w:tcPr>
            <w:tcW w:w="1475" w:type="dxa"/>
            <w:tcBorders>
              <w:top w:val="nil"/>
              <w:bottom w:val="nil"/>
              <w:right w:val="nil"/>
            </w:tcBorders>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25</w:t>
            </w:r>
          </w:p>
        </w:tc>
        <w:tc>
          <w:tcPr>
            <w:tcW w:w="1120" w:type="dxa"/>
            <w:tcBorders>
              <w:top w:val="nil"/>
              <w:left w:val="nil"/>
              <w:bottom w:val="nil"/>
              <w:right w:val="nil"/>
            </w:tcBorders>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291</w:t>
            </w:r>
          </w:p>
        </w:tc>
        <w:tc>
          <w:tcPr>
            <w:tcW w:w="1120" w:type="dxa"/>
            <w:tcBorders>
              <w:top w:val="nil"/>
              <w:left w:val="nil"/>
              <w:bottom w:val="nil"/>
            </w:tcBorders>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316</w:t>
            </w:r>
          </w:p>
        </w:tc>
      </w:tr>
      <w:tr w:rsidR="008708FA" w:rsidRPr="008708FA" w:rsidTr="005C2427">
        <w:trPr>
          <w:trHeight w:val="255"/>
        </w:trPr>
        <w:tc>
          <w:tcPr>
            <w:tcW w:w="1284" w:type="dxa"/>
            <w:tcBorders>
              <w:top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2001</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24</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441</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465</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26</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441</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467</w:t>
            </w:r>
          </w:p>
        </w:tc>
      </w:tr>
      <w:tr w:rsidR="008708FA" w:rsidRPr="008708FA" w:rsidTr="005C2427">
        <w:trPr>
          <w:trHeight w:val="255"/>
        </w:trPr>
        <w:tc>
          <w:tcPr>
            <w:tcW w:w="1284" w:type="dxa"/>
            <w:tcBorders>
              <w:top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2002</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22</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544</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566</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17</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544</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561</w:t>
            </w:r>
          </w:p>
        </w:tc>
      </w:tr>
      <w:tr w:rsidR="008708FA" w:rsidRPr="008708FA" w:rsidTr="005C2427">
        <w:trPr>
          <w:trHeight w:val="255"/>
        </w:trPr>
        <w:tc>
          <w:tcPr>
            <w:tcW w:w="1284" w:type="dxa"/>
            <w:tcBorders>
              <w:top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2003</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21</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491</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512</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22</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491</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513</w:t>
            </w:r>
          </w:p>
        </w:tc>
      </w:tr>
      <w:tr w:rsidR="008708FA" w:rsidRPr="008708FA" w:rsidTr="005C2427">
        <w:trPr>
          <w:trHeight w:val="255"/>
        </w:trPr>
        <w:tc>
          <w:tcPr>
            <w:tcW w:w="1284" w:type="dxa"/>
            <w:tcBorders>
              <w:top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2004</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24</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610</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634</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25</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610</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635</w:t>
            </w:r>
          </w:p>
        </w:tc>
      </w:tr>
      <w:tr w:rsidR="008708FA" w:rsidRPr="008708FA" w:rsidTr="005C2427">
        <w:trPr>
          <w:trHeight w:val="255"/>
        </w:trPr>
        <w:tc>
          <w:tcPr>
            <w:tcW w:w="1284" w:type="dxa"/>
            <w:tcBorders>
              <w:top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2005</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30</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752</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782</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36</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752</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788</w:t>
            </w:r>
          </w:p>
        </w:tc>
      </w:tr>
      <w:tr w:rsidR="008708FA" w:rsidRPr="008708FA" w:rsidTr="005C2427">
        <w:trPr>
          <w:trHeight w:val="255"/>
        </w:trPr>
        <w:tc>
          <w:tcPr>
            <w:tcW w:w="1284" w:type="dxa"/>
            <w:tcBorders>
              <w:top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2006</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27</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1,024</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1,051</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19</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1,024</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1,043</w:t>
            </w:r>
          </w:p>
        </w:tc>
      </w:tr>
      <w:tr w:rsidR="008708FA" w:rsidRPr="008708FA" w:rsidTr="005C2427">
        <w:trPr>
          <w:trHeight w:val="255"/>
        </w:trPr>
        <w:tc>
          <w:tcPr>
            <w:tcW w:w="1284" w:type="dxa"/>
            <w:tcBorders>
              <w:top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2007</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16</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710</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726</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28</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710</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738</w:t>
            </w:r>
          </w:p>
        </w:tc>
      </w:tr>
      <w:tr w:rsidR="008708FA" w:rsidRPr="008708FA" w:rsidTr="005C2427">
        <w:trPr>
          <w:trHeight w:val="255"/>
        </w:trPr>
        <w:tc>
          <w:tcPr>
            <w:tcW w:w="1284" w:type="dxa"/>
            <w:tcBorders>
              <w:top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2008</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34</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650</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684</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20</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650</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670</w:t>
            </w:r>
          </w:p>
        </w:tc>
      </w:tr>
      <w:tr w:rsidR="008708FA" w:rsidRPr="008708FA" w:rsidTr="005C2427">
        <w:trPr>
          <w:trHeight w:val="255"/>
        </w:trPr>
        <w:tc>
          <w:tcPr>
            <w:tcW w:w="1284" w:type="dxa"/>
            <w:tcBorders>
              <w:top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2009</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16</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559</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575</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24</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559</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583</w:t>
            </w:r>
          </w:p>
        </w:tc>
      </w:tr>
      <w:tr w:rsidR="008708FA" w:rsidRPr="008708FA" w:rsidTr="005C2427">
        <w:trPr>
          <w:trHeight w:val="255"/>
        </w:trPr>
        <w:tc>
          <w:tcPr>
            <w:tcW w:w="1284" w:type="dxa"/>
            <w:tcBorders>
              <w:top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2010</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26</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530</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556</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19</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530</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549</w:t>
            </w:r>
          </w:p>
        </w:tc>
      </w:tr>
      <w:tr w:rsidR="008708FA" w:rsidRPr="008708FA" w:rsidTr="005C2427">
        <w:trPr>
          <w:trHeight w:val="255"/>
        </w:trPr>
        <w:tc>
          <w:tcPr>
            <w:tcW w:w="1284" w:type="dxa"/>
            <w:tcBorders>
              <w:top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2011</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13</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386</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399</w:t>
            </w:r>
          </w:p>
        </w:tc>
        <w:tc>
          <w:tcPr>
            <w:tcW w:w="1475" w:type="dxa"/>
            <w:tcBorders>
              <w:top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3</w:t>
            </w:r>
          </w:p>
        </w:tc>
        <w:tc>
          <w:tcPr>
            <w:tcW w:w="1120" w:type="dxa"/>
            <w:tcBorders>
              <w:top w:val="nil"/>
              <w:left w:val="nil"/>
              <w:bottom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386</w:t>
            </w:r>
          </w:p>
        </w:tc>
        <w:tc>
          <w:tcPr>
            <w:tcW w:w="1120" w:type="dxa"/>
            <w:tcBorders>
              <w:top w:val="nil"/>
              <w:left w:val="nil"/>
              <w:bottom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389</w:t>
            </w:r>
          </w:p>
        </w:tc>
      </w:tr>
      <w:tr w:rsidR="008708FA" w:rsidRPr="008708FA" w:rsidTr="005C2427">
        <w:trPr>
          <w:trHeight w:val="255"/>
        </w:trPr>
        <w:tc>
          <w:tcPr>
            <w:tcW w:w="1284" w:type="dxa"/>
            <w:tcBorders>
              <w:top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2012</w:t>
            </w:r>
          </w:p>
        </w:tc>
        <w:tc>
          <w:tcPr>
            <w:tcW w:w="1475" w:type="dxa"/>
            <w:tcBorders>
              <w:top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1</w:t>
            </w:r>
          </w:p>
        </w:tc>
        <w:tc>
          <w:tcPr>
            <w:tcW w:w="1120" w:type="dxa"/>
            <w:tcBorders>
              <w:top w:val="nil"/>
              <w:left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89</w:t>
            </w:r>
          </w:p>
        </w:tc>
        <w:tc>
          <w:tcPr>
            <w:tcW w:w="1120" w:type="dxa"/>
            <w:tcBorders>
              <w:top w:val="nil"/>
              <w:lef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90</w:t>
            </w:r>
          </w:p>
        </w:tc>
        <w:tc>
          <w:tcPr>
            <w:tcW w:w="1475" w:type="dxa"/>
            <w:tcBorders>
              <w:top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0</w:t>
            </w:r>
          </w:p>
        </w:tc>
        <w:tc>
          <w:tcPr>
            <w:tcW w:w="1120" w:type="dxa"/>
            <w:tcBorders>
              <w:top w:val="nil"/>
              <w:left w:val="nil"/>
              <w:righ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89</w:t>
            </w:r>
          </w:p>
        </w:tc>
        <w:tc>
          <w:tcPr>
            <w:tcW w:w="1120" w:type="dxa"/>
            <w:tcBorders>
              <w:top w:val="nil"/>
              <w:left w:val="nil"/>
            </w:tcBorders>
            <w:shd w:val="clear" w:color="auto" w:fill="auto"/>
            <w:noWrap/>
            <w:vAlign w:val="bottom"/>
            <w:hideMark/>
          </w:tcPr>
          <w:p w:rsidR="008708FA" w:rsidRPr="008708FA" w:rsidRDefault="008708FA" w:rsidP="008708FA">
            <w:pPr>
              <w:jc w:val="center"/>
              <w:rPr>
                <w:rFonts w:eastAsia="Calibri" w:cs="Arial"/>
                <w:sz w:val="20"/>
                <w:szCs w:val="20"/>
              </w:rPr>
            </w:pPr>
            <w:r w:rsidRPr="008708FA">
              <w:rPr>
                <w:rFonts w:eastAsia="Calibri" w:cs="Arial"/>
                <w:sz w:val="20"/>
                <w:szCs w:val="20"/>
              </w:rPr>
              <w:t>89</w:t>
            </w:r>
          </w:p>
        </w:tc>
      </w:tr>
      <w:tr w:rsidR="008708FA" w:rsidRPr="008708FA" w:rsidTr="005C2427">
        <w:trPr>
          <w:trHeight w:val="255"/>
        </w:trPr>
        <w:tc>
          <w:tcPr>
            <w:tcW w:w="1284" w:type="dxa"/>
            <w:shd w:val="clear" w:color="auto" w:fill="auto"/>
            <w:noWrap/>
            <w:vAlign w:val="bottom"/>
            <w:hideMark/>
          </w:tcPr>
          <w:p w:rsidR="008708FA" w:rsidRPr="008708FA" w:rsidRDefault="008708FA" w:rsidP="008708FA">
            <w:pPr>
              <w:jc w:val="center"/>
              <w:rPr>
                <w:rFonts w:eastAsia="Calibri" w:cs="Arial"/>
                <w:b/>
                <w:sz w:val="20"/>
                <w:szCs w:val="20"/>
              </w:rPr>
            </w:pPr>
            <w:r w:rsidRPr="008708FA">
              <w:rPr>
                <w:rFonts w:eastAsia="Calibri" w:cs="Arial"/>
                <w:b/>
                <w:sz w:val="20"/>
                <w:szCs w:val="20"/>
              </w:rPr>
              <w:t>1996-2012</w:t>
            </w:r>
          </w:p>
        </w:tc>
        <w:tc>
          <w:tcPr>
            <w:tcW w:w="1475" w:type="dxa"/>
            <w:tcBorders>
              <w:right w:val="nil"/>
            </w:tcBorders>
            <w:shd w:val="clear" w:color="auto" w:fill="auto"/>
            <w:noWrap/>
            <w:vAlign w:val="bottom"/>
            <w:hideMark/>
          </w:tcPr>
          <w:p w:rsidR="008708FA" w:rsidRPr="008708FA" w:rsidRDefault="008708FA" w:rsidP="008708FA">
            <w:pPr>
              <w:jc w:val="center"/>
              <w:rPr>
                <w:rFonts w:eastAsia="Calibri" w:cs="Arial"/>
                <w:b/>
                <w:sz w:val="20"/>
                <w:szCs w:val="20"/>
              </w:rPr>
            </w:pPr>
            <w:r w:rsidRPr="008708FA">
              <w:rPr>
                <w:rFonts w:eastAsia="Calibri" w:cs="Arial"/>
                <w:b/>
                <w:sz w:val="20"/>
                <w:szCs w:val="20"/>
              </w:rPr>
              <w:t>304</w:t>
            </w:r>
          </w:p>
        </w:tc>
        <w:tc>
          <w:tcPr>
            <w:tcW w:w="1120" w:type="dxa"/>
            <w:tcBorders>
              <w:left w:val="nil"/>
              <w:right w:val="nil"/>
            </w:tcBorders>
            <w:shd w:val="clear" w:color="auto" w:fill="auto"/>
            <w:noWrap/>
            <w:vAlign w:val="bottom"/>
            <w:hideMark/>
          </w:tcPr>
          <w:p w:rsidR="008708FA" w:rsidRPr="008708FA" w:rsidRDefault="008708FA" w:rsidP="008708FA">
            <w:pPr>
              <w:jc w:val="center"/>
              <w:rPr>
                <w:rFonts w:eastAsia="Calibri" w:cs="Arial"/>
                <w:b/>
                <w:sz w:val="20"/>
                <w:szCs w:val="20"/>
              </w:rPr>
            </w:pPr>
            <w:r w:rsidRPr="008708FA">
              <w:rPr>
                <w:rFonts w:eastAsia="Calibri" w:cs="Arial"/>
                <w:b/>
                <w:sz w:val="20"/>
                <w:szCs w:val="20"/>
              </w:rPr>
              <w:t>7194</w:t>
            </w:r>
          </w:p>
        </w:tc>
        <w:tc>
          <w:tcPr>
            <w:tcW w:w="1120" w:type="dxa"/>
            <w:tcBorders>
              <w:left w:val="nil"/>
            </w:tcBorders>
            <w:shd w:val="clear" w:color="auto" w:fill="auto"/>
            <w:noWrap/>
            <w:vAlign w:val="bottom"/>
            <w:hideMark/>
          </w:tcPr>
          <w:p w:rsidR="008708FA" w:rsidRPr="008708FA" w:rsidRDefault="008708FA" w:rsidP="008708FA">
            <w:pPr>
              <w:jc w:val="center"/>
              <w:rPr>
                <w:rFonts w:eastAsia="Calibri" w:cs="Arial"/>
                <w:b/>
                <w:sz w:val="20"/>
                <w:szCs w:val="20"/>
              </w:rPr>
            </w:pPr>
            <w:r w:rsidRPr="008708FA">
              <w:rPr>
                <w:rFonts w:eastAsia="Calibri" w:cs="Arial"/>
                <w:b/>
                <w:sz w:val="20"/>
                <w:szCs w:val="20"/>
              </w:rPr>
              <w:t>7498</w:t>
            </w:r>
          </w:p>
        </w:tc>
        <w:tc>
          <w:tcPr>
            <w:tcW w:w="1475" w:type="dxa"/>
            <w:tcBorders>
              <w:right w:val="nil"/>
            </w:tcBorders>
            <w:shd w:val="clear" w:color="auto" w:fill="auto"/>
            <w:noWrap/>
            <w:vAlign w:val="bottom"/>
            <w:hideMark/>
          </w:tcPr>
          <w:p w:rsidR="008708FA" w:rsidRPr="008708FA" w:rsidRDefault="008708FA" w:rsidP="008708FA">
            <w:pPr>
              <w:jc w:val="center"/>
              <w:rPr>
                <w:rFonts w:eastAsia="Calibri" w:cs="Arial"/>
                <w:b/>
                <w:sz w:val="20"/>
                <w:szCs w:val="20"/>
              </w:rPr>
            </w:pPr>
            <w:r w:rsidRPr="008708FA">
              <w:rPr>
                <w:rFonts w:eastAsia="Calibri" w:cs="Arial"/>
                <w:b/>
                <w:sz w:val="20"/>
                <w:szCs w:val="20"/>
              </w:rPr>
              <w:t>303*</w:t>
            </w:r>
          </w:p>
        </w:tc>
        <w:tc>
          <w:tcPr>
            <w:tcW w:w="1120" w:type="dxa"/>
            <w:tcBorders>
              <w:left w:val="nil"/>
              <w:right w:val="nil"/>
            </w:tcBorders>
            <w:shd w:val="clear" w:color="auto" w:fill="auto"/>
            <w:noWrap/>
            <w:vAlign w:val="bottom"/>
            <w:hideMark/>
          </w:tcPr>
          <w:p w:rsidR="008708FA" w:rsidRPr="008708FA" w:rsidRDefault="008708FA" w:rsidP="008708FA">
            <w:pPr>
              <w:jc w:val="center"/>
              <w:rPr>
                <w:rFonts w:eastAsia="Calibri" w:cs="Arial"/>
                <w:b/>
                <w:sz w:val="20"/>
                <w:szCs w:val="20"/>
              </w:rPr>
            </w:pPr>
            <w:r w:rsidRPr="008708FA">
              <w:rPr>
                <w:rFonts w:eastAsia="Calibri" w:cs="Arial"/>
                <w:b/>
                <w:sz w:val="20"/>
                <w:szCs w:val="20"/>
              </w:rPr>
              <w:t>7194</w:t>
            </w:r>
          </w:p>
        </w:tc>
        <w:tc>
          <w:tcPr>
            <w:tcW w:w="1120" w:type="dxa"/>
            <w:tcBorders>
              <w:left w:val="nil"/>
            </w:tcBorders>
            <w:shd w:val="clear" w:color="auto" w:fill="auto"/>
            <w:noWrap/>
            <w:vAlign w:val="bottom"/>
            <w:hideMark/>
          </w:tcPr>
          <w:p w:rsidR="008708FA" w:rsidRPr="008708FA" w:rsidRDefault="008708FA" w:rsidP="008708FA">
            <w:pPr>
              <w:jc w:val="center"/>
              <w:rPr>
                <w:rFonts w:eastAsia="Calibri" w:cs="Arial"/>
                <w:b/>
                <w:sz w:val="20"/>
                <w:szCs w:val="20"/>
              </w:rPr>
            </w:pPr>
            <w:r w:rsidRPr="008708FA">
              <w:rPr>
                <w:rFonts w:eastAsia="Calibri" w:cs="Arial"/>
                <w:b/>
                <w:sz w:val="20"/>
                <w:szCs w:val="20"/>
              </w:rPr>
              <w:t>7497</w:t>
            </w:r>
          </w:p>
        </w:tc>
      </w:tr>
    </w:tbl>
    <w:p w:rsidR="008708FA" w:rsidRPr="008708FA" w:rsidRDefault="008708FA" w:rsidP="008708FA">
      <w:pPr>
        <w:rPr>
          <w:rFonts w:eastAsia="Calibri"/>
          <w:i/>
          <w:sz w:val="16"/>
        </w:rPr>
      </w:pPr>
      <w:r w:rsidRPr="008708FA">
        <w:rPr>
          <w:rFonts w:eastAsia="Calibri"/>
          <w:i/>
          <w:sz w:val="16"/>
        </w:rPr>
        <w:t>Source: Own elaboration, based on DIP data. Note: (*) one priority date is missing.</w:t>
      </w:r>
    </w:p>
    <w:p w:rsidR="008708FA" w:rsidRDefault="008708FA" w:rsidP="008708FA">
      <w:pPr>
        <w:rPr>
          <w:rFonts w:eastAsia="Calibri"/>
        </w:rPr>
      </w:pPr>
    </w:p>
    <w:p w:rsidR="008708FA" w:rsidRPr="008708FA" w:rsidRDefault="008708FA" w:rsidP="008708FA">
      <w:pPr>
        <w:rPr>
          <w:rFonts w:eastAsia="Calibri"/>
        </w:rPr>
      </w:pPr>
    </w:p>
    <w:p w:rsidR="008708FA" w:rsidRPr="009E1F3F" w:rsidRDefault="008708FA" w:rsidP="008708FA">
      <w:pPr>
        <w:rPr>
          <w:rFonts w:eastAsia="Calibri"/>
          <w:b/>
          <w:bCs/>
          <w:i/>
          <w:sz w:val="20"/>
          <w:szCs w:val="20"/>
        </w:rPr>
      </w:pPr>
      <w:bookmarkStart w:id="61" w:name="_Ref364697838"/>
      <w:r w:rsidRPr="009E1F3F">
        <w:rPr>
          <w:rFonts w:eastAsia="Calibri"/>
          <w:b/>
          <w:bCs/>
          <w:i/>
          <w:sz w:val="20"/>
          <w:szCs w:val="20"/>
        </w:rPr>
        <w:t xml:space="preserve">Figure </w:t>
      </w:r>
      <w:r w:rsidRPr="008708FA">
        <w:rPr>
          <w:rFonts w:eastAsia="Calibri"/>
          <w:b/>
          <w:bCs/>
          <w:i/>
          <w:sz w:val="20"/>
          <w:szCs w:val="18"/>
        </w:rPr>
        <w:fldChar w:fldCharType="begin"/>
      </w:r>
      <w:r w:rsidRPr="008708FA">
        <w:rPr>
          <w:rFonts w:eastAsia="Calibri"/>
          <w:b/>
          <w:bCs/>
          <w:i/>
          <w:sz w:val="20"/>
          <w:szCs w:val="18"/>
        </w:rPr>
        <w:instrText xml:space="preserve"> SEQ Figure \* ARABIC </w:instrText>
      </w:r>
      <w:r w:rsidRPr="008708FA">
        <w:rPr>
          <w:rFonts w:eastAsia="Calibri"/>
          <w:b/>
          <w:bCs/>
          <w:i/>
          <w:sz w:val="20"/>
          <w:szCs w:val="18"/>
        </w:rPr>
        <w:fldChar w:fldCharType="separate"/>
      </w:r>
      <w:r w:rsidR="006A4BE7">
        <w:rPr>
          <w:rFonts w:eastAsia="Calibri"/>
          <w:b/>
          <w:bCs/>
          <w:i/>
          <w:noProof/>
          <w:sz w:val="20"/>
          <w:szCs w:val="18"/>
        </w:rPr>
        <w:t>6</w:t>
      </w:r>
      <w:r w:rsidRPr="008708FA">
        <w:rPr>
          <w:rFonts w:eastAsia="Calibri"/>
          <w:b/>
          <w:bCs/>
          <w:i/>
          <w:sz w:val="20"/>
          <w:szCs w:val="18"/>
        </w:rPr>
        <w:fldChar w:fldCharType="end"/>
      </w:r>
      <w:bookmarkEnd w:id="61"/>
      <w:r w:rsidRPr="009E1F3F">
        <w:rPr>
          <w:rFonts w:eastAsia="Calibri"/>
          <w:b/>
          <w:bCs/>
          <w:i/>
          <w:sz w:val="20"/>
          <w:szCs w:val="20"/>
        </w:rPr>
        <w:t>: Share of Applications by Priority Office</w:t>
      </w:r>
    </w:p>
    <w:p w:rsidR="008708FA" w:rsidRPr="008708FA" w:rsidRDefault="008708FA" w:rsidP="008708FA">
      <w:pPr>
        <w:rPr>
          <w:rFonts w:eastAsia="Calibri"/>
        </w:rPr>
      </w:pPr>
      <w:r w:rsidRPr="008708FA">
        <w:rPr>
          <w:rFonts w:eastAsia="Calibri"/>
          <w:noProof/>
        </w:rPr>
        <w:drawing>
          <wp:inline distT="0" distB="0" distL="0" distR="0" wp14:anchorId="78F0D164" wp14:editId="499DF19F">
            <wp:extent cx="5296415" cy="297711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2796" cy="2986324"/>
                    </a:xfrm>
                    <a:prstGeom prst="rect">
                      <a:avLst/>
                    </a:prstGeom>
                    <a:noFill/>
                    <a:ln>
                      <a:noFill/>
                    </a:ln>
                  </pic:spPr>
                </pic:pic>
              </a:graphicData>
            </a:graphic>
          </wp:inline>
        </w:drawing>
      </w:r>
    </w:p>
    <w:p w:rsidR="008708FA" w:rsidRDefault="008708FA" w:rsidP="008708FA">
      <w:pPr>
        <w:rPr>
          <w:rFonts w:eastAsia="Calibri"/>
          <w:i/>
          <w:sz w:val="16"/>
        </w:rPr>
      </w:pPr>
      <w:r w:rsidRPr="008708FA">
        <w:rPr>
          <w:rFonts w:eastAsia="Calibri"/>
          <w:i/>
          <w:sz w:val="16"/>
        </w:rPr>
        <w:t>Source: Own elaboration, based on DIP data.</w:t>
      </w:r>
    </w:p>
    <w:p w:rsidR="009229EC" w:rsidRPr="008708FA" w:rsidRDefault="009229EC" w:rsidP="009229EC">
      <w:pPr>
        <w:rPr>
          <w:rFonts w:eastAsia="Calibri"/>
        </w:rPr>
      </w:pPr>
    </w:p>
    <w:p w:rsidR="009229EC" w:rsidRPr="008708FA" w:rsidRDefault="009229EC" w:rsidP="009229EC">
      <w:pPr>
        <w:rPr>
          <w:rFonts w:eastAsia="Calibri"/>
        </w:rPr>
      </w:pPr>
      <w:r>
        <w:rPr>
          <w:rFonts w:eastAsia="Calibri"/>
        </w:rPr>
        <w:br w:type="page"/>
      </w:r>
    </w:p>
    <w:p w:rsidR="009229EC" w:rsidRPr="008708FA" w:rsidRDefault="009229EC" w:rsidP="009229EC">
      <w:pPr>
        <w:rPr>
          <w:rFonts w:eastAsia="Calibri"/>
        </w:rPr>
      </w:pPr>
    </w:p>
    <w:p w:rsidR="009229EC" w:rsidRPr="008708FA" w:rsidRDefault="009229EC" w:rsidP="005C2427">
      <w:pPr>
        <w:pStyle w:val="Heading2"/>
        <w:numPr>
          <w:ilvl w:val="0"/>
          <w:numId w:val="0"/>
        </w:numPr>
        <w:ind w:left="576" w:hanging="576"/>
      </w:pPr>
      <w:bookmarkStart w:id="62" w:name="_Ref368389710"/>
      <w:bookmarkStart w:id="63" w:name="_Toc370307931"/>
      <w:bookmarkStart w:id="64" w:name="_Toc370310340"/>
      <w:r w:rsidRPr="008708FA">
        <w:t>New Users of the IP System</w:t>
      </w:r>
      <w:bookmarkEnd w:id="62"/>
      <w:bookmarkEnd w:id="63"/>
      <w:bookmarkEnd w:id="64"/>
    </w:p>
    <w:p w:rsidR="009229EC" w:rsidRPr="008708FA" w:rsidRDefault="009229EC" w:rsidP="009229EC">
      <w:pPr>
        <w:rPr>
          <w:rFonts w:eastAsia="Calibri"/>
        </w:rPr>
      </w:pPr>
    </w:p>
    <w:p w:rsidR="009229EC" w:rsidRPr="008708FA" w:rsidRDefault="009229EC" w:rsidP="009229EC">
      <w:pPr>
        <w:rPr>
          <w:rFonts w:eastAsia="Calibri"/>
        </w:rPr>
      </w:pPr>
      <w:r w:rsidRPr="008708FA">
        <w:rPr>
          <w:rFonts w:eastAsia="Calibri"/>
        </w:rPr>
        <w:t xml:space="preserve">Thai authorities conceived UM protection as a bridge between Industrial design and patent </w:t>
      </w:r>
      <w:r w:rsidRPr="009E1F3F">
        <w:rPr>
          <w:rFonts w:eastAsia="Calibri"/>
        </w:rPr>
        <w:t xml:space="preserve">protections.  As mentioned above (see </w:t>
      </w:r>
      <w:r w:rsidRPr="009E1F3F">
        <w:rPr>
          <w:rFonts w:eastAsia="Calibri"/>
        </w:rPr>
        <w:fldChar w:fldCharType="begin"/>
      </w:r>
      <w:r w:rsidRPr="009E1F3F">
        <w:rPr>
          <w:rFonts w:eastAsia="Calibri"/>
        </w:rPr>
        <w:instrText xml:space="preserve"> REF _Ref367879055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w:t>
      </w:r>
      <w:r w:rsidR="006A4BE7">
        <w:rPr>
          <w:rFonts w:eastAsia="Calibri"/>
          <w:b/>
          <w:bCs/>
          <w:i/>
          <w:noProof/>
          <w:sz w:val="20"/>
          <w:szCs w:val="18"/>
        </w:rPr>
        <w:t>2</w:t>
      </w:r>
      <w:r w:rsidRPr="009E1F3F">
        <w:rPr>
          <w:rFonts w:eastAsia="Calibri"/>
        </w:rPr>
        <w:fldChar w:fldCharType="end"/>
      </w:r>
      <w:r w:rsidRPr="009E1F3F">
        <w:rPr>
          <w:rFonts w:eastAsia="Calibri"/>
        </w:rPr>
        <w:t xml:space="preserve"> in p. </w:t>
      </w:r>
      <w:r w:rsidRPr="009E1F3F">
        <w:rPr>
          <w:rFonts w:eastAsia="Calibri"/>
        </w:rPr>
        <w:fldChar w:fldCharType="begin"/>
      </w:r>
      <w:r w:rsidRPr="009E1F3F">
        <w:rPr>
          <w:rFonts w:eastAsia="Calibri"/>
        </w:rPr>
        <w:instrText xml:space="preserve"> PAGEREF _Ref367884922 \h </w:instrText>
      </w:r>
      <w:r w:rsidRPr="009E1F3F">
        <w:rPr>
          <w:rFonts w:eastAsia="Calibri"/>
        </w:rPr>
      </w:r>
      <w:r w:rsidRPr="009E1F3F">
        <w:rPr>
          <w:rFonts w:eastAsia="Calibri"/>
        </w:rPr>
        <w:fldChar w:fldCharType="separate"/>
      </w:r>
      <w:r w:rsidR="006A4BE7">
        <w:rPr>
          <w:rFonts w:eastAsia="Calibri"/>
          <w:noProof/>
        </w:rPr>
        <w:t>16</w:t>
      </w:r>
      <w:r w:rsidRPr="009E1F3F">
        <w:rPr>
          <w:rFonts w:eastAsia="Calibri"/>
        </w:rPr>
        <w:fldChar w:fldCharType="end"/>
      </w:r>
      <w:r w:rsidRPr="009E1F3F">
        <w:rPr>
          <w:rFonts w:eastAsia="Calibri"/>
        </w:rPr>
        <w:t>), at least up to certain extent, UM</w:t>
      </w:r>
      <w:r w:rsidRPr="008708FA">
        <w:rPr>
          <w:rFonts w:eastAsia="Calibri"/>
        </w:rPr>
        <w:t xml:space="preserve"> protection seems to fulfill an IP rights need from resident inventors.</w:t>
      </w:r>
    </w:p>
    <w:p w:rsidR="009229EC" w:rsidRPr="008708FA" w:rsidRDefault="009229EC" w:rsidP="009229EC">
      <w:pPr>
        <w:rPr>
          <w:rFonts w:eastAsia="Calibri"/>
        </w:rPr>
      </w:pPr>
    </w:p>
    <w:p w:rsidR="009229EC" w:rsidRPr="008708FA" w:rsidRDefault="009229EC" w:rsidP="009229EC">
      <w:pPr>
        <w:rPr>
          <w:rFonts w:eastAsia="Calibri"/>
        </w:rPr>
      </w:pPr>
      <w:r w:rsidRPr="008708FA">
        <w:rPr>
          <w:rFonts w:eastAsia="Calibri"/>
        </w:rPr>
        <w:t xml:space="preserve">Upon a closer inspection of those resident applicants, it is observed that little more than a fifth of them have also applied for other types of IP protection, notably patents and Industrial </w:t>
      </w:r>
      <w:r w:rsidRPr="009E1F3F">
        <w:rPr>
          <w:rFonts w:eastAsia="Calibri"/>
        </w:rPr>
        <w:t>designs (</w:t>
      </w:r>
      <w:r w:rsidRPr="009E1F3F">
        <w:rPr>
          <w:rFonts w:eastAsia="Calibri"/>
        </w:rPr>
        <w:fldChar w:fldCharType="begin"/>
      </w:r>
      <w:r w:rsidRPr="009E1F3F">
        <w:rPr>
          <w:rFonts w:eastAsia="Calibri"/>
        </w:rPr>
        <w:instrText xml:space="preserve"> REF _Ref364695194 \h </w:instrText>
      </w:r>
      <w:r w:rsidRPr="009E1F3F">
        <w:rPr>
          <w:rFonts w:eastAsia="Calibri"/>
        </w:rPr>
      </w:r>
      <w:r w:rsidRPr="009E1F3F">
        <w:rPr>
          <w:rFonts w:eastAsia="Calibri"/>
        </w:rPr>
        <w:fldChar w:fldCharType="separate"/>
      </w:r>
      <w:r w:rsidR="006A4BE7" w:rsidRPr="008708FA">
        <w:rPr>
          <w:rFonts w:eastAsia="Calibri"/>
          <w:b/>
          <w:bCs/>
          <w:i/>
          <w:sz w:val="20"/>
          <w:szCs w:val="18"/>
        </w:rPr>
        <w:t xml:space="preserve">Figure </w:t>
      </w:r>
      <w:r w:rsidR="006A4BE7">
        <w:rPr>
          <w:rFonts w:eastAsia="Calibri"/>
          <w:b/>
          <w:bCs/>
          <w:i/>
          <w:noProof/>
          <w:sz w:val="20"/>
          <w:szCs w:val="18"/>
        </w:rPr>
        <w:t>7</w:t>
      </w:r>
      <w:r w:rsidRPr="009E1F3F">
        <w:rPr>
          <w:rFonts w:eastAsia="Calibri"/>
        </w:rPr>
        <w:fldChar w:fldCharType="end"/>
      </w:r>
      <w:r w:rsidRPr="009E1F3F">
        <w:rPr>
          <w:rFonts w:eastAsia="Calibri"/>
        </w:rPr>
        <w:t>).  This is a strong indication that there are a few users of UM that were</w:t>
      </w:r>
      <w:r w:rsidRPr="008708FA">
        <w:rPr>
          <w:rFonts w:eastAsia="Calibri"/>
        </w:rPr>
        <w:t xml:space="preserve"> relatively sophisticated IP users.  Indeed, for many of the UM applicants this is the first attempt to register a technology under any IP form.</w:t>
      </w:r>
      <w:r w:rsidRPr="008708FA">
        <w:rPr>
          <w:rFonts w:eastAsia="Calibri"/>
          <w:vertAlign w:val="superscript"/>
        </w:rPr>
        <w:footnoteReference w:id="12"/>
      </w:r>
    </w:p>
    <w:p w:rsidR="009229EC" w:rsidRPr="008708FA" w:rsidRDefault="009229EC" w:rsidP="009229EC">
      <w:pPr>
        <w:rPr>
          <w:rFonts w:eastAsia="Calibri"/>
        </w:rPr>
      </w:pPr>
    </w:p>
    <w:p w:rsidR="009229EC" w:rsidRPr="008708FA" w:rsidRDefault="009229EC" w:rsidP="009229EC">
      <w:pPr>
        <w:rPr>
          <w:rFonts w:eastAsia="Calibri"/>
        </w:rPr>
      </w:pPr>
      <w:r w:rsidRPr="008708FA">
        <w:rPr>
          <w:rFonts w:eastAsia="Calibri"/>
        </w:rPr>
        <w:t xml:space="preserve">The introduction of this new form of IP has certainly promoted many of private companies to register a technology for the first time.  In detail, three quarters of private companies having filed for UM during the analyzed period did only apply for this kind of IP.  These represent almost 650 private firms. </w:t>
      </w:r>
    </w:p>
    <w:p w:rsidR="009229EC" w:rsidRPr="008708FA" w:rsidRDefault="009229EC" w:rsidP="009229EC">
      <w:pPr>
        <w:rPr>
          <w:rFonts w:eastAsia="Calibri"/>
        </w:rPr>
      </w:pPr>
    </w:p>
    <w:p w:rsidR="009229EC" w:rsidRPr="008708FA" w:rsidRDefault="009229EC" w:rsidP="009229EC">
      <w:pPr>
        <w:rPr>
          <w:rFonts w:eastAsia="Calibri"/>
        </w:rPr>
      </w:pPr>
      <w:r w:rsidRPr="008708FA">
        <w:rPr>
          <w:rFonts w:eastAsia="Calibri"/>
        </w:rPr>
        <w:t xml:space="preserve">Following the same reasoning about individual applicants from Section </w:t>
      </w:r>
      <w:r w:rsidRPr="008708FA">
        <w:rPr>
          <w:rFonts w:eastAsia="Calibri"/>
        </w:rPr>
        <w:fldChar w:fldCharType="begin"/>
      </w:r>
      <w:r w:rsidRPr="008708FA">
        <w:rPr>
          <w:rFonts w:eastAsia="Calibri"/>
        </w:rPr>
        <w:instrText xml:space="preserve"> REF _Ref367870618 \r \h </w:instrText>
      </w:r>
      <w:r w:rsidRPr="008708FA">
        <w:rPr>
          <w:rFonts w:eastAsia="Calibri"/>
        </w:rPr>
      </w:r>
      <w:r w:rsidRPr="008708FA">
        <w:rPr>
          <w:rFonts w:eastAsia="Calibri"/>
        </w:rPr>
        <w:fldChar w:fldCharType="separate"/>
      </w:r>
      <w:r w:rsidR="006A4BE7">
        <w:rPr>
          <w:rFonts w:eastAsia="Calibri"/>
        </w:rPr>
        <w:t>0</w:t>
      </w:r>
      <w:r w:rsidRPr="008708FA">
        <w:rPr>
          <w:rFonts w:eastAsia="Calibri"/>
        </w:rPr>
        <w:fldChar w:fldCharType="end"/>
      </w:r>
      <w:r w:rsidRPr="008708FA">
        <w:rPr>
          <w:rFonts w:eastAsia="Calibri"/>
        </w:rPr>
        <w:t>, it is likely that approximately 2,400 potential Entrepreneurs or Small businesses have made use of UM protection. As much as 81% of these – little less of 2,000 individual applicants – have filed only for this kind of IP since their implementation back in 1999.</w:t>
      </w:r>
    </w:p>
    <w:p w:rsidR="009229EC" w:rsidRPr="008708FA" w:rsidRDefault="009229EC" w:rsidP="009229EC">
      <w:pPr>
        <w:rPr>
          <w:rFonts w:eastAsia="Calibri"/>
        </w:rPr>
      </w:pPr>
    </w:p>
    <w:p w:rsidR="009229EC" w:rsidRPr="008708FA" w:rsidRDefault="009229EC" w:rsidP="009229EC">
      <w:pPr>
        <w:rPr>
          <w:rFonts w:eastAsia="Calibri"/>
        </w:rPr>
      </w:pPr>
      <w:r w:rsidRPr="008708FA">
        <w:rPr>
          <w:rFonts w:eastAsia="Calibri"/>
        </w:rPr>
        <w:t xml:space="preserve">Most Universities (75%) and many Government agencies (47%) were already using other forms of IP.  Nevertheless, it is not negligible that a considerable portion of these public institutions – 8 universities and 20 government agencies – were able to start using the IP system thanks to the implementation of UM protection.     </w:t>
      </w:r>
    </w:p>
    <w:p w:rsidR="009229EC" w:rsidRPr="008708FA" w:rsidRDefault="009229EC" w:rsidP="009229EC">
      <w:pPr>
        <w:rPr>
          <w:rFonts w:eastAsia="Calibri"/>
        </w:rPr>
      </w:pPr>
    </w:p>
    <w:p w:rsidR="009229EC" w:rsidRPr="008708FA" w:rsidRDefault="009229EC" w:rsidP="009229EC">
      <w:pPr>
        <w:rPr>
          <w:rFonts w:eastAsia="Calibri"/>
        </w:rPr>
      </w:pPr>
    </w:p>
    <w:p w:rsidR="009229EC" w:rsidRPr="008708FA" w:rsidRDefault="009229EC" w:rsidP="008708FA">
      <w:pPr>
        <w:rPr>
          <w:rFonts w:eastAsia="Calibri"/>
          <w:i/>
          <w:sz w:val="16"/>
        </w:rPr>
      </w:pPr>
    </w:p>
    <w:p w:rsidR="008708FA" w:rsidRPr="008708FA" w:rsidRDefault="008708FA" w:rsidP="008708FA">
      <w:pPr>
        <w:rPr>
          <w:rFonts w:eastAsia="Calibri"/>
        </w:rPr>
        <w:sectPr w:rsidR="008708FA" w:rsidRPr="008708FA" w:rsidSect="005C2427">
          <w:footerReference w:type="default" r:id="rId28"/>
          <w:pgSz w:w="11907" w:h="16839" w:code="9"/>
          <w:pgMar w:top="1440" w:right="1440" w:bottom="1440" w:left="1440" w:header="720" w:footer="720" w:gutter="0"/>
          <w:cols w:space="720"/>
          <w:docGrid w:linePitch="360"/>
        </w:sectPr>
      </w:pPr>
    </w:p>
    <w:p w:rsidR="008708FA" w:rsidRPr="008708FA" w:rsidRDefault="008708FA" w:rsidP="008708FA">
      <w:pPr>
        <w:ind w:left="720" w:firstLine="720"/>
        <w:rPr>
          <w:rFonts w:eastAsia="Calibri"/>
          <w:b/>
          <w:bCs/>
          <w:i/>
          <w:sz w:val="20"/>
          <w:szCs w:val="18"/>
        </w:rPr>
      </w:pPr>
      <w:bookmarkStart w:id="65" w:name="_Ref364695194"/>
      <w:r w:rsidRPr="008708FA">
        <w:rPr>
          <w:rFonts w:eastAsia="Calibri"/>
          <w:b/>
          <w:bCs/>
          <w:i/>
          <w:sz w:val="20"/>
          <w:szCs w:val="18"/>
        </w:rPr>
        <w:t xml:space="preserve">Figure </w:t>
      </w:r>
      <w:r w:rsidRPr="008708FA">
        <w:rPr>
          <w:rFonts w:eastAsia="Calibri"/>
          <w:b/>
          <w:bCs/>
          <w:i/>
          <w:sz w:val="20"/>
          <w:szCs w:val="18"/>
        </w:rPr>
        <w:fldChar w:fldCharType="begin"/>
      </w:r>
      <w:r w:rsidRPr="008708FA">
        <w:rPr>
          <w:rFonts w:eastAsia="Calibri"/>
          <w:b/>
          <w:bCs/>
          <w:i/>
          <w:sz w:val="20"/>
          <w:szCs w:val="18"/>
        </w:rPr>
        <w:instrText xml:space="preserve"> SEQ Figure \* ARABIC </w:instrText>
      </w:r>
      <w:r w:rsidRPr="008708FA">
        <w:rPr>
          <w:rFonts w:eastAsia="Calibri"/>
          <w:b/>
          <w:bCs/>
          <w:i/>
          <w:sz w:val="20"/>
          <w:szCs w:val="18"/>
        </w:rPr>
        <w:fldChar w:fldCharType="separate"/>
      </w:r>
      <w:r w:rsidR="006A4BE7">
        <w:rPr>
          <w:rFonts w:eastAsia="Calibri"/>
          <w:b/>
          <w:bCs/>
          <w:i/>
          <w:noProof/>
          <w:sz w:val="20"/>
          <w:szCs w:val="18"/>
        </w:rPr>
        <w:t>7</w:t>
      </w:r>
      <w:r w:rsidRPr="008708FA">
        <w:rPr>
          <w:rFonts w:eastAsia="Calibri"/>
          <w:b/>
          <w:bCs/>
          <w:i/>
          <w:sz w:val="20"/>
          <w:szCs w:val="18"/>
        </w:rPr>
        <w:fldChar w:fldCharType="end"/>
      </w:r>
      <w:bookmarkEnd w:id="65"/>
      <w:r w:rsidRPr="008708FA">
        <w:rPr>
          <w:rFonts w:eastAsia="Calibri"/>
          <w:b/>
          <w:bCs/>
          <w:i/>
          <w:sz w:val="20"/>
          <w:szCs w:val="18"/>
        </w:rPr>
        <w:t>: Utility Model Applicants and Relation to Other IP Instruments</w:t>
      </w:r>
    </w:p>
    <w:p w:rsidR="008708FA" w:rsidRPr="008708FA" w:rsidRDefault="008708FA" w:rsidP="008708FA">
      <w:pPr>
        <w:jc w:val="center"/>
        <w:rPr>
          <w:rFonts w:eastAsia="Calibri"/>
        </w:rPr>
      </w:pPr>
      <w:r w:rsidRPr="008708FA">
        <w:rPr>
          <w:rFonts w:eastAsia="Calibri"/>
          <w:noProof/>
        </w:rPr>
        <w:drawing>
          <wp:inline distT="0" distB="0" distL="0" distR="0" wp14:anchorId="4B4B4A2F" wp14:editId="2269DCB8">
            <wp:extent cx="7666074" cy="5487295"/>
            <wp:effectExtent l="19050" t="19050" r="11430" b="184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70737" cy="5490633"/>
                    </a:xfrm>
                    <a:prstGeom prst="rect">
                      <a:avLst/>
                    </a:prstGeom>
                    <a:noFill/>
                    <a:ln>
                      <a:solidFill>
                        <a:sysClr val="windowText" lastClr="000000"/>
                      </a:solidFill>
                    </a:ln>
                  </pic:spPr>
                </pic:pic>
              </a:graphicData>
            </a:graphic>
          </wp:inline>
        </w:drawing>
      </w:r>
    </w:p>
    <w:p w:rsidR="008708FA" w:rsidRPr="008708FA" w:rsidRDefault="008708FA" w:rsidP="008708FA">
      <w:pPr>
        <w:ind w:left="720" w:firstLine="720"/>
        <w:rPr>
          <w:rFonts w:eastAsia="Calibri"/>
          <w:i/>
          <w:sz w:val="16"/>
        </w:rPr>
      </w:pPr>
      <w:r w:rsidRPr="008708FA">
        <w:rPr>
          <w:rFonts w:eastAsia="Calibri"/>
          <w:i/>
          <w:sz w:val="16"/>
        </w:rPr>
        <w:t>Source: Own elaboration, based on DIP data.</w:t>
      </w:r>
    </w:p>
    <w:p w:rsidR="008708FA" w:rsidRPr="009E1F3F" w:rsidRDefault="008708FA" w:rsidP="008708FA">
      <w:pPr>
        <w:rPr>
          <w:rFonts w:eastAsia="Calibri"/>
          <w:b/>
          <w:bCs/>
          <w:i/>
          <w:sz w:val="20"/>
          <w:szCs w:val="20"/>
        </w:rPr>
        <w:sectPr w:rsidR="008708FA" w:rsidRPr="009E1F3F" w:rsidSect="005C2427">
          <w:pgSz w:w="16839" w:h="11907" w:orient="landscape" w:code="9"/>
          <w:pgMar w:top="720" w:right="720" w:bottom="720" w:left="720" w:header="720" w:footer="720" w:gutter="0"/>
          <w:cols w:space="720"/>
          <w:docGrid w:linePitch="360"/>
        </w:sectPr>
      </w:pPr>
    </w:p>
    <w:p w:rsidR="009229EC" w:rsidRPr="008708FA" w:rsidRDefault="009229EC" w:rsidP="008708FA">
      <w:pPr>
        <w:rPr>
          <w:rFonts w:eastAsia="Calibri"/>
        </w:rPr>
      </w:pPr>
    </w:p>
    <w:p w:rsidR="008708FA" w:rsidRPr="008708FA" w:rsidRDefault="00A950BE" w:rsidP="00A950BE">
      <w:pPr>
        <w:pStyle w:val="Heading1"/>
        <w:numPr>
          <w:ilvl w:val="0"/>
          <w:numId w:val="0"/>
        </w:numPr>
        <w:ind w:left="432" w:hanging="432"/>
      </w:pPr>
      <w:bookmarkStart w:id="66" w:name="_Ref367870745"/>
      <w:bookmarkStart w:id="67" w:name="_Toc370307932"/>
      <w:bookmarkStart w:id="68" w:name="_Toc370310341"/>
      <w:r>
        <w:t xml:space="preserve">4.  </w:t>
      </w:r>
      <w:r w:rsidR="008708FA" w:rsidRPr="008708FA">
        <w:t>What are important challenges for the development of Thailand's UM system?</w:t>
      </w:r>
      <w:bookmarkEnd w:id="66"/>
      <w:bookmarkEnd w:id="67"/>
      <w:bookmarkEnd w:id="68"/>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Notwithstanding the successful implementation of UM protection in Thailand, there are potential concerns about the future of this particular instrument, as well as for the IP system more broadly.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An important point in assessing the use of IP protection in a country is to consider if the institutional framework involving the IP in question is able to meet the expectations of its users.</w:t>
      </w:r>
      <w:r w:rsidRPr="008708FA">
        <w:rPr>
          <w:rFonts w:eastAsia="Calibri"/>
          <w:vertAlign w:val="superscript"/>
        </w:rPr>
        <w:footnoteReference w:id="13"/>
      </w:r>
      <w:r w:rsidRPr="008708FA">
        <w:rPr>
          <w:rFonts w:eastAsia="Calibri"/>
        </w:rPr>
        <w:t xml:space="preserve">  Some of these expectations include the certainty in the scope, the timeline when waiting for the registration, the payment of the annual fees, and even having recourse to relevant bodies to enforce or oppose registered UMs.</w:t>
      </w:r>
    </w:p>
    <w:p w:rsidR="008708FA" w:rsidRPr="008708FA" w:rsidRDefault="008708FA" w:rsidP="008708FA">
      <w:pPr>
        <w:rPr>
          <w:rFonts w:eastAsia="Calibri"/>
        </w:rPr>
      </w:pPr>
    </w:p>
    <w:p w:rsidR="008708FA" w:rsidRPr="008708FA" w:rsidRDefault="008708FA" w:rsidP="005C2427">
      <w:pPr>
        <w:pStyle w:val="Heading2"/>
        <w:numPr>
          <w:ilvl w:val="0"/>
          <w:numId w:val="0"/>
        </w:numPr>
        <w:ind w:left="576" w:hanging="576"/>
      </w:pPr>
      <w:bookmarkStart w:id="69" w:name="_Ref368394390"/>
      <w:bookmarkStart w:id="70" w:name="_Toc370307933"/>
      <w:bookmarkStart w:id="71" w:name="_Toc370310342"/>
      <w:r w:rsidRPr="008708FA">
        <w:t>Substantive conditions in the Thai Utility Models</w:t>
      </w:r>
      <w:bookmarkEnd w:id="69"/>
      <w:bookmarkEnd w:id="70"/>
      <w:bookmarkEnd w:id="71"/>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The scope of a given IP right refers to what is contained and, sometimes even more important, what is not contained in the granted IP right.  Given that the Thai IP law has a novelty requirement for UMs but does not impose substan</w:t>
      </w:r>
      <w:r w:rsidR="007147D7">
        <w:rPr>
          <w:rFonts w:eastAsia="Calibri"/>
        </w:rPr>
        <w:t xml:space="preserve">tive examination, one concern, </w:t>
      </w:r>
      <w:r w:rsidRPr="008708FA">
        <w:rPr>
          <w:rFonts w:eastAsia="Calibri"/>
        </w:rPr>
        <w:t xml:space="preserve">common to pure registration systems – is to what extent UM registrations truly meet the novelty standard.  According to </w:t>
      </w:r>
      <w:proofErr w:type="spellStart"/>
      <w:r w:rsidRPr="008708FA">
        <w:rPr>
          <w:rFonts w:eastAsia="Calibri"/>
        </w:rPr>
        <w:t>Suthersanen</w:t>
      </w:r>
      <w:proofErr w:type="spellEnd"/>
      <w:r w:rsidRPr="008708FA">
        <w:rPr>
          <w:rFonts w:eastAsia="Calibri"/>
        </w:rPr>
        <w:t xml:space="preserve"> (2006), the legal uncertainty caused by the “no examination” in the UM reform introduced in Japan in 1993, was undoubtedly one of the key reasons </w:t>
      </w:r>
      <w:r w:rsidRPr="008708FA">
        <w:rPr>
          <w:rFonts w:eastAsia="Calibri" w:cs="Trebuchet MS"/>
        </w:rPr>
        <w:t>for its failure.  Similarly, based on interviews, the same author suggests that such absence of examination in China is generating abusive behavior of local applicants of Ums.</w:t>
      </w:r>
    </w:p>
    <w:p w:rsidR="008708FA" w:rsidRPr="008708FA" w:rsidRDefault="008708FA" w:rsidP="008708FA">
      <w:pPr>
        <w:rPr>
          <w:rFonts w:eastAsia="Calibri"/>
        </w:rPr>
      </w:pPr>
    </w:p>
    <w:p w:rsidR="008708FA" w:rsidRPr="008708FA" w:rsidRDefault="008708FA" w:rsidP="008708FA">
      <w:pPr>
        <w:ind w:right="481"/>
        <w:rPr>
          <w:rFonts w:eastAsia="Calibri"/>
        </w:rPr>
      </w:pPr>
      <w:r w:rsidRPr="009E1F3F">
        <w:rPr>
          <w:rFonts w:eastAsia="Calibri"/>
        </w:rPr>
        <w:t xml:space="preserve">As mentioned in </w:t>
      </w:r>
      <w:r w:rsidRPr="009E1F3F">
        <w:rPr>
          <w:rFonts w:eastAsia="Calibri"/>
        </w:rPr>
        <w:fldChar w:fldCharType="begin"/>
      </w:r>
      <w:r w:rsidRPr="009E1F3F">
        <w:rPr>
          <w:rFonts w:eastAsia="Calibri"/>
        </w:rPr>
        <w:instrText xml:space="preserve"> REF _Ref367872315 \h </w:instrText>
      </w:r>
      <w:r w:rsidRPr="009E1F3F">
        <w:rPr>
          <w:rFonts w:eastAsia="Calibri"/>
        </w:rPr>
      </w:r>
      <w:r w:rsidRPr="009E1F3F">
        <w:rPr>
          <w:rFonts w:eastAsia="Calibri"/>
        </w:rPr>
        <w:fldChar w:fldCharType="separate"/>
      </w:r>
      <w:r w:rsidR="006A4BE7" w:rsidRPr="008708FA">
        <w:rPr>
          <w:b/>
          <w:bCs/>
          <w:i/>
          <w:szCs w:val="18"/>
        </w:rPr>
        <w:t xml:space="preserve">Box </w:t>
      </w:r>
      <w:r w:rsidR="006A4BE7">
        <w:rPr>
          <w:b/>
          <w:bCs/>
          <w:i/>
          <w:noProof/>
          <w:szCs w:val="18"/>
        </w:rPr>
        <w:t>1</w:t>
      </w:r>
      <w:r w:rsidRPr="009E1F3F">
        <w:rPr>
          <w:rFonts w:eastAsia="Calibri"/>
        </w:rPr>
        <w:fldChar w:fldCharType="end"/>
      </w:r>
      <w:r w:rsidRPr="009E1F3F">
        <w:rPr>
          <w:rFonts w:eastAsia="Calibri"/>
        </w:rPr>
        <w:t>, interviewees have signaled that there have been very few</w:t>
      </w:r>
      <w:r w:rsidRPr="008708FA">
        <w:rPr>
          <w:rFonts w:eastAsia="Calibri"/>
        </w:rPr>
        <w:t xml:space="preserve"> requests for examinations and very few granted UMs which have been revoked by the </w:t>
      </w:r>
      <w:r w:rsidRPr="009E1F3F">
        <w:rPr>
          <w:rFonts w:eastAsia="Calibri"/>
        </w:rPr>
        <w:t xml:space="preserve">specialized IP court.  Moreover, </w:t>
      </w:r>
      <w:r w:rsidRPr="009E1F3F">
        <w:rPr>
          <w:rFonts w:eastAsia="Calibri"/>
        </w:rPr>
        <w:fldChar w:fldCharType="begin"/>
      </w:r>
      <w:r w:rsidRPr="009E1F3F">
        <w:rPr>
          <w:rFonts w:eastAsia="Calibri"/>
        </w:rPr>
        <w:instrText xml:space="preserve"> REF _Ref367903361 \h </w:instrText>
      </w:r>
      <w:r w:rsidRPr="009E1F3F">
        <w:rPr>
          <w:rFonts w:eastAsia="Calibri"/>
        </w:rPr>
      </w:r>
      <w:r w:rsidRPr="009E1F3F">
        <w:rPr>
          <w:rFonts w:eastAsia="Calibri"/>
        </w:rPr>
        <w:fldChar w:fldCharType="separate"/>
      </w:r>
      <w:r w:rsidR="006A4BE7" w:rsidRPr="009E1F3F">
        <w:rPr>
          <w:rFonts w:eastAsia="Calibri"/>
          <w:b/>
          <w:bCs/>
          <w:i/>
          <w:sz w:val="20"/>
          <w:szCs w:val="20"/>
        </w:rPr>
        <w:t xml:space="preserve">Figure </w:t>
      </w:r>
      <w:r w:rsidR="006A4BE7">
        <w:rPr>
          <w:rFonts w:eastAsia="Calibri"/>
          <w:b/>
          <w:bCs/>
          <w:i/>
          <w:noProof/>
          <w:sz w:val="20"/>
          <w:szCs w:val="18"/>
        </w:rPr>
        <w:t>8</w:t>
      </w:r>
      <w:r w:rsidRPr="009E1F3F">
        <w:rPr>
          <w:rFonts w:eastAsia="Calibri"/>
        </w:rPr>
        <w:fldChar w:fldCharType="end"/>
      </w:r>
      <w:r w:rsidRPr="009E1F3F">
        <w:rPr>
          <w:rFonts w:eastAsia="Calibri"/>
        </w:rPr>
        <w:t xml:space="preserve"> shows that only 40 registered UMs have seen</w:t>
      </w:r>
      <w:r w:rsidRPr="008708FA">
        <w:rPr>
          <w:rFonts w:eastAsia="Calibri"/>
        </w:rPr>
        <w:t xml:space="preserve"> requests for examination – for example because of third party oppositions. </w:t>
      </w:r>
      <w:r w:rsidR="00621620">
        <w:rPr>
          <w:rFonts w:eastAsia="Calibri"/>
        </w:rPr>
        <w:t xml:space="preserve"> </w:t>
      </w:r>
      <w:r w:rsidRPr="008708FA">
        <w:rPr>
          <w:rFonts w:eastAsia="Calibri"/>
        </w:rPr>
        <w:t xml:space="preserve">Most of the requests for substantive examination were filed by competitors in the market of products that were successfully commercialized or by parties already involved in litigation.  Very few examination requests were motivated by the contents in the UM application </w:t>
      </w:r>
      <w:r w:rsidRPr="008708FA">
        <w:rPr>
          <w:rFonts w:eastAsia="Calibri"/>
          <w:i/>
          <w:iCs/>
        </w:rPr>
        <w:t>per se</w:t>
      </w:r>
      <w:r w:rsidRPr="008708FA">
        <w:rPr>
          <w:rFonts w:eastAsia="Calibri"/>
        </w:rPr>
        <w:t>.</w:t>
      </w:r>
      <w:r w:rsidRPr="008708FA">
        <w:rPr>
          <w:rFonts w:eastAsia="Calibri"/>
          <w:vertAlign w:val="superscript"/>
        </w:rPr>
        <w:footnoteReference w:id="14"/>
      </w:r>
    </w:p>
    <w:p w:rsidR="008708FA" w:rsidRPr="008708FA" w:rsidRDefault="008708FA" w:rsidP="008708FA">
      <w:pPr>
        <w:ind w:right="481"/>
        <w:rPr>
          <w:rFonts w:eastAsia="Calibri"/>
        </w:rPr>
      </w:pPr>
    </w:p>
    <w:p w:rsidR="008708FA" w:rsidRPr="008708FA" w:rsidRDefault="008708FA" w:rsidP="008708FA">
      <w:pPr>
        <w:ind w:right="481"/>
        <w:rPr>
          <w:rFonts w:eastAsia="Calibri"/>
        </w:rPr>
      </w:pPr>
      <w:r w:rsidRPr="008708FA">
        <w:rPr>
          <w:rFonts w:eastAsia="Calibri"/>
        </w:rPr>
        <w:t>These may be encouraging signs about the quality of UM registrations. However, one should be careful in drawing this conclusion.  The lack of oppositions might also reflect that many UM applications and eventual registrations have not found real industrial application and may, therefore, have little economic value.</w:t>
      </w:r>
    </w:p>
    <w:p w:rsidR="008708FA" w:rsidRPr="008708FA" w:rsidRDefault="008708FA" w:rsidP="008708FA">
      <w:pPr>
        <w:ind w:right="481"/>
        <w:rPr>
          <w:rFonts w:eastAsia="Calibri"/>
        </w:rPr>
      </w:pPr>
    </w:p>
    <w:p w:rsidR="008708FA" w:rsidRPr="008708FA" w:rsidRDefault="008708FA" w:rsidP="008708FA">
      <w:pPr>
        <w:rPr>
          <w:rFonts w:eastAsia="Calibri"/>
        </w:rPr>
      </w:pPr>
    </w:p>
    <w:p w:rsidR="008708FA" w:rsidRPr="008708FA" w:rsidRDefault="008708FA" w:rsidP="008708FA">
      <w:pPr>
        <w:spacing w:line="276" w:lineRule="auto"/>
        <w:rPr>
          <w:rFonts w:eastAsia="Calibri"/>
        </w:rPr>
      </w:pPr>
      <w:r w:rsidRPr="008708FA">
        <w:rPr>
          <w:rFonts w:eastAsia="Calibri"/>
        </w:rPr>
        <w:br w:type="page"/>
      </w:r>
    </w:p>
    <w:p w:rsidR="008708FA" w:rsidRPr="008708FA" w:rsidRDefault="008708FA" w:rsidP="008708FA">
      <w:pPr>
        <w:rPr>
          <w:rFonts w:eastAsia="Calibri"/>
        </w:rPr>
      </w:pPr>
    </w:p>
    <w:p w:rsidR="008708FA" w:rsidRPr="009E1F3F" w:rsidRDefault="008708FA" w:rsidP="008708FA">
      <w:pPr>
        <w:rPr>
          <w:rFonts w:eastAsia="Calibri"/>
          <w:b/>
          <w:bCs/>
          <w:i/>
          <w:sz w:val="20"/>
          <w:szCs w:val="20"/>
        </w:rPr>
      </w:pPr>
      <w:bookmarkStart w:id="72" w:name="_Ref367903361"/>
      <w:bookmarkStart w:id="73" w:name="_Toc360610167"/>
      <w:bookmarkStart w:id="74" w:name="_Toc360801356"/>
      <w:r w:rsidRPr="009E1F3F">
        <w:rPr>
          <w:rFonts w:eastAsia="Calibri"/>
          <w:b/>
          <w:bCs/>
          <w:i/>
          <w:sz w:val="20"/>
          <w:szCs w:val="20"/>
        </w:rPr>
        <w:t xml:space="preserve">Figure </w:t>
      </w:r>
      <w:r w:rsidRPr="008708FA">
        <w:rPr>
          <w:rFonts w:eastAsia="Calibri"/>
          <w:b/>
          <w:bCs/>
          <w:i/>
          <w:sz w:val="20"/>
          <w:szCs w:val="18"/>
        </w:rPr>
        <w:fldChar w:fldCharType="begin"/>
      </w:r>
      <w:r w:rsidRPr="008708FA">
        <w:rPr>
          <w:rFonts w:eastAsia="Calibri"/>
          <w:b/>
          <w:bCs/>
          <w:i/>
          <w:sz w:val="20"/>
          <w:szCs w:val="18"/>
        </w:rPr>
        <w:instrText xml:space="preserve"> SEQ Figure \* ARABIC </w:instrText>
      </w:r>
      <w:r w:rsidRPr="008708FA">
        <w:rPr>
          <w:rFonts w:eastAsia="Calibri"/>
          <w:b/>
          <w:bCs/>
          <w:i/>
          <w:sz w:val="20"/>
          <w:szCs w:val="18"/>
        </w:rPr>
        <w:fldChar w:fldCharType="separate"/>
      </w:r>
      <w:r w:rsidR="006A4BE7">
        <w:rPr>
          <w:rFonts w:eastAsia="Calibri"/>
          <w:b/>
          <w:bCs/>
          <w:i/>
          <w:noProof/>
          <w:sz w:val="20"/>
          <w:szCs w:val="18"/>
        </w:rPr>
        <w:t>8</w:t>
      </w:r>
      <w:r w:rsidRPr="008708FA">
        <w:rPr>
          <w:rFonts w:eastAsia="Calibri"/>
          <w:b/>
          <w:bCs/>
          <w:i/>
          <w:sz w:val="20"/>
          <w:szCs w:val="18"/>
        </w:rPr>
        <w:fldChar w:fldCharType="end"/>
      </w:r>
      <w:bookmarkEnd w:id="72"/>
      <w:r w:rsidRPr="009E1F3F">
        <w:rPr>
          <w:rFonts w:eastAsia="Calibri"/>
          <w:b/>
          <w:bCs/>
          <w:i/>
          <w:sz w:val="20"/>
          <w:szCs w:val="20"/>
        </w:rPr>
        <w:t xml:space="preserve"> Examination Requests Utility Models by Examination </w:t>
      </w:r>
      <w:bookmarkEnd w:id="73"/>
      <w:bookmarkEnd w:id="74"/>
      <w:r w:rsidRPr="009E1F3F">
        <w:rPr>
          <w:rFonts w:eastAsia="Calibri"/>
          <w:b/>
          <w:bCs/>
          <w:i/>
          <w:sz w:val="20"/>
          <w:szCs w:val="20"/>
        </w:rPr>
        <w:t>year</w:t>
      </w:r>
    </w:p>
    <w:p w:rsidR="008708FA" w:rsidRPr="008708FA" w:rsidRDefault="008708FA" w:rsidP="008708FA">
      <w:pPr>
        <w:rPr>
          <w:rFonts w:eastAsia="Calibri"/>
        </w:rPr>
      </w:pPr>
      <w:r w:rsidRPr="008708FA">
        <w:rPr>
          <w:rFonts w:eastAsia="Calibri"/>
          <w:noProof/>
        </w:rPr>
        <w:drawing>
          <wp:inline distT="0" distB="0" distL="0" distR="0" wp14:anchorId="52454B0C" wp14:editId="475CDAC9">
            <wp:extent cx="5414010" cy="2755900"/>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4010" cy="2755900"/>
                    </a:xfrm>
                    <a:prstGeom prst="rect">
                      <a:avLst/>
                    </a:prstGeom>
                    <a:noFill/>
                  </pic:spPr>
                </pic:pic>
              </a:graphicData>
            </a:graphic>
          </wp:inline>
        </w:drawing>
      </w:r>
    </w:p>
    <w:p w:rsidR="008708FA" w:rsidRPr="008708FA" w:rsidRDefault="008708FA" w:rsidP="008708FA">
      <w:pPr>
        <w:rPr>
          <w:rFonts w:eastAsia="Calibri"/>
          <w:i/>
          <w:sz w:val="16"/>
        </w:rPr>
      </w:pPr>
      <w:r w:rsidRPr="008708FA">
        <w:rPr>
          <w:rFonts w:eastAsia="Calibri"/>
          <w:i/>
          <w:sz w:val="16"/>
        </w:rPr>
        <w:t>Source: Own elaboration, based on DIP data.</w:t>
      </w:r>
    </w:p>
    <w:p w:rsidR="008708FA" w:rsidRPr="008708FA" w:rsidRDefault="008708FA" w:rsidP="008708FA">
      <w:pPr>
        <w:rPr>
          <w:rFonts w:eastAsia="Calibri"/>
        </w:rPr>
      </w:pPr>
    </w:p>
    <w:p w:rsidR="008708FA" w:rsidRPr="008708FA" w:rsidRDefault="008708FA" w:rsidP="008708FA">
      <w:pPr>
        <w:ind w:right="481"/>
        <w:rPr>
          <w:rFonts w:eastAsia="Calibri"/>
        </w:rPr>
      </w:pPr>
    </w:p>
    <w:p w:rsidR="008708FA" w:rsidRPr="008708FA" w:rsidRDefault="008708FA" w:rsidP="005C2427">
      <w:pPr>
        <w:pStyle w:val="Heading2"/>
        <w:numPr>
          <w:ilvl w:val="0"/>
          <w:numId w:val="0"/>
        </w:numPr>
        <w:ind w:left="576" w:hanging="576"/>
      </w:pPr>
      <w:bookmarkStart w:id="75" w:name="_Ref368394403"/>
      <w:bookmarkStart w:id="76" w:name="_Toc370307934"/>
      <w:bookmarkStart w:id="77" w:name="_Toc370310343"/>
      <w:r w:rsidRPr="008708FA">
        <w:t>Quality of UM applications</w:t>
      </w:r>
      <w:bookmarkEnd w:id="75"/>
      <w:bookmarkEnd w:id="76"/>
      <w:bookmarkEnd w:id="77"/>
    </w:p>
    <w:p w:rsidR="008708FA" w:rsidRPr="008708FA" w:rsidRDefault="008708FA" w:rsidP="008708FA">
      <w:pPr>
        <w:rPr>
          <w:rFonts w:eastAsia="Calibri"/>
        </w:rPr>
      </w:pPr>
    </w:p>
    <w:p w:rsidR="008708FA" w:rsidRPr="009E1F3F" w:rsidRDefault="008708FA" w:rsidP="008708FA">
      <w:pPr>
        <w:rPr>
          <w:rFonts w:eastAsia="Calibri"/>
        </w:rPr>
      </w:pPr>
      <w:r w:rsidRPr="008708FA">
        <w:rPr>
          <w:rFonts w:eastAsia="Calibri"/>
        </w:rPr>
        <w:t xml:space="preserve">An indirect sign of lack of UM application quality is the fact that less than half of all UM filings between 1999 and 2011 have actually been registered.  More specifically, only 7,408 applications have been granted UM protection out of the 16,460 total applications filed in the same period.  Given that our unit record dataset only contains information for UM applications that have been registered, it is not possible to disambiguate those filings which are still pending from those which have failed the formalities examination.  Arguably, for the most recent years, a certain share of unregistered applications corresponds to still on-going application procedures.  But even if one only takes into account the first half of the 2000s, the share of unregistered UM applications is high – standing at between 40% and 60% (see </w:t>
      </w:r>
      <w:r w:rsidRPr="009E1F3F">
        <w:rPr>
          <w:rFonts w:eastAsia="Calibri"/>
        </w:rPr>
        <w:fldChar w:fldCharType="begin"/>
      </w:r>
      <w:r w:rsidRPr="009E1F3F">
        <w:rPr>
          <w:rFonts w:eastAsia="Calibri"/>
        </w:rPr>
        <w:instrText xml:space="preserve"> REF _Ref367898834 \h </w:instrText>
      </w:r>
      <w:r w:rsidRPr="009E1F3F">
        <w:rPr>
          <w:rFonts w:eastAsia="Calibri"/>
        </w:rPr>
      </w:r>
      <w:r w:rsidRPr="009E1F3F">
        <w:rPr>
          <w:rFonts w:eastAsia="Calibri"/>
        </w:rPr>
        <w:fldChar w:fldCharType="separate"/>
      </w:r>
      <w:r w:rsidR="006A4BE7" w:rsidRPr="009E1F3F">
        <w:rPr>
          <w:b/>
          <w:bCs/>
          <w:i/>
          <w:sz w:val="20"/>
          <w:szCs w:val="20"/>
        </w:rPr>
        <w:t xml:space="preserve">Figure </w:t>
      </w:r>
      <w:r w:rsidR="006A4BE7">
        <w:rPr>
          <w:b/>
          <w:bCs/>
          <w:i/>
          <w:noProof/>
          <w:sz w:val="20"/>
          <w:szCs w:val="18"/>
        </w:rPr>
        <w:t>9</w:t>
      </w:r>
      <w:r w:rsidRPr="009E1F3F">
        <w:rPr>
          <w:rFonts w:eastAsia="Calibri"/>
        </w:rPr>
        <w:fldChar w:fldCharType="end"/>
      </w:r>
      <w:r w:rsidRPr="009E1F3F">
        <w:rPr>
          <w:rFonts w:eastAsia="Calibri"/>
        </w:rPr>
        <w:t xml:space="preserve">).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On the positive side, the decline of the unregistered rate apparent from 2003 to 2006 could be an encouraging symptom of learning by new users of the UM system.  However, this trend overlaps slightly with a registration fee reduction of 50% since 2006 (see </w:t>
      </w:r>
      <w:r w:rsidR="00385C76">
        <w:rPr>
          <w:rFonts w:eastAsia="Calibri"/>
        </w:rPr>
        <w:t>Appendix</w:t>
      </w:r>
      <w:r w:rsidRPr="008708FA">
        <w:rPr>
          <w:rFonts w:eastAsia="Calibri"/>
        </w:rPr>
        <w:t xml:space="preserve"> </w:t>
      </w:r>
      <w:r w:rsidRPr="008708FA">
        <w:rPr>
          <w:rFonts w:eastAsia="Calibri"/>
        </w:rPr>
        <w:fldChar w:fldCharType="begin"/>
      </w:r>
      <w:r w:rsidRPr="008708FA">
        <w:rPr>
          <w:rFonts w:eastAsia="Calibri"/>
        </w:rPr>
        <w:instrText xml:space="preserve"> REF _Ref364428321 \h  \* MERGEFORMAT </w:instrText>
      </w:r>
      <w:r w:rsidRPr="008708FA">
        <w:rPr>
          <w:rFonts w:eastAsia="Calibri"/>
        </w:rPr>
      </w:r>
      <w:r w:rsidRPr="008708FA">
        <w:rPr>
          <w:rFonts w:eastAsia="Calibri"/>
        </w:rPr>
        <w:fldChar w:fldCharType="separate"/>
      </w:r>
      <w:r w:rsidR="006A4BE7" w:rsidRPr="006A4BE7">
        <w:rPr>
          <w:rFonts w:eastAsia="Calibri"/>
          <w:szCs w:val="20"/>
        </w:rPr>
        <w:t>Table A. 1</w:t>
      </w:r>
      <w:r w:rsidRPr="008708FA">
        <w:rPr>
          <w:rFonts w:eastAsia="Calibri"/>
        </w:rPr>
        <w:fldChar w:fldCharType="end"/>
      </w:r>
      <w:r w:rsidRPr="008708FA">
        <w:rPr>
          <w:rFonts w:eastAsia="Calibri"/>
          <w:szCs w:val="20"/>
        </w:rPr>
        <w:t xml:space="preserve"> </w:t>
      </w:r>
      <w:r w:rsidRPr="008708FA">
        <w:rPr>
          <w:rFonts w:eastAsia="Calibri"/>
        </w:rPr>
        <w:t xml:space="preserve">for complete a list of fees).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In any case, only time will let us know how much of the increase of this rate after 2007 is due to lack of quality in applications and how much is it related to backlog matters and applicant strategies.  But these figures shed some light to the challenges in terms of application quality that the Thai IP office faces.</w:t>
      </w:r>
    </w:p>
    <w:p w:rsidR="008708FA" w:rsidRPr="008708FA" w:rsidRDefault="008708FA" w:rsidP="008708FA">
      <w:pPr>
        <w:rPr>
          <w:rFonts w:eastAsia="Calibri"/>
        </w:rPr>
      </w:pPr>
    </w:p>
    <w:p w:rsidR="008708FA" w:rsidRPr="008708FA" w:rsidRDefault="008708FA" w:rsidP="008708FA">
      <w:pPr>
        <w:rPr>
          <w:rFonts w:eastAsia="Calibri"/>
        </w:rPr>
      </w:pPr>
    </w:p>
    <w:p w:rsidR="008708FA" w:rsidRPr="008708FA" w:rsidRDefault="008708FA" w:rsidP="008708FA">
      <w:pPr>
        <w:rPr>
          <w:rFonts w:eastAsia="Calibri"/>
        </w:rPr>
      </w:pPr>
    </w:p>
    <w:p w:rsidR="008708FA" w:rsidRPr="008708FA" w:rsidRDefault="008708FA" w:rsidP="008708FA">
      <w:pPr>
        <w:rPr>
          <w:rFonts w:eastAsia="Calibri"/>
        </w:rPr>
        <w:sectPr w:rsidR="008708FA" w:rsidRPr="008708FA" w:rsidSect="005C2427">
          <w:pgSz w:w="11907" w:h="16839" w:code="9"/>
          <w:pgMar w:top="1440" w:right="1440" w:bottom="1440" w:left="1440" w:header="720" w:footer="720" w:gutter="0"/>
          <w:cols w:space="720"/>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7"/>
        <w:gridCol w:w="7808"/>
      </w:tblGrid>
      <w:tr w:rsidR="008708FA" w:rsidRPr="008708FA" w:rsidTr="005C2427">
        <w:tc>
          <w:tcPr>
            <w:tcW w:w="7807" w:type="dxa"/>
          </w:tcPr>
          <w:p w:rsidR="008708FA" w:rsidRPr="009E1F3F" w:rsidRDefault="008708FA" w:rsidP="008708FA">
            <w:pPr>
              <w:rPr>
                <w:b/>
                <w:bCs/>
                <w:i/>
                <w:sz w:val="20"/>
                <w:szCs w:val="20"/>
              </w:rPr>
            </w:pPr>
            <w:bookmarkStart w:id="78" w:name="_Ref367898834"/>
            <w:r w:rsidRPr="009E1F3F">
              <w:rPr>
                <w:b/>
                <w:bCs/>
                <w:i/>
                <w:sz w:val="20"/>
                <w:szCs w:val="20"/>
              </w:rPr>
              <w:t xml:space="preserve">Figure </w:t>
            </w:r>
            <w:r w:rsidRPr="008708FA">
              <w:rPr>
                <w:b/>
                <w:bCs/>
                <w:i/>
                <w:sz w:val="20"/>
                <w:szCs w:val="18"/>
              </w:rPr>
              <w:fldChar w:fldCharType="begin"/>
            </w:r>
            <w:r w:rsidRPr="008708FA">
              <w:rPr>
                <w:b/>
                <w:bCs/>
                <w:i/>
                <w:sz w:val="20"/>
                <w:szCs w:val="18"/>
              </w:rPr>
              <w:instrText xml:space="preserve"> SEQ Figure \* ARABIC </w:instrText>
            </w:r>
            <w:r w:rsidRPr="008708FA">
              <w:rPr>
                <w:b/>
                <w:bCs/>
                <w:i/>
                <w:sz w:val="20"/>
                <w:szCs w:val="18"/>
              </w:rPr>
              <w:fldChar w:fldCharType="separate"/>
            </w:r>
            <w:r w:rsidR="006A4BE7">
              <w:rPr>
                <w:b/>
                <w:bCs/>
                <w:i/>
                <w:noProof/>
                <w:sz w:val="20"/>
                <w:szCs w:val="18"/>
              </w:rPr>
              <w:t>9</w:t>
            </w:r>
            <w:r w:rsidRPr="008708FA">
              <w:rPr>
                <w:b/>
                <w:bCs/>
                <w:i/>
                <w:sz w:val="20"/>
                <w:szCs w:val="18"/>
              </w:rPr>
              <w:fldChar w:fldCharType="end"/>
            </w:r>
            <w:bookmarkEnd w:id="78"/>
            <w:r w:rsidRPr="009E1F3F">
              <w:rPr>
                <w:b/>
                <w:bCs/>
                <w:i/>
                <w:sz w:val="20"/>
                <w:szCs w:val="20"/>
              </w:rPr>
              <w:t>: Unregistered and Registered Utility Models</w:t>
            </w:r>
          </w:p>
          <w:p w:rsidR="008708FA" w:rsidRPr="008708FA" w:rsidRDefault="008708FA" w:rsidP="008708FA">
            <w:r w:rsidRPr="008708FA">
              <w:rPr>
                <w:noProof/>
              </w:rPr>
              <w:drawing>
                <wp:inline distT="0" distB="0" distL="0" distR="0" wp14:anchorId="5042192D" wp14:editId="12CCAA1E">
                  <wp:extent cx="4032504" cy="2523744"/>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2504" cy="2523744"/>
                          </a:xfrm>
                          <a:prstGeom prst="rect">
                            <a:avLst/>
                          </a:prstGeom>
                          <a:noFill/>
                        </pic:spPr>
                      </pic:pic>
                    </a:graphicData>
                  </a:graphic>
                </wp:inline>
              </w:drawing>
            </w:r>
          </w:p>
          <w:p w:rsidR="008708FA" w:rsidRPr="008708FA" w:rsidRDefault="008708FA" w:rsidP="008708FA">
            <w:pPr>
              <w:rPr>
                <w:i/>
                <w:sz w:val="16"/>
              </w:rPr>
            </w:pPr>
            <w:r w:rsidRPr="008708FA">
              <w:rPr>
                <w:i/>
                <w:sz w:val="16"/>
              </w:rPr>
              <w:t>Source: Own elaboration, based on DIP data and WIPO Statistical Database, 2013.</w:t>
            </w:r>
          </w:p>
          <w:p w:rsidR="008708FA" w:rsidRPr="008708FA" w:rsidRDefault="008708FA" w:rsidP="008708FA">
            <w:pPr>
              <w:rPr>
                <w:i/>
                <w:sz w:val="16"/>
              </w:rPr>
            </w:pPr>
          </w:p>
          <w:p w:rsidR="008708FA" w:rsidRPr="009E1F3F" w:rsidRDefault="008708FA" w:rsidP="008708FA">
            <w:pPr>
              <w:rPr>
                <w:b/>
                <w:bCs/>
                <w:i/>
                <w:sz w:val="20"/>
                <w:szCs w:val="20"/>
              </w:rPr>
            </w:pPr>
            <w:bookmarkStart w:id="79" w:name="_Ref364442183"/>
            <w:r w:rsidRPr="009E1F3F">
              <w:rPr>
                <w:b/>
                <w:bCs/>
                <w:i/>
                <w:sz w:val="20"/>
                <w:szCs w:val="20"/>
              </w:rPr>
              <w:t xml:space="preserve">Figure </w:t>
            </w:r>
            <w:r w:rsidRPr="008708FA">
              <w:rPr>
                <w:b/>
                <w:bCs/>
                <w:i/>
                <w:sz w:val="20"/>
                <w:szCs w:val="18"/>
              </w:rPr>
              <w:fldChar w:fldCharType="begin"/>
            </w:r>
            <w:r w:rsidRPr="008708FA">
              <w:rPr>
                <w:b/>
                <w:bCs/>
                <w:i/>
                <w:sz w:val="20"/>
                <w:szCs w:val="18"/>
              </w:rPr>
              <w:instrText xml:space="preserve"> SEQ Figure \* ARABIC </w:instrText>
            </w:r>
            <w:r w:rsidRPr="008708FA">
              <w:rPr>
                <w:b/>
                <w:bCs/>
                <w:i/>
                <w:sz w:val="20"/>
                <w:szCs w:val="18"/>
              </w:rPr>
              <w:fldChar w:fldCharType="separate"/>
            </w:r>
            <w:r w:rsidR="006A4BE7">
              <w:rPr>
                <w:b/>
                <w:bCs/>
                <w:i/>
                <w:noProof/>
                <w:sz w:val="20"/>
                <w:szCs w:val="18"/>
              </w:rPr>
              <w:t>10</w:t>
            </w:r>
            <w:r w:rsidRPr="008708FA">
              <w:rPr>
                <w:b/>
                <w:bCs/>
                <w:i/>
                <w:sz w:val="20"/>
                <w:szCs w:val="18"/>
              </w:rPr>
              <w:fldChar w:fldCharType="end"/>
            </w:r>
            <w:bookmarkEnd w:id="79"/>
            <w:r w:rsidRPr="009E1F3F">
              <w:rPr>
                <w:b/>
                <w:bCs/>
                <w:i/>
                <w:sz w:val="20"/>
                <w:szCs w:val="20"/>
              </w:rPr>
              <w:t>: Utility Models by Registration Year</w:t>
            </w:r>
          </w:p>
          <w:p w:rsidR="008708FA" w:rsidRPr="008708FA" w:rsidRDefault="008708FA" w:rsidP="008708FA">
            <w:r w:rsidRPr="008708FA">
              <w:rPr>
                <w:noProof/>
              </w:rPr>
              <w:drawing>
                <wp:inline distT="0" distB="0" distL="0" distR="0" wp14:anchorId="50A70169" wp14:editId="31EE020C">
                  <wp:extent cx="4005072" cy="252374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05072" cy="2523744"/>
                          </a:xfrm>
                          <a:prstGeom prst="rect">
                            <a:avLst/>
                          </a:prstGeom>
                          <a:noFill/>
                        </pic:spPr>
                      </pic:pic>
                    </a:graphicData>
                  </a:graphic>
                </wp:inline>
              </w:drawing>
            </w:r>
          </w:p>
          <w:p w:rsidR="008708FA" w:rsidRPr="008708FA" w:rsidRDefault="008708FA" w:rsidP="008708FA">
            <w:pPr>
              <w:rPr>
                <w:i/>
                <w:sz w:val="16"/>
              </w:rPr>
            </w:pPr>
            <w:r w:rsidRPr="008708FA">
              <w:rPr>
                <w:i/>
                <w:sz w:val="16"/>
              </w:rPr>
              <w:t>Source: Own elaboration, based on DIP data.</w:t>
            </w:r>
          </w:p>
        </w:tc>
        <w:tc>
          <w:tcPr>
            <w:tcW w:w="7808" w:type="dxa"/>
          </w:tcPr>
          <w:p w:rsidR="008708FA" w:rsidRPr="009E1F3F" w:rsidRDefault="008708FA" w:rsidP="008708FA">
            <w:pPr>
              <w:rPr>
                <w:b/>
                <w:bCs/>
                <w:i/>
                <w:sz w:val="20"/>
                <w:szCs w:val="20"/>
              </w:rPr>
            </w:pPr>
            <w:bookmarkStart w:id="80" w:name="_Ref367902328"/>
            <w:r w:rsidRPr="009E1F3F">
              <w:rPr>
                <w:b/>
                <w:bCs/>
                <w:i/>
                <w:sz w:val="20"/>
                <w:szCs w:val="20"/>
              </w:rPr>
              <w:t xml:space="preserve">Figure </w:t>
            </w:r>
            <w:r w:rsidRPr="008708FA">
              <w:rPr>
                <w:b/>
                <w:bCs/>
                <w:i/>
                <w:sz w:val="20"/>
                <w:szCs w:val="18"/>
              </w:rPr>
              <w:fldChar w:fldCharType="begin"/>
            </w:r>
            <w:r w:rsidRPr="008708FA">
              <w:rPr>
                <w:b/>
                <w:bCs/>
                <w:i/>
                <w:sz w:val="20"/>
                <w:szCs w:val="18"/>
              </w:rPr>
              <w:instrText xml:space="preserve"> SEQ Figure \* ARABIC </w:instrText>
            </w:r>
            <w:r w:rsidRPr="008708FA">
              <w:rPr>
                <w:b/>
                <w:bCs/>
                <w:i/>
                <w:sz w:val="20"/>
                <w:szCs w:val="18"/>
              </w:rPr>
              <w:fldChar w:fldCharType="separate"/>
            </w:r>
            <w:r w:rsidR="006A4BE7">
              <w:rPr>
                <w:b/>
                <w:bCs/>
                <w:i/>
                <w:noProof/>
                <w:sz w:val="20"/>
                <w:szCs w:val="18"/>
              </w:rPr>
              <w:t>11</w:t>
            </w:r>
            <w:r w:rsidRPr="008708FA">
              <w:rPr>
                <w:b/>
                <w:bCs/>
                <w:i/>
                <w:sz w:val="20"/>
                <w:szCs w:val="18"/>
              </w:rPr>
              <w:fldChar w:fldCharType="end"/>
            </w:r>
            <w:bookmarkEnd w:id="80"/>
            <w:r w:rsidRPr="009E1F3F">
              <w:rPr>
                <w:b/>
                <w:bCs/>
                <w:i/>
                <w:sz w:val="20"/>
                <w:szCs w:val="20"/>
              </w:rPr>
              <w:t xml:space="preserve">: Registration Lag </w:t>
            </w:r>
          </w:p>
          <w:p w:rsidR="008708FA" w:rsidRPr="008708FA" w:rsidRDefault="008708FA" w:rsidP="008708FA">
            <w:r w:rsidRPr="008708FA">
              <w:rPr>
                <w:noProof/>
              </w:rPr>
              <w:drawing>
                <wp:inline distT="0" distB="0" distL="0" distR="0" wp14:anchorId="12D1453A" wp14:editId="015984C3">
                  <wp:extent cx="4032504" cy="2523744"/>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2504" cy="2523744"/>
                          </a:xfrm>
                          <a:prstGeom prst="rect">
                            <a:avLst/>
                          </a:prstGeom>
                          <a:noFill/>
                        </pic:spPr>
                      </pic:pic>
                    </a:graphicData>
                  </a:graphic>
                </wp:inline>
              </w:drawing>
            </w:r>
          </w:p>
          <w:p w:rsidR="008708FA" w:rsidRPr="008708FA" w:rsidRDefault="008708FA" w:rsidP="008708FA">
            <w:pPr>
              <w:rPr>
                <w:i/>
                <w:sz w:val="16"/>
              </w:rPr>
            </w:pPr>
            <w:r w:rsidRPr="008708FA">
              <w:rPr>
                <w:i/>
                <w:sz w:val="16"/>
              </w:rPr>
              <w:t>Source: Own elaboration, based on DIP data.</w:t>
            </w:r>
          </w:p>
          <w:p w:rsidR="008708FA" w:rsidRPr="008708FA" w:rsidRDefault="008708FA" w:rsidP="008708FA">
            <w:pPr>
              <w:rPr>
                <w:i/>
                <w:sz w:val="16"/>
              </w:rPr>
            </w:pPr>
          </w:p>
          <w:p w:rsidR="008708FA" w:rsidRPr="009E1F3F" w:rsidRDefault="008708FA" w:rsidP="008708FA">
            <w:pPr>
              <w:rPr>
                <w:b/>
                <w:bCs/>
                <w:i/>
                <w:sz w:val="20"/>
                <w:szCs w:val="20"/>
              </w:rPr>
            </w:pPr>
            <w:bookmarkStart w:id="81" w:name="_Ref367902881"/>
            <w:r w:rsidRPr="009E1F3F">
              <w:rPr>
                <w:b/>
                <w:bCs/>
                <w:i/>
                <w:sz w:val="20"/>
                <w:szCs w:val="20"/>
              </w:rPr>
              <w:t xml:space="preserve">Figure </w:t>
            </w:r>
            <w:r w:rsidRPr="008708FA">
              <w:rPr>
                <w:b/>
                <w:bCs/>
                <w:i/>
                <w:sz w:val="20"/>
                <w:szCs w:val="18"/>
              </w:rPr>
              <w:fldChar w:fldCharType="begin"/>
            </w:r>
            <w:r w:rsidRPr="008708FA">
              <w:rPr>
                <w:b/>
                <w:bCs/>
                <w:i/>
                <w:sz w:val="20"/>
                <w:szCs w:val="18"/>
              </w:rPr>
              <w:instrText xml:space="preserve"> SEQ Figure \* ARABIC </w:instrText>
            </w:r>
            <w:r w:rsidRPr="008708FA">
              <w:rPr>
                <w:b/>
                <w:bCs/>
                <w:i/>
                <w:sz w:val="20"/>
                <w:szCs w:val="18"/>
              </w:rPr>
              <w:fldChar w:fldCharType="separate"/>
            </w:r>
            <w:r w:rsidR="006A4BE7">
              <w:rPr>
                <w:b/>
                <w:bCs/>
                <w:i/>
                <w:noProof/>
                <w:sz w:val="20"/>
                <w:szCs w:val="18"/>
              </w:rPr>
              <w:t>12</w:t>
            </w:r>
            <w:r w:rsidRPr="008708FA">
              <w:rPr>
                <w:b/>
                <w:bCs/>
                <w:i/>
                <w:sz w:val="20"/>
                <w:szCs w:val="18"/>
              </w:rPr>
              <w:fldChar w:fldCharType="end"/>
            </w:r>
            <w:bookmarkEnd w:id="81"/>
            <w:r w:rsidRPr="009E1F3F">
              <w:rPr>
                <w:b/>
                <w:bCs/>
                <w:i/>
                <w:sz w:val="20"/>
                <w:szCs w:val="20"/>
              </w:rPr>
              <w:t>: Registration Lag by Application period</w:t>
            </w:r>
          </w:p>
          <w:p w:rsidR="008708FA" w:rsidRPr="008708FA" w:rsidRDefault="008708FA" w:rsidP="008708FA">
            <w:r w:rsidRPr="008708FA">
              <w:rPr>
                <w:noProof/>
              </w:rPr>
              <w:drawing>
                <wp:inline distT="0" distB="0" distL="0" distR="0" wp14:anchorId="6246D347" wp14:editId="52242B9A">
                  <wp:extent cx="4032504" cy="2523744"/>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2504" cy="2523744"/>
                          </a:xfrm>
                          <a:prstGeom prst="rect">
                            <a:avLst/>
                          </a:prstGeom>
                          <a:noFill/>
                        </pic:spPr>
                      </pic:pic>
                    </a:graphicData>
                  </a:graphic>
                </wp:inline>
              </w:drawing>
            </w:r>
          </w:p>
          <w:p w:rsidR="008708FA" w:rsidRPr="008708FA" w:rsidRDefault="008708FA" w:rsidP="008708FA">
            <w:pPr>
              <w:rPr>
                <w:i/>
                <w:sz w:val="16"/>
              </w:rPr>
            </w:pPr>
            <w:r w:rsidRPr="008708FA">
              <w:rPr>
                <w:i/>
                <w:sz w:val="16"/>
              </w:rPr>
              <w:t>Source: Own elaboration, based on DIP data.</w:t>
            </w:r>
          </w:p>
        </w:tc>
      </w:tr>
    </w:tbl>
    <w:p w:rsidR="008708FA" w:rsidRPr="008708FA" w:rsidRDefault="008708FA" w:rsidP="008708FA">
      <w:pPr>
        <w:rPr>
          <w:rFonts w:eastAsia="Calibri"/>
        </w:rPr>
        <w:sectPr w:rsidR="008708FA" w:rsidRPr="008708FA" w:rsidSect="005C2427">
          <w:pgSz w:w="16839" w:h="11907" w:orient="landscape" w:code="9"/>
          <w:pgMar w:top="720" w:right="720" w:bottom="720" w:left="720" w:header="720" w:footer="720" w:gutter="0"/>
          <w:cols w:space="720"/>
          <w:docGrid w:linePitch="360"/>
        </w:sectPr>
      </w:pPr>
    </w:p>
    <w:p w:rsidR="008708FA" w:rsidRPr="008708FA" w:rsidRDefault="008708FA" w:rsidP="008708FA">
      <w:pPr>
        <w:rPr>
          <w:rFonts w:eastAsia="Calibri"/>
        </w:rPr>
      </w:pPr>
    </w:p>
    <w:p w:rsidR="008708FA" w:rsidRPr="008708FA" w:rsidRDefault="008708FA" w:rsidP="005C2427">
      <w:pPr>
        <w:pStyle w:val="Heading2"/>
        <w:numPr>
          <w:ilvl w:val="0"/>
          <w:numId w:val="0"/>
        </w:numPr>
        <w:ind w:left="576" w:hanging="576"/>
      </w:pPr>
      <w:bookmarkStart w:id="82" w:name="_Ref368394409"/>
      <w:bookmarkStart w:id="83" w:name="_Ref368394410"/>
      <w:bookmarkStart w:id="84" w:name="_Toc370307935"/>
      <w:bookmarkStart w:id="85" w:name="_Toc370310344"/>
      <w:r w:rsidRPr="008708FA">
        <w:t>Backlog</w:t>
      </w:r>
      <w:bookmarkEnd w:id="82"/>
      <w:bookmarkEnd w:id="83"/>
      <w:bookmarkEnd w:id="84"/>
      <w:bookmarkEnd w:id="85"/>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As just mentioned, the difference in the number of applications and the number of registrations can be attributed to a backlog in the registration process.  Interviewees have suggested that a backlog problem is a current challenge in the Thai DPI (see Appendix C).</w:t>
      </w:r>
    </w:p>
    <w:p w:rsidR="008708FA" w:rsidRPr="008708FA" w:rsidRDefault="008708FA" w:rsidP="008708FA">
      <w:pPr>
        <w:rPr>
          <w:rFonts w:eastAsia="Calibri"/>
        </w:rPr>
      </w:pPr>
    </w:p>
    <w:p w:rsidR="008708FA" w:rsidRPr="008708FA" w:rsidRDefault="008708FA" w:rsidP="008708FA">
      <w:pPr>
        <w:rPr>
          <w:rFonts w:eastAsia="Calibri"/>
        </w:rPr>
      </w:pPr>
      <w:r w:rsidRPr="009E1F3F">
        <w:rPr>
          <w:rFonts w:eastAsia="Calibri"/>
        </w:rPr>
        <w:t xml:space="preserve">When UMs are grouped by their registration year in </w:t>
      </w:r>
      <w:r w:rsidRPr="009E1F3F">
        <w:rPr>
          <w:rFonts w:eastAsia="Calibri"/>
        </w:rPr>
        <w:fldChar w:fldCharType="begin"/>
      </w:r>
      <w:r w:rsidRPr="009E1F3F">
        <w:rPr>
          <w:rFonts w:eastAsia="Calibri"/>
        </w:rPr>
        <w:instrText xml:space="preserve"> REF _Ref364442183 \h </w:instrText>
      </w:r>
      <w:r w:rsidRPr="009E1F3F">
        <w:rPr>
          <w:rFonts w:eastAsia="Calibri"/>
        </w:rPr>
      </w:r>
      <w:r w:rsidRPr="009E1F3F">
        <w:rPr>
          <w:rFonts w:eastAsia="Calibri"/>
        </w:rPr>
        <w:fldChar w:fldCharType="separate"/>
      </w:r>
      <w:r w:rsidR="006A4BE7" w:rsidRPr="009E1F3F">
        <w:rPr>
          <w:b/>
          <w:bCs/>
          <w:i/>
          <w:sz w:val="20"/>
          <w:szCs w:val="20"/>
        </w:rPr>
        <w:t xml:space="preserve">Figure </w:t>
      </w:r>
      <w:r w:rsidR="006A4BE7">
        <w:rPr>
          <w:b/>
          <w:bCs/>
          <w:i/>
          <w:noProof/>
          <w:sz w:val="20"/>
          <w:szCs w:val="18"/>
        </w:rPr>
        <w:t>10</w:t>
      </w:r>
      <w:r w:rsidRPr="009E1F3F">
        <w:rPr>
          <w:rFonts w:eastAsia="Calibri"/>
        </w:rPr>
        <w:fldChar w:fldCharType="end"/>
      </w:r>
      <w:r w:rsidRPr="009E1F3F">
        <w:rPr>
          <w:rFonts w:eastAsia="Calibri"/>
        </w:rPr>
        <w:t xml:space="preserve"> – as opposed to application one in </w:t>
      </w:r>
      <w:r w:rsidRPr="009E1F3F">
        <w:rPr>
          <w:rFonts w:eastAsia="Calibri"/>
        </w:rPr>
        <w:fldChar w:fldCharType="begin"/>
      </w:r>
      <w:r w:rsidRPr="009E1F3F">
        <w:rPr>
          <w:rFonts w:eastAsia="Calibri"/>
        </w:rPr>
        <w:instrText xml:space="preserve"> REF _Ref367898834 \h </w:instrText>
      </w:r>
      <w:r w:rsidRPr="009E1F3F">
        <w:rPr>
          <w:rFonts w:eastAsia="Calibri"/>
        </w:rPr>
      </w:r>
      <w:r w:rsidRPr="009E1F3F">
        <w:rPr>
          <w:rFonts w:eastAsia="Calibri"/>
        </w:rPr>
        <w:fldChar w:fldCharType="separate"/>
      </w:r>
      <w:r w:rsidR="006A4BE7" w:rsidRPr="009E1F3F">
        <w:rPr>
          <w:b/>
          <w:bCs/>
          <w:i/>
          <w:sz w:val="20"/>
          <w:szCs w:val="20"/>
        </w:rPr>
        <w:t xml:space="preserve">Figure </w:t>
      </w:r>
      <w:r w:rsidR="006A4BE7">
        <w:rPr>
          <w:b/>
          <w:bCs/>
          <w:i/>
          <w:noProof/>
          <w:sz w:val="20"/>
          <w:szCs w:val="18"/>
        </w:rPr>
        <w:t>9</w:t>
      </w:r>
      <w:r w:rsidRPr="009E1F3F">
        <w:rPr>
          <w:rFonts w:eastAsia="Calibri"/>
        </w:rPr>
        <w:fldChar w:fldCharType="end"/>
      </w:r>
      <w:r w:rsidRPr="009E1F3F">
        <w:rPr>
          <w:rFonts w:eastAsia="Calibri"/>
        </w:rPr>
        <w:t xml:space="preserve"> – no declining trend is seen for the second half of the 2000s.  This is partially</w:t>
      </w:r>
      <w:r w:rsidRPr="008708FA">
        <w:rPr>
          <w:rFonts w:eastAsia="Calibri"/>
        </w:rPr>
        <w:t xml:space="preserve"> because it also reflects the output flow of the DIP registration process.  In other terms it reflects the pace at which DIP manages to process the UM applications.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The erratic flow of registration until 2005 has been attributed to the fact that back then officers that handled also patents applications – whose work</w:t>
      </w:r>
      <w:r w:rsidR="00573848">
        <w:rPr>
          <w:rFonts w:eastAsia="Calibri"/>
        </w:rPr>
        <w:t xml:space="preserve">load was already considerable, </w:t>
      </w:r>
      <w:r w:rsidRPr="008708FA">
        <w:rPr>
          <w:rFonts w:eastAsia="Calibri"/>
        </w:rPr>
        <w:t>were conducting the formalities examination of UM applications.  Thereafter, additional examiners were hired specifically to handle UM applications, which is reflected in the increase in the number of UM registrations.</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However, DIP officials reported that given the increase in the time required for patent examination during the last few years, it is likely that a few examiners may be transferred from the UM section to the patent one.  If such an event occurs, the number of processed UM applications may drop again.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Another mentioned challenge is that the number of examiners available for both patents and UM fluctuates considerably from year to year.  This was related to the tightening conditions in this very specific labor market.  The DIP faces constant difficulties to hire examiners as civil servants’ salary scale is extremely low compared with that of the private sector.  This also gives incentives to current examiners to leave for private law firms.  As there are very few examiners – currently, DIP employs 9 examiners, 5 in e</w:t>
      </w:r>
      <w:r w:rsidR="00573848">
        <w:rPr>
          <w:rFonts w:eastAsia="Calibri"/>
        </w:rPr>
        <w:t xml:space="preserve">ngineering and 4 in chemistry, </w:t>
      </w:r>
      <w:r w:rsidRPr="008708FA">
        <w:rPr>
          <w:rFonts w:eastAsia="Calibri"/>
        </w:rPr>
        <w:t>any resignation has a direct impact on the number of UM applications processed.  Even in the case that a replacement is found relatively quickly, the training takes time and thus adds to the backlog at the office.    .</w:t>
      </w:r>
    </w:p>
    <w:p w:rsidR="008708FA" w:rsidRPr="008708FA" w:rsidRDefault="008708FA" w:rsidP="008708FA">
      <w:pPr>
        <w:rPr>
          <w:rFonts w:eastAsia="Calibri"/>
        </w:rPr>
      </w:pPr>
    </w:p>
    <w:p w:rsidR="008708FA" w:rsidRPr="008708FA" w:rsidRDefault="008708FA" w:rsidP="005C2427">
      <w:pPr>
        <w:pStyle w:val="Heading2"/>
        <w:numPr>
          <w:ilvl w:val="0"/>
          <w:numId w:val="0"/>
        </w:numPr>
        <w:ind w:left="576" w:hanging="576"/>
      </w:pPr>
      <w:bookmarkStart w:id="86" w:name="_Ref368394415"/>
      <w:bookmarkStart w:id="87" w:name="_Toc370307936"/>
      <w:bookmarkStart w:id="88" w:name="_Toc370310345"/>
      <w:r w:rsidRPr="008708FA">
        <w:t>Pendency</w:t>
      </w:r>
      <w:bookmarkEnd w:id="86"/>
      <w:bookmarkEnd w:id="87"/>
      <w:bookmarkEnd w:id="88"/>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Admittedly, the difference in the number of applications and the number of registrations may simply reflect the accumulated backlog in the registration process, reflecting the DPI’s processing capacity.  Indeed, interviews have confirmed that resource limitations account for a good part of the application backlog.  One direct consequence of this backlog problem is long UM pendency times.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Pendency can be roughly defined as the number of years since application required for registration.  It is worth noting that not all the pendency is to be attributed to the IP office, in this case the DIP.  In many cases, pendency falls under the applicant responsibility as they may take time to take actions after the IP office issues a communication.</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In principle, the Thai law foresees that UM applications be processed within six months.  Interviewees suggested that, in practice, the process of preparing the documents for registration may take as long as 2 years, depending on the quality of the document at initial submission.  Taking into account all registered UMs, the most frequent pendency is about </w:t>
      </w:r>
      <w:r w:rsidRPr="009E1F3F">
        <w:rPr>
          <w:rFonts w:eastAsia="Calibri"/>
        </w:rPr>
        <w:t>one year (</w:t>
      </w:r>
      <w:r w:rsidRPr="009E1F3F">
        <w:rPr>
          <w:rFonts w:eastAsia="Calibri"/>
        </w:rPr>
        <w:fldChar w:fldCharType="begin"/>
      </w:r>
      <w:r w:rsidRPr="009E1F3F">
        <w:rPr>
          <w:rFonts w:eastAsia="Calibri"/>
        </w:rPr>
        <w:instrText xml:space="preserve"> REF _Ref367902328 \h </w:instrText>
      </w:r>
      <w:r w:rsidRPr="009E1F3F">
        <w:rPr>
          <w:rFonts w:eastAsia="Calibri"/>
        </w:rPr>
      </w:r>
      <w:r w:rsidRPr="009E1F3F">
        <w:rPr>
          <w:rFonts w:eastAsia="Calibri"/>
        </w:rPr>
        <w:fldChar w:fldCharType="separate"/>
      </w:r>
      <w:r w:rsidR="006A4BE7" w:rsidRPr="009E1F3F">
        <w:rPr>
          <w:b/>
          <w:bCs/>
          <w:i/>
          <w:sz w:val="20"/>
          <w:szCs w:val="20"/>
        </w:rPr>
        <w:t xml:space="preserve">Figure </w:t>
      </w:r>
      <w:r w:rsidR="006A4BE7">
        <w:rPr>
          <w:b/>
          <w:bCs/>
          <w:i/>
          <w:noProof/>
          <w:sz w:val="20"/>
          <w:szCs w:val="18"/>
        </w:rPr>
        <w:t>11</w:t>
      </w:r>
      <w:r w:rsidRPr="009E1F3F">
        <w:rPr>
          <w:rFonts w:eastAsia="Calibri"/>
        </w:rPr>
        <w:fldChar w:fldCharType="end"/>
      </w:r>
      <w:r w:rsidRPr="009E1F3F">
        <w:rPr>
          <w:rFonts w:eastAsia="Calibri"/>
        </w:rPr>
        <w:t>).  In other terms, little more than 60% of all registered UM have been</w:t>
      </w:r>
      <w:r w:rsidRPr="008708FA">
        <w:rPr>
          <w:rFonts w:eastAsia="Calibri"/>
        </w:rPr>
        <w:t xml:space="preserve"> processed within a year and 83% are done within two years.  This is slightly better than the general perception.  Nevertheless, there are still 17% of all registrations for which it took not less than three years to be granted. </w:t>
      </w:r>
    </w:p>
    <w:p w:rsidR="008708FA" w:rsidRPr="008708FA" w:rsidRDefault="008708FA" w:rsidP="008708FA">
      <w:pPr>
        <w:rPr>
          <w:rFonts w:eastAsia="Calibri"/>
        </w:rPr>
      </w:pPr>
    </w:p>
    <w:p w:rsidR="008708FA" w:rsidRPr="008708FA" w:rsidRDefault="008708FA" w:rsidP="008708FA">
      <w:pPr>
        <w:rPr>
          <w:rFonts w:eastAsia="Calibri"/>
        </w:rPr>
      </w:pPr>
      <w:r w:rsidRPr="009E1F3F">
        <w:rPr>
          <w:rFonts w:eastAsia="Calibri"/>
        </w:rPr>
        <w:fldChar w:fldCharType="begin"/>
      </w:r>
      <w:r w:rsidRPr="009E1F3F">
        <w:rPr>
          <w:rFonts w:eastAsia="Calibri"/>
        </w:rPr>
        <w:instrText xml:space="preserve"> REF _Ref367902881 \h </w:instrText>
      </w:r>
      <w:r w:rsidRPr="009E1F3F">
        <w:rPr>
          <w:rFonts w:eastAsia="Calibri"/>
        </w:rPr>
      </w:r>
      <w:r w:rsidRPr="009E1F3F">
        <w:rPr>
          <w:rFonts w:eastAsia="Calibri"/>
        </w:rPr>
        <w:fldChar w:fldCharType="separate"/>
      </w:r>
      <w:r w:rsidR="006A4BE7" w:rsidRPr="009E1F3F">
        <w:rPr>
          <w:b/>
          <w:bCs/>
          <w:i/>
          <w:sz w:val="20"/>
          <w:szCs w:val="20"/>
        </w:rPr>
        <w:t xml:space="preserve">Figure </w:t>
      </w:r>
      <w:r w:rsidR="006A4BE7">
        <w:rPr>
          <w:b/>
          <w:bCs/>
          <w:i/>
          <w:noProof/>
          <w:sz w:val="20"/>
          <w:szCs w:val="18"/>
        </w:rPr>
        <w:t>12</w:t>
      </w:r>
      <w:r w:rsidRPr="009E1F3F">
        <w:rPr>
          <w:rFonts w:eastAsia="Calibri"/>
        </w:rPr>
        <w:fldChar w:fldCharType="end"/>
      </w:r>
      <w:r w:rsidRPr="009E1F3F">
        <w:rPr>
          <w:rFonts w:eastAsia="Calibri"/>
        </w:rPr>
        <w:t xml:space="preserve"> extends this analysis by breaking down the pendency rates in four 3-year periods:</w:t>
      </w:r>
      <w:r w:rsidRPr="008708FA">
        <w:rPr>
          <w:rFonts w:eastAsia="Calibri"/>
        </w:rPr>
        <w:t xml:space="preserve"> 1999-2001, 2002-2004, 2005-2007 and 2008-2010.  The pendency rates were substantially shorter than the average for those registered UM filed during the first three years after implementation of this IP protection.  Three quarters were registered within one year and more than 90% were done within two years.  Roughly speaking, the worse situation in terms of pendency seemed to have been for those UM filed between 2002 and 2004.  Less than half of them were registered within a year, although almost 90% were done within three years.  As mentioned above, this has partially motivated the Thai DIP to incorporate more examiners.  This seems to have led to a shorter pendency rates for those registered UM filed between 2005 and 2007.  This improvement seems not to be stable over time, as the last 3-year period analyzed show longer pendency rates than those observed for 1999-2001 and 2005-2007, although still shorter than the one seen for 2002-2004.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It is hard to assess how much this is economically meaningful for the UM applicants.  On the other hand, the Thai IP law allows applicants to convert their patent applications into UM ones – and vice versa – as long as a judgment has not been issued.  It was reported that, given that it takes at least six years between a patent is filed and a decision is issued, there has been a significant increase in the number of patent applications converted into UM ones.  This is an indication that, at least in certain extent, pendency matters for applicants.  This shift from patents to UM applications may also have an incidence in the UM pendency, which we are not controlling for.</w:t>
      </w:r>
    </w:p>
    <w:p w:rsidR="008708FA" w:rsidRDefault="008708FA" w:rsidP="008708FA">
      <w:pPr>
        <w:rPr>
          <w:rFonts w:eastAsia="Calibri"/>
        </w:rPr>
      </w:pPr>
    </w:p>
    <w:p w:rsidR="00376BB7" w:rsidRDefault="00376BB7" w:rsidP="008708FA">
      <w:pPr>
        <w:rPr>
          <w:rFonts w:eastAsia="Calibri"/>
        </w:rPr>
      </w:pPr>
    </w:p>
    <w:p w:rsidR="00585BD3" w:rsidRDefault="00376BB7" w:rsidP="008708FA">
      <w:pPr>
        <w:rPr>
          <w:rFonts w:eastAsia="Calibri"/>
        </w:rPr>
        <w:sectPr w:rsidR="00585BD3" w:rsidSect="005E0E25">
          <w:headerReference w:type="default" r:id="rId32"/>
          <w:footerReference w:type="even" r:id="rId33"/>
          <w:footerReference w:type="default" r:id="rId34"/>
          <w:headerReference w:type="first" r:id="rId35"/>
          <w:pgSz w:w="11907" w:h="16840" w:code="9"/>
          <w:pgMar w:top="1417" w:right="1417" w:bottom="1417" w:left="1440" w:header="709" w:footer="709" w:gutter="0"/>
          <w:cols w:space="720"/>
          <w:titlePg/>
          <w:docGrid w:linePitch="299"/>
        </w:sectPr>
      </w:pPr>
      <w:r>
        <w:rPr>
          <w:rFonts w:eastAsia="Calibri"/>
        </w:rPr>
        <w:br w:type="page"/>
      </w:r>
    </w:p>
    <w:p w:rsidR="008708FA" w:rsidRPr="008708FA" w:rsidRDefault="008708FA" w:rsidP="008708FA">
      <w:pPr>
        <w:rPr>
          <w:rFonts w:eastAsia="Calibri"/>
        </w:rPr>
      </w:pPr>
    </w:p>
    <w:p w:rsidR="008708FA" w:rsidRPr="008708FA" w:rsidRDefault="008708FA" w:rsidP="005C2427">
      <w:pPr>
        <w:pStyle w:val="Heading1"/>
        <w:numPr>
          <w:ilvl w:val="0"/>
          <w:numId w:val="0"/>
        </w:numPr>
        <w:ind w:left="432" w:hanging="432"/>
      </w:pPr>
      <w:bookmarkStart w:id="89" w:name="_Ref368397050"/>
      <w:bookmarkStart w:id="90" w:name="_Toc370307937"/>
      <w:bookmarkStart w:id="91" w:name="_Toc370310346"/>
      <w:r w:rsidRPr="008708FA">
        <w:t>Conclusion</w:t>
      </w:r>
      <w:bookmarkEnd w:id="89"/>
      <w:bookmarkEnd w:id="90"/>
      <w:bookmarkEnd w:id="91"/>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This report describes the main trends in the use of UMs in Thailand following its implementation in 1999, drawing on a new unit record dataset on UM registrations.  Additionally, this study details the construction of this new dataset jointly developed by TDRI and WIPO, with the close cooperation of the Thai DIP.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Evaluating the success of implementing UM protection – or any IP policy change – is not an easy exercise.  </w:t>
      </w:r>
      <w:proofErr w:type="gramStart"/>
      <w:r w:rsidRPr="008708FA">
        <w:rPr>
          <w:rFonts w:eastAsia="Calibri"/>
        </w:rPr>
        <w:t>While not providing a definite answer, the descriptive evidence outlined here offers an encouraging perspective on the uptake of the UM system in Thailand – especially in light of its original objective.</w:t>
      </w:r>
      <w:proofErr w:type="gramEnd"/>
      <w:r w:rsidRPr="008708FA">
        <w:rPr>
          <w:rFonts w:eastAsia="Calibri"/>
        </w:rPr>
        <w:t xml:space="preserve">  It also points to several concerns confronting policymakers.</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It has been shown that Thai applicants have, relatively speaking, rapidly adopted the use of UM protection.  During the first eight years since Thailand introduced UM protection, the number of filings has grown in average 27.4% per year, which tops the equivalent rates of the other IP instruments for the same period.  Despite the fall in 2007, it seems that UM applications have stabilized thereafter around 1,400 applications per year.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More importantly, the main trends suggest that, if anything, UM protection has increased the filings of overall Thai technological activity.  When resident filings for patents and UM are took into account together, these filings have increased in volume and at a faster pace than resident patent filings before 1999.</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In the same vein, the trends about UM protection use suggest that it has been particularly attractive for local innovators.  Thai applicants represent 95% of the UM filings during the 2000s, which is a considerably higher proportion than those observed for the other IP filings.  In further detail, UM protection seemed to have been successful also in integrating local Entrepreneurs and SMEs into the IP system, as evidenced by the high proportion of individual filings.  However, it is an open question for the overall Thai innovation system – including the IP policies – to which extent the excess of registrations under individual names affects these small business innovative activity.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UM protection was also shown to be used for locally-new inventions as well as by new users of the Thai IP system.  More than 95% of all registered UM in Thailand are first filings, which is to say they are presumed to be new inventions in Thailand.  Even more relevant, most UM applicants are filing for an IP protection – trademarks excluded – for their first time.  Little less than 80% of them have obtained UM protection without having sought for patents or Industrial designs before.  This is particularly true for private companies and entrepreneurs, as rough estimates indicate that almost 650 private firms and 2,400 potential entrepreneurs have protected their technologies for their first time by registering UM.  This is a strong indication that UM protection has complemented the existing use of other IP.</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This study also provides empirical evidence on industries using UM protection at different paces.  While not completely surprising, the fact that the adoption rate is not horizontal across the Thai economy can feed the policy discussion on industrial specialization and the role of IP.</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This report also brings attention to the potential challenges the Thai IP system may face in the future of this new policy instrument.  The institutional framework involving the UM protection need to be able to meet the expectations of its users, which relate to the certainty in the scope and timeline, among others.  There is mixed evidence about the substantive matter within Thai UM filings. In the one hand, very few substantive examinations were requested.  On the other hand, the lack of oppositions might also mean that these have no actual economic value.</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Additionally, there is indirect evidence of a lack of quality of the UM applications, as less than half of all UM applications filed between 1999 and 2011 have been registered.  This is a surprising result for an IP instrument that just requires a formalities examination.  Besides the lack of quality in the UM filings, this is also a symptom of backlog problems in the DIP.  A direct consequence of both lack of quality and backlog is UM pendency.  Even if the Thai law requires that the UM applications have to be processed within 6 months, it has been observed that little less of 40% of all registered UM have taken two years or more.  Evidence also suggests that this pendency has been increasing lately.</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To conclude, while this study provided a thorough description of UM use in Thailand, it runs short of an analytical research on the economic implications of the introduction of UMs.  This is particularly true for what it respects to the economic performance of applicants, notably private Thai companies.  This issue is being addressed in parallel in complementary research of the Country Study Thailand under the project on Intellectual Property and Socio-Economic Development under the CDIP.  For this specific study, the registered UM unit records of Thai companies has been enriched with business register information, notably financial and economic performance information.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There are, of course, other potential avenues to be pursued in order to improve our understanding of the role that UM protection has played in Thailand’s innovation system since its implementation back in 1999.  For instance, the statistical analysis in the current report has indicated that there is more to be investigated about the IP activity of individual applicants.  Similarly, the analysis by technological fields has suggested that there is plenty of heterogeneity in how industries use this new IP instrument, which also deserves further attention.</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In any case, it is the intention of the current report that all its main findings, as well as the efforts conducted to put this new database in place, will enable and foster new investigations in this field which will feed into the IP policy design of developing countries. </w:t>
      </w:r>
    </w:p>
    <w:p w:rsidR="008708FA" w:rsidRPr="008708FA" w:rsidRDefault="008708FA" w:rsidP="008708FA">
      <w:pPr>
        <w:rPr>
          <w:rFonts w:eastAsia="Calibri"/>
        </w:rPr>
      </w:pPr>
    </w:p>
    <w:p w:rsidR="008708FA" w:rsidRPr="008708FA" w:rsidRDefault="008708FA" w:rsidP="008708FA">
      <w:pPr>
        <w:rPr>
          <w:rFonts w:eastAsia="Calibri"/>
        </w:rPr>
      </w:pPr>
    </w:p>
    <w:p w:rsidR="008708FA" w:rsidRPr="008708FA" w:rsidRDefault="008708FA" w:rsidP="008708FA">
      <w:pPr>
        <w:rPr>
          <w:rFonts w:eastAsia="Calibri"/>
        </w:rPr>
      </w:pPr>
    </w:p>
    <w:p w:rsidR="008708FA" w:rsidRPr="008708FA" w:rsidRDefault="008708FA" w:rsidP="00E630A5">
      <w:pPr>
        <w:spacing w:line="276" w:lineRule="auto"/>
        <w:rPr>
          <w:rFonts w:eastAsia="Calibri"/>
        </w:rPr>
      </w:pPr>
      <w:r w:rsidRPr="008708FA">
        <w:rPr>
          <w:rFonts w:eastAsia="Calibri"/>
        </w:rPr>
        <w:br w:type="page"/>
      </w:r>
    </w:p>
    <w:p w:rsidR="008708FA" w:rsidRPr="008708FA" w:rsidRDefault="008708FA" w:rsidP="008708FA">
      <w:pPr>
        <w:rPr>
          <w:rFonts w:eastAsia="Calibri"/>
        </w:rPr>
      </w:pPr>
    </w:p>
    <w:p w:rsidR="008708FA" w:rsidRPr="008708FA" w:rsidRDefault="008708FA" w:rsidP="005C2427">
      <w:pPr>
        <w:pStyle w:val="Heading1"/>
        <w:numPr>
          <w:ilvl w:val="0"/>
          <w:numId w:val="0"/>
        </w:numPr>
        <w:ind w:left="432" w:hanging="432"/>
      </w:pPr>
      <w:bookmarkStart w:id="92" w:name="_Toc370307938"/>
      <w:bookmarkStart w:id="93" w:name="_Toc370310347"/>
      <w:r w:rsidRPr="008708FA">
        <w:t>Acknowledgements</w:t>
      </w:r>
      <w:bookmarkEnd w:id="92"/>
      <w:bookmarkEnd w:id="93"/>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This work would not have been possible without the close cooperation from the Thai Department of Intellectual Property (DIP), under the Ministry of Commerce.  We also acknowledge all interviewees, who are listed in Appendix C.  We also thank Prof. </w:t>
      </w:r>
      <w:proofErr w:type="spellStart"/>
      <w:r w:rsidRPr="008708FA">
        <w:rPr>
          <w:rFonts w:eastAsia="Calibri"/>
        </w:rPr>
        <w:t>Keun</w:t>
      </w:r>
      <w:proofErr w:type="spellEnd"/>
      <w:r w:rsidRPr="008708FA">
        <w:rPr>
          <w:rFonts w:eastAsia="Calibri"/>
        </w:rPr>
        <w:t xml:space="preserve"> Lee for reviewing this document.</w:t>
      </w:r>
    </w:p>
    <w:p w:rsidR="008708FA" w:rsidRPr="008708FA" w:rsidRDefault="008708FA" w:rsidP="008708FA">
      <w:pPr>
        <w:rPr>
          <w:rFonts w:eastAsia="Calibri"/>
        </w:rPr>
      </w:pPr>
    </w:p>
    <w:p w:rsidR="008708FA" w:rsidRPr="008708FA" w:rsidRDefault="008708FA" w:rsidP="005C2427">
      <w:pPr>
        <w:pStyle w:val="Heading1"/>
        <w:numPr>
          <w:ilvl w:val="0"/>
          <w:numId w:val="0"/>
        </w:numPr>
        <w:ind w:left="432" w:hanging="432"/>
      </w:pPr>
      <w:bookmarkStart w:id="94" w:name="_Toc370307939"/>
      <w:bookmarkStart w:id="95" w:name="_Toc370310348"/>
      <w:r w:rsidRPr="008708FA">
        <w:t>References</w:t>
      </w:r>
      <w:bookmarkEnd w:id="94"/>
      <w:bookmarkEnd w:id="95"/>
    </w:p>
    <w:p w:rsidR="008708FA" w:rsidRPr="008708FA" w:rsidRDefault="008708FA" w:rsidP="008708FA">
      <w:pPr>
        <w:rPr>
          <w:rFonts w:eastAsia="Calibri" w:cs="Arial"/>
        </w:rPr>
      </w:pPr>
    </w:p>
    <w:p w:rsidR="008708FA" w:rsidRPr="008708FA" w:rsidRDefault="008708FA" w:rsidP="008708FA">
      <w:pPr>
        <w:ind w:left="720" w:hanging="720"/>
        <w:rPr>
          <w:rFonts w:eastAsia="Calibri" w:cs="Arial"/>
          <w:noProof/>
        </w:rPr>
      </w:pPr>
      <w:bookmarkStart w:id="96" w:name="_ENREF_1"/>
      <w:r w:rsidRPr="008708FA">
        <w:rPr>
          <w:rFonts w:eastAsia="Calibri" w:cs="Arial"/>
          <w:noProof/>
        </w:rPr>
        <w:t xml:space="preserve">Kim, L. (1997). </w:t>
      </w:r>
      <w:r w:rsidRPr="008708FA">
        <w:rPr>
          <w:rFonts w:eastAsia="Calibri" w:cs="Arial"/>
          <w:i/>
          <w:noProof/>
        </w:rPr>
        <w:t>Imitation to Innovation: The Dynamics of Korea's Technological Learning</w:t>
      </w:r>
      <w:r w:rsidRPr="008708FA">
        <w:rPr>
          <w:rFonts w:eastAsia="Calibri" w:cs="Arial"/>
          <w:noProof/>
        </w:rPr>
        <w:t>. Boston: Harvard Business Press.</w:t>
      </w:r>
      <w:bookmarkEnd w:id="96"/>
    </w:p>
    <w:p w:rsidR="008708FA" w:rsidRPr="008708FA" w:rsidRDefault="008708FA" w:rsidP="008708FA">
      <w:pPr>
        <w:ind w:left="720" w:hanging="720"/>
        <w:rPr>
          <w:rFonts w:eastAsia="Calibri" w:cs="Arial"/>
          <w:noProof/>
        </w:rPr>
      </w:pPr>
    </w:p>
    <w:p w:rsidR="008708FA" w:rsidRPr="008708FA" w:rsidRDefault="008708FA" w:rsidP="008708FA">
      <w:pPr>
        <w:ind w:left="720" w:hanging="720"/>
        <w:rPr>
          <w:rFonts w:eastAsia="Calibri" w:cs="Arial"/>
          <w:noProof/>
        </w:rPr>
      </w:pPr>
      <w:r w:rsidRPr="008708FA">
        <w:rPr>
          <w:rFonts w:eastAsia="Calibri" w:cs="Arial"/>
          <w:noProof/>
        </w:rPr>
        <w:t xml:space="preserve">Kim, Y. K., Lee K., Park W. G. and Choo K. (2012). </w:t>
      </w:r>
      <w:r w:rsidRPr="008708FA">
        <w:rPr>
          <w:rFonts w:eastAsia="Calibri" w:cs="Arial"/>
          <w:i/>
          <w:noProof/>
        </w:rPr>
        <w:t>Appropriate Intellectual Property Protection and Economic Growth in Countries at Different Levels of Development</w:t>
      </w:r>
      <w:r w:rsidRPr="008708FA">
        <w:rPr>
          <w:rFonts w:eastAsia="Calibri" w:cs="Arial"/>
          <w:noProof/>
        </w:rPr>
        <w:t>. Research Policy 41(2): 358–75.</w:t>
      </w:r>
    </w:p>
    <w:p w:rsidR="008708FA" w:rsidRPr="008708FA" w:rsidRDefault="008708FA" w:rsidP="008708FA">
      <w:pPr>
        <w:ind w:left="720" w:hanging="720"/>
        <w:rPr>
          <w:rFonts w:eastAsia="Calibri" w:cs="Arial"/>
          <w:noProof/>
        </w:rPr>
      </w:pPr>
      <w:bookmarkStart w:id="97" w:name="_ENREF_2"/>
    </w:p>
    <w:p w:rsidR="008708FA" w:rsidRPr="008708FA" w:rsidRDefault="008708FA" w:rsidP="008708FA">
      <w:pPr>
        <w:ind w:left="720" w:hanging="720"/>
        <w:rPr>
          <w:rFonts w:eastAsia="Calibri" w:cs="Arial"/>
          <w:noProof/>
        </w:rPr>
      </w:pPr>
      <w:r w:rsidRPr="008708FA">
        <w:rPr>
          <w:rFonts w:eastAsia="Calibri" w:cs="Arial"/>
          <w:noProof/>
        </w:rPr>
        <w:t xml:space="preserve">Lee, K. and Kim, Y. K. (2010). </w:t>
      </w:r>
      <w:r w:rsidRPr="008708FA">
        <w:rPr>
          <w:rFonts w:eastAsia="Calibri" w:cs="Arial"/>
          <w:i/>
          <w:noProof/>
        </w:rPr>
        <w:t>Intellectual Property Rights and Innovation in Economic Development in Korea</w:t>
      </w:r>
      <w:r w:rsidRPr="008708FA">
        <w:rPr>
          <w:rFonts w:eastAsia="Calibri" w:cs="Arial"/>
          <w:noProof/>
        </w:rPr>
        <w:t xml:space="preserve">. Paper presented at the KDI International Conference on Intellectual Property for Economic Development: Issues and Policy Implications. </w:t>
      </w:r>
      <w:bookmarkEnd w:id="97"/>
      <w:r w:rsidRPr="008708FA">
        <w:rPr>
          <w:rFonts w:eastAsia="Calibri" w:cs="Arial"/>
          <w:noProof/>
        </w:rPr>
        <w:t>Seoul, Republic of Korea, Februrary.</w:t>
      </w:r>
    </w:p>
    <w:p w:rsidR="008708FA" w:rsidRPr="008708FA" w:rsidRDefault="008708FA" w:rsidP="008708FA">
      <w:pPr>
        <w:ind w:left="720" w:hanging="720"/>
        <w:rPr>
          <w:rFonts w:eastAsia="Calibri" w:cs="Arial"/>
          <w:noProof/>
        </w:rPr>
      </w:pPr>
    </w:p>
    <w:p w:rsidR="008708FA" w:rsidRPr="008708FA" w:rsidRDefault="008708FA" w:rsidP="008708FA">
      <w:pPr>
        <w:ind w:left="720" w:hanging="720"/>
        <w:rPr>
          <w:rFonts w:eastAsia="Calibri" w:cs="Arial"/>
          <w:noProof/>
        </w:rPr>
      </w:pPr>
      <w:r w:rsidRPr="008708FA">
        <w:rPr>
          <w:rFonts w:eastAsia="Calibri" w:cs="Arial"/>
          <w:noProof/>
        </w:rPr>
        <w:t xml:space="preserve">Lee, K, Park W.G. and Lim C.(2003). </w:t>
      </w:r>
      <w:r w:rsidRPr="008708FA">
        <w:rPr>
          <w:rFonts w:eastAsia="Calibri" w:cs="Arial"/>
          <w:i/>
          <w:noProof/>
        </w:rPr>
        <w:t>Industrial Property Rights and Technological Development in the Republic of Korea</w:t>
      </w:r>
      <w:r w:rsidRPr="008708FA">
        <w:rPr>
          <w:rFonts w:eastAsia="Calibri" w:cs="Arial"/>
          <w:noProof/>
        </w:rPr>
        <w:t xml:space="preserve">. in </w:t>
      </w:r>
      <w:r w:rsidRPr="008708FA">
        <w:rPr>
          <w:rFonts w:eastAsia="Calibri" w:cs="Arial"/>
          <w:i/>
          <w:noProof/>
        </w:rPr>
        <w:t>The Economics of Intellectual Property in the Republic of Korea</w:t>
      </w:r>
      <w:r w:rsidRPr="008708FA">
        <w:rPr>
          <w:rFonts w:eastAsia="Calibri" w:cs="Arial"/>
          <w:noProof/>
        </w:rPr>
        <w:t>, WIPO Publication No. 1031(E), Geneva, Switzerland.</w:t>
      </w:r>
    </w:p>
    <w:p w:rsidR="008708FA" w:rsidRPr="008708FA" w:rsidRDefault="008708FA" w:rsidP="008708FA">
      <w:pPr>
        <w:rPr>
          <w:rFonts w:eastAsia="Calibri"/>
        </w:rPr>
      </w:pPr>
    </w:p>
    <w:p w:rsidR="008708FA" w:rsidRPr="008708FA" w:rsidRDefault="008708FA" w:rsidP="008708FA">
      <w:pPr>
        <w:ind w:left="720" w:hanging="720"/>
        <w:rPr>
          <w:rFonts w:eastAsia="Calibri" w:cs="Arial"/>
          <w:noProof/>
        </w:rPr>
      </w:pPr>
      <w:r w:rsidRPr="008708FA">
        <w:rPr>
          <w:rFonts w:eastAsia="Calibri" w:cs="Arial"/>
          <w:noProof/>
        </w:rPr>
        <w:t xml:space="preserve">Maskus, K. E. and McDaniel C. (1999). </w:t>
      </w:r>
      <w:r w:rsidRPr="008708FA">
        <w:rPr>
          <w:rFonts w:eastAsia="Calibri" w:cs="Arial"/>
          <w:i/>
          <w:noProof/>
        </w:rPr>
        <w:t>Impacts of the Japanese Patent System on Productivity Growth</w:t>
      </w:r>
      <w:r w:rsidRPr="008708FA">
        <w:rPr>
          <w:rFonts w:eastAsia="Calibri" w:cs="Arial"/>
          <w:noProof/>
        </w:rPr>
        <w:t>. Japan and the World Economy 11(4): 557–74.</w:t>
      </w:r>
    </w:p>
    <w:p w:rsidR="008708FA" w:rsidRPr="008708FA" w:rsidRDefault="008708FA" w:rsidP="008708FA">
      <w:pPr>
        <w:ind w:left="720" w:hanging="720"/>
        <w:rPr>
          <w:rFonts w:eastAsia="Calibri" w:cs="Arial"/>
          <w:noProof/>
        </w:rPr>
      </w:pPr>
    </w:p>
    <w:p w:rsidR="008708FA" w:rsidRPr="008708FA" w:rsidRDefault="008708FA" w:rsidP="008708FA">
      <w:pPr>
        <w:ind w:left="720" w:hanging="720"/>
        <w:rPr>
          <w:rFonts w:eastAsia="Calibri" w:cs="Arial"/>
          <w:noProof/>
        </w:rPr>
      </w:pPr>
      <w:r w:rsidRPr="008708FA">
        <w:rPr>
          <w:rFonts w:eastAsia="Calibri" w:cs="Arial"/>
          <w:noProof/>
        </w:rPr>
        <w:t xml:space="preserve">Odagiri, H., Goto A., Sunami A. and Nelson R.R. (2010). </w:t>
      </w:r>
      <w:r w:rsidRPr="008708FA">
        <w:rPr>
          <w:rFonts w:eastAsia="Calibri" w:cs="Arial"/>
          <w:i/>
          <w:noProof/>
        </w:rPr>
        <w:t>Intellectual Property Rights, Development, and Catch up: An International Comparative Study</w:t>
      </w:r>
      <w:r w:rsidRPr="008708FA">
        <w:rPr>
          <w:rFonts w:eastAsia="Calibri" w:cs="Arial"/>
          <w:noProof/>
        </w:rPr>
        <w:t>.</w:t>
      </w:r>
    </w:p>
    <w:p w:rsidR="008708FA" w:rsidRPr="008708FA" w:rsidRDefault="008708FA" w:rsidP="008708FA">
      <w:pPr>
        <w:ind w:left="720" w:hanging="720"/>
        <w:rPr>
          <w:rFonts w:eastAsia="Calibri"/>
        </w:rPr>
      </w:pPr>
    </w:p>
    <w:p w:rsidR="008708FA" w:rsidRPr="008708FA" w:rsidRDefault="008708FA" w:rsidP="008708FA">
      <w:pPr>
        <w:ind w:left="720" w:hanging="720"/>
        <w:rPr>
          <w:rFonts w:eastAsia="Calibri"/>
        </w:rPr>
      </w:pPr>
      <w:proofErr w:type="spellStart"/>
      <w:proofErr w:type="gramStart"/>
      <w:r w:rsidRPr="008708FA">
        <w:rPr>
          <w:rFonts w:eastAsia="Calibri"/>
        </w:rPr>
        <w:t>Schmoch</w:t>
      </w:r>
      <w:proofErr w:type="spellEnd"/>
      <w:r w:rsidRPr="008708FA">
        <w:rPr>
          <w:rFonts w:eastAsia="Calibri"/>
        </w:rPr>
        <w:t xml:space="preserve"> U. (2008).</w:t>
      </w:r>
      <w:proofErr w:type="gramEnd"/>
      <w:r w:rsidRPr="008708FA">
        <w:rPr>
          <w:rFonts w:eastAsia="Calibri"/>
        </w:rPr>
        <w:t xml:space="preserve"> </w:t>
      </w:r>
      <w:proofErr w:type="gramStart"/>
      <w:r w:rsidRPr="008708FA">
        <w:rPr>
          <w:rFonts w:eastAsia="Calibri"/>
        </w:rPr>
        <w:t>Concept of a Technology Classification for Country Comparisons, WIPO.</w:t>
      </w:r>
      <w:proofErr w:type="gramEnd"/>
    </w:p>
    <w:p w:rsidR="008708FA" w:rsidRPr="008708FA" w:rsidRDefault="008708FA" w:rsidP="008708FA">
      <w:pPr>
        <w:ind w:left="720" w:hanging="720"/>
        <w:rPr>
          <w:rFonts w:eastAsia="Calibri" w:cs="Arial"/>
          <w:noProof/>
        </w:rPr>
      </w:pPr>
    </w:p>
    <w:p w:rsidR="008708FA" w:rsidRPr="008708FA" w:rsidRDefault="008708FA" w:rsidP="008708FA">
      <w:pPr>
        <w:ind w:left="720" w:hanging="720"/>
        <w:rPr>
          <w:rFonts w:eastAsia="Calibri" w:cs="Arial"/>
          <w:noProof/>
        </w:rPr>
      </w:pPr>
      <w:bookmarkStart w:id="98" w:name="_ENREF_3"/>
      <w:r w:rsidRPr="008708FA">
        <w:rPr>
          <w:rFonts w:eastAsia="Calibri" w:cs="Arial"/>
          <w:noProof/>
        </w:rPr>
        <w:t xml:space="preserve">Suthersanen, U. (2006). Utility Modles and Innovation in Developing Countries, </w:t>
      </w:r>
      <w:r w:rsidRPr="008708FA">
        <w:rPr>
          <w:rFonts w:eastAsia="Calibri" w:cs="Arial"/>
          <w:i/>
          <w:noProof/>
        </w:rPr>
        <w:t>UNCTAD-ICTSD Project on IPRs and Sustainable Development</w:t>
      </w:r>
      <w:r w:rsidRPr="008708FA">
        <w:rPr>
          <w:rFonts w:eastAsia="Calibri" w:cs="Arial"/>
          <w:noProof/>
        </w:rPr>
        <w:t>. Geneva: ICTSD-UNCTAD.</w:t>
      </w:r>
      <w:bookmarkEnd w:id="98"/>
    </w:p>
    <w:p w:rsidR="008708FA" w:rsidRPr="008708FA" w:rsidRDefault="008708FA" w:rsidP="008708FA">
      <w:pPr>
        <w:ind w:left="720" w:hanging="720"/>
        <w:rPr>
          <w:rFonts w:eastAsia="Calibri" w:cs="Arial"/>
          <w:noProof/>
        </w:rPr>
      </w:pPr>
    </w:p>
    <w:p w:rsidR="008708FA" w:rsidRPr="008708FA" w:rsidRDefault="008708FA" w:rsidP="008708FA">
      <w:pPr>
        <w:ind w:left="720" w:hanging="720"/>
        <w:rPr>
          <w:rFonts w:eastAsia="Calibri" w:cs="Arial"/>
          <w:noProof/>
        </w:rPr>
      </w:pPr>
      <w:bookmarkStart w:id="99" w:name="_ENREF_4"/>
      <w:r w:rsidRPr="008708FA">
        <w:rPr>
          <w:rFonts w:eastAsia="Calibri" w:cs="Arial"/>
          <w:noProof/>
        </w:rPr>
        <w:t xml:space="preserve">WIPO. (2011). </w:t>
      </w:r>
      <w:r w:rsidRPr="008708FA">
        <w:rPr>
          <w:rFonts w:eastAsia="Calibri" w:cs="Arial"/>
          <w:i/>
          <w:noProof/>
        </w:rPr>
        <w:t>World Intellectual Property Report 2011: The Changing Face of Innovation</w:t>
      </w:r>
      <w:r w:rsidRPr="008708FA">
        <w:rPr>
          <w:rFonts w:eastAsia="Calibri" w:cs="Arial"/>
          <w:noProof/>
        </w:rPr>
        <w:t>. Geneva: World Intellectual Property Organization.</w:t>
      </w:r>
      <w:bookmarkEnd w:id="99"/>
    </w:p>
    <w:p w:rsidR="008708FA" w:rsidRPr="008708FA" w:rsidRDefault="008708FA" w:rsidP="008708FA">
      <w:pPr>
        <w:rPr>
          <w:rFonts w:eastAsia="Calibri" w:cs="Arial"/>
          <w:noProof/>
        </w:rPr>
      </w:pPr>
    </w:p>
    <w:p w:rsidR="008708FA" w:rsidRPr="008708FA" w:rsidRDefault="008708FA" w:rsidP="008708FA">
      <w:pPr>
        <w:ind w:left="720" w:hanging="720"/>
        <w:rPr>
          <w:rFonts w:eastAsia="Calibri" w:cs="Arial"/>
          <w:noProof/>
        </w:rPr>
      </w:pPr>
      <w:r w:rsidRPr="008708FA">
        <w:rPr>
          <w:rFonts w:eastAsia="Calibri" w:cs="Arial"/>
          <w:noProof/>
        </w:rPr>
        <w:t xml:space="preserve">Yang D. (2003) </w:t>
      </w:r>
      <w:r w:rsidRPr="008708FA">
        <w:rPr>
          <w:rFonts w:eastAsia="Calibri" w:cs="Arial"/>
          <w:i/>
          <w:noProof/>
        </w:rPr>
        <w:t>The Development of Intellectual Property in China.</w:t>
      </w:r>
      <w:r w:rsidRPr="008708FA">
        <w:rPr>
          <w:rFonts w:eastAsia="Calibri" w:cs="Arial"/>
          <w:noProof/>
        </w:rPr>
        <w:t xml:space="preserve"> World Patent Information 25(2): 131–42.</w:t>
      </w:r>
    </w:p>
    <w:p w:rsidR="008708FA" w:rsidRPr="008708FA" w:rsidRDefault="008708FA" w:rsidP="008708FA">
      <w:pPr>
        <w:ind w:left="720" w:hanging="720"/>
        <w:rPr>
          <w:rFonts w:eastAsia="Calibri" w:cs="Arial"/>
          <w:i/>
          <w:noProof/>
        </w:rPr>
      </w:pPr>
    </w:p>
    <w:p w:rsidR="008708FA" w:rsidRPr="008708FA" w:rsidRDefault="008708FA" w:rsidP="008708FA">
      <w:pPr>
        <w:ind w:left="720" w:hanging="720"/>
        <w:rPr>
          <w:rFonts w:eastAsia="Calibri" w:cs="Arial"/>
          <w:noProof/>
        </w:rPr>
      </w:pPr>
      <w:r w:rsidRPr="008708FA">
        <w:rPr>
          <w:rFonts w:eastAsia="Calibri" w:cs="Arial"/>
          <w:noProof/>
        </w:rPr>
        <w:t xml:space="preserve">Yang, D., and Clarke P. (2005). </w:t>
      </w:r>
      <w:r w:rsidRPr="008708FA">
        <w:rPr>
          <w:rFonts w:eastAsia="Calibri" w:cs="Arial"/>
          <w:i/>
          <w:noProof/>
        </w:rPr>
        <w:t>Globalisation and Intellectual Property in China</w:t>
      </w:r>
      <w:r w:rsidRPr="008708FA">
        <w:rPr>
          <w:rFonts w:eastAsia="Calibri" w:cs="Arial"/>
          <w:noProof/>
        </w:rPr>
        <w:t>. Technovation 25(5): 545–55.</w:t>
      </w:r>
    </w:p>
    <w:p w:rsidR="008708FA" w:rsidRDefault="008708FA" w:rsidP="008708FA">
      <w:pPr>
        <w:rPr>
          <w:rFonts w:eastAsia="Calibri" w:cs="Arial"/>
        </w:rPr>
      </w:pPr>
    </w:p>
    <w:p w:rsidR="00B41267" w:rsidRDefault="00B41267" w:rsidP="008708FA">
      <w:pPr>
        <w:rPr>
          <w:rFonts w:eastAsia="Calibri" w:cs="Arial"/>
        </w:rPr>
      </w:pPr>
    </w:p>
    <w:p w:rsidR="00B41267" w:rsidRPr="008708FA" w:rsidRDefault="00B41267" w:rsidP="00276F40">
      <w:pPr>
        <w:tabs>
          <w:tab w:val="left" w:pos="4536"/>
        </w:tabs>
        <w:rPr>
          <w:rFonts w:eastAsia="Calibri" w:cs="Arial"/>
        </w:rPr>
      </w:pP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Pr>
          <w:rFonts w:cs="Arial"/>
        </w:rPr>
        <w:t>[Appendixes follow]</w:t>
      </w:r>
    </w:p>
    <w:p w:rsidR="008708FA" w:rsidRPr="008708FA" w:rsidRDefault="008708FA" w:rsidP="00276F40">
      <w:pPr>
        <w:tabs>
          <w:tab w:val="left" w:pos="4536"/>
        </w:tabs>
        <w:rPr>
          <w:rFonts w:eastAsia="Calibri" w:cs="Arial"/>
        </w:rPr>
      </w:pPr>
    </w:p>
    <w:p w:rsidR="00CA488B" w:rsidRDefault="00CA488B" w:rsidP="008708FA">
      <w:pPr>
        <w:rPr>
          <w:rFonts w:eastAsia="Calibri" w:cs="Arial"/>
        </w:rPr>
        <w:sectPr w:rsidR="00CA488B" w:rsidSect="005E0E25">
          <w:headerReference w:type="default" r:id="rId36"/>
          <w:headerReference w:type="first" r:id="rId37"/>
          <w:footerReference w:type="first" r:id="rId38"/>
          <w:pgSz w:w="11907" w:h="16840" w:code="9"/>
          <w:pgMar w:top="1417" w:right="1417" w:bottom="1417" w:left="1440" w:header="709" w:footer="709" w:gutter="0"/>
          <w:cols w:space="720"/>
          <w:titlePg/>
          <w:docGrid w:linePitch="299"/>
        </w:sectPr>
      </w:pPr>
    </w:p>
    <w:p w:rsidR="008708FA" w:rsidRPr="008708FA" w:rsidRDefault="008708FA" w:rsidP="008708FA">
      <w:pPr>
        <w:rPr>
          <w:rFonts w:eastAsia="Calibri"/>
        </w:rPr>
      </w:pPr>
    </w:p>
    <w:p w:rsidR="008708FA" w:rsidRPr="008708FA" w:rsidRDefault="008708FA" w:rsidP="005C2427">
      <w:pPr>
        <w:pStyle w:val="Heading1"/>
        <w:numPr>
          <w:ilvl w:val="0"/>
          <w:numId w:val="0"/>
        </w:numPr>
        <w:ind w:left="432" w:hanging="432"/>
      </w:pPr>
      <w:bookmarkStart w:id="100" w:name="_Toc370307940"/>
      <w:bookmarkStart w:id="101" w:name="_Toc370310349"/>
      <w:r w:rsidRPr="008708FA">
        <w:t>Appendix A: Complementary information</w:t>
      </w:r>
      <w:bookmarkEnd w:id="100"/>
      <w:bookmarkEnd w:id="101"/>
    </w:p>
    <w:p w:rsidR="008708FA" w:rsidRPr="008708FA" w:rsidRDefault="008708FA" w:rsidP="008708FA">
      <w:pPr>
        <w:rPr>
          <w:rFonts w:eastAsia="Calibri"/>
        </w:rPr>
      </w:pPr>
    </w:p>
    <w:p w:rsidR="008708FA" w:rsidRDefault="008708FA" w:rsidP="008708FA">
      <w:pPr>
        <w:rPr>
          <w:rFonts w:eastAsia="Calibri"/>
          <w:b/>
          <w:bCs/>
          <w:i/>
          <w:sz w:val="20"/>
          <w:szCs w:val="20"/>
        </w:rPr>
      </w:pPr>
      <w:bookmarkStart w:id="102" w:name="_Ref364428321"/>
      <w:bookmarkStart w:id="103" w:name="_Ref364428313"/>
      <w:r w:rsidRPr="009E1F3F">
        <w:rPr>
          <w:rFonts w:eastAsia="Calibri"/>
          <w:b/>
          <w:bCs/>
          <w:i/>
          <w:sz w:val="20"/>
          <w:szCs w:val="20"/>
        </w:rPr>
        <w:t xml:space="preserve">Table A. </w:t>
      </w:r>
      <w:r w:rsidRPr="008708FA">
        <w:rPr>
          <w:rFonts w:eastAsia="Calibri"/>
          <w:b/>
          <w:bCs/>
          <w:i/>
          <w:sz w:val="20"/>
          <w:szCs w:val="18"/>
        </w:rPr>
        <w:fldChar w:fldCharType="begin"/>
      </w:r>
      <w:r w:rsidRPr="008708FA">
        <w:rPr>
          <w:rFonts w:eastAsia="Calibri"/>
          <w:b/>
          <w:bCs/>
          <w:i/>
          <w:sz w:val="20"/>
          <w:szCs w:val="18"/>
        </w:rPr>
        <w:instrText xml:space="preserve"> SEQ Table_A. \* ARABIC </w:instrText>
      </w:r>
      <w:r w:rsidRPr="008708FA">
        <w:rPr>
          <w:rFonts w:eastAsia="Calibri"/>
          <w:b/>
          <w:bCs/>
          <w:i/>
          <w:sz w:val="20"/>
          <w:szCs w:val="18"/>
        </w:rPr>
        <w:fldChar w:fldCharType="separate"/>
      </w:r>
      <w:r w:rsidR="006A4BE7">
        <w:rPr>
          <w:rFonts w:eastAsia="Calibri"/>
          <w:b/>
          <w:bCs/>
          <w:i/>
          <w:noProof/>
          <w:sz w:val="20"/>
          <w:szCs w:val="18"/>
        </w:rPr>
        <w:t>1</w:t>
      </w:r>
      <w:r w:rsidRPr="008708FA">
        <w:rPr>
          <w:rFonts w:eastAsia="Calibri"/>
          <w:b/>
          <w:bCs/>
          <w:i/>
          <w:sz w:val="20"/>
          <w:szCs w:val="18"/>
        </w:rPr>
        <w:fldChar w:fldCharType="end"/>
      </w:r>
      <w:bookmarkEnd w:id="102"/>
      <w:r w:rsidRPr="009E1F3F">
        <w:rPr>
          <w:rFonts w:eastAsia="Calibri"/>
          <w:b/>
          <w:bCs/>
          <w:i/>
          <w:sz w:val="20"/>
          <w:szCs w:val="20"/>
        </w:rPr>
        <w:t>: Comparison of Maximum Fees for patent and Utility Model Protection</w:t>
      </w:r>
      <w:bookmarkEnd w:id="103"/>
    </w:p>
    <w:p w:rsidR="00F17B21" w:rsidRPr="00D11538" w:rsidRDefault="00F17B21" w:rsidP="008708FA">
      <w:pPr>
        <w:rPr>
          <w:rFonts w:eastAsia="Calibri"/>
          <w:b/>
          <w:bCs/>
          <w:i/>
          <w:sz w:val="20"/>
          <w:szCs w:val="20"/>
        </w:rPr>
      </w:pPr>
    </w:p>
    <w:tbl>
      <w:tblPr>
        <w:tblStyle w:val="TableGrid1"/>
        <w:tblW w:w="0" w:type="auto"/>
        <w:tblLook w:val="04A0" w:firstRow="1" w:lastRow="0" w:firstColumn="1" w:lastColumn="0" w:noHBand="0" w:noVBand="1"/>
      </w:tblPr>
      <w:tblGrid>
        <w:gridCol w:w="4363"/>
        <w:gridCol w:w="1284"/>
        <w:gridCol w:w="1051"/>
      </w:tblGrid>
      <w:tr w:rsidR="008708FA" w:rsidRPr="008708FA" w:rsidTr="005C2427">
        <w:trPr>
          <w:trHeight w:val="377"/>
        </w:trPr>
        <w:tc>
          <w:tcPr>
            <w:tcW w:w="4363" w:type="dxa"/>
            <w:shd w:val="clear" w:color="auto" w:fill="8DB3E2" w:themeFill="text2" w:themeFillTint="66"/>
            <w:vAlign w:val="center"/>
          </w:tcPr>
          <w:p w:rsidR="008708FA" w:rsidRPr="008708FA" w:rsidRDefault="008708FA" w:rsidP="008708FA">
            <w:pPr>
              <w:jc w:val="center"/>
              <w:rPr>
                <w:rFonts w:cs="Arial"/>
                <w:b/>
                <w:i/>
                <w:sz w:val="20"/>
                <w:szCs w:val="20"/>
              </w:rPr>
            </w:pPr>
            <w:r w:rsidRPr="008708FA">
              <w:rPr>
                <w:rFonts w:cs="Arial"/>
                <w:b/>
                <w:i/>
                <w:sz w:val="20"/>
                <w:szCs w:val="20"/>
              </w:rPr>
              <w:t>patents</w:t>
            </w:r>
          </w:p>
        </w:tc>
        <w:tc>
          <w:tcPr>
            <w:tcW w:w="1284" w:type="dxa"/>
            <w:shd w:val="clear" w:color="auto" w:fill="8DB3E2" w:themeFill="text2" w:themeFillTint="66"/>
            <w:vAlign w:val="center"/>
          </w:tcPr>
          <w:p w:rsidR="008708FA" w:rsidRPr="008708FA" w:rsidRDefault="008708FA" w:rsidP="008708FA">
            <w:pPr>
              <w:jc w:val="center"/>
              <w:rPr>
                <w:rFonts w:cs="Arial"/>
                <w:b/>
                <w:sz w:val="20"/>
                <w:szCs w:val="20"/>
              </w:rPr>
            </w:pPr>
            <w:r w:rsidRPr="008708FA">
              <w:rPr>
                <w:rFonts w:cs="Arial"/>
                <w:b/>
                <w:sz w:val="20"/>
                <w:szCs w:val="20"/>
              </w:rPr>
              <w:t>1999-2005</w:t>
            </w:r>
          </w:p>
        </w:tc>
        <w:tc>
          <w:tcPr>
            <w:tcW w:w="1051" w:type="dxa"/>
            <w:shd w:val="clear" w:color="auto" w:fill="8DB3E2" w:themeFill="text2" w:themeFillTint="66"/>
            <w:vAlign w:val="center"/>
          </w:tcPr>
          <w:p w:rsidR="008708FA" w:rsidRPr="008708FA" w:rsidRDefault="008708FA" w:rsidP="008708FA">
            <w:pPr>
              <w:jc w:val="center"/>
              <w:rPr>
                <w:rFonts w:cs="Arial"/>
                <w:b/>
                <w:sz w:val="20"/>
                <w:szCs w:val="20"/>
              </w:rPr>
            </w:pPr>
            <w:r w:rsidRPr="008708FA">
              <w:rPr>
                <w:rFonts w:cs="Arial"/>
                <w:b/>
                <w:sz w:val="20"/>
                <w:szCs w:val="20"/>
              </w:rPr>
              <w:t>2005-</w:t>
            </w:r>
          </w:p>
        </w:tc>
      </w:tr>
      <w:tr w:rsidR="008708FA" w:rsidRPr="008708FA" w:rsidTr="005C2427">
        <w:tc>
          <w:tcPr>
            <w:tcW w:w="4363" w:type="dxa"/>
          </w:tcPr>
          <w:p w:rsidR="008708FA" w:rsidRPr="008708FA" w:rsidRDefault="008708FA" w:rsidP="008708FA">
            <w:pPr>
              <w:rPr>
                <w:rFonts w:cs="Arial"/>
                <w:sz w:val="20"/>
                <w:szCs w:val="20"/>
              </w:rPr>
            </w:pPr>
            <w:r w:rsidRPr="008708FA">
              <w:rPr>
                <w:rFonts w:cs="Arial"/>
                <w:sz w:val="20"/>
                <w:szCs w:val="20"/>
              </w:rPr>
              <w:t>patent application</w:t>
            </w:r>
          </w:p>
        </w:tc>
        <w:tc>
          <w:tcPr>
            <w:tcW w:w="1284" w:type="dxa"/>
          </w:tcPr>
          <w:p w:rsidR="008708FA" w:rsidRPr="008708FA" w:rsidRDefault="008708FA" w:rsidP="008708FA">
            <w:pPr>
              <w:jc w:val="right"/>
              <w:rPr>
                <w:rFonts w:cs="Arial"/>
                <w:sz w:val="20"/>
                <w:szCs w:val="20"/>
              </w:rPr>
            </w:pPr>
            <w:r w:rsidRPr="008708FA">
              <w:rPr>
                <w:rFonts w:cs="Arial"/>
                <w:sz w:val="20"/>
                <w:szCs w:val="20"/>
              </w:rPr>
              <w:t>1,000</w:t>
            </w:r>
          </w:p>
        </w:tc>
        <w:tc>
          <w:tcPr>
            <w:tcW w:w="1051" w:type="dxa"/>
          </w:tcPr>
          <w:p w:rsidR="008708FA" w:rsidRPr="008708FA" w:rsidRDefault="008708FA" w:rsidP="008708FA">
            <w:pPr>
              <w:jc w:val="right"/>
              <w:rPr>
                <w:rFonts w:cs="Arial"/>
                <w:sz w:val="20"/>
                <w:szCs w:val="20"/>
              </w:rPr>
            </w:pPr>
            <w:r w:rsidRPr="008708FA">
              <w:rPr>
                <w:rFonts w:cs="Arial"/>
                <w:sz w:val="20"/>
                <w:szCs w:val="20"/>
              </w:rPr>
              <w:t>500</w:t>
            </w:r>
          </w:p>
        </w:tc>
      </w:tr>
      <w:tr w:rsidR="008708FA" w:rsidRPr="008708FA" w:rsidTr="005C2427">
        <w:tc>
          <w:tcPr>
            <w:tcW w:w="4363" w:type="dxa"/>
          </w:tcPr>
          <w:p w:rsidR="008708FA" w:rsidRPr="008708FA" w:rsidRDefault="008708FA" w:rsidP="008708FA">
            <w:pPr>
              <w:rPr>
                <w:rFonts w:cs="Arial"/>
                <w:sz w:val="20"/>
                <w:szCs w:val="20"/>
              </w:rPr>
            </w:pPr>
            <w:r w:rsidRPr="008708FA">
              <w:rPr>
                <w:rFonts w:cs="Arial"/>
                <w:sz w:val="20"/>
                <w:szCs w:val="20"/>
              </w:rPr>
              <w:t>Publication of application</w:t>
            </w:r>
          </w:p>
        </w:tc>
        <w:tc>
          <w:tcPr>
            <w:tcW w:w="1284" w:type="dxa"/>
          </w:tcPr>
          <w:p w:rsidR="008708FA" w:rsidRPr="008708FA" w:rsidRDefault="008708FA" w:rsidP="008708FA">
            <w:pPr>
              <w:jc w:val="right"/>
              <w:rPr>
                <w:rFonts w:cs="Arial"/>
                <w:sz w:val="20"/>
                <w:szCs w:val="20"/>
              </w:rPr>
            </w:pPr>
            <w:r w:rsidRPr="008708FA">
              <w:rPr>
                <w:rFonts w:cs="Arial"/>
                <w:sz w:val="20"/>
                <w:szCs w:val="20"/>
              </w:rPr>
              <w:t>500</w:t>
            </w:r>
          </w:p>
        </w:tc>
        <w:tc>
          <w:tcPr>
            <w:tcW w:w="1051" w:type="dxa"/>
          </w:tcPr>
          <w:p w:rsidR="008708FA" w:rsidRPr="008708FA" w:rsidRDefault="008708FA" w:rsidP="008708FA">
            <w:pPr>
              <w:jc w:val="right"/>
              <w:rPr>
                <w:rFonts w:cs="Arial"/>
                <w:sz w:val="20"/>
                <w:szCs w:val="20"/>
              </w:rPr>
            </w:pPr>
            <w:r w:rsidRPr="008708FA">
              <w:rPr>
                <w:rFonts w:cs="Arial"/>
                <w:sz w:val="20"/>
                <w:szCs w:val="20"/>
              </w:rPr>
              <w:t>250</w:t>
            </w:r>
          </w:p>
        </w:tc>
      </w:tr>
      <w:tr w:rsidR="008708FA" w:rsidRPr="008708FA" w:rsidTr="005C2427">
        <w:tc>
          <w:tcPr>
            <w:tcW w:w="4363" w:type="dxa"/>
          </w:tcPr>
          <w:p w:rsidR="008708FA" w:rsidRPr="008708FA" w:rsidRDefault="008708FA" w:rsidP="008708FA">
            <w:pPr>
              <w:rPr>
                <w:rFonts w:cs="Arial"/>
                <w:sz w:val="20"/>
                <w:szCs w:val="20"/>
              </w:rPr>
            </w:pPr>
            <w:r w:rsidRPr="008708FA">
              <w:rPr>
                <w:rFonts w:cs="Arial"/>
                <w:sz w:val="20"/>
                <w:szCs w:val="20"/>
              </w:rPr>
              <w:t>Request for examination</w:t>
            </w:r>
          </w:p>
        </w:tc>
        <w:tc>
          <w:tcPr>
            <w:tcW w:w="1284" w:type="dxa"/>
          </w:tcPr>
          <w:p w:rsidR="008708FA" w:rsidRPr="008708FA" w:rsidRDefault="008708FA" w:rsidP="008708FA">
            <w:pPr>
              <w:jc w:val="right"/>
              <w:rPr>
                <w:rFonts w:cs="Arial"/>
                <w:sz w:val="20"/>
                <w:szCs w:val="20"/>
              </w:rPr>
            </w:pPr>
            <w:r w:rsidRPr="008708FA">
              <w:rPr>
                <w:rFonts w:cs="Arial"/>
                <w:sz w:val="20"/>
                <w:szCs w:val="20"/>
              </w:rPr>
              <w:t>500</w:t>
            </w:r>
          </w:p>
        </w:tc>
        <w:tc>
          <w:tcPr>
            <w:tcW w:w="1051" w:type="dxa"/>
          </w:tcPr>
          <w:p w:rsidR="008708FA" w:rsidRPr="008708FA" w:rsidRDefault="008708FA" w:rsidP="008708FA">
            <w:pPr>
              <w:jc w:val="right"/>
              <w:rPr>
                <w:rFonts w:cs="Arial"/>
                <w:sz w:val="20"/>
                <w:szCs w:val="20"/>
              </w:rPr>
            </w:pPr>
            <w:r w:rsidRPr="008708FA">
              <w:rPr>
                <w:rFonts w:cs="Arial"/>
                <w:sz w:val="20"/>
                <w:szCs w:val="20"/>
              </w:rPr>
              <w:t>250</w:t>
            </w:r>
          </w:p>
        </w:tc>
      </w:tr>
      <w:tr w:rsidR="008708FA" w:rsidRPr="008708FA" w:rsidTr="005C2427">
        <w:tc>
          <w:tcPr>
            <w:tcW w:w="4363" w:type="dxa"/>
          </w:tcPr>
          <w:p w:rsidR="008708FA" w:rsidRPr="008708FA" w:rsidRDefault="008708FA" w:rsidP="008708FA">
            <w:pPr>
              <w:rPr>
                <w:rFonts w:cs="Arial"/>
                <w:sz w:val="20"/>
                <w:szCs w:val="20"/>
              </w:rPr>
            </w:pPr>
            <w:r w:rsidRPr="008708FA">
              <w:rPr>
                <w:rFonts w:cs="Arial"/>
                <w:sz w:val="20"/>
                <w:szCs w:val="20"/>
              </w:rPr>
              <w:t>Opposition of application</w:t>
            </w:r>
          </w:p>
        </w:tc>
        <w:tc>
          <w:tcPr>
            <w:tcW w:w="1284" w:type="dxa"/>
          </w:tcPr>
          <w:p w:rsidR="008708FA" w:rsidRPr="008708FA" w:rsidRDefault="008708FA" w:rsidP="008708FA">
            <w:pPr>
              <w:jc w:val="right"/>
              <w:rPr>
                <w:rFonts w:cs="Arial"/>
                <w:sz w:val="20"/>
                <w:szCs w:val="20"/>
              </w:rPr>
            </w:pPr>
            <w:r w:rsidRPr="008708FA">
              <w:rPr>
                <w:rFonts w:cs="Arial"/>
                <w:sz w:val="20"/>
                <w:szCs w:val="20"/>
              </w:rPr>
              <w:t>500</w:t>
            </w:r>
          </w:p>
        </w:tc>
        <w:tc>
          <w:tcPr>
            <w:tcW w:w="1051" w:type="dxa"/>
          </w:tcPr>
          <w:p w:rsidR="008708FA" w:rsidRPr="008708FA" w:rsidRDefault="008708FA" w:rsidP="008708FA">
            <w:pPr>
              <w:jc w:val="right"/>
              <w:rPr>
                <w:rFonts w:cs="Arial"/>
                <w:sz w:val="20"/>
                <w:szCs w:val="20"/>
              </w:rPr>
            </w:pPr>
            <w:r w:rsidRPr="008708FA">
              <w:rPr>
                <w:rFonts w:cs="Arial"/>
                <w:sz w:val="20"/>
                <w:szCs w:val="20"/>
              </w:rPr>
              <w:t>250</w:t>
            </w:r>
          </w:p>
        </w:tc>
      </w:tr>
      <w:tr w:rsidR="008708FA" w:rsidRPr="008708FA" w:rsidTr="005C2427">
        <w:tc>
          <w:tcPr>
            <w:tcW w:w="4363" w:type="dxa"/>
          </w:tcPr>
          <w:p w:rsidR="008708FA" w:rsidRPr="008708FA" w:rsidRDefault="008708FA" w:rsidP="008708FA">
            <w:pPr>
              <w:rPr>
                <w:rFonts w:cs="Arial"/>
                <w:sz w:val="20"/>
                <w:szCs w:val="20"/>
              </w:rPr>
            </w:pPr>
            <w:r w:rsidRPr="008708FA">
              <w:rPr>
                <w:rFonts w:cs="Arial"/>
                <w:sz w:val="20"/>
                <w:szCs w:val="20"/>
              </w:rPr>
              <w:t>Grant</w:t>
            </w:r>
          </w:p>
        </w:tc>
        <w:tc>
          <w:tcPr>
            <w:tcW w:w="1284" w:type="dxa"/>
          </w:tcPr>
          <w:p w:rsidR="008708FA" w:rsidRPr="008708FA" w:rsidRDefault="008708FA" w:rsidP="008708FA">
            <w:pPr>
              <w:jc w:val="right"/>
              <w:rPr>
                <w:rFonts w:cs="Arial"/>
                <w:sz w:val="20"/>
                <w:szCs w:val="20"/>
              </w:rPr>
            </w:pPr>
            <w:r w:rsidRPr="008708FA">
              <w:rPr>
                <w:rFonts w:cs="Arial"/>
                <w:sz w:val="20"/>
                <w:szCs w:val="20"/>
              </w:rPr>
              <w:t>1,000</w:t>
            </w:r>
          </w:p>
        </w:tc>
        <w:tc>
          <w:tcPr>
            <w:tcW w:w="1051" w:type="dxa"/>
          </w:tcPr>
          <w:p w:rsidR="008708FA" w:rsidRPr="008708FA" w:rsidRDefault="008708FA" w:rsidP="008708FA">
            <w:pPr>
              <w:jc w:val="right"/>
              <w:rPr>
                <w:rFonts w:cs="Arial"/>
                <w:sz w:val="20"/>
                <w:szCs w:val="20"/>
              </w:rPr>
            </w:pPr>
            <w:r w:rsidRPr="008708FA">
              <w:rPr>
                <w:rFonts w:cs="Arial"/>
                <w:sz w:val="20"/>
                <w:szCs w:val="20"/>
              </w:rPr>
              <w:t>500</w:t>
            </w:r>
          </w:p>
        </w:tc>
      </w:tr>
      <w:tr w:rsidR="008708FA" w:rsidRPr="008708FA" w:rsidTr="005C2427">
        <w:tc>
          <w:tcPr>
            <w:tcW w:w="4363" w:type="dxa"/>
          </w:tcPr>
          <w:p w:rsidR="008708FA" w:rsidRPr="008708FA" w:rsidRDefault="008708FA" w:rsidP="008708FA">
            <w:pPr>
              <w:rPr>
                <w:rFonts w:cs="Arial"/>
                <w:sz w:val="20"/>
                <w:szCs w:val="20"/>
              </w:rPr>
            </w:pPr>
            <w:r w:rsidRPr="008708FA">
              <w:rPr>
                <w:rFonts w:cs="Arial"/>
                <w:sz w:val="20"/>
                <w:szCs w:val="20"/>
              </w:rPr>
              <w:t>Annual fees:</w:t>
            </w:r>
          </w:p>
        </w:tc>
        <w:tc>
          <w:tcPr>
            <w:tcW w:w="1284" w:type="dxa"/>
          </w:tcPr>
          <w:p w:rsidR="008708FA" w:rsidRPr="008708FA" w:rsidRDefault="008708FA" w:rsidP="008708FA">
            <w:pPr>
              <w:jc w:val="right"/>
              <w:rPr>
                <w:rFonts w:cs="Arial"/>
                <w:sz w:val="20"/>
                <w:szCs w:val="20"/>
              </w:rPr>
            </w:pPr>
          </w:p>
        </w:tc>
        <w:tc>
          <w:tcPr>
            <w:tcW w:w="1051" w:type="dxa"/>
          </w:tcPr>
          <w:p w:rsidR="008708FA" w:rsidRPr="008708FA" w:rsidRDefault="008708FA" w:rsidP="008708FA">
            <w:pPr>
              <w:jc w:val="right"/>
              <w:rPr>
                <w:rFonts w:cs="Arial"/>
                <w:sz w:val="20"/>
                <w:szCs w:val="20"/>
              </w:rPr>
            </w:pP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Fifth year</w:t>
            </w:r>
          </w:p>
        </w:tc>
        <w:tc>
          <w:tcPr>
            <w:tcW w:w="1284" w:type="dxa"/>
          </w:tcPr>
          <w:p w:rsidR="008708FA" w:rsidRPr="008708FA" w:rsidRDefault="008708FA" w:rsidP="008708FA">
            <w:pPr>
              <w:jc w:val="right"/>
              <w:rPr>
                <w:rFonts w:cs="Arial"/>
                <w:sz w:val="20"/>
                <w:szCs w:val="20"/>
              </w:rPr>
            </w:pPr>
            <w:r w:rsidRPr="008708FA">
              <w:rPr>
                <w:rFonts w:cs="Arial"/>
                <w:sz w:val="20"/>
                <w:szCs w:val="20"/>
              </w:rPr>
              <w:t>2,000</w:t>
            </w:r>
          </w:p>
        </w:tc>
        <w:tc>
          <w:tcPr>
            <w:tcW w:w="1051" w:type="dxa"/>
          </w:tcPr>
          <w:p w:rsidR="008708FA" w:rsidRPr="008708FA" w:rsidRDefault="008708FA" w:rsidP="008708FA">
            <w:pPr>
              <w:jc w:val="right"/>
              <w:rPr>
                <w:rFonts w:cs="Arial"/>
                <w:sz w:val="20"/>
                <w:szCs w:val="20"/>
              </w:rPr>
            </w:pPr>
            <w:r w:rsidRPr="008708FA">
              <w:rPr>
                <w:rFonts w:cs="Arial"/>
                <w:sz w:val="20"/>
                <w:szCs w:val="20"/>
              </w:rPr>
              <w:t>1,000</w:t>
            </w: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Sixth year</w:t>
            </w:r>
          </w:p>
        </w:tc>
        <w:tc>
          <w:tcPr>
            <w:tcW w:w="1284" w:type="dxa"/>
          </w:tcPr>
          <w:p w:rsidR="008708FA" w:rsidRPr="008708FA" w:rsidRDefault="008708FA" w:rsidP="008708FA">
            <w:pPr>
              <w:jc w:val="right"/>
              <w:rPr>
                <w:rFonts w:cs="Arial"/>
                <w:sz w:val="20"/>
                <w:szCs w:val="20"/>
              </w:rPr>
            </w:pPr>
            <w:r w:rsidRPr="008708FA">
              <w:rPr>
                <w:rFonts w:cs="Arial"/>
                <w:sz w:val="20"/>
                <w:szCs w:val="20"/>
              </w:rPr>
              <w:t>2,400</w:t>
            </w:r>
          </w:p>
        </w:tc>
        <w:tc>
          <w:tcPr>
            <w:tcW w:w="1051" w:type="dxa"/>
          </w:tcPr>
          <w:p w:rsidR="008708FA" w:rsidRPr="008708FA" w:rsidRDefault="008708FA" w:rsidP="008708FA">
            <w:pPr>
              <w:jc w:val="right"/>
              <w:rPr>
                <w:rFonts w:cs="Arial"/>
                <w:sz w:val="20"/>
                <w:szCs w:val="20"/>
              </w:rPr>
            </w:pPr>
            <w:r w:rsidRPr="008708FA">
              <w:rPr>
                <w:rFonts w:cs="Arial"/>
                <w:sz w:val="20"/>
                <w:szCs w:val="20"/>
              </w:rPr>
              <w:t>1,200</w:t>
            </w: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Seventh year</w:t>
            </w:r>
          </w:p>
        </w:tc>
        <w:tc>
          <w:tcPr>
            <w:tcW w:w="1284" w:type="dxa"/>
          </w:tcPr>
          <w:p w:rsidR="008708FA" w:rsidRPr="008708FA" w:rsidRDefault="008708FA" w:rsidP="008708FA">
            <w:pPr>
              <w:jc w:val="right"/>
              <w:rPr>
                <w:rFonts w:cs="Arial"/>
                <w:sz w:val="20"/>
                <w:szCs w:val="20"/>
              </w:rPr>
            </w:pPr>
            <w:r w:rsidRPr="008708FA">
              <w:rPr>
                <w:rFonts w:cs="Arial"/>
                <w:sz w:val="20"/>
                <w:szCs w:val="20"/>
              </w:rPr>
              <w:t>3,200</w:t>
            </w:r>
          </w:p>
        </w:tc>
        <w:tc>
          <w:tcPr>
            <w:tcW w:w="1051" w:type="dxa"/>
          </w:tcPr>
          <w:p w:rsidR="008708FA" w:rsidRPr="008708FA" w:rsidRDefault="008708FA" w:rsidP="008708FA">
            <w:pPr>
              <w:jc w:val="right"/>
              <w:rPr>
                <w:rFonts w:cs="Arial"/>
                <w:sz w:val="20"/>
                <w:szCs w:val="20"/>
              </w:rPr>
            </w:pPr>
            <w:r w:rsidRPr="008708FA">
              <w:rPr>
                <w:rFonts w:cs="Arial"/>
                <w:sz w:val="20"/>
                <w:szCs w:val="20"/>
              </w:rPr>
              <w:t>1,600</w:t>
            </w: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Eighth year</w:t>
            </w:r>
          </w:p>
        </w:tc>
        <w:tc>
          <w:tcPr>
            <w:tcW w:w="1284" w:type="dxa"/>
          </w:tcPr>
          <w:p w:rsidR="008708FA" w:rsidRPr="008708FA" w:rsidRDefault="008708FA" w:rsidP="008708FA">
            <w:pPr>
              <w:jc w:val="right"/>
              <w:rPr>
                <w:rFonts w:cs="Arial"/>
                <w:sz w:val="20"/>
                <w:szCs w:val="20"/>
              </w:rPr>
            </w:pPr>
            <w:r w:rsidRPr="008708FA">
              <w:rPr>
                <w:rFonts w:cs="Arial"/>
                <w:sz w:val="20"/>
                <w:szCs w:val="20"/>
              </w:rPr>
              <w:t>4,400</w:t>
            </w:r>
          </w:p>
        </w:tc>
        <w:tc>
          <w:tcPr>
            <w:tcW w:w="1051" w:type="dxa"/>
          </w:tcPr>
          <w:p w:rsidR="008708FA" w:rsidRPr="008708FA" w:rsidRDefault="008708FA" w:rsidP="008708FA">
            <w:pPr>
              <w:jc w:val="right"/>
              <w:rPr>
                <w:rFonts w:cs="Arial"/>
                <w:sz w:val="20"/>
                <w:szCs w:val="20"/>
              </w:rPr>
            </w:pPr>
            <w:r w:rsidRPr="008708FA">
              <w:rPr>
                <w:rFonts w:cs="Arial"/>
                <w:sz w:val="20"/>
                <w:szCs w:val="20"/>
              </w:rPr>
              <w:t>2,200</w:t>
            </w: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Ninth year</w:t>
            </w:r>
          </w:p>
        </w:tc>
        <w:tc>
          <w:tcPr>
            <w:tcW w:w="1284" w:type="dxa"/>
          </w:tcPr>
          <w:p w:rsidR="008708FA" w:rsidRPr="008708FA" w:rsidRDefault="008708FA" w:rsidP="008708FA">
            <w:pPr>
              <w:jc w:val="right"/>
              <w:rPr>
                <w:rFonts w:cs="Arial"/>
                <w:sz w:val="20"/>
                <w:szCs w:val="20"/>
              </w:rPr>
            </w:pPr>
            <w:r w:rsidRPr="008708FA">
              <w:rPr>
                <w:rFonts w:cs="Arial"/>
                <w:sz w:val="20"/>
                <w:szCs w:val="20"/>
              </w:rPr>
              <w:t>6,000</w:t>
            </w:r>
          </w:p>
        </w:tc>
        <w:tc>
          <w:tcPr>
            <w:tcW w:w="1051" w:type="dxa"/>
          </w:tcPr>
          <w:p w:rsidR="008708FA" w:rsidRPr="008708FA" w:rsidRDefault="008708FA" w:rsidP="008708FA">
            <w:pPr>
              <w:jc w:val="right"/>
              <w:rPr>
                <w:rFonts w:cs="Arial"/>
                <w:sz w:val="20"/>
                <w:szCs w:val="20"/>
              </w:rPr>
            </w:pPr>
            <w:r w:rsidRPr="008708FA">
              <w:rPr>
                <w:rFonts w:cs="Arial"/>
                <w:sz w:val="20"/>
                <w:szCs w:val="20"/>
              </w:rPr>
              <w:t>3,000</w:t>
            </w: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Tenth year</w:t>
            </w:r>
          </w:p>
        </w:tc>
        <w:tc>
          <w:tcPr>
            <w:tcW w:w="1284" w:type="dxa"/>
          </w:tcPr>
          <w:p w:rsidR="008708FA" w:rsidRPr="008708FA" w:rsidRDefault="008708FA" w:rsidP="008708FA">
            <w:pPr>
              <w:jc w:val="right"/>
              <w:rPr>
                <w:rFonts w:cs="Arial"/>
                <w:sz w:val="20"/>
                <w:szCs w:val="20"/>
              </w:rPr>
            </w:pPr>
            <w:r w:rsidRPr="008708FA">
              <w:rPr>
                <w:rFonts w:cs="Arial"/>
                <w:sz w:val="20"/>
                <w:szCs w:val="20"/>
              </w:rPr>
              <w:t>8,000</w:t>
            </w:r>
          </w:p>
        </w:tc>
        <w:tc>
          <w:tcPr>
            <w:tcW w:w="1051" w:type="dxa"/>
          </w:tcPr>
          <w:p w:rsidR="008708FA" w:rsidRPr="008708FA" w:rsidRDefault="008708FA" w:rsidP="008708FA">
            <w:pPr>
              <w:jc w:val="right"/>
              <w:rPr>
                <w:rFonts w:cs="Arial"/>
                <w:sz w:val="20"/>
                <w:szCs w:val="20"/>
              </w:rPr>
            </w:pPr>
            <w:r w:rsidRPr="008708FA">
              <w:rPr>
                <w:rFonts w:cs="Arial"/>
                <w:sz w:val="20"/>
                <w:szCs w:val="20"/>
              </w:rPr>
              <w:t>4,000</w:t>
            </w: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Eleventh year</w:t>
            </w:r>
          </w:p>
        </w:tc>
        <w:tc>
          <w:tcPr>
            <w:tcW w:w="1284" w:type="dxa"/>
          </w:tcPr>
          <w:p w:rsidR="008708FA" w:rsidRPr="008708FA" w:rsidRDefault="008708FA" w:rsidP="008708FA">
            <w:pPr>
              <w:jc w:val="right"/>
              <w:rPr>
                <w:rFonts w:cs="Arial"/>
                <w:sz w:val="20"/>
                <w:szCs w:val="20"/>
              </w:rPr>
            </w:pPr>
            <w:r w:rsidRPr="008708FA">
              <w:rPr>
                <w:rFonts w:cs="Arial"/>
                <w:sz w:val="20"/>
                <w:szCs w:val="20"/>
              </w:rPr>
              <w:t>10,400</w:t>
            </w:r>
          </w:p>
        </w:tc>
        <w:tc>
          <w:tcPr>
            <w:tcW w:w="1051" w:type="dxa"/>
          </w:tcPr>
          <w:p w:rsidR="008708FA" w:rsidRPr="008708FA" w:rsidRDefault="008708FA" w:rsidP="008708FA">
            <w:pPr>
              <w:jc w:val="right"/>
              <w:rPr>
                <w:rFonts w:cs="Arial"/>
                <w:sz w:val="20"/>
                <w:szCs w:val="20"/>
              </w:rPr>
            </w:pPr>
            <w:r w:rsidRPr="008708FA">
              <w:rPr>
                <w:rFonts w:cs="Arial"/>
                <w:sz w:val="20"/>
                <w:szCs w:val="20"/>
              </w:rPr>
              <w:t>5,200</w:t>
            </w: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Twelfth year</w:t>
            </w:r>
          </w:p>
        </w:tc>
        <w:tc>
          <w:tcPr>
            <w:tcW w:w="1284" w:type="dxa"/>
          </w:tcPr>
          <w:p w:rsidR="008708FA" w:rsidRPr="008708FA" w:rsidRDefault="008708FA" w:rsidP="008708FA">
            <w:pPr>
              <w:jc w:val="right"/>
              <w:rPr>
                <w:rFonts w:cs="Arial"/>
                <w:sz w:val="20"/>
                <w:szCs w:val="20"/>
              </w:rPr>
            </w:pPr>
            <w:r w:rsidRPr="008708FA">
              <w:rPr>
                <w:rFonts w:cs="Arial"/>
                <w:sz w:val="20"/>
                <w:szCs w:val="20"/>
              </w:rPr>
              <w:t>13,200</w:t>
            </w:r>
          </w:p>
        </w:tc>
        <w:tc>
          <w:tcPr>
            <w:tcW w:w="1051" w:type="dxa"/>
          </w:tcPr>
          <w:p w:rsidR="008708FA" w:rsidRPr="008708FA" w:rsidRDefault="008708FA" w:rsidP="008708FA">
            <w:pPr>
              <w:jc w:val="right"/>
              <w:rPr>
                <w:rFonts w:cs="Arial"/>
                <w:sz w:val="20"/>
                <w:szCs w:val="20"/>
              </w:rPr>
            </w:pPr>
            <w:r w:rsidRPr="008708FA">
              <w:rPr>
                <w:rFonts w:cs="Arial"/>
                <w:sz w:val="20"/>
                <w:szCs w:val="20"/>
              </w:rPr>
              <w:t>6,600</w:t>
            </w: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Thirteenth year</w:t>
            </w:r>
          </w:p>
        </w:tc>
        <w:tc>
          <w:tcPr>
            <w:tcW w:w="1284" w:type="dxa"/>
          </w:tcPr>
          <w:p w:rsidR="008708FA" w:rsidRPr="008708FA" w:rsidRDefault="008708FA" w:rsidP="008708FA">
            <w:pPr>
              <w:jc w:val="right"/>
              <w:rPr>
                <w:rFonts w:cs="Arial"/>
                <w:sz w:val="20"/>
                <w:szCs w:val="20"/>
              </w:rPr>
            </w:pPr>
            <w:r w:rsidRPr="008708FA">
              <w:rPr>
                <w:rFonts w:cs="Arial"/>
                <w:sz w:val="20"/>
                <w:szCs w:val="20"/>
              </w:rPr>
              <w:t>16,400</w:t>
            </w:r>
          </w:p>
        </w:tc>
        <w:tc>
          <w:tcPr>
            <w:tcW w:w="1051" w:type="dxa"/>
          </w:tcPr>
          <w:p w:rsidR="008708FA" w:rsidRPr="008708FA" w:rsidRDefault="008708FA" w:rsidP="008708FA">
            <w:pPr>
              <w:jc w:val="right"/>
              <w:rPr>
                <w:rFonts w:cs="Arial"/>
                <w:sz w:val="20"/>
                <w:szCs w:val="20"/>
              </w:rPr>
            </w:pPr>
            <w:r w:rsidRPr="008708FA">
              <w:rPr>
                <w:rFonts w:cs="Arial"/>
                <w:sz w:val="20"/>
                <w:szCs w:val="20"/>
              </w:rPr>
              <w:t>8,200</w:t>
            </w: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Fourteenth year</w:t>
            </w:r>
          </w:p>
        </w:tc>
        <w:tc>
          <w:tcPr>
            <w:tcW w:w="1284" w:type="dxa"/>
          </w:tcPr>
          <w:p w:rsidR="008708FA" w:rsidRPr="008708FA" w:rsidRDefault="008708FA" w:rsidP="008708FA">
            <w:pPr>
              <w:jc w:val="right"/>
              <w:rPr>
                <w:rFonts w:cs="Arial"/>
                <w:sz w:val="20"/>
                <w:szCs w:val="20"/>
              </w:rPr>
            </w:pPr>
            <w:r w:rsidRPr="008708FA">
              <w:rPr>
                <w:rFonts w:cs="Arial"/>
                <w:sz w:val="20"/>
                <w:szCs w:val="20"/>
              </w:rPr>
              <w:t>20,000</w:t>
            </w:r>
          </w:p>
        </w:tc>
        <w:tc>
          <w:tcPr>
            <w:tcW w:w="1051" w:type="dxa"/>
          </w:tcPr>
          <w:p w:rsidR="008708FA" w:rsidRPr="008708FA" w:rsidRDefault="008708FA" w:rsidP="008708FA">
            <w:pPr>
              <w:jc w:val="right"/>
              <w:rPr>
                <w:rFonts w:cs="Arial"/>
                <w:sz w:val="20"/>
                <w:szCs w:val="20"/>
              </w:rPr>
            </w:pPr>
            <w:r w:rsidRPr="008708FA">
              <w:rPr>
                <w:rFonts w:cs="Arial"/>
                <w:sz w:val="20"/>
                <w:szCs w:val="20"/>
              </w:rPr>
              <w:t>10,000</w:t>
            </w: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Fifteenth year</w:t>
            </w:r>
          </w:p>
        </w:tc>
        <w:tc>
          <w:tcPr>
            <w:tcW w:w="1284" w:type="dxa"/>
          </w:tcPr>
          <w:p w:rsidR="008708FA" w:rsidRPr="008708FA" w:rsidRDefault="008708FA" w:rsidP="008708FA">
            <w:pPr>
              <w:jc w:val="right"/>
              <w:rPr>
                <w:rFonts w:cs="Arial"/>
                <w:sz w:val="20"/>
                <w:szCs w:val="20"/>
              </w:rPr>
            </w:pPr>
            <w:r w:rsidRPr="008708FA">
              <w:rPr>
                <w:rFonts w:cs="Arial"/>
                <w:sz w:val="20"/>
                <w:szCs w:val="20"/>
              </w:rPr>
              <w:t>24,000</w:t>
            </w:r>
          </w:p>
        </w:tc>
        <w:tc>
          <w:tcPr>
            <w:tcW w:w="1051" w:type="dxa"/>
          </w:tcPr>
          <w:p w:rsidR="008708FA" w:rsidRPr="008708FA" w:rsidRDefault="008708FA" w:rsidP="008708FA">
            <w:pPr>
              <w:jc w:val="right"/>
              <w:rPr>
                <w:rFonts w:cs="Arial"/>
                <w:sz w:val="20"/>
                <w:szCs w:val="20"/>
              </w:rPr>
            </w:pPr>
            <w:r w:rsidRPr="008708FA">
              <w:rPr>
                <w:rFonts w:cs="Arial"/>
                <w:sz w:val="20"/>
                <w:szCs w:val="20"/>
              </w:rPr>
              <w:t>12,000</w:t>
            </w: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Sixteenth year</w:t>
            </w:r>
          </w:p>
        </w:tc>
        <w:tc>
          <w:tcPr>
            <w:tcW w:w="1284" w:type="dxa"/>
          </w:tcPr>
          <w:p w:rsidR="008708FA" w:rsidRPr="008708FA" w:rsidRDefault="008708FA" w:rsidP="008708FA">
            <w:pPr>
              <w:jc w:val="right"/>
              <w:rPr>
                <w:rFonts w:cs="Arial"/>
                <w:sz w:val="20"/>
                <w:szCs w:val="20"/>
              </w:rPr>
            </w:pPr>
            <w:r w:rsidRPr="008708FA">
              <w:rPr>
                <w:rFonts w:cs="Arial"/>
                <w:sz w:val="20"/>
                <w:szCs w:val="20"/>
              </w:rPr>
              <w:t>28,400</w:t>
            </w:r>
          </w:p>
        </w:tc>
        <w:tc>
          <w:tcPr>
            <w:tcW w:w="1051" w:type="dxa"/>
          </w:tcPr>
          <w:p w:rsidR="008708FA" w:rsidRPr="008708FA" w:rsidRDefault="008708FA" w:rsidP="008708FA">
            <w:pPr>
              <w:jc w:val="right"/>
              <w:rPr>
                <w:rFonts w:cs="Arial"/>
                <w:sz w:val="20"/>
                <w:szCs w:val="20"/>
              </w:rPr>
            </w:pP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Seventeenth year</w:t>
            </w:r>
          </w:p>
        </w:tc>
        <w:tc>
          <w:tcPr>
            <w:tcW w:w="1284" w:type="dxa"/>
          </w:tcPr>
          <w:p w:rsidR="008708FA" w:rsidRPr="008708FA" w:rsidRDefault="008708FA" w:rsidP="008708FA">
            <w:pPr>
              <w:jc w:val="right"/>
              <w:rPr>
                <w:rFonts w:cs="Arial"/>
                <w:sz w:val="20"/>
                <w:szCs w:val="20"/>
              </w:rPr>
            </w:pPr>
            <w:r w:rsidRPr="008708FA">
              <w:rPr>
                <w:rFonts w:cs="Arial"/>
                <w:sz w:val="20"/>
                <w:szCs w:val="20"/>
              </w:rPr>
              <w:t>33,200</w:t>
            </w:r>
          </w:p>
        </w:tc>
        <w:tc>
          <w:tcPr>
            <w:tcW w:w="1051" w:type="dxa"/>
          </w:tcPr>
          <w:p w:rsidR="008708FA" w:rsidRPr="008708FA" w:rsidRDefault="008708FA" w:rsidP="008708FA">
            <w:pPr>
              <w:jc w:val="right"/>
              <w:rPr>
                <w:rFonts w:cs="Arial"/>
                <w:sz w:val="20"/>
                <w:szCs w:val="20"/>
              </w:rPr>
            </w:pP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Eighteenth year</w:t>
            </w:r>
          </w:p>
        </w:tc>
        <w:tc>
          <w:tcPr>
            <w:tcW w:w="1284" w:type="dxa"/>
          </w:tcPr>
          <w:p w:rsidR="008708FA" w:rsidRPr="008708FA" w:rsidRDefault="008708FA" w:rsidP="008708FA">
            <w:pPr>
              <w:jc w:val="right"/>
              <w:rPr>
                <w:rFonts w:cs="Arial"/>
                <w:sz w:val="20"/>
                <w:szCs w:val="20"/>
              </w:rPr>
            </w:pPr>
            <w:r w:rsidRPr="008708FA">
              <w:rPr>
                <w:rFonts w:cs="Arial"/>
                <w:sz w:val="20"/>
                <w:szCs w:val="20"/>
              </w:rPr>
              <w:t>38,400</w:t>
            </w:r>
          </w:p>
        </w:tc>
        <w:tc>
          <w:tcPr>
            <w:tcW w:w="1051" w:type="dxa"/>
          </w:tcPr>
          <w:p w:rsidR="008708FA" w:rsidRPr="008708FA" w:rsidRDefault="008708FA" w:rsidP="008708FA">
            <w:pPr>
              <w:jc w:val="right"/>
              <w:rPr>
                <w:rFonts w:cs="Arial"/>
                <w:sz w:val="20"/>
                <w:szCs w:val="20"/>
              </w:rPr>
            </w:pP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Nineteenth year</w:t>
            </w:r>
          </w:p>
        </w:tc>
        <w:tc>
          <w:tcPr>
            <w:tcW w:w="1284" w:type="dxa"/>
          </w:tcPr>
          <w:p w:rsidR="008708FA" w:rsidRPr="008708FA" w:rsidRDefault="008708FA" w:rsidP="008708FA">
            <w:pPr>
              <w:jc w:val="right"/>
              <w:rPr>
                <w:rFonts w:cs="Arial"/>
                <w:sz w:val="20"/>
                <w:szCs w:val="20"/>
              </w:rPr>
            </w:pPr>
            <w:r w:rsidRPr="008708FA">
              <w:rPr>
                <w:rFonts w:cs="Arial"/>
                <w:sz w:val="20"/>
                <w:szCs w:val="20"/>
              </w:rPr>
              <w:t>44,000</w:t>
            </w:r>
          </w:p>
        </w:tc>
        <w:tc>
          <w:tcPr>
            <w:tcW w:w="1051" w:type="dxa"/>
          </w:tcPr>
          <w:p w:rsidR="008708FA" w:rsidRPr="008708FA" w:rsidRDefault="008708FA" w:rsidP="008708FA">
            <w:pPr>
              <w:jc w:val="right"/>
              <w:rPr>
                <w:rFonts w:cs="Arial"/>
                <w:sz w:val="20"/>
                <w:szCs w:val="20"/>
              </w:rPr>
            </w:pP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Twentieth year</w:t>
            </w:r>
          </w:p>
        </w:tc>
        <w:tc>
          <w:tcPr>
            <w:tcW w:w="1284" w:type="dxa"/>
          </w:tcPr>
          <w:p w:rsidR="008708FA" w:rsidRPr="008708FA" w:rsidRDefault="008708FA" w:rsidP="008708FA">
            <w:pPr>
              <w:jc w:val="right"/>
              <w:rPr>
                <w:rFonts w:cs="Arial"/>
                <w:sz w:val="20"/>
                <w:szCs w:val="20"/>
              </w:rPr>
            </w:pPr>
            <w:r w:rsidRPr="008708FA">
              <w:rPr>
                <w:rFonts w:cs="Arial"/>
                <w:sz w:val="20"/>
                <w:szCs w:val="20"/>
              </w:rPr>
              <w:t>50,000</w:t>
            </w:r>
          </w:p>
        </w:tc>
        <w:tc>
          <w:tcPr>
            <w:tcW w:w="1051" w:type="dxa"/>
          </w:tcPr>
          <w:p w:rsidR="008708FA" w:rsidRPr="008708FA" w:rsidRDefault="008708FA" w:rsidP="008708FA">
            <w:pPr>
              <w:jc w:val="right"/>
              <w:rPr>
                <w:rFonts w:cs="Arial"/>
                <w:sz w:val="20"/>
                <w:szCs w:val="20"/>
              </w:rPr>
            </w:pPr>
            <w:r w:rsidRPr="008708FA">
              <w:rPr>
                <w:rFonts w:cs="Arial"/>
                <w:sz w:val="20"/>
                <w:szCs w:val="20"/>
              </w:rPr>
              <w:t>25,000</w:t>
            </w: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Or payment of all annual fees in one payment</w:t>
            </w:r>
          </w:p>
        </w:tc>
        <w:tc>
          <w:tcPr>
            <w:tcW w:w="1284" w:type="dxa"/>
          </w:tcPr>
          <w:p w:rsidR="008708FA" w:rsidRPr="008708FA" w:rsidRDefault="008708FA" w:rsidP="008708FA">
            <w:pPr>
              <w:jc w:val="right"/>
              <w:rPr>
                <w:rFonts w:cs="Arial"/>
                <w:sz w:val="20"/>
                <w:szCs w:val="20"/>
              </w:rPr>
            </w:pPr>
            <w:r w:rsidRPr="008708FA">
              <w:rPr>
                <w:rFonts w:cs="Arial"/>
                <w:sz w:val="20"/>
                <w:szCs w:val="20"/>
              </w:rPr>
              <w:t>280,000</w:t>
            </w:r>
          </w:p>
        </w:tc>
        <w:tc>
          <w:tcPr>
            <w:tcW w:w="1051" w:type="dxa"/>
          </w:tcPr>
          <w:p w:rsidR="008708FA" w:rsidRPr="008708FA" w:rsidRDefault="008708FA" w:rsidP="008708FA">
            <w:pPr>
              <w:jc w:val="right"/>
              <w:rPr>
                <w:rFonts w:cs="Arial"/>
                <w:sz w:val="20"/>
                <w:szCs w:val="20"/>
              </w:rPr>
            </w:pPr>
            <w:r w:rsidRPr="008708FA">
              <w:rPr>
                <w:rFonts w:cs="Arial"/>
                <w:sz w:val="20"/>
                <w:szCs w:val="20"/>
              </w:rPr>
              <w:t>140,000</w:t>
            </w:r>
          </w:p>
        </w:tc>
      </w:tr>
      <w:tr w:rsidR="008708FA" w:rsidRPr="008708FA" w:rsidTr="005C2427">
        <w:trPr>
          <w:trHeight w:val="458"/>
        </w:trPr>
        <w:tc>
          <w:tcPr>
            <w:tcW w:w="4363" w:type="dxa"/>
            <w:shd w:val="clear" w:color="auto" w:fill="8DB3E2" w:themeFill="text2" w:themeFillTint="66"/>
            <w:vAlign w:val="center"/>
          </w:tcPr>
          <w:p w:rsidR="008708FA" w:rsidRPr="008708FA" w:rsidRDefault="008708FA" w:rsidP="008708FA">
            <w:pPr>
              <w:jc w:val="center"/>
              <w:rPr>
                <w:rFonts w:cs="Arial"/>
                <w:b/>
                <w:i/>
                <w:sz w:val="20"/>
                <w:szCs w:val="20"/>
              </w:rPr>
            </w:pPr>
            <w:r w:rsidRPr="008708FA">
              <w:rPr>
                <w:rFonts w:cs="Arial"/>
                <w:b/>
                <w:i/>
                <w:sz w:val="20"/>
                <w:szCs w:val="20"/>
              </w:rPr>
              <w:t>Utility Models</w:t>
            </w:r>
          </w:p>
        </w:tc>
        <w:tc>
          <w:tcPr>
            <w:tcW w:w="1284" w:type="dxa"/>
            <w:shd w:val="clear" w:color="auto" w:fill="8DB3E2" w:themeFill="text2" w:themeFillTint="66"/>
            <w:vAlign w:val="center"/>
          </w:tcPr>
          <w:p w:rsidR="008708FA" w:rsidRPr="008708FA" w:rsidRDefault="008708FA" w:rsidP="008708FA">
            <w:pPr>
              <w:jc w:val="center"/>
              <w:rPr>
                <w:rFonts w:cs="Arial"/>
                <w:b/>
                <w:sz w:val="20"/>
                <w:szCs w:val="20"/>
              </w:rPr>
            </w:pPr>
            <w:r w:rsidRPr="008708FA">
              <w:rPr>
                <w:rFonts w:cs="Arial"/>
                <w:b/>
                <w:sz w:val="20"/>
                <w:szCs w:val="20"/>
              </w:rPr>
              <w:t>1999-2005</w:t>
            </w:r>
          </w:p>
        </w:tc>
        <w:tc>
          <w:tcPr>
            <w:tcW w:w="1051" w:type="dxa"/>
            <w:shd w:val="clear" w:color="auto" w:fill="8DB3E2" w:themeFill="text2" w:themeFillTint="66"/>
            <w:vAlign w:val="center"/>
          </w:tcPr>
          <w:p w:rsidR="008708FA" w:rsidRPr="008708FA" w:rsidRDefault="008708FA" w:rsidP="008708FA">
            <w:pPr>
              <w:jc w:val="center"/>
              <w:rPr>
                <w:rFonts w:cs="Arial"/>
                <w:b/>
                <w:sz w:val="20"/>
                <w:szCs w:val="20"/>
              </w:rPr>
            </w:pPr>
            <w:r w:rsidRPr="008708FA">
              <w:rPr>
                <w:rFonts w:cs="Arial"/>
                <w:b/>
                <w:sz w:val="20"/>
                <w:szCs w:val="20"/>
              </w:rPr>
              <w:t>2005-</w:t>
            </w:r>
          </w:p>
        </w:tc>
      </w:tr>
      <w:tr w:rsidR="008708FA" w:rsidRPr="008708FA" w:rsidTr="005C2427">
        <w:tc>
          <w:tcPr>
            <w:tcW w:w="4363" w:type="dxa"/>
          </w:tcPr>
          <w:p w:rsidR="008708FA" w:rsidRPr="008708FA" w:rsidRDefault="008708FA" w:rsidP="008708FA">
            <w:pPr>
              <w:rPr>
                <w:rFonts w:cs="Arial"/>
                <w:sz w:val="20"/>
                <w:szCs w:val="20"/>
              </w:rPr>
            </w:pPr>
            <w:r w:rsidRPr="008708FA">
              <w:rPr>
                <w:rFonts w:cs="Arial"/>
                <w:sz w:val="20"/>
                <w:szCs w:val="20"/>
              </w:rPr>
              <w:t>Utility Model application</w:t>
            </w:r>
          </w:p>
        </w:tc>
        <w:tc>
          <w:tcPr>
            <w:tcW w:w="1284" w:type="dxa"/>
          </w:tcPr>
          <w:p w:rsidR="008708FA" w:rsidRPr="008708FA" w:rsidRDefault="008708FA" w:rsidP="008708FA">
            <w:pPr>
              <w:jc w:val="right"/>
              <w:rPr>
                <w:rFonts w:cs="Arial"/>
                <w:sz w:val="20"/>
                <w:szCs w:val="20"/>
                <w:highlight w:val="cyan"/>
              </w:rPr>
            </w:pPr>
            <w:r w:rsidRPr="008708FA">
              <w:rPr>
                <w:rFonts w:cs="Arial"/>
                <w:sz w:val="20"/>
                <w:szCs w:val="20"/>
              </w:rPr>
              <w:t>500</w:t>
            </w:r>
          </w:p>
        </w:tc>
        <w:tc>
          <w:tcPr>
            <w:tcW w:w="1051" w:type="dxa"/>
          </w:tcPr>
          <w:p w:rsidR="008708FA" w:rsidRPr="008708FA" w:rsidRDefault="008708FA" w:rsidP="008708FA">
            <w:pPr>
              <w:jc w:val="right"/>
              <w:rPr>
                <w:rFonts w:cs="Arial"/>
                <w:sz w:val="20"/>
                <w:szCs w:val="20"/>
              </w:rPr>
            </w:pPr>
            <w:r w:rsidRPr="008708FA">
              <w:rPr>
                <w:rFonts w:cs="Arial"/>
                <w:sz w:val="20"/>
                <w:szCs w:val="20"/>
              </w:rPr>
              <w:t>250</w:t>
            </w:r>
          </w:p>
        </w:tc>
      </w:tr>
      <w:tr w:rsidR="008708FA" w:rsidRPr="008708FA" w:rsidTr="005C2427">
        <w:tc>
          <w:tcPr>
            <w:tcW w:w="4363" w:type="dxa"/>
          </w:tcPr>
          <w:p w:rsidR="008708FA" w:rsidRPr="008708FA" w:rsidRDefault="008708FA" w:rsidP="008708FA">
            <w:pPr>
              <w:rPr>
                <w:rFonts w:cs="Arial"/>
                <w:sz w:val="20"/>
                <w:szCs w:val="20"/>
              </w:rPr>
            </w:pPr>
            <w:r w:rsidRPr="008708FA">
              <w:rPr>
                <w:rFonts w:cs="Arial"/>
                <w:sz w:val="20"/>
                <w:szCs w:val="20"/>
              </w:rPr>
              <w:t>Grant and Publication of application</w:t>
            </w:r>
          </w:p>
        </w:tc>
        <w:tc>
          <w:tcPr>
            <w:tcW w:w="1284" w:type="dxa"/>
          </w:tcPr>
          <w:p w:rsidR="008708FA" w:rsidRPr="008708FA" w:rsidRDefault="008708FA" w:rsidP="008708FA">
            <w:pPr>
              <w:jc w:val="right"/>
              <w:rPr>
                <w:rFonts w:cs="Arial"/>
                <w:sz w:val="20"/>
                <w:szCs w:val="20"/>
                <w:highlight w:val="cyan"/>
              </w:rPr>
            </w:pPr>
            <w:r w:rsidRPr="008708FA">
              <w:rPr>
                <w:rFonts w:cs="Arial"/>
                <w:sz w:val="20"/>
                <w:szCs w:val="20"/>
              </w:rPr>
              <w:t>1,000</w:t>
            </w:r>
          </w:p>
        </w:tc>
        <w:tc>
          <w:tcPr>
            <w:tcW w:w="1051" w:type="dxa"/>
          </w:tcPr>
          <w:p w:rsidR="008708FA" w:rsidRPr="008708FA" w:rsidRDefault="008708FA" w:rsidP="008708FA">
            <w:pPr>
              <w:jc w:val="right"/>
              <w:rPr>
                <w:rFonts w:cs="Arial"/>
                <w:sz w:val="20"/>
                <w:szCs w:val="20"/>
              </w:rPr>
            </w:pPr>
            <w:r w:rsidRPr="008708FA">
              <w:rPr>
                <w:rFonts w:cs="Arial"/>
                <w:sz w:val="20"/>
                <w:szCs w:val="20"/>
              </w:rPr>
              <w:t>500</w:t>
            </w:r>
          </w:p>
        </w:tc>
      </w:tr>
      <w:tr w:rsidR="008708FA" w:rsidRPr="008708FA" w:rsidTr="005C2427">
        <w:tc>
          <w:tcPr>
            <w:tcW w:w="4363" w:type="dxa"/>
          </w:tcPr>
          <w:p w:rsidR="008708FA" w:rsidRPr="008708FA" w:rsidRDefault="008708FA" w:rsidP="008708FA">
            <w:pPr>
              <w:rPr>
                <w:rFonts w:cs="Arial"/>
                <w:sz w:val="20"/>
                <w:szCs w:val="20"/>
              </w:rPr>
            </w:pPr>
            <w:r w:rsidRPr="008708FA">
              <w:rPr>
                <w:rFonts w:cs="Arial"/>
                <w:sz w:val="20"/>
                <w:szCs w:val="20"/>
              </w:rPr>
              <w:t>Request for examination</w:t>
            </w:r>
          </w:p>
        </w:tc>
        <w:tc>
          <w:tcPr>
            <w:tcW w:w="1284" w:type="dxa"/>
          </w:tcPr>
          <w:p w:rsidR="008708FA" w:rsidRPr="008708FA" w:rsidRDefault="008708FA" w:rsidP="008708FA">
            <w:pPr>
              <w:jc w:val="right"/>
              <w:rPr>
                <w:rFonts w:cs="Arial"/>
                <w:sz w:val="20"/>
                <w:szCs w:val="20"/>
                <w:highlight w:val="cyan"/>
              </w:rPr>
            </w:pPr>
            <w:r w:rsidRPr="008708FA">
              <w:rPr>
                <w:rFonts w:cs="Arial"/>
                <w:sz w:val="20"/>
                <w:szCs w:val="20"/>
              </w:rPr>
              <w:t>500</w:t>
            </w:r>
          </w:p>
        </w:tc>
        <w:tc>
          <w:tcPr>
            <w:tcW w:w="1051" w:type="dxa"/>
          </w:tcPr>
          <w:p w:rsidR="008708FA" w:rsidRPr="008708FA" w:rsidRDefault="008708FA" w:rsidP="008708FA">
            <w:pPr>
              <w:jc w:val="right"/>
              <w:rPr>
                <w:rFonts w:cs="Arial"/>
                <w:sz w:val="20"/>
                <w:szCs w:val="20"/>
              </w:rPr>
            </w:pPr>
            <w:r w:rsidRPr="008708FA">
              <w:rPr>
                <w:rFonts w:cs="Arial"/>
                <w:sz w:val="20"/>
                <w:szCs w:val="20"/>
              </w:rPr>
              <w:t>250</w:t>
            </w:r>
          </w:p>
        </w:tc>
      </w:tr>
      <w:tr w:rsidR="008708FA" w:rsidRPr="008708FA" w:rsidTr="005C2427">
        <w:tc>
          <w:tcPr>
            <w:tcW w:w="4363" w:type="dxa"/>
          </w:tcPr>
          <w:p w:rsidR="008708FA" w:rsidRPr="008708FA" w:rsidRDefault="008708FA" w:rsidP="008708FA">
            <w:pPr>
              <w:rPr>
                <w:rFonts w:cs="Arial"/>
                <w:sz w:val="20"/>
                <w:szCs w:val="20"/>
              </w:rPr>
            </w:pPr>
            <w:r w:rsidRPr="008708FA">
              <w:rPr>
                <w:rFonts w:cs="Arial"/>
                <w:sz w:val="20"/>
                <w:szCs w:val="20"/>
              </w:rPr>
              <w:t>Opposition of application</w:t>
            </w:r>
          </w:p>
        </w:tc>
        <w:tc>
          <w:tcPr>
            <w:tcW w:w="1284" w:type="dxa"/>
          </w:tcPr>
          <w:p w:rsidR="008708FA" w:rsidRPr="008708FA" w:rsidRDefault="008708FA" w:rsidP="008708FA">
            <w:pPr>
              <w:jc w:val="right"/>
              <w:rPr>
                <w:rFonts w:cs="Arial"/>
                <w:sz w:val="20"/>
                <w:szCs w:val="20"/>
                <w:highlight w:val="cyan"/>
              </w:rPr>
            </w:pPr>
            <w:r w:rsidRPr="008708FA">
              <w:rPr>
                <w:rFonts w:cs="Arial"/>
                <w:sz w:val="20"/>
                <w:szCs w:val="20"/>
              </w:rPr>
              <w:t>500</w:t>
            </w:r>
          </w:p>
        </w:tc>
        <w:tc>
          <w:tcPr>
            <w:tcW w:w="1051" w:type="dxa"/>
          </w:tcPr>
          <w:p w:rsidR="008708FA" w:rsidRPr="008708FA" w:rsidRDefault="008708FA" w:rsidP="008708FA">
            <w:pPr>
              <w:jc w:val="right"/>
              <w:rPr>
                <w:rFonts w:cs="Arial"/>
                <w:sz w:val="20"/>
                <w:szCs w:val="20"/>
              </w:rPr>
            </w:pPr>
            <w:r w:rsidRPr="008708FA">
              <w:rPr>
                <w:rFonts w:cs="Arial"/>
                <w:sz w:val="20"/>
                <w:szCs w:val="20"/>
              </w:rPr>
              <w:t>250</w:t>
            </w:r>
          </w:p>
        </w:tc>
      </w:tr>
      <w:tr w:rsidR="008708FA" w:rsidRPr="008708FA" w:rsidTr="005C2427">
        <w:tc>
          <w:tcPr>
            <w:tcW w:w="4363" w:type="dxa"/>
          </w:tcPr>
          <w:p w:rsidR="008708FA" w:rsidRPr="008708FA" w:rsidRDefault="008708FA" w:rsidP="008708FA">
            <w:pPr>
              <w:rPr>
                <w:rFonts w:cs="Arial"/>
                <w:sz w:val="20"/>
                <w:szCs w:val="20"/>
              </w:rPr>
            </w:pPr>
            <w:r w:rsidRPr="008708FA">
              <w:rPr>
                <w:rFonts w:cs="Arial"/>
                <w:sz w:val="20"/>
                <w:szCs w:val="20"/>
              </w:rPr>
              <w:t>Annual fees:</w:t>
            </w:r>
          </w:p>
        </w:tc>
        <w:tc>
          <w:tcPr>
            <w:tcW w:w="1284" w:type="dxa"/>
          </w:tcPr>
          <w:p w:rsidR="008708FA" w:rsidRPr="008708FA" w:rsidRDefault="008708FA" w:rsidP="008708FA">
            <w:pPr>
              <w:jc w:val="right"/>
              <w:rPr>
                <w:rFonts w:cs="Arial"/>
                <w:sz w:val="20"/>
                <w:szCs w:val="20"/>
              </w:rPr>
            </w:pPr>
          </w:p>
        </w:tc>
        <w:tc>
          <w:tcPr>
            <w:tcW w:w="1051" w:type="dxa"/>
          </w:tcPr>
          <w:p w:rsidR="008708FA" w:rsidRPr="008708FA" w:rsidRDefault="008708FA" w:rsidP="008708FA">
            <w:pPr>
              <w:jc w:val="right"/>
              <w:rPr>
                <w:rFonts w:cs="Arial"/>
                <w:sz w:val="20"/>
                <w:szCs w:val="20"/>
              </w:rPr>
            </w:pP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Fifth year</w:t>
            </w:r>
          </w:p>
        </w:tc>
        <w:tc>
          <w:tcPr>
            <w:tcW w:w="1284" w:type="dxa"/>
          </w:tcPr>
          <w:p w:rsidR="008708FA" w:rsidRPr="008708FA" w:rsidRDefault="008708FA" w:rsidP="008708FA">
            <w:pPr>
              <w:jc w:val="right"/>
              <w:rPr>
                <w:rFonts w:cs="Arial"/>
                <w:sz w:val="20"/>
                <w:szCs w:val="20"/>
              </w:rPr>
            </w:pPr>
            <w:r w:rsidRPr="008708FA">
              <w:rPr>
                <w:rFonts w:cs="Arial"/>
                <w:sz w:val="20"/>
                <w:szCs w:val="20"/>
              </w:rPr>
              <w:t>1,500</w:t>
            </w:r>
          </w:p>
        </w:tc>
        <w:tc>
          <w:tcPr>
            <w:tcW w:w="1051" w:type="dxa"/>
          </w:tcPr>
          <w:p w:rsidR="008708FA" w:rsidRPr="008708FA" w:rsidRDefault="008708FA" w:rsidP="008708FA">
            <w:pPr>
              <w:jc w:val="right"/>
              <w:rPr>
                <w:rFonts w:cs="Arial"/>
                <w:sz w:val="20"/>
                <w:szCs w:val="20"/>
              </w:rPr>
            </w:pPr>
            <w:r w:rsidRPr="008708FA">
              <w:rPr>
                <w:rFonts w:cs="Arial"/>
                <w:sz w:val="20"/>
                <w:szCs w:val="20"/>
              </w:rPr>
              <w:t>750</w:t>
            </w: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Sixth year</w:t>
            </w:r>
          </w:p>
        </w:tc>
        <w:tc>
          <w:tcPr>
            <w:tcW w:w="1284" w:type="dxa"/>
          </w:tcPr>
          <w:p w:rsidR="008708FA" w:rsidRPr="008708FA" w:rsidRDefault="008708FA" w:rsidP="008708FA">
            <w:pPr>
              <w:jc w:val="right"/>
              <w:rPr>
                <w:rFonts w:cs="Arial"/>
                <w:sz w:val="20"/>
                <w:szCs w:val="20"/>
              </w:rPr>
            </w:pPr>
            <w:r w:rsidRPr="008708FA">
              <w:rPr>
                <w:rFonts w:cs="Arial"/>
                <w:sz w:val="20"/>
                <w:szCs w:val="20"/>
              </w:rPr>
              <w:t>3,000</w:t>
            </w:r>
          </w:p>
        </w:tc>
        <w:tc>
          <w:tcPr>
            <w:tcW w:w="1051" w:type="dxa"/>
          </w:tcPr>
          <w:p w:rsidR="008708FA" w:rsidRPr="008708FA" w:rsidRDefault="008708FA" w:rsidP="008708FA">
            <w:pPr>
              <w:jc w:val="right"/>
              <w:rPr>
                <w:rFonts w:cs="Arial"/>
                <w:sz w:val="20"/>
                <w:szCs w:val="20"/>
              </w:rPr>
            </w:pPr>
            <w:r w:rsidRPr="008708FA">
              <w:rPr>
                <w:rFonts w:cs="Arial"/>
                <w:sz w:val="20"/>
                <w:szCs w:val="20"/>
              </w:rPr>
              <w:t>1,500</w:t>
            </w: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Or payment of all annual fees in one payment</w:t>
            </w:r>
          </w:p>
        </w:tc>
        <w:tc>
          <w:tcPr>
            <w:tcW w:w="1284" w:type="dxa"/>
          </w:tcPr>
          <w:p w:rsidR="008708FA" w:rsidRPr="008708FA" w:rsidRDefault="008708FA" w:rsidP="008708FA">
            <w:pPr>
              <w:jc w:val="right"/>
              <w:rPr>
                <w:rFonts w:cs="Arial"/>
                <w:sz w:val="20"/>
                <w:szCs w:val="20"/>
              </w:rPr>
            </w:pPr>
            <w:r w:rsidRPr="008708FA">
              <w:rPr>
                <w:rFonts w:cs="Arial"/>
                <w:sz w:val="20"/>
                <w:szCs w:val="20"/>
              </w:rPr>
              <w:t>4,000</w:t>
            </w:r>
          </w:p>
        </w:tc>
        <w:tc>
          <w:tcPr>
            <w:tcW w:w="1051" w:type="dxa"/>
          </w:tcPr>
          <w:p w:rsidR="008708FA" w:rsidRPr="008708FA" w:rsidRDefault="008708FA" w:rsidP="008708FA">
            <w:pPr>
              <w:jc w:val="right"/>
              <w:rPr>
                <w:rFonts w:cs="Arial"/>
                <w:sz w:val="20"/>
                <w:szCs w:val="20"/>
              </w:rPr>
            </w:pPr>
            <w:r w:rsidRPr="008708FA">
              <w:rPr>
                <w:rFonts w:cs="Arial"/>
                <w:sz w:val="20"/>
                <w:szCs w:val="20"/>
              </w:rPr>
              <w:t>2,000</w:t>
            </w:r>
          </w:p>
        </w:tc>
      </w:tr>
      <w:tr w:rsidR="008708FA" w:rsidRPr="008708FA" w:rsidTr="005C2427">
        <w:tc>
          <w:tcPr>
            <w:tcW w:w="4363" w:type="dxa"/>
          </w:tcPr>
          <w:p w:rsidR="008708FA" w:rsidRPr="008708FA" w:rsidRDefault="008708FA" w:rsidP="008708FA">
            <w:pPr>
              <w:rPr>
                <w:rFonts w:cs="Arial"/>
                <w:sz w:val="20"/>
                <w:szCs w:val="20"/>
              </w:rPr>
            </w:pPr>
            <w:r w:rsidRPr="008708FA">
              <w:rPr>
                <w:rFonts w:cs="Arial"/>
                <w:sz w:val="20"/>
                <w:szCs w:val="20"/>
              </w:rPr>
              <w:t>Renewal fees</w:t>
            </w:r>
          </w:p>
        </w:tc>
        <w:tc>
          <w:tcPr>
            <w:tcW w:w="1284" w:type="dxa"/>
          </w:tcPr>
          <w:p w:rsidR="008708FA" w:rsidRPr="008708FA" w:rsidRDefault="008708FA" w:rsidP="008708FA">
            <w:pPr>
              <w:rPr>
                <w:rFonts w:cs="Arial"/>
                <w:sz w:val="20"/>
                <w:szCs w:val="20"/>
              </w:rPr>
            </w:pPr>
          </w:p>
        </w:tc>
        <w:tc>
          <w:tcPr>
            <w:tcW w:w="1051" w:type="dxa"/>
          </w:tcPr>
          <w:p w:rsidR="008708FA" w:rsidRPr="008708FA" w:rsidRDefault="008708FA" w:rsidP="008708FA">
            <w:pPr>
              <w:jc w:val="right"/>
              <w:rPr>
                <w:rFonts w:cs="Arial"/>
                <w:sz w:val="20"/>
                <w:szCs w:val="20"/>
              </w:rPr>
            </w:pP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First extension</w:t>
            </w:r>
          </w:p>
        </w:tc>
        <w:tc>
          <w:tcPr>
            <w:tcW w:w="1284" w:type="dxa"/>
          </w:tcPr>
          <w:p w:rsidR="008708FA" w:rsidRPr="008708FA" w:rsidRDefault="008708FA" w:rsidP="008708FA">
            <w:pPr>
              <w:jc w:val="right"/>
              <w:rPr>
                <w:rFonts w:cs="Arial"/>
                <w:sz w:val="20"/>
                <w:szCs w:val="20"/>
              </w:rPr>
            </w:pPr>
            <w:r w:rsidRPr="008708FA">
              <w:rPr>
                <w:rFonts w:cs="Arial"/>
                <w:sz w:val="20"/>
                <w:szCs w:val="20"/>
              </w:rPr>
              <w:t>12,000</w:t>
            </w:r>
          </w:p>
        </w:tc>
        <w:tc>
          <w:tcPr>
            <w:tcW w:w="1051" w:type="dxa"/>
          </w:tcPr>
          <w:p w:rsidR="008708FA" w:rsidRPr="008708FA" w:rsidRDefault="008708FA" w:rsidP="008708FA">
            <w:pPr>
              <w:jc w:val="right"/>
              <w:rPr>
                <w:rFonts w:cs="Arial"/>
                <w:sz w:val="20"/>
                <w:szCs w:val="20"/>
              </w:rPr>
            </w:pPr>
            <w:r w:rsidRPr="008708FA">
              <w:rPr>
                <w:rFonts w:cs="Arial"/>
                <w:sz w:val="20"/>
                <w:szCs w:val="20"/>
              </w:rPr>
              <w:t>6,000</w:t>
            </w:r>
          </w:p>
        </w:tc>
      </w:tr>
      <w:tr w:rsidR="008708FA" w:rsidRPr="008708FA" w:rsidTr="005C2427">
        <w:tc>
          <w:tcPr>
            <w:tcW w:w="4363" w:type="dxa"/>
          </w:tcPr>
          <w:p w:rsidR="008708FA" w:rsidRPr="008708FA" w:rsidRDefault="008708FA" w:rsidP="008708FA">
            <w:pPr>
              <w:jc w:val="right"/>
              <w:rPr>
                <w:rFonts w:cs="Arial"/>
                <w:sz w:val="20"/>
                <w:szCs w:val="20"/>
              </w:rPr>
            </w:pPr>
            <w:r w:rsidRPr="008708FA">
              <w:rPr>
                <w:rFonts w:cs="Arial"/>
                <w:sz w:val="20"/>
                <w:szCs w:val="20"/>
              </w:rPr>
              <w:t>Second extension</w:t>
            </w:r>
          </w:p>
        </w:tc>
        <w:tc>
          <w:tcPr>
            <w:tcW w:w="1284" w:type="dxa"/>
          </w:tcPr>
          <w:p w:rsidR="008708FA" w:rsidRPr="008708FA" w:rsidRDefault="008708FA" w:rsidP="008708FA">
            <w:pPr>
              <w:jc w:val="right"/>
              <w:rPr>
                <w:rFonts w:cs="Arial"/>
                <w:sz w:val="20"/>
                <w:szCs w:val="20"/>
              </w:rPr>
            </w:pPr>
            <w:r w:rsidRPr="008708FA">
              <w:rPr>
                <w:rFonts w:cs="Arial"/>
                <w:sz w:val="20"/>
                <w:szCs w:val="20"/>
              </w:rPr>
              <w:t>18,000</w:t>
            </w:r>
          </w:p>
        </w:tc>
        <w:tc>
          <w:tcPr>
            <w:tcW w:w="1051" w:type="dxa"/>
          </w:tcPr>
          <w:p w:rsidR="008708FA" w:rsidRPr="008708FA" w:rsidRDefault="008708FA" w:rsidP="008708FA">
            <w:pPr>
              <w:jc w:val="right"/>
              <w:rPr>
                <w:rFonts w:cs="Arial"/>
                <w:sz w:val="20"/>
                <w:szCs w:val="20"/>
              </w:rPr>
            </w:pPr>
            <w:r w:rsidRPr="008708FA">
              <w:rPr>
                <w:rFonts w:cs="Arial"/>
                <w:sz w:val="20"/>
                <w:szCs w:val="20"/>
              </w:rPr>
              <w:t>9,000</w:t>
            </w:r>
          </w:p>
        </w:tc>
      </w:tr>
    </w:tbl>
    <w:p w:rsidR="008708FA" w:rsidRPr="008708FA" w:rsidRDefault="008708FA" w:rsidP="008708FA">
      <w:pPr>
        <w:rPr>
          <w:rFonts w:eastAsia="Calibri"/>
          <w:i/>
          <w:sz w:val="16"/>
        </w:rPr>
      </w:pPr>
      <w:r w:rsidRPr="008708FA">
        <w:rPr>
          <w:rFonts w:eastAsia="Calibri"/>
          <w:i/>
          <w:sz w:val="16"/>
        </w:rPr>
        <w:t xml:space="preserve">Source: Thailand patent Act B.E.  </w:t>
      </w:r>
      <w:proofErr w:type="gramStart"/>
      <w:r w:rsidRPr="008708FA">
        <w:rPr>
          <w:rFonts w:eastAsia="Calibri"/>
          <w:i/>
          <w:sz w:val="16"/>
        </w:rPr>
        <w:t>2522 (1999) and the Thai Department of Intellectual Property website.</w:t>
      </w:r>
      <w:proofErr w:type="gramEnd"/>
      <w:r w:rsidRPr="008708FA">
        <w:rPr>
          <w:rFonts w:eastAsia="Calibri"/>
          <w:i/>
          <w:sz w:val="16"/>
        </w:rPr>
        <w:t xml:space="preserve">  </w:t>
      </w:r>
    </w:p>
    <w:p w:rsidR="008708FA" w:rsidRPr="008708FA" w:rsidRDefault="008708FA" w:rsidP="008708FA">
      <w:pPr>
        <w:rPr>
          <w:rFonts w:eastAsia="Calibri"/>
          <w:i/>
          <w:sz w:val="16"/>
        </w:rPr>
      </w:pPr>
      <w:r w:rsidRPr="008708FA">
        <w:rPr>
          <w:rFonts w:eastAsia="Calibri"/>
          <w:i/>
          <w:sz w:val="16"/>
        </w:rPr>
        <w:t xml:space="preserve">Note: The original fees, as specified in the patent Act B.E.  </w:t>
      </w:r>
      <w:proofErr w:type="gramStart"/>
      <w:r w:rsidRPr="008708FA">
        <w:rPr>
          <w:rFonts w:eastAsia="Calibri"/>
          <w:i/>
          <w:sz w:val="16"/>
        </w:rPr>
        <w:t>2522,</w:t>
      </w:r>
      <w:proofErr w:type="gramEnd"/>
      <w:r w:rsidRPr="008708FA">
        <w:rPr>
          <w:rFonts w:eastAsia="Calibri"/>
          <w:i/>
          <w:sz w:val="16"/>
        </w:rPr>
        <w:t xml:space="preserve"> were changed in 2005.</w:t>
      </w:r>
    </w:p>
    <w:p w:rsidR="008708FA" w:rsidRPr="008708FA" w:rsidRDefault="008708FA" w:rsidP="008708FA">
      <w:pPr>
        <w:rPr>
          <w:rFonts w:eastAsia="Calibri"/>
          <w:i/>
        </w:rPr>
      </w:pPr>
    </w:p>
    <w:p w:rsidR="008708FA" w:rsidRPr="008708FA" w:rsidRDefault="008708FA" w:rsidP="008708FA">
      <w:pPr>
        <w:rPr>
          <w:rFonts w:eastAsia="Calibri"/>
        </w:rPr>
      </w:pPr>
    </w:p>
    <w:p w:rsidR="006A367F" w:rsidRDefault="008708FA" w:rsidP="008708FA">
      <w:pPr>
        <w:spacing w:line="276" w:lineRule="auto"/>
        <w:rPr>
          <w:rFonts w:eastAsia="Calibri"/>
        </w:rPr>
        <w:sectPr w:rsidR="006A367F" w:rsidSect="005E0E25">
          <w:headerReference w:type="default" r:id="rId39"/>
          <w:headerReference w:type="first" r:id="rId40"/>
          <w:footerReference w:type="first" r:id="rId41"/>
          <w:pgSz w:w="11907" w:h="16840" w:code="9"/>
          <w:pgMar w:top="1417" w:right="1417" w:bottom="1417" w:left="1440" w:header="709" w:footer="709" w:gutter="0"/>
          <w:cols w:space="720"/>
          <w:titlePg/>
          <w:docGrid w:linePitch="299"/>
        </w:sectPr>
      </w:pPr>
      <w:r w:rsidRPr="008708FA">
        <w:rPr>
          <w:rFonts w:eastAsia="Calibri"/>
        </w:rPr>
        <w:br w:type="page"/>
      </w:r>
    </w:p>
    <w:p w:rsidR="008708FA" w:rsidRPr="008708FA" w:rsidRDefault="008708FA" w:rsidP="008708FA">
      <w:pPr>
        <w:spacing w:line="276" w:lineRule="auto"/>
        <w:rPr>
          <w:b/>
          <w:bCs/>
          <w:szCs w:val="28"/>
        </w:rPr>
      </w:pPr>
    </w:p>
    <w:p w:rsidR="008708FA" w:rsidRPr="009E1F3F" w:rsidRDefault="008708FA" w:rsidP="008708FA">
      <w:pPr>
        <w:rPr>
          <w:rFonts w:eastAsia="Calibri"/>
          <w:b/>
          <w:bCs/>
          <w:i/>
          <w:sz w:val="20"/>
          <w:szCs w:val="20"/>
        </w:rPr>
      </w:pPr>
      <w:bookmarkStart w:id="104" w:name="_Ref367883675"/>
      <w:bookmarkStart w:id="105" w:name="_Toc359581435"/>
      <w:r w:rsidRPr="009E1F3F">
        <w:rPr>
          <w:rFonts w:eastAsia="Calibri"/>
          <w:b/>
          <w:bCs/>
          <w:i/>
          <w:sz w:val="20"/>
          <w:szCs w:val="20"/>
        </w:rPr>
        <w:t xml:space="preserve">Table A. </w:t>
      </w:r>
      <w:r w:rsidRPr="008708FA">
        <w:rPr>
          <w:rFonts w:eastAsia="Calibri"/>
          <w:b/>
          <w:bCs/>
          <w:i/>
          <w:sz w:val="20"/>
          <w:szCs w:val="18"/>
        </w:rPr>
        <w:fldChar w:fldCharType="begin"/>
      </w:r>
      <w:r w:rsidRPr="008708FA">
        <w:rPr>
          <w:rFonts w:eastAsia="Calibri"/>
          <w:b/>
          <w:bCs/>
          <w:i/>
          <w:sz w:val="20"/>
          <w:szCs w:val="18"/>
        </w:rPr>
        <w:instrText xml:space="preserve"> SEQ Table_A. \* ARABIC </w:instrText>
      </w:r>
      <w:r w:rsidRPr="008708FA">
        <w:rPr>
          <w:rFonts w:eastAsia="Calibri"/>
          <w:b/>
          <w:bCs/>
          <w:i/>
          <w:sz w:val="20"/>
          <w:szCs w:val="18"/>
        </w:rPr>
        <w:fldChar w:fldCharType="separate"/>
      </w:r>
      <w:r w:rsidR="006A4BE7">
        <w:rPr>
          <w:rFonts w:eastAsia="Calibri"/>
          <w:b/>
          <w:bCs/>
          <w:i/>
          <w:noProof/>
          <w:sz w:val="20"/>
          <w:szCs w:val="18"/>
        </w:rPr>
        <w:t>2</w:t>
      </w:r>
      <w:r w:rsidRPr="008708FA">
        <w:rPr>
          <w:rFonts w:eastAsia="Calibri"/>
          <w:b/>
          <w:bCs/>
          <w:i/>
          <w:sz w:val="20"/>
          <w:szCs w:val="18"/>
        </w:rPr>
        <w:fldChar w:fldCharType="end"/>
      </w:r>
      <w:bookmarkEnd w:id="104"/>
      <w:r w:rsidRPr="009E1F3F">
        <w:rPr>
          <w:rFonts w:eastAsia="Calibri"/>
          <w:b/>
          <w:bCs/>
          <w:i/>
          <w:sz w:val="20"/>
          <w:szCs w:val="20"/>
        </w:rPr>
        <w:t>: Number of Applications from State Agencies</w:t>
      </w:r>
      <w:bookmarkEnd w:id="105"/>
    </w:p>
    <w:p w:rsidR="008708FA" w:rsidRPr="009E1F3F" w:rsidRDefault="008708FA" w:rsidP="008708FA">
      <w:pPr>
        <w:rPr>
          <w:rFonts w:eastAsia="Calibri"/>
          <w:b/>
          <w:bCs/>
          <w:i/>
          <w:sz w:val="20"/>
          <w:szCs w:val="20"/>
        </w:rPr>
      </w:pPr>
    </w:p>
    <w:tbl>
      <w:tblPr>
        <w:tblW w:w="42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0"/>
        <w:gridCol w:w="748"/>
        <w:gridCol w:w="865"/>
      </w:tblGrid>
      <w:tr w:rsidR="008708FA" w:rsidRPr="008708FA" w:rsidTr="005C2427">
        <w:tc>
          <w:tcPr>
            <w:tcW w:w="3978" w:type="pct"/>
            <w:shd w:val="clear" w:color="auto" w:fill="8DB3E2" w:themeFill="text2" w:themeFillTint="66"/>
            <w:noWrap/>
            <w:vAlign w:val="bottom"/>
            <w:hideMark/>
          </w:tcPr>
          <w:p w:rsidR="008708FA" w:rsidRPr="008708FA" w:rsidRDefault="008708FA" w:rsidP="008708FA">
            <w:pPr>
              <w:jc w:val="center"/>
              <w:rPr>
                <w:rFonts w:eastAsia="Calibri" w:cs="Arial"/>
                <w:b/>
                <w:bCs/>
                <w:sz w:val="20"/>
                <w:szCs w:val="20"/>
              </w:rPr>
            </w:pPr>
            <w:r w:rsidRPr="008708FA">
              <w:rPr>
                <w:rFonts w:eastAsia="Calibri" w:cs="Arial"/>
                <w:b/>
                <w:bCs/>
                <w:sz w:val="20"/>
                <w:szCs w:val="20"/>
              </w:rPr>
              <w:t>Government agency</w:t>
            </w:r>
          </w:p>
        </w:tc>
        <w:tc>
          <w:tcPr>
            <w:tcW w:w="474" w:type="pct"/>
            <w:shd w:val="clear" w:color="auto" w:fill="8DB3E2" w:themeFill="text2" w:themeFillTint="66"/>
            <w:noWrap/>
            <w:vAlign w:val="center"/>
            <w:hideMark/>
          </w:tcPr>
          <w:p w:rsidR="008708FA" w:rsidRPr="008708FA" w:rsidRDefault="008708FA" w:rsidP="008708FA">
            <w:pPr>
              <w:jc w:val="center"/>
              <w:rPr>
                <w:rFonts w:eastAsia="Calibri" w:cs="Arial"/>
                <w:b/>
                <w:bCs/>
                <w:sz w:val="20"/>
                <w:szCs w:val="20"/>
              </w:rPr>
            </w:pPr>
            <w:r w:rsidRPr="008708FA">
              <w:rPr>
                <w:rFonts w:eastAsia="Calibri" w:cs="Arial"/>
                <w:b/>
                <w:bCs/>
                <w:sz w:val="20"/>
                <w:szCs w:val="20"/>
              </w:rPr>
              <w:t>Total</w:t>
            </w:r>
          </w:p>
        </w:tc>
        <w:tc>
          <w:tcPr>
            <w:tcW w:w="548" w:type="pct"/>
            <w:shd w:val="clear" w:color="auto" w:fill="8DB3E2" w:themeFill="text2" w:themeFillTint="66"/>
            <w:vAlign w:val="center"/>
          </w:tcPr>
          <w:p w:rsidR="008708FA" w:rsidRPr="008708FA" w:rsidRDefault="008708FA" w:rsidP="008708FA">
            <w:pPr>
              <w:jc w:val="center"/>
              <w:rPr>
                <w:rFonts w:eastAsia="Calibri" w:cs="Arial"/>
                <w:b/>
                <w:bCs/>
                <w:sz w:val="20"/>
                <w:szCs w:val="20"/>
              </w:rPr>
            </w:pPr>
            <w:r w:rsidRPr="008708FA">
              <w:rPr>
                <w:rFonts w:eastAsia="Calibri" w:cs="Arial"/>
                <w:b/>
                <w:bCs/>
                <w:sz w:val="20"/>
                <w:szCs w:val="20"/>
              </w:rPr>
              <w:t>%</w:t>
            </w:r>
          </w:p>
        </w:tc>
      </w:tr>
      <w:tr w:rsidR="008708FA" w:rsidRPr="008708FA" w:rsidTr="005C2427">
        <w:tc>
          <w:tcPr>
            <w:tcW w:w="3978" w:type="pct"/>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 xml:space="preserve">The Government Pharmaceutical Organization </w:t>
            </w:r>
          </w:p>
        </w:tc>
        <w:tc>
          <w:tcPr>
            <w:tcW w:w="474" w:type="pct"/>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49</w:t>
            </w:r>
          </w:p>
        </w:tc>
        <w:tc>
          <w:tcPr>
            <w:tcW w:w="548" w:type="pct"/>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20.6</w:t>
            </w:r>
          </w:p>
        </w:tc>
      </w:tr>
      <w:tr w:rsidR="008708FA" w:rsidRPr="008708FA" w:rsidTr="005C2427">
        <w:tc>
          <w:tcPr>
            <w:tcW w:w="3978" w:type="pct"/>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 xml:space="preserve">Thailand Institute of Scientific and Technological Research, </w:t>
            </w:r>
          </w:p>
          <w:p w:rsidR="008708FA" w:rsidRPr="008708FA" w:rsidRDefault="008708FA" w:rsidP="008708FA">
            <w:pPr>
              <w:rPr>
                <w:rFonts w:eastAsia="Calibri" w:cs="Arial"/>
                <w:sz w:val="20"/>
                <w:szCs w:val="20"/>
              </w:rPr>
            </w:pPr>
            <w:r w:rsidRPr="008708FA">
              <w:rPr>
                <w:rFonts w:eastAsia="Calibri" w:cs="Arial"/>
                <w:sz w:val="20"/>
                <w:szCs w:val="20"/>
              </w:rPr>
              <w:t>Ministry of Science and Technology</w:t>
            </w:r>
          </w:p>
        </w:tc>
        <w:tc>
          <w:tcPr>
            <w:tcW w:w="474" w:type="pct"/>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32</w:t>
            </w:r>
          </w:p>
        </w:tc>
        <w:tc>
          <w:tcPr>
            <w:tcW w:w="548" w:type="pct"/>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16.0</w:t>
            </w:r>
          </w:p>
        </w:tc>
      </w:tr>
      <w:tr w:rsidR="008708FA" w:rsidRPr="008708FA" w:rsidTr="005C2427">
        <w:tc>
          <w:tcPr>
            <w:tcW w:w="3978" w:type="pct"/>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National Research Council of Thailand</w:t>
            </w:r>
          </w:p>
        </w:tc>
        <w:tc>
          <w:tcPr>
            <w:tcW w:w="474" w:type="pct"/>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28</w:t>
            </w:r>
          </w:p>
        </w:tc>
        <w:tc>
          <w:tcPr>
            <w:tcW w:w="548" w:type="pct"/>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13.5</w:t>
            </w:r>
          </w:p>
        </w:tc>
      </w:tr>
      <w:tr w:rsidR="008708FA" w:rsidRPr="008708FA" w:rsidTr="005C2427">
        <w:tc>
          <w:tcPr>
            <w:tcW w:w="3978" w:type="pct"/>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The Thailand Research Fund</w:t>
            </w:r>
          </w:p>
        </w:tc>
        <w:tc>
          <w:tcPr>
            <w:tcW w:w="474" w:type="pct"/>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25</w:t>
            </w:r>
          </w:p>
        </w:tc>
        <w:tc>
          <w:tcPr>
            <w:tcW w:w="548" w:type="pct"/>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11.8</w:t>
            </w:r>
          </w:p>
        </w:tc>
      </w:tr>
      <w:tr w:rsidR="008708FA" w:rsidRPr="008708FA" w:rsidTr="005C2427">
        <w:tc>
          <w:tcPr>
            <w:tcW w:w="3978" w:type="pct"/>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Department of Medical Sciences,  Ministry of Public Health</w:t>
            </w:r>
          </w:p>
        </w:tc>
        <w:tc>
          <w:tcPr>
            <w:tcW w:w="474" w:type="pct"/>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22</w:t>
            </w:r>
          </w:p>
        </w:tc>
        <w:tc>
          <w:tcPr>
            <w:tcW w:w="548" w:type="pct"/>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10.5</w:t>
            </w:r>
          </w:p>
        </w:tc>
      </w:tr>
      <w:tr w:rsidR="008708FA" w:rsidRPr="008708FA" w:rsidTr="005C2427">
        <w:tc>
          <w:tcPr>
            <w:tcW w:w="3978" w:type="pct"/>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Department of Health,  Ministry of Public Health</w:t>
            </w:r>
          </w:p>
        </w:tc>
        <w:tc>
          <w:tcPr>
            <w:tcW w:w="474" w:type="pct"/>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8</w:t>
            </w:r>
          </w:p>
        </w:tc>
        <w:tc>
          <w:tcPr>
            <w:tcW w:w="548" w:type="pct"/>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9.2</w:t>
            </w:r>
          </w:p>
        </w:tc>
      </w:tr>
      <w:tr w:rsidR="008708FA" w:rsidRPr="008708FA" w:rsidTr="005C2427">
        <w:tc>
          <w:tcPr>
            <w:tcW w:w="3978" w:type="pct"/>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Electricity Generating Authority of Thailand</w:t>
            </w:r>
          </w:p>
        </w:tc>
        <w:tc>
          <w:tcPr>
            <w:tcW w:w="474" w:type="pct"/>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7</w:t>
            </w:r>
          </w:p>
        </w:tc>
        <w:tc>
          <w:tcPr>
            <w:tcW w:w="548" w:type="pct"/>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3.4</w:t>
            </w:r>
          </w:p>
        </w:tc>
      </w:tr>
      <w:tr w:rsidR="008708FA" w:rsidRPr="008708FA" w:rsidTr="005C2427">
        <w:tc>
          <w:tcPr>
            <w:tcW w:w="3978" w:type="pct"/>
            <w:shd w:val="clear" w:color="auto" w:fill="auto"/>
            <w:noWrap/>
            <w:vAlign w:val="bottom"/>
            <w:hideMark/>
          </w:tcPr>
          <w:p w:rsidR="008708FA" w:rsidRPr="008708FA" w:rsidRDefault="008708FA" w:rsidP="008708FA">
            <w:pPr>
              <w:rPr>
                <w:rFonts w:eastAsia="Calibri" w:cs="Arial"/>
                <w:sz w:val="20"/>
                <w:szCs w:val="20"/>
              </w:rPr>
            </w:pPr>
            <w:proofErr w:type="spellStart"/>
            <w:r w:rsidRPr="008708FA">
              <w:rPr>
                <w:rFonts w:eastAsia="Calibri" w:cs="Arial"/>
                <w:sz w:val="20"/>
                <w:szCs w:val="20"/>
              </w:rPr>
              <w:t>Abhaiphubet</w:t>
            </w:r>
            <w:proofErr w:type="spellEnd"/>
            <w:r w:rsidRPr="008708FA">
              <w:rPr>
                <w:rFonts w:eastAsia="Calibri" w:cs="Arial"/>
                <w:sz w:val="20"/>
                <w:szCs w:val="20"/>
              </w:rPr>
              <w:t xml:space="preserve"> </w:t>
            </w:r>
            <w:proofErr w:type="spellStart"/>
            <w:r w:rsidRPr="008708FA">
              <w:rPr>
                <w:rFonts w:eastAsia="Calibri" w:cs="Arial"/>
                <w:sz w:val="20"/>
                <w:szCs w:val="20"/>
              </w:rPr>
              <w:t>Chaopraya</w:t>
            </w:r>
            <w:proofErr w:type="spellEnd"/>
            <w:r w:rsidRPr="008708FA">
              <w:rPr>
                <w:rFonts w:eastAsia="Calibri" w:cs="Arial"/>
                <w:sz w:val="20"/>
                <w:szCs w:val="20"/>
              </w:rPr>
              <w:t xml:space="preserve"> Hospital Foundation</w:t>
            </w:r>
          </w:p>
        </w:tc>
        <w:tc>
          <w:tcPr>
            <w:tcW w:w="474" w:type="pct"/>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6</w:t>
            </w:r>
          </w:p>
        </w:tc>
        <w:tc>
          <w:tcPr>
            <w:tcW w:w="548" w:type="pct"/>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2.9</w:t>
            </w:r>
          </w:p>
        </w:tc>
      </w:tr>
      <w:tr w:rsidR="008708FA" w:rsidRPr="008708FA" w:rsidTr="005C2427">
        <w:tc>
          <w:tcPr>
            <w:tcW w:w="3978" w:type="pct"/>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Department of Agriculture, Ministry of Agriculture and Cooperatives</w:t>
            </w:r>
          </w:p>
        </w:tc>
        <w:tc>
          <w:tcPr>
            <w:tcW w:w="474" w:type="pct"/>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6</w:t>
            </w:r>
          </w:p>
        </w:tc>
        <w:tc>
          <w:tcPr>
            <w:tcW w:w="548" w:type="pct"/>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2.5</w:t>
            </w:r>
          </w:p>
        </w:tc>
      </w:tr>
      <w:tr w:rsidR="008708FA" w:rsidRPr="008708FA" w:rsidTr="005C2427">
        <w:tc>
          <w:tcPr>
            <w:tcW w:w="3978" w:type="pct"/>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The Thai Red Cross Society</w:t>
            </w:r>
          </w:p>
        </w:tc>
        <w:tc>
          <w:tcPr>
            <w:tcW w:w="474" w:type="pct"/>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6</w:t>
            </w:r>
          </w:p>
        </w:tc>
        <w:tc>
          <w:tcPr>
            <w:tcW w:w="548" w:type="pct"/>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2.5</w:t>
            </w:r>
          </w:p>
        </w:tc>
      </w:tr>
      <w:tr w:rsidR="008708FA" w:rsidRPr="008708FA" w:rsidTr="005C2427">
        <w:tc>
          <w:tcPr>
            <w:tcW w:w="3978" w:type="pct"/>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Agricultural Research Development Agency (Public Organization)</w:t>
            </w:r>
          </w:p>
        </w:tc>
        <w:tc>
          <w:tcPr>
            <w:tcW w:w="474" w:type="pct"/>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4</w:t>
            </w:r>
          </w:p>
        </w:tc>
        <w:tc>
          <w:tcPr>
            <w:tcW w:w="548" w:type="pct"/>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2.5</w:t>
            </w:r>
          </w:p>
        </w:tc>
      </w:tr>
      <w:tr w:rsidR="008708FA" w:rsidRPr="008708FA" w:rsidTr="005C2427">
        <w:tc>
          <w:tcPr>
            <w:tcW w:w="3978" w:type="pct"/>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Thailand Institute of Nuclear Technology (Public Organization)</w:t>
            </w:r>
          </w:p>
        </w:tc>
        <w:tc>
          <w:tcPr>
            <w:tcW w:w="474" w:type="pct"/>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4</w:t>
            </w:r>
          </w:p>
        </w:tc>
        <w:tc>
          <w:tcPr>
            <w:tcW w:w="548" w:type="pct"/>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1.7</w:t>
            </w:r>
          </w:p>
        </w:tc>
      </w:tr>
      <w:tr w:rsidR="008708FA" w:rsidRPr="008708FA" w:rsidTr="005C2427">
        <w:tc>
          <w:tcPr>
            <w:tcW w:w="3978" w:type="pct"/>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The Metropolitan Electricity Authority</w:t>
            </w:r>
          </w:p>
        </w:tc>
        <w:tc>
          <w:tcPr>
            <w:tcW w:w="474" w:type="pct"/>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3</w:t>
            </w:r>
          </w:p>
        </w:tc>
        <w:tc>
          <w:tcPr>
            <w:tcW w:w="548" w:type="pct"/>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1.7</w:t>
            </w:r>
          </w:p>
        </w:tc>
      </w:tr>
      <w:tr w:rsidR="008708FA" w:rsidRPr="008708FA" w:rsidTr="005C2427">
        <w:tc>
          <w:tcPr>
            <w:tcW w:w="3978" w:type="pct"/>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Others</w:t>
            </w:r>
          </w:p>
        </w:tc>
        <w:tc>
          <w:tcPr>
            <w:tcW w:w="474" w:type="pct"/>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38</w:t>
            </w:r>
          </w:p>
        </w:tc>
        <w:tc>
          <w:tcPr>
            <w:tcW w:w="548" w:type="pct"/>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1.3</w:t>
            </w:r>
          </w:p>
        </w:tc>
      </w:tr>
      <w:tr w:rsidR="008708FA" w:rsidRPr="008708FA" w:rsidTr="005C2427">
        <w:tc>
          <w:tcPr>
            <w:tcW w:w="3978" w:type="pct"/>
            <w:shd w:val="clear" w:color="auto" w:fill="auto"/>
            <w:noWrap/>
            <w:vAlign w:val="bottom"/>
            <w:hideMark/>
          </w:tcPr>
          <w:p w:rsidR="008708FA" w:rsidRPr="008708FA" w:rsidRDefault="008708FA" w:rsidP="008708FA">
            <w:pPr>
              <w:rPr>
                <w:rFonts w:eastAsia="Calibri" w:cs="Arial"/>
                <w:b/>
                <w:bCs/>
                <w:sz w:val="20"/>
                <w:szCs w:val="20"/>
              </w:rPr>
            </w:pPr>
            <w:r w:rsidRPr="008708FA">
              <w:rPr>
                <w:rFonts w:eastAsia="Calibri" w:cs="Arial"/>
                <w:b/>
                <w:bCs/>
                <w:sz w:val="20"/>
                <w:szCs w:val="20"/>
              </w:rPr>
              <w:t>Total</w:t>
            </w:r>
          </w:p>
        </w:tc>
        <w:tc>
          <w:tcPr>
            <w:tcW w:w="474" w:type="pct"/>
            <w:shd w:val="clear" w:color="auto" w:fill="auto"/>
            <w:noWrap/>
            <w:vAlign w:val="center"/>
            <w:hideMark/>
          </w:tcPr>
          <w:p w:rsidR="008708FA" w:rsidRPr="008708FA" w:rsidRDefault="008708FA" w:rsidP="008708FA">
            <w:pPr>
              <w:jc w:val="center"/>
              <w:rPr>
                <w:rFonts w:eastAsia="Calibri" w:cs="Arial"/>
                <w:b/>
                <w:bCs/>
                <w:sz w:val="20"/>
                <w:szCs w:val="20"/>
              </w:rPr>
            </w:pPr>
            <w:r w:rsidRPr="008708FA">
              <w:rPr>
                <w:rFonts w:eastAsia="Calibri" w:cs="Arial"/>
                <w:b/>
                <w:bCs/>
                <w:sz w:val="20"/>
                <w:szCs w:val="20"/>
              </w:rPr>
              <w:t>238</w:t>
            </w:r>
          </w:p>
        </w:tc>
        <w:tc>
          <w:tcPr>
            <w:tcW w:w="548" w:type="pct"/>
            <w:vAlign w:val="center"/>
          </w:tcPr>
          <w:p w:rsidR="008708FA" w:rsidRPr="008708FA" w:rsidRDefault="008708FA" w:rsidP="008708FA">
            <w:pPr>
              <w:jc w:val="center"/>
              <w:rPr>
                <w:rFonts w:eastAsia="Calibri" w:cs="Arial"/>
                <w:b/>
                <w:bCs/>
                <w:sz w:val="20"/>
                <w:szCs w:val="20"/>
              </w:rPr>
            </w:pPr>
            <w:r w:rsidRPr="008708FA">
              <w:rPr>
                <w:rFonts w:eastAsia="Calibri" w:cs="Arial"/>
                <w:b/>
                <w:bCs/>
                <w:sz w:val="20"/>
                <w:szCs w:val="20"/>
              </w:rPr>
              <w:t>100%</w:t>
            </w:r>
          </w:p>
        </w:tc>
      </w:tr>
    </w:tbl>
    <w:p w:rsidR="008708FA" w:rsidRPr="008708FA" w:rsidRDefault="008708FA" w:rsidP="008708FA">
      <w:pPr>
        <w:rPr>
          <w:rFonts w:eastAsia="Calibri"/>
          <w:i/>
          <w:sz w:val="16"/>
        </w:rPr>
      </w:pPr>
      <w:r w:rsidRPr="008708FA">
        <w:rPr>
          <w:rFonts w:eastAsia="Calibri"/>
          <w:i/>
          <w:sz w:val="16"/>
        </w:rPr>
        <w:t xml:space="preserve">Source: Own elaboration, based on DIP data. </w:t>
      </w:r>
      <w:r w:rsidRPr="008708FA">
        <w:rPr>
          <w:rFonts w:eastAsia="Calibri"/>
          <w:i/>
          <w:sz w:val="16"/>
        </w:rPr>
        <w:br/>
        <w:t>Note: Only the first applicant is taken into consideration.</w:t>
      </w:r>
    </w:p>
    <w:p w:rsidR="008708FA" w:rsidRPr="008708FA" w:rsidRDefault="008708FA" w:rsidP="008708FA">
      <w:pPr>
        <w:rPr>
          <w:rFonts w:eastAsia="Calibri"/>
        </w:rPr>
      </w:pPr>
    </w:p>
    <w:p w:rsidR="008708FA" w:rsidRPr="008708FA" w:rsidRDefault="008708FA" w:rsidP="008708FA">
      <w:pPr>
        <w:rPr>
          <w:rFonts w:eastAsia="Calibri"/>
        </w:rPr>
      </w:pPr>
    </w:p>
    <w:p w:rsidR="008708FA" w:rsidRPr="009E1F3F" w:rsidRDefault="008708FA" w:rsidP="008708FA">
      <w:pPr>
        <w:rPr>
          <w:rFonts w:eastAsia="Calibri"/>
          <w:b/>
          <w:bCs/>
          <w:i/>
          <w:sz w:val="20"/>
          <w:szCs w:val="20"/>
        </w:rPr>
      </w:pPr>
      <w:bookmarkStart w:id="106" w:name="_Ref367883678"/>
      <w:bookmarkStart w:id="107" w:name="_Toc359581436"/>
      <w:r w:rsidRPr="009E1F3F">
        <w:rPr>
          <w:rFonts w:eastAsia="Calibri"/>
          <w:b/>
          <w:bCs/>
          <w:i/>
          <w:sz w:val="20"/>
          <w:szCs w:val="20"/>
        </w:rPr>
        <w:t xml:space="preserve">Table A. </w:t>
      </w:r>
      <w:r w:rsidRPr="008708FA">
        <w:rPr>
          <w:rFonts w:eastAsia="Calibri"/>
          <w:b/>
          <w:bCs/>
          <w:i/>
          <w:sz w:val="20"/>
          <w:szCs w:val="18"/>
        </w:rPr>
        <w:fldChar w:fldCharType="begin"/>
      </w:r>
      <w:r w:rsidRPr="008708FA">
        <w:rPr>
          <w:rFonts w:eastAsia="Calibri"/>
          <w:b/>
          <w:bCs/>
          <w:i/>
          <w:sz w:val="20"/>
          <w:szCs w:val="18"/>
        </w:rPr>
        <w:instrText xml:space="preserve"> SEQ Table_A. \* ARABIC </w:instrText>
      </w:r>
      <w:r w:rsidRPr="008708FA">
        <w:rPr>
          <w:rFonts w:eastAsia="Calibri"/>
          <w:b/>
          <w:bCs/>
          <w:i/>
          <w:sz w:val="20"/>
          <w:szCs w:val="18"/>
        </w:rPr>
        <w:fldChar w:fldCharType="separate"/>
      </w:r>
      <w:r w:rsidR="006A4BE7">
        <w:rPr>
          <w:rFonts w:eastAsia="Calibri"/>
          <w:b/>
          <w:bCs/>
          <w:i/>
          <w:noProof/>
          <w:sz w:val="20"/>
          <w:szCs w:val="18"/>
        </w:rPr>
        <w:t>3</w:t>
      </w:r>
      <w:r w:rsidRPr="008708FA">
        <w:rPr>
          <w:rFonts w:eastAsia="Calibri"/>
          <w:b/>
          <w:bCs/>
          <w:i/>
          <w:sz w:val="20"/>
          <w:szCs w:val="18"/>
        </w:rPr>
        <w:fldChar w:fldCharType="end"/>
      </w:r>
      <w:bookmarkEnd w:id="106"/>
      <w:r w:rsidRPr="009E1F3F">
        <w:rPr>
          <w:rFonts w:eastAsia="Calibri"/>
          <w:b/>
          <w:bCs/>
          <w:i/>
          <w:sz w:val="20"/>
          <w:szCs w:val="20"/>
        </w:rPr>
        <w:t>: Number of Applications from Universities</w:t>
      </w:r>
      <w:bookmarkEnd w:id="107"/>
    </w:p>
    <w:p w:rsidR="008708FA" w:rsidRPr="009E1F3F" w:rsidRDefault="008708FA" w:rsidP="008708FA">
      <w:pPr>
        <w:rPr>
          <w:rFonts w:eastAsia="Calibri"/>
          <w:b/>
          <w:bCs/>
          <w:i/>
          <w:sz w:val="20"/>
          <w:szCs w:val="20"/>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747"/>
        <w:gridCol w:w="867"/>
      </w:tblGrid>
      <w:tr w:rsidR="008708FA" w:rsidRPr="008708FA" w:rsidTr="005C2427">
        <w:tc>
          <w:tcPr>
            <w:tcW w:w="4803" w:type="dxa"/>
            <w:shd w:val="clear" w:color="auto" w:fill="8DB3E2" w:themeFill="text2" w:themeFillTint="66"/>
            <w:noWrap/>
            <w:vAlign w:val="bottom"/>
          </w:tcPr>
          <w:p w:rsidR="008708FA" w:rsidRPr="008708FA" w:rsidRDefault="008708FA" w:rsidP="008708FA">
            <w:pPr>
              <w:jc w:val="center"/>
              <w:rPr>
                <w:rFonts w:eastAsia="Calibri" w:cs="Arial"/>
                <w:b/>
                <w:bCs/>
                <w:sz w:val="20"/>
                <w:szCs w:val="20"/>
              </w:rPr>
            </w:pPr>
            <w:r w:rsidRPr="008708FA">
              <w:rPr>
                <w:rFonts w:eastAsia="Calibri" w:cs="Arial"/>
                <w:b/>
                <w:bCs/>
                <w:sz w:val="20"/>
                <w:szCs w:val="20"/>
              </w:rPr>
              <w:t>University</w:t>
            </w:r>
          </w:p>
        </w:tc>
        <w:tc>
          <w:tcPr>
            <w:tcW w:w="747" w:type="dxa"/>
            <w:shd w:val="clear" w:color="auto" w:fill="8DB3E2" w:themeFill="text2" w:themeFillTint="66"/>
            <w:noWrap/>
            <w:vAlign w:val="center"/>
          </w:tcPr>
          <w:p w:rsidR="008708FA" w:rsidRPr="008708FA" w:rsidRDefault="008708FA" w:rsidP="008708FA">
            <w:pPr>
              <w:jc w:val="center"/>
              <w:rPr>
                <w:rFonts w:eastAsia="Calibri" w:cs="Arial"/>
                <w:b/>
                <w:bCs/>
                <w:sz w:val="20"/>
                <w:szCs w:val="20"/>
              </w:rPr>
            </w:pPr>
            <w:r w:rsidRPr="008708FA">
              <w:rPr>
                <w:rFonts w:eastAsia="Calibri" w:cs="Arial"/>
                <w:b/>
                <w:bCs/>
                <w:sz w:val="20"/>
                <w:szCs w:val="20"/>
              </w:rPr>
              <w:t>Total</w:t>
            </w:r>
          </w:p>
        </w:tc>
        <w:tc>
          <w:tcPr>
            <w:tcW w:w="867" w:type="dxa"/>
            <w:shd w:val="clear" w:color="auto" w:fill="8DB3E2" w:themeFill="text2" w:themeFillTint="66"/>
            <w:vAlign w:val="center"/>
          </w:tcPr>
          <w:p w:rsidR="008708FA" w:rsidRPr="008708FA" w:rsidRDefault="008708FA" w:rsidP="008708FA">
            <w:pPr>
              <w:jc w:val="center"/>
              <w:rPr>
                <w:rFonts w:eastAsia="Calibri" w:cs="Arial"/>
                <w:b/>
                <w:bCs/>
                <w:sz w:val="20"/>
                <w:szCs w:val="20"/>
              </w:rPr>
            </w:pPr>
            <w:r w:rsidRPr="008708FA">
              <w:rPr>
                <w:rFonts w:eastAsia="Calibri" w:cs="Arial"/>
                <w:b/>
                <w:bCs/>
                <w:sz w:val="20"/>
                <w:szCs w:val="20"/>
              </w:rPr>
              <w:t>%</w:t>
            </w:r>
          </w:p>
        </w:tc>
      </w:tr>
      <w:tr w:rsidR="008708FA" w:rsidRPr="008708FA" w:rsidTr="005C2427">
        <w:tc>
          <w:tcPr>
            <w:tcW w:w="4803" w:type="dxa"/>
            <w:shd w:val="clear" w:color="auto" w:fill="auto"/>
            <w:noWrap/>
            <w:vAlign w:val="bottom"/>
            <w:hideMark/>
          </w:tcPr>
          <w:p w:rsidR="008708FA" w:rsidRPr="008708FA" w:rsidRDefault="008708FA" w:rsidP="008708FA">
            <w:pPr>
              <w:rPr>
                <w:rFonts w:eastAsia="Calibri" w:cs="Arial"/>
                <w:sz w:val="20"/>
                <w:szCs w:val="20"/>
              </w:rPr>
            </w:pPr>
            <w:proofErr w:type="spellStart"/>
            <w:r w:rsidRPr="008708FA">
              <w:rPr>
                <w:rFonts w:eastAsia="Calibri" w:cs="Arial"/>
                <w:sz w:val="20"/>
                <w:szCs w:val="20"/>
              </w:rPr>
              <w:t>Khon</w:t>
            </w:r>
            <w:proofErr w:type="spellEnd"/>
            <w:r w:rsidRPr="008708FA">
              <w:rPr>
                <w:rFonts w:eastAsia="Calibri" w:cs="Arial"/>
                <w:sz w:val="20"/>
                <w:szCs w:val="20"/>
              </w:rPr>
              <w:t xml:space="preserve"> </w:t>
            </w:r>
            <w:proofErr w:type="spellStart"/>
            <w:r w:rsidRPr="008708FA">
              <w:rPr>
                <w:rFonts w:eastAsia="Calibri" w:cs="Arial"/>
                <w:sz w:val="20"/>
                <w:szCs w:val="20"/>
              </w:rPr>
              <w:t>Kaen</w:t>
            </w:r>
            <w:proofErr w:type="spellEnd"/>
            <w:r w:rsidRPr="008708FA">
              <w:rPr>
                <w:rFonts w:eastAsia="Calibri" w:cs="Arial"/>
                <w:sz w:val="20"/>
                <w:szCs w:val="20"/>
              </w:rPr>
              <w:t xml:space="preserve"> University</w:t>
            </w:r>
          </w:p>
        </w:tc>
        <w:tc>
          <w:tcPr>
            <w:tcW w:w="747" w:type="dxa"/>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141</w:t>
            </w:r>
          </w:p>
        </w:tc>
        <w:tc>
          <w:tcPr>
            <w:tcW w:w="867" w:type="dxa"/>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20.3</w:t>
            </w:r>
          </w:p>
        </w:tc>
      </w:tr>
      <w:tr w:rsidR="008708FA" w:rsidRPr="008708FA" w:rsidTr="005C2427">
        <w:tc>
          <w:tcPr>
            <w:tcW w:w="4803" w:type="dxa"/>
            <w:shd w:val="clear" w:color="auto" w:fill="auto"/>
            <w:noWrap/>
            <w:vAlign w:val="bottom"/>
            <w:hideMark/>
          </w:tcPr>
          <w:p w:rsidR="008708FA" w:rsidRPr="008708FA" w:rsidRDefault="008708FA" w:rsidP="008708FA">
            <w:pPr>
              <w:rPr>
                <w:rFonts w:eastAsia="Calibri" w:cs="Arial"/>
                <w:sz w:val="20"/>
                <w:szCs w:val="20"/>
              </w:rPr>
            </w:pPr>
            <w:proofErr w:type="spellStart"/>
            <w:r w:rsidRPr="008708FA">
              <w:rPr>
                <w:rFonts w:eastAsia="Calibri" w:cs="Arial"/>
                <w:sz w:val="20"/>
                <w:szCs w:val="20"/>
              </w:rPr>
              <w:t>Mahidol</w:t>
            </w:r>
            <w:proofErr w:type="spellEnd"/>
            <w:r w:rsidRPr="008708FA">
              <w:rPr>
                <w:rFonts w:eastAsia="Calibri" w:cs="Arial"/>
                <w:sz w:val="20"/>
                <w:szCs w:val="20"/>
              </w:rPr>
              <w:t xml:space="preserve"> University</w:t>
            </w:r>
          </w:p>
        </w:tc>
        <w:tc>
          <w:tcPr>
            <w:tcW w:w="747" w:type="dxa"/>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121</w:t>
            </w:r>
          </w:p>
        </w:tc>
        <w:tc>
          <w:tcPr>
            <w:tcW w:w="867" w:type="dxa"/>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17.4</w:t>
            </w:r>
          </w:p>
        </w:tc>
      </w:tr>
      <w:tr w:rsidR="008708FA" w:rsidRPr="008708FA" w:rsidTr="005C2427">
        <w:tc>
          <w:tcPr>
            <w:tcW w:w="4803" w:type="dxa"/>
            <w:shd w:val="clear" w:color="auto" w:fill="auto"/>
            <w:noWrap/>
            <w:vAlign w:val="bottom"/>
            <w:hideMark/>
          </w:tcPr>
          <w:p w:rsidR="008708FA" w:rsidRPr="008708FA" w:rsidRDefault="008708FA" w:rsidP="008708FA">
            <w:pPr>
              <w:rPr>
                <w:rFonts w:eastAsia="Calibri" w:cs="Arial"/>
                <w:sz w:val="20"/>
                <w:szCs w:val="20"/>
              </w:rPr>
            </w:pPr>
            <w:proofErr w:type="spellStart"/>
            <w:r w:rsidRPr="008708FA">
              <w:rPr>
                <w:rFonts w:eastAsia="Calibri" w:cs="Arial"/>
                <w:sz w:val="20"/>
                <w:szCs w:val="20"/>
              </w:rPr>
              <w:t>Kasetsart</w:t>
            </w:r>
            <w:proofErr w:type="spellEnd"/>
            <w:r w:rsidRPr="008708FA">
              <w:rPr>
                <w:rFonts w:eastAsia="Calibri" w:cs="Arial"/>
                <w:sz w:val="20"/>
                <w:szCs w:val="20"/>
              </w:rPr>
              <w:t xml:space="preserve"> University</w:t>
            </w:r>
          </w:p>
        </w:tc>
        <w:tc>
          <w:tcPr>
            <w:tcW w:w="747" w:type="dxa"/>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86</w:t>
            </w:r>
          </w:p>
        </w:tc>
        <w:tc>
          <w:tcPr>
            <w:tcW w:w="867" w:type="dxa"/>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12.4</w:t>
            </w:r>
          </w:p>
        </w:tc>
      </w:tr>
      <w:tr w:rsidR="008708FA" w:rsidRPr="008708FA" w:rsidTr="005C2427">
        <w:tc>
          <w:tcPr>
            <w:tcW w:w="4803" w:type="dxa"/>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 xml:space="preserve">King </w:t>
            </w:r>
            <w:proofErr w:type="spellStart"/>
            <w:r w:rsidRPr="008708FA">
              <w:rPr>
                <w:rFonts w:eastAsia="Calibri" w:cs="Arial"/>
                <w:sz w:val="20"/>
                <w:szCs w:val="20"/>
              </w:rPr>
              <w:t>Mongkut's</w:t>
            </w:r>
            <w:proofErr w:type="spellEnd"/>
            <w:r w:rsidRPr="008708FA">
              <w:rPr>
                <w:rFonts w:eastAsia="Calibri" w:cs="Arial"/>
                <w:sz w:val="20"/>
                <w:szCs w:val="20"/>
              </w:rPr>
              <w:t xml:space="preserve"> University of Technology North Bangkok</w:t>
            </w:r>
          </w:p>
        </w:tc>
        <w:tc>
          <w:tcPr>
            <w:tcW w:w="747" w:type="dxa"/>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54</w:t>
            </w:r>
          </w:p>
        </w:tc>
        <w:tc>
          <w:tcPr>
            <w:tcW w:w="867" w:type="dxa"/>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7.8</w:t>
            </w:r>
          </w:p>
        </w:tc>
      </w:tr>
      <w:tr w:rsidR="008708FA" w:rsidRPr="008708FA" w:rsidTr="005C2427">
        <w:tc>
          <w:tcPr>
            <w:tcW w:w="4803" w:type="dxa"/>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 xml:space="preserve">Prince of </w:t>
            </w:r>
            <w:proofErr w:type="spellStart"/>
            <w:r w:rsidRPr="008708FA">
              <w:rPr>
                <w:rFonts w:eastAsia="Calibri" w:cs="Arial"/>
                <w:sz w:val="20"/>
                <w:szCs w:val="20"/>
              </w:rPr>
              <w:t>Songkla</w:t>
            </w:r>
            <w:proofErr w:type="spellEnd"/>
            <w:r w:rsidRPr="008708FA">
              <w:rPr>
                <w:rFonts w:eastAsia="Calibri" w:cs="Arial"/>
                <w:sz w:val="20"/>
                <w:szCs w:val="20"/>
              </w:rPr>
              <w:t xml:space="preserve"> University</w:t>
            </w:r>
          </w:p>
        </w:tc>
        <w:tc>
          <w:tcPr>
            <w:tcW w:w="747" w:type="dxa"/>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50</w:t>
            </w:r>
          </w:p>
        </w:tc>
        <w:tc>
          <w:tcPr>
            <w:tcW w:w="867" w:type="dxa"/>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7.2</w:t>
            </w:r>
          </w:p>
        </w:tc>
      </w:tr>
      <w:tr w:rsidR="008708FA" w:rsidRPr="008708FA" w:rsidTr="005C2427">
        <w:tc>
          <w:tcPr>
            <w:tcW w:w="4803" w:type="dxa"/>
            <w:shd w:val="clear" w:color="auto" w:fill="auto"/>
            <w:noWrap/>
            <w:vAlign w:val="bottom"/>
            <w:hideMark/>
          </w:tcPr>
          <w:p w:rsidR="008708FA" w:rsidRPr="008708FA" w:rsidRDefault="008708FA" w:rsidP="008708FA">
            <w:pPr>
              <w:rPr>
                <w:rFonts w:eastAsia="Calibri" w:cs="Arial"/>
                <w:sz w:val="20"/>
                <w:szCs w:val="20"/>
              </w:rPr>
            </w:pPr>
            <w:proofErr w:type="spellStart"/>
            <w:r w:rsidRPr="008708FA">
              <w:rPr>
                <w:rFonts w:eastAsia="Calibri" w:cs="Arial"/>
                <w:sz w:val="20"/>
                <w:szCs w:val="20"/>
              </w:rPr>
              <w:t>Naresuan</w:t>
            </w:r>
            <w:proofErr w:type="spellEnd"/>
            <w:r w:rsidRPr="008708FA">
              <w:rPr>
                <w:rFonts w:eastAsia="Calibri" w:cs="Arial"/>
                <w:sz w:val="20"/>
                <w:szCs w:val="20"/>
              </w:rPr>
              <w:t xml:space="preserve"> University</w:t>
            </w:r>
          </w:p>
        </w:tc>
        <w:tc>
          <w:tcPr>
            <w:tcW w:w="747" w:type="dxa"/>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48</w:t>
            </w:r>
          </w:p>
        </w:tc>
        <w:tc>
          <w:tcPr>
            <w:tcW w:w="867" w:type="dxa"/>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6.9</w:t>
            </w:r>
          </w:p>
        </w:tc>
      </w:tr>
      <w:tr w:rsidR="008708FA" w:rsidRPr="008708FA" w:rsidTr="005C2427">
        <w:tc>
          <w:tcPr>
            <w:tcW w:w="4803" w:type="dxa"/>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 xml:space="preserve">King </w:t>
            </w:r>
            <w:proofErr w:type="spellStart"/>
            <w:r w:rsidRPr="008708FA">
              <w:rPr>
                <w:rFonts w:eastAsia="Calibri" w:cs="Arial"/>
                <w:sz w:val="20"/>
                <w:szCs w:val="20"/>
              </w:rPr>
              <w:t>Mongkut's</w:t>
            </w:r>
            <w:proofErr w:type="spellEnd"/>
            <w:r w:rsidRPr="008708FA">
              <w:rPr>
                <w:rFonts w:eastAsia="Calibri" w:cs="Arial"/>
                <w:sz w:val="20"/>
                <w:szCs w:val="20"/>
              </w:rPr>
              <w:t xml:space="preserve"> University of Technology </w:t>
            </w:r>
            <w:proofErr w:type="spellStart"/>
            <w:r w:rsidRPr="008708FA">
              <w:rPr>
                <w:rFonts w:eastAsia="Calibri" w:cs="Arial"/>
                <w:sz w:val="20"/>
                <w:szCs w:val="20"/>
              </w:rPr>
              <w:t>Thonburi</w:t>
            </w:r>
            <w:proofErr w:type="spellEnd"/>
          </w:p>
        </w:tc>
        <w:tc>
          <w:tcPr>
            <w:tcW w:w="747" w:type="dxa"/>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41</w:t>
            </w:r>
          </w:p>
        </w:tc>
        <w:tc>
          <w:tcPr>
            <w:tcW w:w="867" w:type="dxa"/>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5.9</w:t>
            </w:r>
          </w:p>
        </w:tc>
      </w:tr>
      <w:tr w:rsidR="008708FA" w:rsidRPr="008708FA" w:rsidTr="005C2427">
        <w:tc>
          <w:tcPr>
            <w:tcW w:w="4803" w:type="dxa"/>
            <w:shd w:val="clear" w:color="auto" w:fill="auto"/>
            <w:noWrap/>
            <w:vAlign w:val="bottom"/>
            <w:hideMark/>
          </w:tcPr>
          <w:p w:rsidR="008708FA" w:rsidRPr="008708FA" w:rsidRDefault="008708FA" w:rsidP="008708FA">
            <w:pPr>
              <w:rPr>
                <w:rFonts w:eastAsia="Calibri" w:cs="Arial"/>
                <w:sz w:val="20"/>
                <w:szCs w:val="20"/>
              </w:rPr>
            </w:pPr>
            <w:proofErr w:type="spellStart"/>
            <w:r w:rsidRPr="008708FA">
              <w:rPr>
                <w:rFonts w:eastAsia="Calibri" w:cs="Arial"/>
                <w:sz w:val="20"/>
                <w:szCs w:val="20"/>
              </w:rPr>
              <w:t>Chulalongkorn</w:t>
            </w:r>
            <w:proofErr w:type="spellEnd"/>
            <w:r w:rsidRPr="008708FA">
              <w:rPr>
                <w:rFonts w:eastAsia="Calibri" w:cs="Arial"/>
                <w:sz w:val="20"/>
                <w:szCs w:val="20"/>
              </w:rPr>
              <w:t xml:space="preserve"> University</w:t>
            </w:r>
          </w:p>
        </w:tc>
        <w:tc>
          <w:tcPr>
            <w:tcW w:w="747" w:type="dxa"/>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37</w:t>
            </w:r>
          </w:p>
        </w:tc>
        <w:tc>
          <w:tcPr>
            <w:tcW w:w="867" w:type="dxa"/>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5.3</w:t>
            </w:r>
          </w:p>
        </w:tc>
      </w:tr>
      <w:tr w:rsidR="008708FA" w:rsidRPr="008708FA" w:rsidTr="005C2427">
        <w:tc>
          <w:tcPr>
            <w:tcW w:w="4803" w:type="dxa"/>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Chiang Mai University</w:t>
            </w:r>
          </w:p>
        </w:tc>
        <w:tc>
          <w:tcPr>
            <w:tcW w:w="747" w:type="dxa"/>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21</w:t>
            </w:r>
          </w:p>
        </w:tc>
        <w:tc>
          <w:tcPr>
            <w:tcW w:w="867" w:type="dxa"/>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3.0</w:t>
            </w:r>
          </w:p>
        </w:tc>
      </w:tr>
      <w:tr w:rsidR="008708FA" w:rsidRPr="008708FA" w:rsidTr="005C2427">
        <w:tc>
          <w:tcPr>
            <w:tcW w:w="4803" w:type="dxa"/>
            <w:shd w:val="clear" w:color="auto" w:fill="auto"/>
            <w:noWrap/>
            <w:vAlign w:val="bottom"/>
            <w:hideMark/>
          </w:tcPr>
          <w:p w:rsidR="008708FA" w:rsidRPr="008708FA" w:rsidRDefault="008708FA" w:rsidP="008708FA">
            <w:pPr>
              <w:rPr>
                <w:rFonts w:eastAsia="Calibri" w:cs="Arial"/>
                <w:sz w:val="20"/>
                <w:szCs w:val="20"/>
              </w:rPr>
            </w:pPr>
            <w:proofErr w:type="spellStart"/>
            <w:r w:rsidRPr="008708FA">
              <w:rPr>
                <w:rFonts w:eastAsia="Calibri" w:cs="Arial"/>
                <w:sz w:val="20"/>
                <w:szCs w:val="20"/>
              </w:rPr>
              <w:t>Ubon</w:t>
            </w:r>
            <w:proofErr w:type="spellEnd"/>
            <w:r w:rsidRPr="008708FA">
              <w:rPr>
                <w:rFonts w:eastAsia="Calibri" w:cs="Arial"/>
                <w:sz w:val="20"/>
                <w:szCs w:val="20"/>
              </w:rPr>
              <w:t xml:space="preserve"> </w:t>
            </w:r>
            <w:proofErr w:type="spellStart"/>
            <w:r w:rsidRPr="008708FA">
              <w:rPr>
                <w:rFonts w:eastAsia="Calibri" w:cs="Arial"/>
                <w:sz w:val="20"/>
                <w:szCs w:val="20"/>
              </w:rPr>
              <w:t>Ratchathani</w:t>
            </w:r>
            <w:proofErr w:type="spellEnd"/>
            <w:r w:rsidRPr="008708FA">
              <w:rPr>
                <w:rFonts w:eastAsia="Calibri" w:cs="Arial"/>
                <w:sz w:val="20"/>
                <w:szCs w:val="20"/>
              </w:rPr>
              <w:t xml:space="preserve"> University</w:t>
            </w:r>
          </w:p>
        </w:tc>
        <w:tc>
          <w:tcPr>
            <w:tcW w:w="747" w:type="dxa"/>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18</w:t>
            </w:r>
          </w:p>
        </w:tc>
        <w:tc>
          <w:tcPr>
            <w:tcW w:w="867" w:type="dxa"/>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2.6</w:t>
            </w:r>
          </w:p>
        </w:tc>
      </w:tr>
      <w:tr w:rsidR="008708FA" w:rsidRPr="008708FA" w:rsidTr="005C2427">
        <w:tc>
          <w:tcPr>
            <w:tcW w:w="4803" w:type="dxa"/>
            <w:shd w:val="clear" w:color="auto" w:fill="auto"/>
            <w:noWrap/>
            <w:vAlign w:val="bottom"/>
            <w:hideMark/>
          </w:tcPr>
          <w:p w:rsidR="008708FA" w:rsidRPr="008708FA" w:rsidRDefault="008708FA" w:rsidP="008708FA">
            <w:pPr>
              <w:rPr>
                <w:rFonts w:eastAsia="Calibri" w:cs="Arial"/>
                <w:sz w:val="20"/>
                <w:szCs w:val="20"/>
              </w:rPr>
            </w:pPr>
            <w:proofErr w:type="spellStart"/>
            <w:r w:rsidRPr="008708FA">
              <w:rPr>
                <w:rFonts w:eastAsia="Calibri" w:cs="Arial"/>
                <w:sz w:val="20"/>
                <w:szCs w:val="20"/>
              </w:rPr>
              <w:t>Burapha</w:t>
            </w:r>
            <w:proofErr w:type="spellEnd"/>
            <w:r w:rsidRPr="008708FA">
              <w:rPr>
                <w:rFonts w:eastAsia="Calibri" w:cs="Arial"/>
                <w:sz w:val="20"/>
                <w:szCs w:val="20"/>
              </w:rPr>
              <w:t xml:space="preserve"> University</w:t>
            </w:r>
          </w:p>
        </w:tc>
        <w:tc>
          <w:tcPr>
            <w:tcW w:w="747" w:type="dxa"/>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14</w:t>
            </w:r>
          </w:p>
        </w:tc>
        <w:tc>
          <w:tcPr>
            <w:tcW w:w="867" w:type="dxa"/>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2.0</w:t>
            </w:r>
          </w:p>
        </w:tc>
      </w:tr>
      <w:tr w:rsidR="008708FA" w:rsidRPr="008708FA" w:rsidTr="005C2427">
        <w:tc>
          <w:tcPr>
            <w:tcW w:w="4803" w:type="dxa"/>
            <w:shd w:val="clear" w:color="auto" w:fill="auto"/>
            <w:noWrap/>
            <w:vAlign w:val="bottom"/>
            <w:hideMark/>
          </w:tcPr>
          <w:p w:rsidR="008708FA" w:rsidRPr="008708FA" w:rsidRDefault="008708FA" w:rsidP="008708FA">
            <w:pPr>
              <w:rPr>
                <w:rFonts w:eastAsia="Calibri" w:cs="Arial"/>
                <w:sz w:val="20"/>
                <w:szCs w:val="20"/>
              </w:rPr>
            </w:pPr>
            <w:proofErr w:type="spellStart"/>
            <w:r w:rsidRPr="008708FA">
              <w:rPr>
                <w:rFonts w:eastAsia="Calibri" w:cs="Arial"/>
                <w:sz w:val="20"/>
                <w:szCs w:val="20"/>
              </w:rPr>
              <w:t>Thammasat</w:t>
            </w:r>
            <w:proofErr w:type="spellEnd"/>
            <w:r w:rsidRPr="008708FA">
              <w:rPr>
                <w:rFonts w:eastAsia="Calibri" w:cs="Arial"/>
                <w:sz w:val="20"/>
                <w:szCs w:val="20"/>
              </w:rPr>
              <w:t xml:space="preserve"> University</w:t>
            </w:r>
          </w:p>
        </w:tc>
        <w:tc>
          <w:tcPr>
            <w:tcW w:w="747" w:type="dxa"/>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9</w:t>
            </w:r>
          </w:p>
        </w:tc>
        <w:tc>
          <w:tcPr>
            <w:tcW w:w="867" w:type="dxa"/>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1.3</w:t>
            </w:r>
          </w:p>
        </w:tc>
      </w:tr>
      <w:tr w:rsidR="008708FA" w:rsidRPr="008708FA" w:rsidTr="005C2427">
        <w:tc>
          <w:tcPr>
            <w:tcW w:w="4803" w:type="dxa"/>
            <w:shd w:val="clear" w:color="auto" w:fill="auto"/>
            <w:noWrap/>
            <w:vAlign w:val="bottom"/>
            <w:hideMark/>
          </w:tcPr>
          <w:p w:rsidR="008708FA" w:rsidRPr="008708FA" w:rsidRDefault="008708FA" w:rsidP="008708FA">
            <w:pPr>
              <w:rPr>
                <w:rFonts w:eastAsia="Calibri" w:cs="Arial"/>
                <w:sz w:val="20"/>
                <w:szCs w:val="20"/>
              </w:rPr>
            </w:pPr>
            <w:r w:rsidRPr="008708FA">
              <w:rPr>
                <w:rFonts w:eastAsia="Calibri" w:cs="Arial"/>
                <w:sz w:val="20"/>
                <w:szCs w:val="20"/>
              </w:rPr>
              <w:t>Others</w:t>
            </w:r>
          </w:p>
        </w:tc>
        <w:tc>
          <w:tcPr>
            <w:tcW w:w="747" w:type="dxa"/>
            <w:shd w:val="clear" w:color="auto" w:fill="auto"/>
            <w:noWrap/>
            <w:vAlign w:val="center"/>
            <w:hideMark/>
          </w:tcPr>
          <w:p w:rsidR="008708FA" w:rsidRPr="008708FA" w:rsidRDefault="008708FA" w:rsidP="008708FA">
            <w:pPr>
              <w:jc w:val="center"/>
              <w:rPr>
                <w:rFonts w:eastAsia="Calibri" w:cs="Arial"/>
                <w:sz w:val="20"/>
                <w:szCs w:val="20"/>
              </w:rPr>
            </w:pPr>
            <w:r w:rsidRPr="008708FA">
              <w:rPr>
                <w:rFonts w:eastAsia="Calibri" w:cs="Arial"/>
                <w:sz w:val="20"/>
                <w:szCs w:val="20"/>
              </w:rPr>
              <w:t>56</w:t>
            </w:r>
          </w:p>
        </w:tc>
        <w:tc>
          <w:tcPr>
            <w:tcW w:w="867" w:type="dxa"/>
            <w:vAlign w:val="center"/>
          </w:tcPr>
          <w:p w:rsidR="008708FA" w:rsidRPr="008708FA" w:rsidRDefault="008708FA" w:rsidP="008708FA">
            <w:pPr>
              <w:jc w:val="center"/>
              <w:rPr>
                <w:rFonts w:eastAsia="Calibri" w:cs="Arial"/>
                <w:sz w:val="20"/>
                <w:szCs w:val="20"/>
              </w:rPr>
            </w:pPr>
            <w:r w:rsidRPr="008708FA">
              <w:rPr>
                <w:rFonts w:eastAsia="Calibri" w:cs="Arial"/>
                <w:sz w:val="20"/>
                <w:szCs w:val="20"/>
              </w:rPr>
              <w:t>8.0</w:t>
            </w:r>
          </w:p>
        </w:tc>
      </w:tr>
      <w:tr w:rsidR="008708FA" w:rsidRPr="008708FA" w:rsidTr="005C2427">
        <w:tc>
          <w:tcPr>
            <w:tcW w:w="4803" w:type="dxa"/>
            <w:shd w:val="clear" w:color="auto" w:fill="auto"/>
            <w:noWrap/>
            <w:vAlign w:val="center"/>
            <w:hideMark/>
          </w:tcPr>
          <w:p w:rsidR="008708FA" w:rsidRPr="008708FA" w:rsidRDefault="008708FA" w:rsidP="008708FA">
            <w:pPr>
              <w:rPr>
                <w:rFonts w:eastAsia="Calibri" w:cs="Arial"/>
                <w:b/>
                <w:bCs/>
                <w:sz w:val="20"/>
                <w:szCs w:val="20"/>
              </w:rPr>
            </w:pPr>
            <w:r w:rsidRPr="008708FA">
              <w:rPr>
                <w:rFonts w:eastAsia="Calibri" w:cs="Arial"/>
                <w:b/>
                <w:bCs/>
                <w:sz w:val="20"/>
                <w:szCs w:val="20"/>
              </w:rPr>
              <w:t>Total</w:t>
            </w:r>
          </w:p>
        </w:tc>
        <w:tc>
          <w:tcPr>
            <w:tcW w:w="747" w:type="dxa"/>
            <w:shd w:val="clear" w:color="auto" w:fill="auto"/>
            <w:noWrap/>
            <w:vAlign w:val="center"/>
            <w:hideMark/>
          </w:tcPr>
          <w:p w:rsidR="008708FA" w:rsidRPr="008708FA" w:rsidRDefault="008708FA" w:rsidP="008708FA">
            <w:pPr>
              <w:jc w:val="center"/>
              <w:rPr>
                <w:rFonts w:eastAsia="Calibri" w:cs="Arial"/>
                <w:b/>
                <w:bCs/>
                <w:sz w:val="20"/>
                <w:szCs w:val="20"/>
              </w:rPr>
            </w:pPr>
            <w:r w:rsidRPr="008708FA">
              <w:rPr>
                <w:rFonts w:eastAsia="Calibri" w:cs="Arial"/>
                <w:b/>
                <w:bCs/>
                <w:sz w:val="20"/>
                <w:szCs w:val="20"/>
              </w:rPr>
              <w:t>696</w:t>
            </w:r>
          </w:p>
        </w:tc>
        <w:tc>
          <w:tcPr>
            <w:tcW w:w="867" w:type="dxa"/>
            <w:vAlign w:val="center"/>
          </w:tcPr>
          <w:p w:rsidR="008708FA" w:rsidRPr="008708FA" w:rsidRDefault="008708FA" w:rsidP="008708FA">
            <w:pPr>
              <w:jc w:val="center"/>
              <w:rPr>
                <w:rFonts w:eastAsia="Calibri" w:cs="Arial"/>
                <w:b/>
                <w:bCs/>
                <w:sz w:val="20"/>
                <w:szCs w:val="20"/>
              </w:rPr>
            </w:pPr>
            <w:r w:rsidRPr="008708FA">
              <w:rPr>
                <w:rFonts w:eastAsia="Calibri" w:cs="Arial"/>
                <w:b/>
                <w:bCs/>
                <w:sz w:val="20"/>
                <w:szCs w:val="20"/>
              </w:rPr>
              <w:t>100</w:t>
            </w:r>
          </w:p>
        </w:tc>
      </w:tr>
    </w:tbl>
    <w:p w:rsidR="008708FA" w:rsidRPr="008708FA" w:rsidRDefault="008708FA" w:rsidP="008708FA">
      <w:pPr>
        <w:rPr>
          <w:rFonts w:eastAsia="Calibri"/>
          <w:i/>
          <w:sz w:val="16"/>
        </w:rPr>
      </w:pPr>
      <w:bookmarkStart w:id="108" w:name="_Toc359581437"/>
      <w:r w:rsidRPr="008708FA">
        <w:rPr>
          <w:rFonts w:eastAsia="Calibri"/>
          <w:i/>
          <w:sz w:val="16"/>
        </w:rPr>
        <w:t xml:space="preserve">Source: Own elaboration, based on DIP data. </w:t>
      </w:r>
      <w:r w:rsidRPr="008708FA">
        <w:rPr>
          <w:rFonts w:eastAsia="Calibri"/>
          <w:i/>
          <w:sz w:val="16"/>
        </w:rPr>
        <w:br/>
        <w:t>Note: Only the first applicant is taken into consideration.</w:t>
      </w:r>
    </w:p>
    <w:p w:rsidR="008708FA" w:rsidRPr="008708FA" w:rsidRDefault="008708FA" w:rsidP="008708FA">
      <w:pPr>
        <w:rPr>
          <w:rFonts w:eastAsia="Calibri"/>
        </w:rPr>
      </w:pPr>
    </w:p>
    <w:bookmarkEnd w:id="108"/>
    <w:p w:rsidR="008708FA" w:rsidRPr="008708FA" w:rsidRDefault="008708FA" w:rsidP="008708FA">
      <w:pPr>
        <w:spacing w:line="276" w:lineRule="auto"/>
        <w:rPr>
          <w:rFonts w:eastAsia="Calibri"/>
        </w:rPr>
      </w:pPr>
      <w:r w:rsidRPr="008708FA">
        <w:rPr>
          <w:rFonts w:eastAsia="Calibri"/>
        </w:rPr>
        <w:br w:type="page"/>
      </w:r>
    </w:p>
    <w:p w:rsidR="008708FA" w:rsidRPr="008708FA" w:rsidRDefault="008708FA" w:rsidP="008708FA">
      <w:pPr>
        <w:rPr>
          <w:rFonts w:eastAsia="Calibri"/>
        </w:rPr>
      </w:pPr>
    </w:p>
    <w:p w:rsidR="008708FA" w:rsidRPr="009E1F3F" w:rsidRDefault="008708FA" w:rsidP="008708FA">
      <w:pPr>
        <w:rPr>
          <w:rFonts w:eastAsia="Calibri"/>
          <w:b/>
          <w:bCs/>
          <w:i/>
          <w:sz w:val="20"/>
          <w:szCs w:val="20"/>
        </w:rPr>
      </w:pPr>
      <w:r w:rsidRPr="009E1F3F">
        <w:rPr>
          <w:rFonts w:eastAsia="Calibri"/>
          <w:b/>
          <w:bCs/>
          <w:i/>
          <w:sz w:val="20"/>
          <w:szCs w:val="20"/>
        </w:rPr>
        <w:t xml:space="preserve">Table A. </w:t>
      </w:r>
      <w:r w:rsidRPr="008708FA">
        <w:rPr>
          <w:rFonts w:eastAsia="Calibri"/>
          <w:b/>
          <w:bCs/>
          <w:i/>
          <w:sz w:val="20"/>
          <w:szCs w:val="18"/>
        </w:rPr>
        <w:fldChar w:fldCharType="begin"/>
      </w:r>
      <w:r w:rsidRPr="008708FA">
        <w:rPr>
          <w:rFonts w:eastAsia="Calibri"/>
          <w:b/>
          <w:bCs/>
          <w:i/>
          <w:sz w:val="20"/>
          <w:szCs w:val="18"/>
        </w:rPr>
        <w:instrText xml:space="preserve"> SEQ Table_A. \* ARABIC </w:instrText>
      </w:r>
      <w:r w:rsidRPr="008708FA">
        <w:rPr>
          <w:rFonts w:eastAsia="Calibri"/>
          <w:b/>
          <w:bCs/>
          <w:i/>
          <w:sz w:val="20"/>
          <w:szCs w:val="18"/>
        </w:rPr>
        <w:fldChar w:fldCharType="separate"/>
      </w:r>
      <w:r w:rsidR="006A4BE7">
        <w:rPr>
          <w:rFonts w:eastAsia="Calibri"/>
          <w:b/>
          <w:bCs/>
          <w:i/>
          <w:noProof/>
          <w:sz w:val="20"/>
          <w:szCs w:val="18"/>
        </w:rPr>
        <w:t>4</w:t>
      </w:r>
      <w:r w:rsidRPr="008708FA">
        <w:rPr>
          <w:rFonts w:eastAsia="Calibri"/>
          <w:b/>
          <w:bCs/>
          <w:i/>
          <w:sz w:val="20"/>
          <w:szCs w:val="18"/>
        </w:rPr>
        <w:fldChar w:fldCharType="end"/>
      </w:r>
      <w:r w:rsidRPr="009E1F3F">
        <w:rPr>
          <w:rFonts w:eastAsia="Calibri"/>
          <w:b/>
          <w:bCs/>
          <w:i/>
          <w:sz w:val="20"/>
          <w:szCs w:val="20"/>
        </w:rPr>
        <w:t>: Registered Utility Model Applications by Technological field</w:t>
      </w:r>
    </w:p>
    <w:p w:rsidR="008708FA" w:rsidRPr="008708FA" w:rsidRDefault="008708FA" w:rsidP="008708FA">
      <w:pPr>
        <w:rPr>
          <w:rFonts w:eastAsia="Calibri"/>
        </w:rPr>
      </w:pPr>
    </w:p>
    <w:tbl>
      <w:tblPr>
        <w:tblW w:w="8875" w:type="dxa"/>
        <w:tblInd w:w="93" w:type="dxa"/>
        <w:tblLayout w:type="fixed"/>
        <w:tblLook w:val="04A0" w:firstRow="1" w:lastRow="0" w:firstColumn="1" w:lastColumn="0" w:noHBand="0" w:noVBand="1"/>
      </w:tblPr>
      <w:tblGrid>
        <w:gridCol w:w="706"/>
        <w:gridCol w:w="4616"/>
        <w:gridCol w:w="1184"/>
        <w:gridCol w:w="1184"/>
        <w:gridCol w:w="1185"/>
      </w:tblGrid>
      <w:tr w:rsidR="008708FA" w:rsidRPr="008708FA" w:rsidTr="005C2427">
        <w:trPr>
          <w:trHeight w:val="255"/>
        </w:trPr>
        <w:tc>
          <w:tcPr>
            <w:tcW w:w="706" w:type="dxa"/>
            <w:tcBorders>
              <w:top w:val="nil"/>
              <w:left w:val="nil"/>
              <w:bottom w:val="single" w:sz="4" w:space="0" w:color="auto"/>
              <w:right w:val="nil"/>
            </w:tcBorders>
            <w:shd w:val="clear" w:color="auto" w:fill="8DB3E2" w:themeFill="text2" w:themeFillTint="66"/>
            <w:noWrap/>
            <w:vAlign w:val="bottom"/>
            <w:hideMark/>
          </w:tcPr>
          <w:p w:rsidR="008708FA" w:rsidRPr="008708FA" w:rsidRDefault="008708FA" w:rsidP="008708FA">
            <w:pPr>
              <w:jc w:val="right"/>
              <w:rPr>
                <w:rFonts w:cs="Arial"/>
                <w:b/>
                <w:bCs/>
                <w:color w:val="000000"/>
                <w:sz w:val="20"/>
                <w:szCs w:val="20"/>
              </w:rPr>
            </w:pPr>
            <w:r w:rsidRPr="008708FA">
              <w:rPr>
                <w:rFonts w:cs="Arial"/>
                <w:b/>
                <w:bCs/>
                <w:color w:val="000000"/>
                <w:sz w:val="20"/>
                <w:szCs w:val="20"/>
              </w:rPr>
              <w:t>Rank</w:t>
            </w:r>
          </w:p>
        </w:tc>
        <w:tc>
          <w:tcPr>
            <w:tcW w:w="4616" w:type="dxa"/>
            <w:tcBorders>
              <w:top w:val="nil"/>
              <w:left w:val="nil"/>
              <w:bottom w:val="single" w:sz="4" w:space="0" w:color="auto"/>
              <w:right w:val="nil"/>
            </w:tcBorders>
            <w:shd w:val="clear" w:color="auto" w:fill="8DB3E2" w:themeFill="text2" w:themeFillTint="66"/>
            <w:noWrap/>
            <w:vAlign w:val="bottom"/>
            <w:hideMark/>
          </w:tcPr>
          <w:p w:rsidR="008708FA" w:rsidRPr="008708FA" w:rsidRDefault="008708FA" w:rsidP="008708FA">
            <w:pPr>
              <w:rPr>
                <w:rFonts w:cs="Arial"/>
                <w:b/>
                <w:bCs/>
                <w:color w:val="000000"/>
                <w:sz w:val="20"/>
                <w:szCs w:val="20"/>
              </w:rPr>
            </w:pPr>
            <w:r w:rsidRPr="008708FA">
              <w:rPr>
                <w:rFonts w:cs="Arial"/>
                <w:b/>
                <w:bCs/>
                <w:color w:val="000000"/>
                <w:sz w:val="20"/>
                <w:szCs w:val="20"/>
              </w:rPr>
              <w:t>Technological Field</w:t>
            </w:r>
          </w:p>
        </w:tc>
        <w:tc>
          <w:tcPr>
            <w:tcW w:w="1184" w:type="dxa"/>
            <w:tcBorders>
              <w:top w:val="nil"/>
              <w:left w:val="nil"/>
              <w:bottom w:val="single" w:sz="4" w:space="0" w:color="auto"/>
              <w:right w:val="nil"/>
            </w:tcBorders>
            <w:shd w:val="clear" w:color="auto" w:fill="8DB3E2" w:themeFill="text2" w:themeFillTint="66"/>
            <w:noWrap/>
            <w:vAlign w:val="bottom"/>
            <w:hideMark/>
          </w:tcPr>
          <w:p w:rsidR="008708FA" w:rsidRPr="008708FA" w:rsidRDefault="008708FA" w:rsidP="008708FA">
            <w:pPr>
              <w:jc w:val="center"/>
              <w:rPr>
                <w:rFonts w:cs="Arial"/>
                <w:b/>
                <w:bCs/>
                <w:color w:val="000000"/>
                <w:sz w:val="20"/>
                <w:szCs w:val="20"/>
              </w:rPr>
            </w:pPr>
            <w:r w:rsidRPr="008708FA">
              <w:rPr>
                <w:rFonts w:cs="Arial"/>
                <w:b/>
                <w:bCs/>
                <w:color w:val="000000"/>
                <w:sz w:val="20"/>
                <w:szCs w:val="20"/>
              </w:rPr>
              <w:t>Q</w:t>
            </w:r>
          </w:p>
        </w:tc>
        <w:tc>
          <w:tcPr>
            <w:tcW w:w="1184" w:type="dxa"/>
            <w:tcBorders>
              <w:top w:val="nil"/>
              <w:left w:val="nil"/>
              <w:bottom w:val="single" w:sz="4" w:space="0" w:color="auto"/>
              <w:right w:val="nil"/>
            </w:tcBorders>
            <w:shd w:val="clear" w:color="auto" w:fill="8DB3E2" w:themeFill="text2" w:themeFillTint="66"/>
            <w:noWrap/>
            <w:vAlign w:val="bottom"/>
            <w:hideMark/>
          </w:tcPr>
          <w:p w:rsidR="008708FA" w:rsidRPr="008708FA" w:rsidRDefault="008708FA" w:rsidP="008708FA">
            <w:pPr>
              <w:jc w:val="center"/>
              <w:rPr>
                <w:rFonts w:cs="Arial"/>
                <w:b/>
                <w:bCs/>
                <w:color w:val="000000"/>
                <w:sz w:val="20"/>
                <w:szCs w:val="20"/>
              </w:rPr>
            </w:pPr>
            <w:r w:rsidRPr="008708FA">
              <w:rPr>
                <w:rFonts w:cs="Arial"/>
                <w:b/>
                <w:bCs/>
                <w:color w:val="000000"/>
                <w:sz w:val="20"/>
                <w:szCs w:val="20"/>
              </w:rPr>
              <w:t>%*</w:t>
            </w:r>
          </w:p>
        </w:tc>
        <w:tc>
          <w:tcPr>
            <w:tcW w:w="1185" w:type="dxa"/>
            <w:tcBorders>
              <w:top w:val="nil"/>
              <w:left w:val="nil"/>
              <w:bottom w:val="single" w:sz="4" w:space="0" w:color="auto"/>
              <w:right w:val="nil"/>
            </w:tcBorders>
            <w:shd w:val="clear" w:color="auto" w:fill="8DB3E2" w:themeFill="text2" w:themeFillTint="66"/>
            <w:noWrap/>
            <w:vAlign w:val="bottom"/>
            <w:hideMark/>
          </w:tcPr>
          <w:p w:rsidR="008708FA" w:rsidRPr="008708FA" w:rsidRDefault="008708FA" w:rsidP="008708FA">
            <w:pPr>
              <w:jc w:val="center"/>
              <w:rPr>
                <w:rFonts w:cs="Arial"/>
                <w:b/>
                <w:bCs/>
                <w:color w:val="000000"/>
                <w:sz w:val="20"/>
                <w:szCs w:val="20"/>
              </w:rPr>
            </w:pPr>
            <w:r w:rsidRPr="008708FA">
              <w:rPr>
                <w:rFonts w:cs="Arial"/>
                <w:b/>
                <w:bCs/>
                <w:color w:val="000000"/>
                <w:sz w:val="20"/>
                <w:szCs w:val="20"/>
              </w:rPr>
              <w:t>Cum %*</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Food chemistry</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791</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10.5%</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10.5%</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2</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Civil engineering</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589</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7.9%</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18.4%</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3</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Other special machines</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574</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7.7%</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26.1%</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4</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Transport</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543</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7.2%</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33.3%</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5</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Furniture, games</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509</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6.8%</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40.1%</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6</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Handling</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482</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6.4%</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46.5%</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7</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Other consumer goods</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404</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5.4%</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51.9%</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8</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Chemical engineering</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352</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4.7%</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56.6%</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9</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Machine tools</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335</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4.5%</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61.1%</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10</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Medical technology</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324</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4.3%</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65.4%</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11</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Pharmaceuticals</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310</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4.1%</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69.5%</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12</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Mechanical elements</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309</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4.1%</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73.6%</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13</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Thermal processes and apparatus</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298</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4.0%</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77.6%</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14</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 xml:space="preserve">Basic materials chemistry </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285</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3.8%</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81.4%</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15</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Electrical machinery, apparatus, energy</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282</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3.8%</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85.2%</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16</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Measurement</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220</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2.9%</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88.1%</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17</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Materials, metallurgy</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186</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2.5%</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90.6%</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18</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Engines, pumps, turbines</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180</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2.4%</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93.0%</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19</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Control</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173</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2.3%</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95.3%</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20</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Textile and paper machines</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149</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2.0%</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97.3%</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21</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Environmental technology</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142</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1.9%</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99.2%</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22</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Audio-visual technology</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108</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1.4%</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100.6%</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23</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Macromolecular chemistry, polymers</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80</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1.1%</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101.7%</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24</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Biotechnology</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62</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0.8%</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102.5%</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25</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Organic fine chemistry</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54</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0.7%</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103.2%</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26</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Telecommunications</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50</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0.7%</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103.9%</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27</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Surface technology, coating</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49</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0.7%</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104.6%</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28</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Computer technology</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48</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0.6%</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105.2%</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29</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Optics</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44</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0.6%</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105.8%</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30</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Analysis of biological materials</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21</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0.3%</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106.1%</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31</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Basic communication processes</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10</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0.1%</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106.2%</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32</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Digital communication</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8</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0.1%</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106.3%</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33</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Semiconductors</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7</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0.1%</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106.4%</w:t>
            </w:r>
          </w:p>
        </w:tc>
      </w:tr>
      <w:tr w:rsidR="008708FA" w:rsidRPr="008708FA" w:rsidTr="005C2427">
        <w:trPr>
          <w:trHeight w:val="255"/>
        </w:trPr>
        <w:tc>
          <w:tcPr>
            <w:tcW w:w="706"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34</w:t>
            </w:r>
          </w:p>
        </w:tc>
        <w:tc>
          <w:tcPr>
            <w:tcW w:w="4616" w:type="dxa"/>
            <w:tcBorders>
              <w:top w:val="nil"/>
              <w:left w:val="nil"/>
              <w:bottom w:val="nil"/>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IT methods for management</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1</w:t>
            </w:r>
          </w:p>
        </w:tc>
        <w:tc>
          <w:tcPr>
            <w:tcW w:w="1184"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0.0%</w:t>
            </w:r>
          </w:p>
        </w:tc>
        <w:tc>
          <w:tcPr>
            <w:tcW w:w="1185" w:type="dxa"/>
            <w:tcBorders>
              <w:top w:val="nil"/>
              <w:left w:val="nil"/>
              <w:bottom w:val="nil"/>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106.4%</w:t>
            </w:r>
          </w:p>
        </w:tc>
      </w:tr>
      <w:tr w:rsidR="008708FA" w:rsidRPr="008708FA" w:rsidTr="005C2427">
        <w:trPr>
          <w:trHeight w:val="255"/>
        </w:trPr>
        <w:tc>
          <w:tcPr>
            <w:tcW w:w="706" w:type="dxa"/>
            <w:tcBorders>
              <w:top w:val="nil"/>
              <w:left w:val="nil"/>
              <w:bottom w:val="single" w:sz="4" w:space="0" w:color="auto"/>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35</w:t>
            </w:r>
          </w:p>
        </w:tc>
        <w:tc>
          <w:tcPr>
            <w:tcW w:w="4616" w:type="dxa"/>
            <w:tcBorders>
              <w:top w:val="nil"/>
              <w:left w:val="nil"/>
              <w:bottom w:val="single" w:sz="4" w:space="0" w:color="auto"/>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 xml:space="preserve">Micro-structural and </w:t>
            </w:r>
            <w:proofErr w:type="spellStart"/>
            <w:r w:rsidRPr="008708FA">
              <w:rPr>
                <w:rFonts w:cs="Arial"/>
                <w:color w:val="000000"/>
                <w:sz w:val="20"/>
                <w:szCs w:val="20"/>
              </w:rPr>
              <w:t>nano</w:t>
            </w:r>
            <w:proofErr w:type="spellEnd"/>
            <w:r w:rsidRPr="008708FA">
              <w:rPr>
                <w:rFonts w:cs="Arial"/>
                <w:color w:val="000000"/>
                <w:sz w:val="20"/>
                <w:szCs w:val="20"/>
              </w:rPr>
              <w:t>-technology</w:t>
            </w:r>
          </w:p>
        </w:tc>
        <w:tc>
          <w:tcPr>
            <w:tcW w:w="1184" w:type="dxa"/>
            <w:tcBorders>
              <w:top w:val="nil"/>
              <w:left w:val="nil"/>
              <w:bottom w:val="single" w:sz="4" w:space="0" w:color="auto"/>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cs="Arial"/>
                <w:color w:val="000000"/>
                <w:sz w:val="20"/>
                <w:szCs w:val="20"/>
              </w:rPr>
              <w:t>0</w:t>
            </w:r>
          </w:p>
        </w:tc>
        <w:tc>
          <w:tcPr>
            <w:tcW w:w="1184" w:type="dxa"/>
            <w:tcBorders>
              <w:top w:val="nil"/>
              <w:left w:val="nil"/>
              <w:bottom w:val="single" w:sz="4" w:space="0" w:color="auto"/>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0.0%</w:t>
            </w:r>
          </w:p>
        </w:tc>
        <w:tc>
          <w:tcPr>
            <w:tcW w:w="1185" w:type="dxa"/>
            <w:tcBorders>
              <w:top w:val="nil"/>
              <w:left w:val="nil"/>
              <w:bottom w:val="single" w:sz="4" w:space="0" w:color="auto"/>
              <w:right w:val="nil"/>
            </w:tcBorders>
            <w:shd w:val="clear" w:color="auto" w:fill="auto"/>
            <w:noWrap/>
            <w:vAlign w:val="bottom"/>
            <w:hideMark/>
          </w:tcPr>
          <w:p w:rsidR="008708FA" w:rsidRPr="008708FA" w:rsidRDefault="008708FA" w:rsidP="008708FA">
            <w:pPr>
              <w:jc w:val="right"/>
              <w:rPr>
                <w:rFonts w:cs="Arial"/>
                <w:color w:val="000000"/>
                <w:sz w:val="20"/>
                <w:szCs w:val="20"/>
              </w:rPr>
            </w:pPr>
            <w:r w:rsidRPr="008708FA">
              <w:rPr>
                <w:rFonts w:eastAsia="Calibri" w:cs="Arial"/>
                <w:color w:val="000000"/>
                <w:sz w:val="20"/>
                <w:szCs w:val="20"/>
              </w:rPr>
              <w:t>106.4%</w:t>
            </w:r>
          </w:p>
        </w:tc>
      </w:tr>
      <w:tr w:rsidR="008708FA" w:rsidRPr="008708FA" w:rsidTr="005C2427">
        <w:trPr>
          <w:trHeight w:val="255"/>
        </w:trPr>
        <w:tc>
          <w:tcPr>
            <w:tcW w:w="706" w:type="dxa"/>
            <w:tcBorders>
              <w:top w:val="nil"/>
              <w:left w:val="nil"/>
              <w:bottom w:val="single" w:sz="4" w:space="0" w:color="auto"/>
              <w:right w:val="nil"/>
            </w:tcBorders>
            <w:shd w:val="clear" w:color="auto" w:fill="auto"/>
            <w:noWrap/>
            <w:vAlign w:val="bottom"/>
            <w:hideMark/>
          </w:tcPr>
          <w:p w:rsidR="008708FA" w:rsidRPr="008708FA" w:rsidRDefault="008708FA" w:rsidP="008708FA">
            <w:pPr>
              <w:rPr>
                <w:rFonts w:cs="Arial"/>
                <w:color w:val="000000"/>
                <w:sz w:val="20"/>
                <w:szCs w:val="20"/>
              </w:rPr>
            </w:pPr>
            <w:r w:rsidRPr="008708FA">
              <w:rPr>
                <w:rFonts w:cs="Arial"/>
                <w:color w:val="000000"/>
                <w:sz w:val="20"/>
                <w:szCs w:val="20"/>
              </w:rPr>
              <w:t> </w:t>
            </w:r>
          </w:p>
        </w:tc>
        <w:tc>
          <w:tcPr>
            <w:tcW w:w="4616" w:type="dxa"/>
            <w:tcBorders>
              <w:top w:val="nil"/>
              <w:left w:val="nil"/>
              <w:bottom w:val="single" w:sz="4" w:space="0" w:color="auto"/>
              <w:right w:val="nil"/>
            </w:tcBorders>
            <w:shd w:val="clear" w:color="auto" w:fill="auto"/>
            <w:noWrap/>
            <w:vAlign w:val="bottom"/>
            <w:hideMark/>
          </w:tcPr>
          <w:p w:rsidR="008708FA" w:rsidRPr="008708FA" w:rsidRDefault="008708FA" w:rsidP="008708FA">
            <w:pPr>
              <w:rPr>
                <w:rFonts w:cs="Arial"/>
                <w:b/>
                <w:bCs/>
                <w:color w:val="000000"/>
                <w:sz w:val="20"/>
                <w:szCs w:val="20"/>
              </w:rPr>
            </w:pPr>
            <w:r w:rsidRPr="008708FA">
              <w:rPr>
                <w:rFonts w:cs="Arial"/>
                <w:b/>
                <w:bCs/>
                <w:color w:val="000000"/>
                <w:sz w:val="20"/>
                <w:szCs w:val="20"/>
              </w:rPr>
              <w:t>Total</w:t>
            </w:r>
          </w:p>
        </w:tc>
        <w:tc>
          <w:tcPr>
            <w:tcW w:w="1184" w:type="dxa"/>
            <w:tcBorders>
              <w:top w:val="nil"/>
              <w:left w:val="nil"/>
              <w:bottom w:val="single" w:sz="4" w:space="0" w:color="auto"/>
              <w:right w:val="nil"/>
            </w:tcBorders>
            <w:shd w:val="clear" w:color="auto" w:fill="auto"/>
            <w:noWrap/>
            <w:vAlign w:val="bottom"/>
            <w:hideMark/>
          </w:tcPr>
          <w:p w:rsidR="008708FA" w:rsidRPr="008708FA" w:rsidRDefault="008708FA" w:rsidP="008708FA">
            <w:pPr>
              <w:jc w:val="right"/>
              <w:rPr>
                <w:rFonts w:cs="Arial"/>
                <w:b/>
                <w:bCs/>
                <w:color w:val="000000"/>
                <w:sz w:val="20"/>
                <w:szCs w:val="20"/>
              </w:rPr>
            </w:pPr>
            <w:r w:rsidRPr="008708FA">
              <w:rPr>
                <w:rFonts w:cs="Arial"/>
                <w:b/>
                <w:bCs/>
                <w:color w:val="000000"/>
                <w:sz w:val="20"/>
                <w:szCs w:val="20"/>
              </w:rPr>
              <w:t>7498</w:t>
            </w:r>
          </w:p>
        </w:tc>
        <w:tc>
          <w:tcPr>
            <w:tcW w:w="1184" w:type="dxa"/>
            <w:tcBorders>
              <w:top w:val="nil"/>
              <w:left w:val="nil"/>
              <w:bottom w:val="single" w:sz="4" w:space="0" w:color="auto"/>
              <w:right w:val="nil"/>
            </w:tcBorders>
            <w:shd w:val="clear" w:color="auto" w:fill="auto"/>
            <w:noWrap/>
            <w:vAlign w:val="bottom"/>
            <w:hideMark/>
          </w:tcPr>
          <w:p w:rsidR="008708FA" w:rsidRPr="008708FA" w:rsidRDefault="008708FA" w:rsidP="008708FA">
            <w:pPr>
              <w:jc w:val="right"/>
              <w:rPr>
                <w:rFonts w:cs="Arial"/>
                <w:b/>
                <w:bCs/>
                <w:color w:val="000000"/>
                <w:sz w:val="20"/>
                <w:szCs w:val="20"/>
              </w:rPr>
            </w:pPr>
            <w:r w:rsidRPr="008708FA">
              <w:rPr>
                <w:rFonts w:cs="Arial"/>
                <w:b/>
                <w:bCs/>
                <w:color w:val="000000"/>
                <w:sz w:val="20"/>
                <w:szCs w:val="20"/>
              </w:rPr>
              <w:t>100%</w:t>
            </w:r>
          </w:p>
        </w:tc>
        <w:tc>
          <w:tcPr>
            <w:tcW w:w="1185" w:type="dxa"/>
            <w:tcBorders>
              <w:top w:val="nil"/>
              <w:left w:val="nil"/>
              <w:bottom w:val="single" w:sz="4" w:space="0" w:color="auto"/>
              <w:right w:val="nil"/>
            </w:tcBorders>
            <w:shd w:val="clear" w:color="auto" w:fill="auto"/>
            <w:noWrap/>
            <w:vAlign w:val="bottom"/>
            <w:hideMark/>
          </w:tcPr>
          <w:p w:rsidR="008708FA" w:rsidRPr="008708FA" w:rsidRDefault="008708FA" w:rsidP="008708FA">
            <w:pPr>
              <w:rPr>
                <w:rFonts w:cs="Arial"/>
                <w:b/>
                <w:bCs/>
                <w:color w:val="000000"/>
                <w:sz w:val="20"/>
                <w:szCs w:val="20"/>
              </w:rPr>
            </w:pPr>
            <w:r w:rsidRPr="008708FA">
              <w:rPr>
                <w:rFonts w:cs="Arial"/>
                <w:b/>
                <w:bCs/>
                <w:color w:val="000000"/>
                <w:sz w:val="20"/>
                <w:szCs w:val="20"/>
              </w:rPr>
              <w:t> </w:t>
            </w:r>
          </w:p>
        </w:tc>
      </w:tr>
    </w:tbl>
    <w:p w:rsidR="008708FA" w:rsidRPr="008708FA" w:rsidRDefault="008708FA" w:rsidP="008708FA">
      <w:pPr>
        <w:rPr>
          <w:rFonts w:eastAsia="Calibri"/>
          <w:i/>
          <w:sz w:val="16"/>
        </w:rPr>
      </w:pPr>
      <w:r w:rsidRPr="008708FA">
        <w:rPr>
          <w:rFonts w:eastAsia="Calibri"/>
          <w:i/>
          <w:sz w:val="16"/>
        </w:rPr>
        <w:t>Source: Own elaboration, based on DIP data and WIPO’s IPC-Technology concordance.</w:t>
      </w:r>
    </w:p>
    <w:p w:rsidR="008708FA" w:rsidRPr="008708FA" w:rsidRDefault="008708FA" w:rsidP="008708FA">
      <w:pPr>
        <w:rPr>
          <w:rFonts w:eastAsia="Calibri"/>
          <w:i/>
          <w:sz w:val="24"/>
        </w:rPr>
      </w:pPr>
      <w:r w:rsidRPr="008708FA">
        <w:rPr>
          <w:rFonts w:eastAsia="Calibri"/>
          <w:i/>
          <w:sz w:val="16"/>
        </w:rPr>
        <w:t>Note: Applications exceed total due to 504 UMs registrations which are assigned to more than one technological field.</w:t>
      </w:r>
    </w:p>
    <w:p w:rsidR="008708FA" w:rsidRPr="008708FA" w:rsidRDefault="008708FA" w:rsidP="008708FA">
      <w:pPr>
        <w:rPr>
          <w:rFonts w:eastAsia="Calibri"/>
          <w:i/>
          <w:sz w:val="16"/>
        </w:rPr>
      </w:pPr>
    </w:p>
    <w:p w:rsidR="008708FA" w:rsidRPr="008708FA" w:rsidRDefault="008708FA" w:rsidP="008708FA">
      <w:pPr>
        <w:spacing w:line="276" w:lineRule="auto"/>
        <w:rPr>
          <w:rFonts w:eastAsia="Calibri"/>
        </w:rPr>
      </w:pPr>
      <w:r w:rsidRPr="008708FA">
        <w:rPr>
          <w:rFonts w:eastAsia="Calibri"/>
        </w:rPr>
        <w:br w:type="page"/>
      </w:r>
    </w:p>
    <w:p w:rsidR="008708FA" w:rsidRPr="008708FA" w:rsidRDefault="008708FA" w:rsidP="008708FA">
      <w:pPr>
        <w:rPr>
          <w:rFonts w:eastAsia="Calibri"/>
        </w:rPr>
      </w:pPr>
    </w:p>
    <w:p w:rsidR="008708FA" w:rsidRPr="009E1F3F" w:rsidRDefault="008708FA" w:rsidP="008708FA">
      <w:pPr>
        <w:rPr>
          <w:rFonts w:eastAsia="Calibri"/>
          <w:b/>
          <w:bCs/>
          <w:i/>
          <w:sz w:val="20"/>
          <w:szCs w:val="20"/>
        </w:rPr>
      </w:pPr>
      <w:bookmarkStart w:id="109" w:name="_Ref368304436"/>
      <w:r w:rsidRPr="009E1F3F">
        <w:rPr>
          <w:rFonts w:eastAsia="Calibri"/>
          <w:b/>
          <w:bCs/>
          <w:i/>
          <w:sz w:val="20"/>
          <w:szCs w:val="20"/>
        </w:rPr>
        <w:t xml:space="preserve">Table A. </w:t>
      </w:r>
      <w:r w:rsidRPr="008708FA">
        <w:rPr>
          <w:rFonts w:eastAsia="Calibri"/>
          <w:b/>
          <w:bCs/>
          <w:i/>
          <w:sz w:val="20"/>
          <w:szCs w:val="18"/>
        </w:rPr>
        <w:fldChar w:fldCharType="begin"/>
      </w:r>
      <w:r w:rsidRPr="008708FA">
        <w:rPr>
          <w:rFonts w:eastAsia="Calibri"/>
          <w:b/>
          <w:bCs/>
          <w:i/>
          <w:sz w:val="20"/>
          <w:szCs w:val="18"/>
        </w:rPr>
        <w:instrText xml:space="preserve"> SEQ Table_A. \* ARABIC </w:instrText>
      </w:r>
      <w:r w:rsidRPr="008708FA">
        <w:rPr>
          <w:rFonts w:eastAsia="Calibri"/>
          <w:b/>
          <w:bCs/>
          <w:i/>
          <w:sz w:val="20"/>
          <w:szCs w:val="18"/>
        </w:rPr>
        <w:fldChar w:fldCharType="separate"/>
      </w:r>
      <w:r w:rsidR="006A4BE7">
        <w:rPr>
          <w:rFonts w:eastAsia="Calibri"/>
          <w:b/>
          <w:bCs/>
          <w:i/>
          <w:noProof/>
          <w:sz w:val="20"/>
          <w:szCs w:val="18"/>
        </w:rPr>
        <w:t>5</w:t>
      </w:r>
      <w:r w:rsidRPr="008708FA">
        <w:rPr>
          <w:rFonts w:eastAsia="Calibri"/>
          <w:b/>
          <w:bCs/>
          <w:i/>
          <w:sz w:val="20"/>
          <w:szCs w:val="18"/>
        </w:rPr>
        <w:fldChar w:fldCharType="end"/>
      </w:r>
      <w:bookmarkEnd w:id="109"/>
      <w:r w:rsidRPr="009E1F3F">
        <w:rPr>
          <w:rFonts w:eastAsia="Calibri"/>
          <w:b/>
          <w:bCs/>
          <w:i/>
          <w:sz w:val="20"/>
          <w:szCs w:val="20"/>
        </w:rPr>
        <w:t>: Registered Utility Model Applications by Technological field and Type</w:t>
      </w:r>
    </w:p>
    <w:p w:rsidR="008708FA" w:rsidRPr="008708FA" w:rsidRDefault="008708FA" w:rsidP="008708FA">
      <w:pPr>
        <w:rPr>
          <w:rFonts w:eastAsia="Calibri"/>
        </w:rPr>
      </w:pPr>
    </w:p>
    <w:tbl>
      <w:tblPr>
        <w:tblW w:w="8631" w:type="dxa"/>
        <w:tblInd w:w="93" w:type="dxa"/>
        <w:tblLook w:val="04A0" w:firstRow="1" w:lastRow="0" w:firstColumn="1" w:lastColumn="0" w:noHBand="0" w:noVBand="1"/>
      </w:tblPr>
      <w:tblGrid>
        <w:gridCol w:w="697"/>
        <w:gridCol w:w="2729"/>
        <w:gridCol w:w="1141"/>
        <w:gridCol w:w="1141"/>
        <w:gridCol w:w="641"/>
        <w:gridCol w:w="1141"/>
        <w:gridCol w:w="1141"/>
      </w:tblGrid>
      <w:tr w:rsidR="008708FA" w:rsidRPr="008708FA" w:rsidTr="005C2427">
        <w:trPr>
          <w:trHeight w:val="510"/>
        </w:trPr>
        <w:tc>
          <w:tcPr>
            <w:tcW w:w="69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8708FA" w:rsidRPr="008708FA" w:rsidRDefault="008708FA" w:rsidP="008708FA">
            <w:pPr>
              <w:jc w:val="right"/>
              <w:rPr>
                <w:rFonts w:cs="Arial"/>
                <w:b/>
                <w:bCs/>
                <w:color w:val="000000"/>
                <w:sz w:val="16"/>
                <w:szCs w:val="20"/>
              </w:rPr>
            </w:pPr>
            <w:r w:rsidRPr="008708FA">
              <w:rPr>
                <w:rFonts w:cs="Arial"/>
                <w:b/>
                <w:bCs/>
                <w:color w:val="000000"/>
                <w:sz w:val="16"/>
                <w:szCs w:val="20"/>
              </w:rPr>
              <w:t>Rank</w:t>
            </w:r>
          </w:p>
        </w:tc>
        <w:tc>
          <w:tcPr>
            <w:tcW w:w="2729"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8708FA" w:rsidRPr="008708FA" w:rsidRDefault="008708FA" w:rsidP="008708FA">
            <w:pPr>
              <w:rPr>
                <w:rFonts w:cs="Arial"/>
                <w:b/>
                <w:bCs/>
                <w:color w:val="000000"/>
                <w:sz w:val="16"/>
                <w:szCs w:val="20"/>
              </w:rPr>
            </w:pPr>
            <w:r w:rsidRPr="008708FA">
              <w:rPr>
                <w:rFonts w:cs="Arial"/>
                <w:b/>
                <w:bCs/>
                <w:color w:val="000000"/>
                <w:sz w:val="16"/>
                <w:szCs w:val="20"/>
              </w:rPr>
              <w:t>Technological Field</w:t>
            </w:r>
          </w:p>
        </w:tc>
        <w:tc>
          <w:tcPr>
            <w:tcW w:w="114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708FA" w:rsidRPr="008708FA" w:rsidRDefault="008708FA" w:rsidP="008708FA">
            <w:pPr>
              <w:rPr>
                <w:rFonts w:cs="Arial"/>
                <w:b/>
                <w:bCs/>
                <w:color w:val="000000"/>
                <w:sz w:val="16"/>
                <w:szCs w:val="20"/>
              </w:rPr>
            </w:pPr>
            <w:r w:rsidRPr="008708FA">
              <w:rPr>
                <w:rFonts w:cs="Arial"/>
                <w:b/>
                <w:bCs/>
                <w:color w:val="000000"/>
                <w:sz w:val="16"/>
                <w:szCs w:val="20"/>
              </w:rPr>
              <w:t>Mechanical Engineering</w:t>
            </w:r>
          </w:p>
        </w:tc>
        <w:tc>
          <w:tcPr>
            <w:tcW w:w="114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708FA" w:rsidRPr="008708FA" w:rsidRDefault="008708FA" w:rsidP="008708FA">
            <w:pPr>
              <w:rPr>
                <w:rFonts w:cs="Arial"/>
                <w:b/>
                <w:bCs/>
                <w:color w:val="000000"/>
                <w:sz w:val="16"/>
                <w:szCs w:val="20"/>
              </w:rPr>
            </w:pPr>
            <w:r w:rsidRPr="008708FA">
              <w:rPr>
                <w:rFonts w:cs="Arial"/>
                <w:b/>
                <w:bCs/>
                <w:color w:val="000000"/>
                <w:sz w:val="16"/>
                <w:szCs w:val="20"/>
              </w:rPr>
              <w:t>Chemical Engineering</w:t>
            </w:r>
          </w:p>
        </w:tc>
        <w:tc>
          <w:tcPr>
            <w:tcW w:w="64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8708FA" w:rsidRPr="008708FA" w:rsidRDefault="008708FA" w:rsidP="008708FA">
            <w:pPr>
              <w:jc w:val="center"/>
              <w:rPr>
                <w:rFonts w:cs="Arial"/>
                <w:b/>
                <w:bCs/>
                <w:color w:val="000000"/>
                <w:sz w:val="16"/>
                <w:szCs w:val="20"/>
              </w:rPr>
            </w:pPr>
            <w:r w:rsidRPr="008708FA">
              <w:rPr>
                <w:rFonts w:cs="Arial"/>
                <w:b/>
                <w:bCs/>
                <w:color w:val="000000"/>
                <w:sz w:val="16"/>
                <w:szCs w:val="20"/>
              </w:rPr>
              <w:t>All</w:t>
            </w:r>
          </w:p>
        </w:tc>
        <w:tc>
          <w:tcPr>
            <w:tcW w:w="114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708FA" w:rsidRPr="008708FA" w:rsidRDefault="008708FA" w:rsidP="008708FA">
            <w:pPr>
              <w:rPr>
                <w:rFonts w:cs="Arial"/>
                <w:b/>
                <w:bCs/>
                <w:color w:val="000000"/>
                <w:sz w:val="16"/>
                <w:szCs w:val="20"/>
              </w:rPr>
            </w:pPr>
            <w:r w:rsidRPr="008708FA">
              <w:rPr>
                <w:rFonts w:cs="Arial"/>
                <w:b/>
                <w:bCs/>
                <w:color w:val="000000"/>
                <w:sz w:val="16"/>
                <w:szCs w:val="20"/>
              </w:rPr>
              <w:t>Mechanical Engineering</w:t>
            </w:r>
          </w:p>
        </w:tc>
        <w:tc>
          <w:tcPr>
            <w:tcW w:w="114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708FA" w:rsidRPr="008708FA" w:rsidRDefault="008708FA" w:rsidP="008708FA">
            <w:pPr>
              <w:rPr>
                <w:rFonts w:cs="Arial"/>
                <w:b/>
                <w:bCs/>
                <w:color w:val="000000"/>
                <w:sz w:val="16"/>
                <w:szCs w:val="20"/>
              </w:rPr>
            </w:pPr>
            <w:r w:rsidRPr="008708FA">
              <w:rPr>
                <w:rFonts w:cs="Arial"/>
                <w:b/>
                <w:bCs/>
                <w:color w:val="000000"/>
                <w:sz w:val="16"/>
                <w:szCs w:val="20"/>
              </w:rPr>
              <w:t>Chemical Engineering</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Food chemistry</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24</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767</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791</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97%</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Civil engineering</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580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589</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98%</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Other special machines</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491</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83</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574</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86%</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14%</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4</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Transport</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543</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543</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5</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Furniture, games</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506</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509</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99%</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6</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Handling</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476</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6</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482</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99%</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7</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Other consumer goods</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395</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404</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98%</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8</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Chemical engineering</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244</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108</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352</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69%</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31%</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Machine tools</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331</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4</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335</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99%</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Medical technology</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305</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19</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324</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94%</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6%</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11</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Pharmaceuticals</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6</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304</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310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98%</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12</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Mechanical elements</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309</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309</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13</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Thermal processes and apparatus</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296</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298</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99%</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14</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 xml:space="preserve">Basic materials chemistry </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5</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280</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285</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98%</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15</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Electrical machinery, apparatus, energy</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281</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282</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16</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Measurement</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186</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34</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220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85%</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15%</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17</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Materials, metallurgy</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24</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162</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186</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13%</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87%</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18</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Engines, pumps, turbines</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179</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180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99%</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19</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Control</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173</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173</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20</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Textile and paper machines</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106</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43</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149</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71%</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29%</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21</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Environmental technology</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88</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54</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142</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62%</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38%</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22</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Audio-visual technology</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108</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108</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23</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Macromolecular chemistry, polymers</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4</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76</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80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5%</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95%</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24</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Biotechnology</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61</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62</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98%</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25</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Organic fine chemistry</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53</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54</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98%</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26</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Telecommunications</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50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50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27</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Surface technology, coating</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25</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24</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49</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51%</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49%</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28</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Computer technology</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48</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48</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29</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Optics</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44</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44</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30</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Analysis of biological materials</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19</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21</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90%</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31</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Basic communication processes</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32</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Digital communication</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8</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8</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33</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Semiconductors</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7</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7</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r>
      <w:tr w:rsidR="008708FA" w:rsidRPr="008708FA" w:rsidTr="005C2427">
        <w:trPr>
          <w:trHeight w:val="255"/>
        </w:trPr>
        <w:tc>
          <w:tcPr>
            <w:tcW w:w="697"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34</w:t>
            </w:r>
          </w:p>
        </w:tc>
        <w:tc>
          <w:tcPr>
            <w:tcW w:w="2729"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IT methods for management</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c>
          <w:tcPr>
            <w:tcW w:w="6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100%</w:t>
            </w:r>
          </w:p>
        </w:tc>
        <w:tc>
          <w:tcPr>
            <w:tcW w:w="1141" w:type="dxa"/>
            <w:tcBorders>
              <w:top w:val="nil"/>
              <w:left w:val="single" w:sz="4" w:space="0" w:color="auto"/>
              <w:bottom w:val="nil"/>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r>
      <w:tr w:rsidR="008708FA" w:rsidRPr="008708FA" w:rsidTr="005C2427">
        <w:trPr>
          <w:trHeight w:val="255"/>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35</w:t>
            </w:r>
          </w:p>
        </w:tc>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 xml:space="preserve">Micro-structural and </w:t>
            </w:r>
            <w:proofErr w:type="spellStart"/>
            <w:r w:rsidRPr="008708FA">
              <w:rPr>
                <w:rFonts w:cs="Arial"/>
                <w:color w:val="000000"/>
                <w:sz w:val="16"/>
                <w:szCs w:val="20"/>
              </w:rPr>
              <w:t>nano</w:t>
            </w:r>
            <w:proofErr w:type="spellEnd"/>
            <w:r w:rsidRPr="008708FA">
              <w:rPr>
                <w:rFonts w:cs="Arial"/>
                <w:color w:val="000000"/>
                <w:sz w:val="16"/>
                <w:szCs w:val="20"/>
              </w:rPr>
              <w:t>-technology</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0</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 -</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right"/>
              <w:rPr>
                <w:rFonts w:cs="Arial"/>
                <w:color w:val="000000"/>
                <w:sz w:val="16"/>
                <w:szCs w:val="20"/>
              </w:rPr>
            </w:pPr>
            <w:r w:rsidRPr="008708FA">
              <w:rPr>
                <w:rFonts w:cs="Arial"/>
                <w:color w:val="000000"/>
                <w:sz w:val="16"/>
                <w:szCs w:val="20"/>
              </w:rPr>
              <w:t> -</w:t>
            </w:r>
          </w:p>
        </w:tc>
      </w:tr>
      <w:tr w:rsidR="008708FA" w:rsidRPr="008708FA" w:rsidTr="005C2427">
        <w:trPr>
          <w:trHeight w:val="255"/>
        </w:trPr>
        <w:tc>
          <w:tcPr>
            <w:tcW w:w="697" w:type="dxa"/>
            <w:tcBorders>
              <w:top w:val="single" w:sz="4" w:space="0" w:color="auto"/>
              <w:left w:val="single" w:sz="4" w:space="0" w:color="auto"/>
              <w:bottom w:val="single" w:sz="4" w:space="0" w:color="auto"/>
            </w:tcBorders>
            <w:shd w:val="clear" w:color="auto" w:fill="auto"/>
            <w:noWrap/>
            <w:vAlign w:val="center"/>
            <w:hideMark/>
          </w:tcPr>
          <w:p w:rsidR="008708FA" w:rsidRPr="008708FA" w:rsidRDefault="008708FA" w:rsidP="008708FA">
            <w:pPr>
              <w:rPr>
                <w:rFonts w:cs="Arial"/>
                <w:color w:val="000000"/>
                <w:sz w:val="16"/>
                <w:szCs w:val="20"/>
              </w:rPr>
            </w:pPr>
            <w:r w:rsidRPr="008708FA">
              <w:rPr>
                <w:rFonts w:cs="Arial"/>
                <w:color w:val="000000"/>
                <w:sz w:val="16"/>
                <w:szCs w:val="20"/>
              </w:rPr>
              <w:t> </w:t>
            </w:r>
          </w:p>
        </w:tc>
        <w:tc>
          <w:tcPr>
            <w:tcW w:w="2729"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rPr>
                <w:rFonts w:cs="Arial"/>
                <w:b/>
                <w:bCs/>
                <w:color w:val="000000"/>
                <w:sz w:val="16"/>
                <w:szCs w:val="20"/>
              </w:rPr>
            </w:pPr>
            <w:r w:rsidRPr="008708FA">
              <w:rPr>
                <w:rFonts w:cs="Arial"/>
                <w:b/>
                <w:bCs/>
                <w:color w:val="000000"/>
                <w:sz w:val="16"/>
                <w:szCs w:val="20"/>
              </w:rPr>
              <w:t>Total</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right"/>
              <w:rPr>
                <w:rFonts w:cs="Arial"/>
                <w:b/>
                <w:bCs/>
                <w:color w:val="000000"/>
                <w:sz w:val="16"/>
                <w:szCs w:val="20"/>
              </w:rPr>
            </w:pPr>
            <w:r w:rsidRPr="008708FA">
              <w:rPr>
                <w:rFonts w:cs="Arial"/>
                <w:b/>
                <w:bCs/>
                <w:color w:val="000000"/>
                <w:sz w:val="16"/>
                <w:szCs w:val="20"/>
              </w:rPr>
              <w:t>5,454</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right"/>
              <w:rPr>
                <w:rFonts w:cs="Arial"/>
                <w:b/>
                <w:bCs/>
                <w:color w:val="000000"/>
                <w:sz w:val="16"/>
                <w:szCs w:val="20"/>
              </w:rPr>
            </w:pPr>
            <w:r w:rsidRPr="008708FA">
              <w:rPr>
                <w:rFonts w:cs="Arial"/>
                <w:b/>
                <w:bCs/>
                <w:color w:val="000000"/>
                <w:sz w:val="16"/>
                <w:szCs w:val="20"/>
              </w:rPr>
              <w:t>2,044</w:t>
            </w:r>
          </w:p>
        </w:tc>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right"/>
              <w:rPr>
                <w:rFonts w:cs="Arial"/>
                <w:b/>
                <w:bCs/>
                <w:color w:val="000000"/>
                <w:sz w:val="16"/>
                <w:szCs w:val="20"/>
              </w:rPr>
            </w:pPr>
            <w:r w:rsidRPr="008708FA">
              <w:rPr>
                <w:rFonts w:cs="Arial"/>
                <w:b/>
                <w:bCs/>
                <w:color w:val="000000"/>
                <w:sz w:val="16"/>
                <w:szCs w:val="20"/>
              </w:rPr>
              <w:t>7,498</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right"/>
              <w:rPr>
                <w:rFonts w:cs="Arial"/>
                <w:b/>
                <w:bCs/>
                <w:color w:val="000000"/>
                <w:sz w:val="16"/>
                <w:szCs w:val="20"/>
              </w:rPr>
            </w:pPr>
            <w:r w:rsidRPr="008708FA">
              <w:rPr>
                <w:rFonts w:cs="Arial"/>
                <w:b/>
                <w:bCs/>
                <w:color w:val="000000"/>
                <w:sz w:val="16"/>
                <w:szCs w:val="20"/>
              </w:rPr>
              <w:t>73%</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right"/>
              <w:rPr>
                <w:rFonts w:cs="Arial"/>
                <w:b/>
                <w:bCs/>
                <w:color w:val="000000"/>
                <w:sz w:val="16"/>
                <w:szCs w:val="20"/>
              </w:rPr>
            </w:pPr>
            <w:r w:rsidRPr="008708FA">
              <w:rPr>
                <w:rFonts w:cs="Arial"/>
                <w:b/>
                <w:bCs/>
                <w:color w:val="000000"/>
                <w:sz w:val="16"/>
                <w:szCs w:val="20"/>
              </w:rPr>
              <w:t>27%</w:t>
            </w:r>
          </w:p>
        </w:tc>
      </w:tr>
    </w:tbl>
    <w:p w:rsidR="008708FA" w:rsidRPr="008708FA" w:rsidRDefault="008708FA" w:rsidP="008708FA">
      <w:pPr>
        <w:rPr>
          <w:rFonts w:eastAsia="Calibri"/>
          <w:i/>
          <w:sz w:val="16"/>
        </w:rPr>
      </w:pPr>
      <w:r w:rsidRPr="008708FA">
        <w:rPr>
          <w:rFonts w:eastAsia="Calibri"/>
          <w:i/>
          <w:sz w:val="16"/>
        </w:rPr>
        <w:t>Source: Own elaboration, based on DIP data and WIPO’s IPC-Technology concordance.</w:t>
      </w:r>
    </w:p>
    <w:p w:rsidR="008708FA" w:rsidRPr="008708FA" w:rsidRDefault="008708FA" w:rsidP="008708FA">
      <w:pPr>
        <w:rPr>
          <w:rFonts w:eastAsia="Calibri"/>
          <w:i/>
          <w:sz w:val="24"/>
        </w:rPr>
      </w:pPr>
      <w:r w:rsidRPr="008708FA">
        <w:rPr>
          <w:rFonts w:eastAsia="Calibri"/>
          <w:i/>
          <w:sz w:val="16"/>
        </w:rPr>
        <w:t>Note: Applications exceed total due to 504 UMs registrations which are assigned to more than one technological field.</w:t>
      </w:r>
    </w:p>
    <w:p w:rsidR="008708FA" w:rsidRPr="008708FA" w:rsidRDefault="008708FA" w:rsidP="008708FA">
      <w:pPr>
        <w:rPr>
          <w:rFonts w:eastAsia="Calibri"/>
        </w:rPr>
      </w:pPr>
    </w:p>
    <w:p w:rsidR="001C54A4" w:rsidRDefault="008708FA" w:rsidP="008708FA">
      <w:pPr>
        <w:spacing w:line="276" w:lineRule="auto"/>
        <w:rPr>
          <w:rFonts w:eastAsia="Calibri"/>
        </w:rPr>
        <w:sectPr w:rsidR="001C54A4" w:rsidSect="001C54A4">
          <w:headerReference w:type="first" r:id="rId42"/>
          <w:pgSz w:w="11907" w:h="16840" w:code="9"/>
          <w:pgMar w:top="1417" w:right="1417" w:bottom="1417" w:left="1440" w:header="709" w:footer="709" w:gutter="0"/>
          <w:pgNumType w:start="2"/>
          <w:cols w:space="720"/>
          <w:titlePg/>
          <w:docGrid w:linePitch="299"/>
        </w:sectPr>
      </w:pPr>
      <w:r w:rsidRPr="008708FA">
        <w:rPr>
          <w:rFonts w:eastAsia="Calibri"/>
        </w:rPr>
        <w:br w:type="page"/>
      </w:r>
    </w:p>
    <w:p w:rsidR="008708FA" w:rsidRPr="008708FA" w:rsidRDefault="008708FA" w:rsidP="008708FA">
      <w:pPr>
        <w:spacing w:line="276" w:lineRule="auto"/>
        <w:rPr>
          <w:rFonts w:eastAsia="Calibri"/>
        </w:rPr>
      </w:pPr>
    </w:p>
    <w:p w:rsidR="008708FA" w:rsidRPr="008708FA" w:rsidRDefault="008708FA" w:rsidP="0029613A">
      <w:pPr>
        <w:pStyle w:val="Heading1"/>
        <w:numPr>
          <w:ilvl w:val="0"/>
          <w:numId w:val="0"/>
        </w:numPr>
      </w:pPr>
      <w:bookmarkStart w:id="110" w:name="_Ref368300467"/>
      <w:bookmarkStart w:id="111" w:name="_Ref368300474"/>
      <w:bookmarkStart w:id="112" w:name="_Ref368300478"/>
      <w:bookmarkStart w:id="113" w:name="_Ref368300484"/>
      <w:bookmarkStart w:id="114" w:name="_Toc370307941"/>
      <w:bookmarkStart w:id="115" w:name="_Toc370310350"/>
      <w:r w:rsidRPr="008708FA">
        <w:t>Appendix B: Construction of the Database</w:t>
      </w:r>
      <w:bookmarkEnd w:id="110"/>
      <w:bookmarkEnd w:id="111"/>
      <w:bookmarkEnd w:id="112"/>
      <w:bookmarkEnd w:id="113"/>
      <w:bookmarkEnd w:id="114"/>
      <w:bookmarkEnd w:id="115"/>
    </w:p>
    <w:p w:rsidR="008708FA" w:rsidRPr="008708FA" w:rsidRDefault="008708FA" w:rsidP="008708FA">
      <w:pPr>
        <w:rPr>
          <w:rFonts w:eastAsia="Calibri"/>
        </w:rPr>
      </w:pPr>
    </w:p>
    <w:p w:rsidR="008708FA" w:rsidRPr="008708FA" w:rsidRDefault="008708FA" w:rsidP="005C2427">
      <w:pPr>
        <w:pStyle w:val="Heading2"/>
        <w:numPr>
          <w:ilvl w:val="0"/>
          <w:numId w:val="0"/>
        </w:numPr>
        <w:ind w:left="576" w:hanging="576"/>
      </w:pPr>
      <w:bookmarkStart w:id="116" w:name="_Toc370307942"/>
      <w:bookmarkStart w:id="117" w:name="_Toc370310351"/>
      <w:r w:rsidRPr="008708FA">
        <w:t>Characteristics of the Raw Data</w:t>
      </w:r>
      <w:bookmarkEnd w:id="116"/>
      <w:bookmarkEnd w:id="117"/>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For the purposes of Country Study Thailand, the Department of Intellectual Property (DIP), under the Ministry of Commerce, provided the utility model registration raw data.  This data was recorded in a single excel file containing all 7,498 UM registrations filed between October 1996 and September 2012.</w:t>
      </w:r>
      <w:r w:rsidRPr="008708FA">
        <w:rPr>
          <w:rFonts w:eastAsia="Calibri"/>
          <w:vertAlign w:val="superscript"/>
        </w:rPr>
        <w:footnoteReference w:id="15"/>
      </w:r>
      <w:r w:rsidRPr="008708FA">
        <w:rPr>
          <w:rFonts w:eastAsia="Calibri"/>
        </w:rPr>
        <w:t xml:space="preserve"> This dataset contained 19 variables which are detailed in table A.6.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The database provided had incomplete information for certain variables.  As detailed in table A.6, there were some missing values for variables such as the IPC number, the abstract, the claims, the registration date, the applicant’s name and nationality or the inventor’s ones.  Moreover, certain information available on DIP’s website was not available in the raw dataset.  This was the case of information on the legal status, the priority country code, applicant’s and inventor’s residence.  As a result, TDRI has collected manually the missing data for all 7,498 applications.  In addition to completing the raw data, TDRI has undertaken several actions in order to improve the existing dataset.</w:t>
      </w:r>
    </w:p>
    <w:p w:rsidR="008708FA" w:rsidRPr="008708FA" w:rsidRDefault="008708FA" w:rsidP="008708FA">
      <w:pPr>
        <w:rPr>
          <w:rFonts w:eastAsia="Calibri"/>
        </w:rPr>
      </w:pPr>
    </w:p>
    <w:p w:rsidR="008708FA" w:rsidRPr="008708FA" w:rsidRDefault="008708FA" w:rsidP="008708FA">
      <w:pPr>
        <w:rPr>
          <w:rFonts w:eastAsia="Calibri"/>
        </w:rPr>
      </w:pPr>
    </w:p>
    <w:p w:rsidR="008708FA" w:rsidRPr="009E1F3F" w:rsidRDefault="008708FA" w:rsidP="008708FA">
      <w:pPr>
        <w:rPr>
          <w:rFonts w:eastAsia="Calibri"/>
          <w:b/>
          <w:bCs/>
          <w:i/>
          <w:sz w:val="20"/>
          <w:szCs w:val="20"/>
        </w:rPr>
      </w:pPr>
      <w:bookmarkStart w:id="118" w:name="_Toc359581426"/>
      <w:r w:rsidRPr="009E1F3F">
        <w:rPr>
          <w:rFonts w:eastAsia="Calibri"/>
          <w:b/>
          <w:bCs/>
          <w:i/>
          <w:sz w:val="20"/>
          <w:szCs w:val="20"/>
        </w:rPr>
        <w:t xml:space="preserve">Table A. </w:t>
      </w:r>
      <w:r w:rsidRPr="008708FA">
        <w:rPr>
          <w:rFonts w:eastAsia="Calibri"/>
          <w:b/>
          <w:bCs/>
          <w:i/>
          <w:sz w:val="20"/>
          <w:szCs w:val="18"/>
        </w:rPr>
        <w:fldChar w:fldCharType="begin"/>
      </w:r>
      <w:r w:rsidRPr="008708FA">
        <w:rPr>
          <w:rFonts w:eastAsia="Calibri"/>
          <w:b/>
          <w:bCs/>
          <w:i/>
          <w:sz w:val="20"/>
          <w:szCs w:val="18"/>
        </w:rPr>
        <w:instrText xml:space="preserve"> SEQ Table_A. \* ARABIC </w:instrText>
      </w:r>
      <w:r w:rsidRPr="008708FA">
        <w:rPr>
          <w:rFonts w:eastAsia="Calibri"/>
          <w:b/>
          <w:bCs/>
          <w:i/>
          <w:sz w:val="20"/>
          <w:szCs w:val="18"/>
        </w:rPr>
        <w:fldChar w:fldCharType="separate"/>
      </w:r>
      <w:r w:rsidR="006A4BE7">
        <w:rPr>
          <w:rFonts w:eastAsia="Calibri"/>
          <w:b/>
          <w:bCs/>
          <w:i/>
          <w:noProof/>
          <w:sz w:val="20"/>
          <w:szCs w:val="18"/>
        </w:rPr>
        <w:t>6</w:t>
      </w:r>
      <w:r w:rsidRPr="008708FA">
        <w:rPr>
          <w:rFonts w:eastAsia="Calibri"/>
          <w:b/>
          <w:bCs/>
          <w:i/>
          <w:noProof/>
          <w:sz w:val="20"/>
          <w:szCs w:val="18"/>
        </w:rPr>
        <w:fldChar w:fldCharType="end"/>
      </w:r>
      <w:r w:rsidRPr="009E1F3F">
        <w:rPr>
          <w:rFonts w:eastAsia="Calibri"/>
          <w:b/>
          <w:bCs/>
          <w:i/>
          <w:sz w:val="20"/>
          <w:szCs w:val="20"/>
        </w:rPr>
        <w:t>: Database Provided by the DIP</w:t>
      </w:r>
      <w:bookmarkEnd w:id="118"/>
    </w:p>
    <w:tbl>
      <w:tblPr>
        <w:tblStyle w:val="TableGrid1"/>
        <w:tblW w:w="0" w:type="auto"/>
        <w:tblLook w:val="04A0" w:firstRow="1" w:lastRow="0" w:firstColumn="1" w:lastColumn="0" w:noHBand="0" w:noVBand="1"/>
      </w:tblPr>
      <w:tblGrid>
        <w:gridCol w:w="2943"/>
        <w:gridCol w:w="2977"/>
        <w:gridCol w:w="2602"/>
      </w:tblGrid>
      <w:tr w:rsidR="008708FA" w:rsidRPr="008708FA" w:rsidTr="005C2427">
        <w:trPr>
          <w:trHeight w:val="574"/>
          <w:tblHeader/>
        </w:trPr>
        <w:tc>
          <w:tcPr>
            <w:tcW w:w="2943" w:type="dxa"/>
            <w:shd w:val="clear" w:color="auto" w:fill="8DB3E2" w:themeFill="text2" w:themeFillTint="66"/>
            <w:vAlign w:val="center"/>
          </w:tcPr>
          <w:p w:rsidR="008708FA" w:rsidRPr="008708FA" w:rsidRDefault="008708FA" w:rsidP="008708FA">
            <w:pPr>
              <w:jc w:val="center"/>
              <w:rPr>
                <w:b/>
                <w:bCs/>
              </w:rPr>
            </w:pPr>
            <w:r w:rsidRPr="008708FA">
              <w:rPr>
                <w:b/>
                <w:bCs/>
              </w:rPr>
              <w:t>Item</w:t>
            </w:r>
          </w:p>
        </w:tc>
        <w:tc>
          <w:tcPr>
            <w:tcW w:w="2977" w:type="dxa"/>
            <w:shd w:val="clear" w:color="auto" w:fill="8DB3E2" w:themeFill="text2" w:themeFillTint="66"/>
            <w:vAlign w:val="center"/>
          </w:tcPr>
          <w:p w:rsidR="008708FA" w:rsidRPr="008708FA" w:rsidRDefault="008708FA" w:rsidP="008708FA">
            <w:pPr>
              <w:jc w:val="center"/>
              <w:rPr>
                <w:b/>
                <w:bCs/>
              </w:rPr>
            </w:pPr>
            <w:r w:rsidRPr="008708FA">
              <w:rPr>
                <w:b/>
                <w:bCs/>
              </w:rPr>
              <w:t>The number of data shown in the excel file</w:t>
            </w:r>
          </w:p>
        </w:tc>
        <w:tc>
          <w:tcPr>
            <w:tcW w:w="2602" w:type="dxa"/>
            <w:shd w:val="clear" w:color="auto" w:fill="8DB3E2" w:themeFill="text2" w:themeFillTint="66"/>
            <w:vAlign w:val="center"/>
          </w:tcPr>
          <w:p w:rsidR="008708FA" w:rsidRPr="008708FA" w:rsidRDefault="008708FA" w:rsidP="008708FA">
            <w:pPr>
              <w:jc w:val="center"/>
              <w:rPr>
                <w:b/>
                <w:bCs/>
              </w:rPr>
            </w:pPr>
            <w:r w:rsidRPr="008708FA">
              <w:rPr>
                <w:b/>
                <w:bCs/>
              </w:rPr>
              <w:t>The number of missing data</w:t>
            </w:r>
          </w:p>
        </w:tc>
      </w:tr>
      <w:tr w:rsidR="008708FA" w:rsidRPr="008708FA" w:rsidTr="005C2427">
        <w:tc>
          <w:tcPr>
            <w:tcW w:w="2943" w:type="dxa"/>
          </w:tcPr>
          <w:p w:rsidR="008708FA" w:rsidRPr="008708FA" w:rsidRDefault="008708FA" w:rsidP="008708FA">
            <w:r w:rsidRPr="008708FA">
              <w:t xml:space="preserve">Category </w:t>
            </w:r>
          </w:p>
        </w:tc>
        <w:tc>
          <w:tcPr>
            <w:tcW w:w="2977" w:type="dxa"/>
          </w:tcPr>
          <w:p w:rsidR="008708FA" w:rsidRPr="008708FA" w:rsidRDefault="008708FA" w:rsidP="008708FA">
            <w:pPr>
              <w:jc w:val="center"/>
            </w:pPr>
            <w:r w:rsidRPr="008708FA">
              <w:t>7,498</w:t>
            </w:r>
          </w:p>
        </w:tc>
        <w:tc>
          <w:tcPr>
            <w:tcW w:w="2602" w:type="dxa"/>
          </w:tcPr>
          <w:p w:rsidR="008708FA" w:rsidRPr="008708FA" w:rsidRDefault="008708FA" w:rsidP="008708FA">
            <w:pPr>
              <w:jc w:val="center"/>
            </w:pPr>
            <w:r w:rsidRPr="008708FA">
              <w:t>0</w:t>
            </w:r>
          </w:p>
        </w:tc>
      </w:tr>
      <w:tr w:rsidR="008708FA" w:rsidRPr="008708FA" w:rsidTr="005C2427">
        <w:tc>
          <w:tcPr>
            <w:tcW w:w="2943" w:type="dxa"/>
          </w:tcPr>
          <w:p w:rsidR="008708FA" w:rsidRPr="008708FA" w:rsidRDefault="008708FA" w:rsidP="008708FA">
            <w:r w:rsidRPr="008708FA">
              <w:t xml:space="preserve">Application number </w:t>
            </w:r>
          </w:p>
        </w:tc>
        <w:tc>
          <w:tcPr>
            <w:tcW w:w="2977" w:type="dxa"/>
          </w:tcPr>
          <w:p w:rsidR="008708FA" w:rsidRPr="008708FA" w:rsidRDefault="008708FA" w:rsidP="008708FA">
            <w:pPr>
              <w:jc w:val="center"/>
            </w:pPr>
            <w:r w:rsidRPr="008708FA">
              <w:t>7,498</w:t>
            </w:r>
          </w:p>
        </w:tc>
        <w:tc>
          <w:tcPr>
            <w:tcW w:w="2602" w:type="dxa"/>
          </w:tcPr>
          <w:p w:rsidR="008708FA" w:rsidRPr="008708FA" w:rsidRDefault="008708FA" w:rsidP="008708FA">
            <w:pPr>
              <w:jc w:val="center"/>
            </w:pPr>
            <w:r w:rsidRPr="008708FA">
              <w:t>0</w:t>
            </w:r>
          </w:p>
        </w:tc>
      </w:tr>
      <w:tr w:rsidR="008708FA" w:rsidRPr="008708FA" w:rsidTr="005C2427">
        <w:tc>
          <w:tcPr>
            <w:tcW w:w="2943" w:type="dxa"/>
          </w:tcPr>
          <w:p w:rsidR="008708FA" w:rsidRPr="008708FA" w:rsidRDefault="008708FA" w:rsidP="008708FA">
            <w:r w:rsidRPr="008708FA">
              <w:t>Publication number</w:t>
            </w:r>
          </w:p>
        </w:tc>
        <w:tc>
          <w:tcPr>
            <w:tcW w:w="2977" w:type="dxa"/>
          </w:tcPr>
          <w:p w:rsidR="008708FA" w:rsidRPr="008708FA" w:rsidRDefault="008708FA" w:rsidP="008708FA">
            <w:pPr>
              <w:jc w:val="center"/>
            </w:pPr>
            <w:r w:rsidRPr="008708FA">
              <w:t>7,498</w:t>
            </w:r>
          </w:p>
        </w:tc>
        <w:tc>
          <w:tcPr>
            <w:tcW w:w="2602" w:type="dxa"/>
          </w:tcPr>
          <w:p w:rsidR="008708FA" w:rsidRPr="008708FA" w:rsidRDefault="008708FA" w:rsidP="008708FA">
            <w:pPr>
              <w:jc w:val="center"/>
            </w:pPr>
            <w:r w:rsidRPr="008708FA">
              <w:t>0</w:t>
            </w:r>
          </w:p>
        </w:tc>
      </w:tr>
      <w:tr w:rsidR="008708FA" w:rsidRPr="008708FA" w:rsidTr="005C2427">
        <w:tc>
          <w:tcPr>
            <w:tcW w:w="2943" w:type="dxa"/>
          </w:tcPr>
          <w:p w:rsidR="008708FA" w:rsidRPr="008708FA" w:rsidRDefault="008708FA" w:rsidP="008708FA">
            <w:r w:rsidRPr="008708FA">
              <w:t>Registration number</w:t>
            </w:r>
          </w:p>
        </w:tc>
        <w:tc>
          <w:tcPr>
            <w:tcW w:w="2977" w:type="dxa"/>
          </w:tcPr>
          <w:p w:rsidR="008708FA" w:rsidRPr="008708FA" w:rsidRDefault="008708FA" w:rsidP="008708FA">
            <w:pPr>
              <w:jc w:val="center"/>
            </w:pPr>
            <w:r w:rsidRPr="008708FA">
              <w:t>7,498</w:t>
            </w:r>
          </w:p>
        </w:tc>
        <w:tc>
          <w:tcPr>
            <w:tcW w:w="2602" w:type="dxa"/>
          </w:tcPr>
          <w:p w:rsidR="008708FA" w:rsidRPr="008708FA" w:rsidRDefault="008708FA" w:rsidP="008708FA">
            <w:pPr>
              <w:jc w:val="center"/>
            </w:pPr>
            <w:r w:rsidRPr="008708FA">
              <w:t>0</w:t>
            </w:r>
          </w:p>
        </w:tc>
      </w:tr>
      <w:tr w:rsidR="008708FA" w:rsidRPr="008708FA" w:rsidTr="005C2427">
        <w:tc>
          <w:tcPr>
            <w:tcW w:w="2943" w:type="dxa"/>
          </w:tcPr>
          <w:p w:rsidR="008708FA" w:rsidRPr="008708FA" w:rsidRDefault="008708FA" w:rsidP="008708FA">
            <w:r w:rsidRPr="008708FA">
              <w:t>Priority number</w:t>
            </w:r>
          </w:p>
        </w:tc>
        <w:tc>
          <w:tcPr>
            <w:tcW w:w="2977" w:type="dxa"/>
          </w:tcPr>
          <w:p w:rsidR="008708FA" w:rsidRPr="008708FA" w:rsidRDefault="008708FA" w:rsidP="008708FA">
            <w:pPr>
              <w:jc w:val="center"/>
            </w:pPr>
            <w:r w:rsidRPr="008708FA">
              <w:t>137</w:t>
            </w:r>
          </w:p>
        </w:tc>
        <w:tc>
          <w:tcPr>
            <w:tcW w:w="2602" w:type="dxa"/>
          </w:tcPr>
          <w:p w:rsidR="008708FA" w:rsidRPr="008708FA" w:rsidRDefault="008708FA" w:rsidP="008708FA">
            <w:pPr>
              <w:jc w:val="center"/>
            </w:pPr>
            <w:r w:rsidRPr="008708FA">
              <w:t>2</w:t>
            </w:r>
          </w:p>
        </w:tc>
      </w:tr>
      <w:tr w:rsidR="008708FA" w:rsidRPr="008708FA" w:rsidTr="005C2427">
        <w:tc>
          <w:tcPr>
            <w:tcW w:w="2943" w:type="dxa"/>
          </w:tcPr>
          <w:p w:rsidR="008708FA" w:rsidRPr="008708FA" w:rsidRDefault="008708FA" w:rsidP="008708FA">
            <w:r w:rsidRPr="008708FA">
              <w:t>Title</w:t>
            </w:r>
          </w:p>
        </w:tc>
        <w:tc>
          <w:tcPr>
            <w:tcW w:w="2977" w:type="dxa"/>
          </w:tcPr>
          <w:p w:rsidR="008708FA" w:rsidRPr="008708FA" w:rsidRDefault="008708FA" w:rsidP="008708FA">
            <w:pPr>
              <w:jc w:val="center"/>
            </w:pPr>
            <w:r w:rsidRPr="008708FA">
              <w:t>7,498</w:t>
            </w:r>
          </w:p>
        </w:tc>
        <w:tc>
          <w:tcPr>
            <w:tcW w:w="2602" w:type="dxa"/>
          </w:tcPr>
          <w:p w:rsidR="008708FA" w:rsidRPr="008708FA" w:rsidRDefault="008708FA" w:rsidP="008708FA">
            <w:pPr>
              <w:jc w:val="center"/>
            </w:pPr>
            <w:r w:rsidRPr="008708FA">
              <w:t>0</w:t>
            </w:r>
          </w:p>
        </w:tc>
      </w:tr>
      <w:tr w:rsidR="008708FA" w:rsidRPr="008708FA" w:rsidTr="005C2427">
        <w:tc>
          <w:tcPr>
            <w:tcW w:w="2943" w:type="dxa"/>
          </w:tcPr>
          <w:p w:rsidR="008708FA" w:rsidRPr="008708FA" w:rsidRDefault="008708FA" w:rsidP="008708FA">
            <w:r w:rsidRPr="008708FA">
              <w:t>IPC</w:t>
            </w:r>
          </w:p>
        </w:tc>
        <w:tc>
          <w:tcPr>
            <w:tcW w:w="2977" w:type="dxa"/>
          </w:tcPr>
          <w:p w:rsidR="008708FA" w:rsidRPr="008708FA" w:rsidRDefault="008708FA" w:rsidP="008708FA">
            <w:pPr>
              <w:jc w:val="center"/>
            </w:pPr>
            <w:r w:rsidRPr="008708FA">
              <w:t>7,464</w:t>
            </w:r>
          </w:p>
        </w:tc>
        <w:tc>
          <w:tcPr>
            <w:tcW w:w="2602" w:type="dxa"/>
          </w:tcPr>
          <w:p w:rsidR="008708FA" w:rsidRPr="008708FA" w:rsidRDefault="008708FA" w:rsidP="008708FA">
            <w:pPr>
              <w:jc w:val="center"/>
            </w:pPr>
            <w:r w:rsidRPr="008708FA">
              <w:t>34</w:t>
            </w:r>
          </w:p>
        </w:tc>
      </w:tr>
      <w:tr w:rsidR="008708FA" w:rsidRPr="008708FA" w:rsidTr="005C2427">
        <w:tc>
          <w:tcPr>
            <w:tcW w:w="2943" w:type="dxa"/>
          </w:tcPr>
          <w:p w:rsidR="008708FA" w:rsidRPr="008708FA" w:rsidRDefault="008708FA" w:rsidP="008708FA">
            <w:r w:rsidRPr="008708FA">
              <w:t>Abstract</w:t>
            </w:r>
          </w:p>
        </w:tc>
        <w:tc>
          <w:tcPr>
            <w:tcW w:w="2977" w:type="dxa"/>
          </w:tcPr>
          <w:p w:rsidR="008708FA" w:rsidRPr="008708FA" w:rsidRDefault="008708FA" w:rsidP="008708FA">
            <w:pPr>
              <w:jc w:val="center"/>
            </w:pPr>
            <w:r w:rsidRPr="008708FA">
              <w:t>7,470</w:t>
            </w:r>
          </w:p>
        </w:tc>
        <w:tc>
          <w:tcPr>
            <w:tcW w:w="2602" w:type="dxa"/>
          </w:tcPr>
          <w:p w:rsidR="008708FA" w:rsidRPr="008708FA" w:rsidRDefault="008708FA" w:rsidP="008708FA">
            <w:pPr>
              <w:jc w:val="center"/>
            </w:pPr>
            <w:r w:rsidRPr="008708FA">
              <w:t>28</w:t>
            </w:r>
          </w:p>
        </w:tc>
      </w:tr>
      <w:tr w:rsidR="008708FA" w:rsidRPr="008708FA" w:rsidTr="005C2427">
        <w:tc>
          <w:tcPr>
            <w:tcW w:w="2943" w:type="dxa"/>
          </w:tcPr>
          <w:p w:rsidR="008708FA" w:rsidRPr="008708FA" w:rsidRDefault="008708FA" w:rsidP="008708FA">
            <w:r w:rsidRPr="008708FA">
              <w:t>Claims</w:t>
            </w:r>
          </w:p>
        </w:tc>
        <w:tc>
          <w:tcPr>
            <w:tcW w:w="2977" w:type="dxa"/>
          </w:tcPr>
          <w:p w:rsidR="008708FA" w:rsidRPr="008708FA" w:rsidRDefault="008708FA" w:rsidP="008708FA">
            <w:pPr>
              <w:jc w:val="center"/>
            </w:pPr>
            <w:r w:rsidRPr="008708FA">
              <w:t>7,467</w:t>
            </w:r>
          </w:p>
        </w:tc>
        <w:tc>
          <w:tcPr>
            <w:tcW w:w="2602" w:type="dxa"/>
          </w:tcPr>
          <w:p w:rsidR="008708FA" w:rsidRPr="008708FA" w:rsidRDefault="008708FA" w:rsidP="008708FA">
            <w:pPr>
              <w:jc w:val="center"/>
            </w:pPr>
            <w:r w:rsidRPr="008708FA">
              <w:t>31</w:t>
            </w:r>
          </w:p>
        </w:tc>
      </w:tr>
      <w:tr w:rsidR="008708FA" w:rsidRPr="008708FA" w:rsidTr="005C2427">
        <w:tc>
          <w:tcPr>
            <w:tcW w:w="2943" w:type="dxa"/>
          </w:tcPr>
          <w:p w:rsidR="008708FA" w:rsidRPr="008708FA" w:rsidRDefault="008708FA" w:rsidP="008708FA">
            <w:r w:rsidRPr="008708FA">
              <w:t>Applicant</w:t>
            </w:r>
          </w:p>
        </w:tc>
        <w:tc>
          <w:tcPr>
            <w:tcW w:w="2977" w:type="dxa"/>
          </w:tcPr>
          <w:p w:rsidR="008708FA" w:rsidRPr="008708FA" w:rsidRDefault="008708FA" w:rsidP="008708FA">
            <w:pPr>
              <w:jc w:val="center"/>
            </w:pPr>
            <w:r w:rsidRPr="008708FA">
              <w:t>7,495</w:t>
            </w:r>
          </w:p>
        </w:tc>
        <w:tc>
          <w:tcPr>
            <w:tcW w:w="2602" w:type="dxa"/>
          </w:tcPr>
          <w:p w:rsidR="008708FA" w:rsidRPr="008708FA" w:rsidRDefault="008708FA" w:rsidP="008708FA">
            <w:pPr>
              <w:jc w:val="center"/>
            </w:pPr>
            <w:r w:rsidRPr="008708FA">
              <w:t>3</w:t>
            </w:r>
          </w:p>
        </w:tc>
      </w:tr>
      <w:tr w:rsidR="008708FA" w:rsidRPr="008708FA" w:rsidTr="005C2427">
        <w:tc>
          <w:tcPr>
            <w:tcW w:w="2943" w:type="dxa"/>
          </w:tcPr>
          <w:p w:rsidR="008708FA" w:rsidRPr="008708FA" w:rsidRDefault="008708FA" w:rsidP="008708FA">
            <w:r w:rsidRPr="008708FA">
              <w:t>Inventor</w:t>
            </w:r>
          </w:p>
        </w:tc>
        <w:tc>
          <w:tcPr>
            <w:tcW w:w="2977" w:type="dxa"/>
          </w:tcPr>
          <w:p w:rsidR="008708FA" w:rsidRPr="008708FA" w:rsidRDefault="008708FA" w:rsidP="008708FA">
            <w:pPr>
              <w:jc w:val="center"/>
            </w:pPr>
            <w:r w:rsidRPr="008708FA">
              <w:t>7,495</w:t>
            </w:r>
          </w:p>
        </w:tc>
        <w:tc>
          <w:tcPr>
            <w:tcW w:w="2602" w:type="dxa"/>
          </w:tcPr>
          <w:p w:rsidR="008708FA" w:rsidRPr="008708FA" w:rsidRDefault="008708FA" w:rsidP="008708FA">
            <w:pPr>
              <w:jc w:val="center"/>
            </w:pPr>
            <w:r w:rsidRPr="008708FA">
              <w:t>2</w:t>
            </w:r>
          </w:p>
        </w:tc>
      </w:tr>
      <w:tr w:rsidR="008708FA" w:rsidRPr="008708FA" w:rsidTr="005C2427">
        <w:tc>
          <w:tcPr>
            <w:tcW w:w="2943" w:type="dxa"/>
          </w:tcPr>
          <w:p w:rsidR="008708FA" w:rsidRPr="008708FA" w:rsidRDefault="008708FA" w:rsidP="008708FA">
            <w:r w:rsidRPr="008708FA">
              <w:t>Application date</w:t>
            </w:r>
          </w:p>
        </w:tc>
        <w:tc>
          <w:tcPr>
            <w:tcW w:w="2977" w:type="dxa"/>
          </w:tcPr>
          <w:p w:rsidR="008708FA" w:rsidRPr="008708FA" w:rsidRDefault="008708FA" w:rsidP="008708FA">
            <w:pPr>
              <w:jc w:val="center"/>
            </w:pPr>
            <w:r w:rsidRPr="008708FA">
              <w:t>7,498</w:t>
            </w:r>
          </w:p>
        </w:tc>
        <w:tc>
          <w:tcPr>
            <w:tcW w:w="2602" w:type="dxa"/>
          </w:tcPr>
          <w:p w:rsidR="008708FA" w:rsidRPr="008708FA" w:rsidRDefault="008708FA" w:rsidP="008708FA">
            <w:pPr>
              <w:jc w:val="center"/>
            </w:pPr>
            <w:r w:rsidRPr="008708FA">
              <w:t>0</w:t>
            </w:r>
          </w:p>
        </w:tc>
      </w:tr>
      <w:tr w:rsidR="008708FA" w:rsidRPr="008708FA" w:rsidTr="005C2427">
        <w:tc>
          <w:tcPr>
            <w:tcW w:w="2943" w:type="dxa"/>
          </w:tcPr>
          <w:p w:rsidR="008708FA" w:rsidRPr="008708FA" w:rsidRDefault="008708FA" w:rsidP="008708FA">
            <w:r w:rsidRPr="008708FA">
              <w:t>Publication date</w:t>
            </w:r>
          </w:p>
        </w:tc>
        <w:tc>
          <w:tcPr>
            <w:tcW w:w="2977" w:type="dxa"/>
          </w:tcPr>
          <w:p w:rsidR="008708FA" w:rsidRPr="008708FA" w:rsidRDefault="008708FA" w:rsidP="008708FA">
            <w:pPr>
              <w:jc w:val="center"/>
            </w:pPr>
            <w:r w:rsidRPr="008708FA">
              <w:t>7,498</w:t>
            </w:r>
          </w:p>
        </w:tc>
        <w:tc>
          <w:tcPr>
            <w:tcW w:w="2602" w:type="dxa"/>
          </w:tcPr>
          <w:p w:rsidR="008708FA" w:rsidRPr="008708FA" w:rsidRDefault="008708FA" w:rsidP="008708FA">
            <w:pPr>
              <w:jc w:val="center"/>
            </w:pPr>
            <w:r w:rsidRPr="008708FA">
              <w:t>0</w:t>
            </w:r>
          </w:p>
        </w:tc>
      </w:tr>
      <w:tr w:rsidR="008708FA" w:rsidRPr="008708FA" w:rsidTr="005C2427">
        <w:tc>
          <w:tcPr>
            <w:tcW w:w="2943" w:type="dxa"/>
          </w:tcPr>
          <w:p w:rsidR="008708FA" w:rsidRPr="008708FA" w:rsidRDefault="008708FA" w:rsidP="008708FA">
            <w:r w:rsidRPr="008708FA">
              <w:t>Registration date</w:t>
            </w:r>
          </w:p>
        </w:tc>
        <w:tc>
          <w:tcPr>
            <w:tcW w:w="2977" w:type="dxa"/>
          </w:tcPr>
          <w:p w:rsidR="008708FA" w:rsidRPr="008708FA" w:rsidRDefault="008708FA" w:rsidP="008708FA">
            <w:pPr>
              <w:jc w:val="center"/>
            </w:pPr>
            <w:r w:rsidRPr="008708FA">
              <w:t>7,496</w:t>
            </w:r>
          </w:p>
        </w:tc>
        <w:tc>
          <w:tcPr>
            <w:tcW w:w="2602" w:type="dxa"/>
          </w:tcPr>
          <w:p w:rsidR="008708FA" w:rsidRPr="008708FA" w:rsidRDefault="008708FA" w:rsidP="008708FA">
            <w:pPr>
              <w:jc w:val="center"/>
            </w:pPr>
            <w:r w:rsidRPr="008708FA">
              <w:t>2</w:t>
            </w:r>
          </w:p>
        </w:tc>
      </w:tr>
      <w:tr w:rsidR="008708FA" w:rsidRPr="008708FA" w:rsidTr="005C2427">
        <w:tc>
          <w:tcPr>
            <w:tcW w:w="2943" w:type="dxa"/>
          </w:tcPr>
          <w:p w:rsidR="008708FA" w:rsidRPr="008708FA" w:rsidRDefault="008708FA" w:rsidP="008708FA">
            <w:r w:rsidRPr="008708FA">
              <w:t>Examination date</w:t>
            </w:r>
          </w:p>
        </w:tc>
        <w:tc>
          <w:tcPr>
            <w:tcW w:w="2977" w:type="dxa"/>
          </w:tcPr>
          <w:p w:rsidR="008708FA" w:rsidRPr="008708FA" w:rsidRDefault="008708FA" w:rsidP="008708FA">
            <w:pPr>
              <w:jc w:val="center"/>
            </w:pPr>
            <w:r w:rsidRPr="008708FA">
              <w:t>40</w:t>
            </w:r>
          </w:p>
        </w:tc>
        <w:tc>
          <w:tcPr>
            <w:tcW w:w="2602" w:type="dxa"/>
          </w:tcPr>
          <w:p w:rsidR="008708FA" w:rsidRPr="008708FA" w:rsidRDefault="008708FA" w:rsidP="008708FA">
            <w:pPr>
              <w:jc w:val="center"/>
            </w:pPr>
            <w:r w:rsidRPr="008708FA">
              <w:t>n/a</w:t>
            </w:r>
          </w:p>
        </w:tc>
      </w:tr>
      <w:tr w:rsidR="008708FA" w:rsidRPr="008708FA" w:rsidTr="005C2427">
        <w:tc>
          <w:tcPr>
            <w:tcW w:w="2943" w:type="dxa"/>
          </w:tcPr>
          <w:p w:rsidR="008708FA" w:rsidRPr="008708FA" w:rsidRDefault="008708FA" w:rsidP="008708FA">
            <w:r w:rsidRPr="008708FA">
              <w:t>Priority date</w:t>
            </w:r>
          </w:p>
        </w:tc>
        <w:tc>
          <w:tcPr>
            <w:tcW w:w="2977" w:type="dxa"/>
          </w:tcPr>
          <w:p w:rsidR="008708FA" w:rsidRPr="008708FA" w:rsidRDefault="008708FA" w:rsidP="008708FA">
            <w:pPr>
              <w:jc w:val="center"/>
            </w:pPr>
            <w:r w:rsidRPr="008708FA">
              <w:t>304</w:t>
            </w:r>
          </w:p>
        </w:tc>
        <w:tc>
          <w:tcPr>
            <w:tcW w:w="2602" w:type="dxa"/>
          </w:tcPr>
          <w:p w:rsidR="008708FA" w:rsidRPr="008708FA" w:rsidRDefault="008708FA" w:rsidP="008708FA">
            <w:pPr>
              <w:jc w:val="center"/>
            </w:pPr>
            <w:r w:rsidRPr="008708FA">
              <w:t>n/a</w:t>
            </w:r>
          </w:p>
        </w:tc>
      </w:tr>
      <w:tr w:rsidR="008708FA" w:rsidRPr="008708FA" w:rsidTr="005C2427">
        <w:tc>
          <w:tcPr>
            <w:tcW w:w="2943" w:type="dxa"/>
          </w:tcPr>
          <w:p w:rsidR="008708FA" w:rsidRPr="008708FA" w:rsidRDefault="008708FA" w:rsidP="008708FA">
            <w:r w:rsidRPr="008708FA">
              <w:t>patent type</w:t>
            </w:r>
          </w:p>
        </w:tc>
        <w:tc>
          <w:tcPr>
            <w:tcW w:w="2977" w:type="dxa"/>
          </w:tcPr>
          <w:p w:rsidR="008708FA" w:rsidRPr="008708FA" w:rsidRDefault="008708FA" w:rsidP="008708FA">
            <w:pPr>
              <w:jc w:val="center"/>
            </w:pPr>
            <w:r w:rsidRPr="008708FA">
              <w:t>7,498</w:t>
            </w:r>
          </w:p>
        </w:tc>
        <w:tc>
          <w:tcPr>
            <w:tcW w:w="2602" w:type="dxa"/>
          </w:tcPr>
          <w:p w:rsidR="008708FA" w:rsidRPr="008708FA" w:rsidRDefault="008708FA" w:rsidP="008708FA">
            <w:pPr>
              <w:jc w:val="center"/>
            </w:pPr>
            <w:r w:rsidRPr="008708FA">
              <w:t>0</w:t>
            </w:r>
          </w:p>
        </w:tc>
      </w:tr>
      <w:tr w:rsidR="008708FA" w:rsidRPr="008708FA" w:rsidTr="005C2427">
        <w:tc>
          <w:tcPr>
            <w:tcW w:w="2943" w:type="dxa"/>
          </w:tcPr>
          <w:p w:rsidR="008708FA" w:rsidRPr="008708FA" w:rsidRDefault="008708FA" w:rsidP="008708FA">
            <w:r w:rsidRPr="008708FA">
              <w:t>Applicant’s nationality</w:t>
            </w:r>
          </w:p>
        </w:tc>
        <w:tc>
          <w:tcPr>
            <w:tcW w:w="2977" w:type="dxa"/>
          </w:tcPr>
          <w:p w:rsidR="008708FA" w:rsidRPr="008708FA" w:rsidRDefault="008708FA" w:rsidP="008708FA">
            <w:pPr>
              <w:jc w:val="center"/>
            </w:pPr>
            <w:r w:rsidRPr="008708FA">
              <w:t>7,353</w:t>
            </w:r>
          </w:p>
        </w:tc>
        <w:tc>
          <w:tcPr>
            <w:tcW w:w="2602" w:type="dxa"/>
          </w:tcPr>
          <w:p w:rsidR="008708FA" w:rsidRPr="008708FA" w:rsidRDefault="008708FA" w:rsidP="008708FA">
            <w:pPr>
              <w:jc w:val="center"/>
            </w:pPr>
            <w:r w:rsidRPr="008708FA">
              <w:t>145</w:t>
            </w:r>
          </w:p>
        </w:tc>
      </w:tr>
      <w:tr w:rsidR="008708FA" w:rsidRPr="008708FA" w:rsidTr="005C2427">
        <w:tc>
          <w:tcPr>
            <w:tcW w:w="2943" w:type="dxa"/>
          </w:tcPr>
          <w:p w:rsidR="008708FA" w:rsidRPr="008708FA" w:rsidRDefault="008708FA" w:rsidP="008708FA">
            <w:r w:rsidRPr="008708FA">
              <w:t>Inventor’s nationality</w:t>
            </w:r>
          </w:p>
        </w:tc>
        <w:tc>
          <w:tcPr>
            <w:tcW w:w="2977" w:type="dxa"/>
          </w:tcPr>
          <w:p w:rsidR="008708FA" w:rsidRPr="008708FA" w:rsidRDefault="008708FA" w:rsidP="008708FA">
            <w:pPr>
              <w:jc w:val="center"/>
            </w:pPr>
            <w:r w:rsidRPr="008708FA">
              <w:t>5,103</w:t>
            </w:r>
          </w:p>
        </w:tc>
        <w:tc>
          <w:tcPr>
            <w:tcW w:w="2602" w:type="dxa"/>
          </w:tcPr>
          <w:p w:rsidR="008708FA" w:rsidRPr="008708FA" w:rsidRDefault="008708FA" w:rsidP="008708FA">
            <w:pPr>
              <w:jc w:val="center"/>
            </w:pPr>
            <w:r w:rsidRPr="008708FA">
              <w:t>2,395</w:t>
            </w:r>
          </w:p>
        </w:tc>
      </w:tr>
    </w:tbl>
    <w:p w:rsidR="008708FA" w:rsidRPr="008708FA" w:rsidRDefault="008708FA" w:rsidP="008708FA">
      <w:pPr>
        <w:rPr>
          <w:rFonts w:eastAsia="Calibri"/>
          <w:i/>
          <w:sz w:val="16"/>
        </w:rPr>
      </w:pPr>
      <w:r w:rsidRPr="008708FA">
        <w:rPr>
          <w:rFonts w:eastAsia="Calibri"/>
          <w:i/>
          <w:sz w:val="16"/>
        </w:rPr>
        <w:t>Source: based on DIP raw data.</w:t>
      </w:r>
    </w:p>
    <w:p w:rsidR="008708FA" w:rsidRPr="008708FA" w:rsidRDefault="008708FA" w:rsidP="008708FA">
      <w:pPr>
        <w:rPr>
          <w:rFonts w:eastAsia="Calibri"/>
          <w:i/>
          <w:sz w:val="24"/>
        </w:rPr>
      </w:pPr>
      <w:r w:rsidRPr="008708FA">
        <w:rPr>
          <w:rFonts w:eastAsia="Calibri"/>
          <w:i/>
          <w:sz w:val="16"/>
        </w:rPr>
        <w:t xml:space="preserve">Note: </w:t>
      </w:r>
      <w:proofErr w:type="gramStart"/>
      <w:r w:rsidRPr="008708FA">
        <w:rPr>
          <w:rFonts w:eastAsia="Calibri"/>
          <w:i/>
          <w:sz w:val="16"/>
        </w:rPr>
        <w:t>n/a</w:t>
      </w:r>
      <w:proofErr w:type="gramEnd"/>
      <w:r w:rsidRPr="008708FA">
        <w:rPr>
          <w:rFonts w:eastAsia="Calibri"/>
          <w:i/>
          <w:sz w:val="16"/>
        </w:rPr>
        <w:t xml:space="preserve"> = not applicable, as the amount of missing values is not known.</w:t>
      </w:r>
    </w:p>
    <w:p w:rsidR="008708FA" w:rsidRPr="008708FA" w:rsidRDefault="008708FA" w:rsidP="008708FA">
      <w:pPr>
        <w:rPr>
          <w:rFonts w:eastAsia="Calibri"/>
        </w:rPr>
      </w:pPr>
    </w:p>
    <w:p w:rsidR="008708FA" w:rsidRPr="008708FA" w:rsidRDefault="008708FA" w:rsidP="008708FA">
      <w:pPr>
        <w:rPr>
          <w:rFonts w:eastAsia="Calibri"/>
        </w:rPr>
      </w:pPr>
    </w:p>
    <w:p w:rsidR="008708FA" w:rsidRPr="008708FA" w:rsidRDefault="008708FA" w:rsidP="00D14505">
      <w:pPr>
        <w:spacing w:line="276" w:lineRule="auto"/>
        <w:rPr>
          <w:rFonts w:eastAsia="Calibri"/>
        </w:rPr>
      </w:pPr>
      <w:r w:rsidRPr="008708FA">
        <w:rPr>
          <w:rFonts w:eastAsia="Calibri"/>
        </w:rPr>
        <w:br w:type="page"/>
      </w:r>
    </w:p>
    <w:p w:rsidR="008708FA" w:rsidRPr="008708FA" w:rsidRDefault="008708FA" w:rsidP="005C2427">
      <w:pPr>
        <w:pStyle w:val="Heading2"/>
        <w:numPr>
          <w:ilvl w:val="0"/>
          <w:numId w:val="0"/>
        </w:numPr>
        <w:ind w:left="576" w:hanging="576"/>
      </w:pPr>
      <w:bookmarkStart w:id="119" w:name="_Toc370307943"/>
      <w:bookmarkStart w:id="120" w:name="_Toc370310352"/>
      <w:r w:rsidRPr="008708FA">
        <w:t>Process of Collecting Missing Variables</w:t>
      </w:r>
      <w:bookmarkEnd w:id="119"/>
      <w:bookmarkEnd w:id="120"/>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The following steps were undertaken to collect the missing variables:</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u w:val="single"/>
        </w:rPr>
        <w:t>Step 1</w:t>
      </w:r>
      <w:r w:rsidRPr="008708FA">
        <w:rPr>
          <w:rFonts w:eastAsia="Calibri"/>
        </w:rPr>
        <w:t xml:space="preserve">:  Go to DIP website which contains the UM registration records from 1996 up to 2012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u w:val="single"/>
        </w:rPr>
        <w:t>Step 2</w:t>
      </w:r>
      <w:r w:rsidRPr="008708FA">
        <w:rPr>
          <w:rFonts w:eastAsia="Calibri"/>
        </w:rPr>
        <w:t xml:space="preserve">:  Enter an identifier for a particular UM application whose data was missing.  At this point, the webpage will reveal the UM’s </w:t>
      </w:r>
      <w:r w:rsidRPr="008708FA">
        <w:rPr>
          <w:rFonts w:eastAsia="Calibri"/>
          <w:bCs/>
        </w:rPr>
        <w:t>application number, publication number, registration number, title, category, inventor and applicant</w:t>
      </w:r>
      <w:r w:rsidRPr="008708FA">
        <w:rPr>
          <w:rFonts w:eastAsia="Calibri"/>
        </w:rPr>
        <w:t>.</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u w:val="single"/>
        </w:rPr>
        <w:t>Step 3</w:t>
      </w:r>
      <w:r w:rsidRPr="008708FA">
        <w:rPr>
          <w:rFonts w:eastAsia="Calibri"/>
        </w:rPr>
        <w:t xml:space="preserve">:  Click on the application number to get details on the UM’s </w:t>
      </w:r>
      <w:r w:rsidRPr="008708FA">
        <w:rPr>
          <w:rFonts w:eastAsia="Calibri"/>
          <w:bCs/>
        </w:rPr>
        <w:t>application date, publication date, registration date, receive date, agent, IPC code, last status, status date, abstract, claims, published document, application certificate and invention details</w:t>
      </w:r>
      <w:r w:rsidRPr="008708FA">
        <w:rPr>
          <w:rFonts w:eastAsia="Calibri"/>
        </w:rPr>
        <w:t xml:space="preserve">.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u w:val="single"/>
        </w:rPr>
        <w:t>Step 4</w:t>
      </w:r>
      <w:r w:rsidRPr="008708FA">
        <w:rPr>
          <w:rFonts w:eastAsia="Calibri"/>
        </w:rPr>
        <w:t xml:space="preserve">: Click on the “published document” and “application certificate” icon to view the </w:t>
      </w:r>
      <w:r w:rsidRPr="008708FA">
        <w:rPr>
          <w:rFonts w:eastAsia="Calibri"/>
          <w:bCs/>
        </w:rPr>
        <w:t>publication number, registration number, priority date, priority number, applicant country, inventor country, and priority country</w:t>
      </w:r>
      <w:r w:rsidRPr="008708FA">
        <w:rPr>
          <w:rFonts w:eastAsia="Calibri"/>
        </w:rPr>
        <w:t xml:space="preserve">.  Unfortunately, this information is available only as images (TIFF format), which implies they have to be recorded manually. </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u w:val="single"/>
        </w:rPr>
        <w:t>Step 5</w:t>
      </w:r>
      <w:r w:rsidRPr="008708FA">
        <w:rPr>
          <w:rFonts w:eastAsia="Calibri"/>
        </w:rPr>
        <w:t xml:space="preserve">:  As all the above mentioned information is reported only in Thai, TDRI has translated to English the following variables: </w:t>
      </w:r>
      <w:r w:rsidRPr="008708FA">
        <w:rPr>
          <w:rFonts w:eastAsia="Calibri"/>
          <w:bCs/>
        </w:rPr>
        <w:t>applicant country, inventor country and priority country</w:t>
      </w:r>
      <w:r w:rsidRPr="008708FA">
        <w:rPr>
          <w:rFonts w:eastAsia="Calibri"/>
        </w:rPr>
        <w:t xml:space="preserve"> into </w:t>
      </w:r>
      <w:r w:rsidRPr="008708FA">
        <w:rPr>
          <w:rFonts w:eastAsia="Calibri"/>
          <w:bCs/>
        </w:rPr>
        <w:t>applicant country code, inventor country code and priority country code.</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Unfortunately, certain variables which were provided exclusively in Thai were not translated. This is the case of abstract, title, applicant name, inventor name, and claims as seen below.  </w:t>
      </w:r>
    </w:p>
    <w:p w:rsidR="008708FA" w:rsidRPr="008708FA" w:rsidRDefault="008708FA" w:rsidP="008708FA">
      <w:pPr>
        <w:rPr>
          <w:rFonts w:eastAsia="Calibri"/>
        </w:rPr>
      </w:pPr>
    </w:p>
    <w:p w:rsidR="008708FA" w:rsidRPr="008708FA" w:rsidRDefault="008708FA" w:rsidP="008708FA">
      <w:pPr>
        <w:rPr>
          <w:rFonts w:eastAsia="Calibri"/>
        </w:rPr>
      </w:pPr>
    </w:p>
    <w:p w:rsidR="008708FA" w:rsidRPr="008708FA" w:rsidRDefault="008708FA" w:rsidP="005C2427">
      <w:pPr>
        <w:pStyle w:val="Heading2"/>
        <w:numPr>
          <w:ilvl w:val="0"/>
          <w:numId w:val="0"/>
        </w:numPr>
        <w:ind w:left="576" w:hanging="576"/>
      </w:pPr>
      <w:bookmarkStart w:id="121" w:name="_Toc370307944"/>
      <w:bookmarkStart w:id="122" w:name="_Toc370310353"/>
      <w:r w:rsidRPr="008708FA">
        <w:t>Preparing Applicant Names</w:t>
      </w:r>
      <w:bookmarkEnd w:id="121"/>
      <w:bookmarkEnd w:id="122"/>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rPr>
        <w:t xml:space="preserve">There were several issues to address when trying to identify the UM applicants.  These had to be fixed in order to avoid double-counting bias, as well as to allow for further empirical studies in the near future.  </w:t>
      </w:r>
    </w:p>
    <w:p w:rsidR="008708FA" w:rsidRPr="008708FA" w:rsidRDefault="008708FA" w:rsidP="008708FA">
      <w:pPr>
        <w:rPr>
          <w:rFonts w:eastAsia="Calibri"/>
        </w:rPr>
      </w:pPr>
    </w:p>
    <w:p w:rsidR="008708FA" w:rsidRPr="008708FA" w:rsidRDefault="008708FA" w:rsidP="008708FA">
      <w:pPr>
        <w:rPr>
          <w:rFonts w:eastAsia="Calibri"/>
          <w:shd w:val="clear" w:color="auto" w:fill="FFFFFF"/>
        </w:rPr>
      </w:pPr>
      <w:r w:rsidRPr="008708FA">
        <w:rPr>
          <w:rFonts w:eastAsia="Calibri"/>
        </w:rPr>
        <w:t xml:space="preserve">The most frequent problem in the identification of applicants refers to the same name written in multiple ways.  TDRI </w:t>
      </w:r>
      <w:r w:rsidRPr="008708FA">
        <w:rPr>
          <w:rFonts w:eastAsia="Calibri"/>
          <w:shd w:val="clear" w:color="auto" w:fill="FFFFFF"/>
        </w:rPr>
        <w:t xml:space="preserve">team found that there is no unique way in which an applicant name may be registered due to (1) the use of acronym; (2) the way in which an English word is spelled in Thai alphabets; (3) the use of blank spaces.  For example, in the case of the use of acronym, such as </w:t>
      </w:r>
      <w:r w:rsidRPr="008708FA">
        <w:rPr>
          <w:rFonts w:eastAsia="Calibri"/>
        </w:rPr>
        <w:t>“</w:t>
      </w:r>
      <w:r w:rsidRPr="008708FA">
        <w:rPr>
          <w:rFonts w:ascii="Tahoma" w:eastAsia="Calibri" w:hAnsi="Tahoma" w:cs="Tahoma" w:hint="cs"/>
          <w:u w:val="single"/>
          <w:cs/>
          <w:lang w:bidi="th-TH"/>
        </w:rPr>
        <w:t>ห้างหุ้นส่วนจำกัด</w:t>
      </w:r>
      <w:r w:rsidRPr="008708FA">
        <w:rPr>
          <w:rFonts w:eastAsia="Calibri"/>
          <w:rtl/>
          <w:cs/>
        </w:rPr>
        <w:t xml:space="preserve"> </w:t>
      </w:r>
      <w:r w:rsidRPr="008708FA">
        <w:rPr>
          <w:rFonts w:ascii="Tahoma" w:eastAsia="Calibri" w:hAnsi="Tahoma" w:cs="Tahoma" w:hint="cs"/>
          <w:cs/>
          <w:lang w:bidi="th-TH"/>
        </w:rPr>
        <w:t>โรงงานรถไถนา</w:t>
      </w:r>
      <w:r w:rsidRPr="008708FA">
        <w:rPr>
          <w:rFonts w:eastAsia="Calibri"/>
          <w:rtl/>
          <w:cs/>
        </w:rPr>
        <w:t xml:space="preserve"> </w:t>
      </w:r>
      <w:proofErr w:type="gramStart"/>
      <w:r w:rsidRPr="008708FA">
        <w:rPr>
          <w:rFonts w:ascii="Tahoma" w:eastAsia="Calibri" w:hAnsi="Tahoma" w:cs="Tahoma" w:hint="cs"/>
          <w:cs/>
          <w:lang w:bidi="th-TH"/>
        </w:rPr>
        <w:t>จ</w:t>
      </w:r>
      <w:r w:rsidRPr="008708FA">
        <w:rPr>
          <w:rFonts w:eastAsia="Calibri"/>
          <w:rtl/>
          <w:cs/>
        </w:rPr>
        <w:t>.</w:t>
      </w:r>
      <w:r w:rsidRPr="008708FA">
        <w:rPr>
          <w:rFonts w:ascii="Tahoma" w:eastAsia="Calibri" w:hAnsi="Tahoma" w:cs="Tahoma" w:hint="cs"/>
          <w:cs/>
          <w:lang w:bidi="th-TH"/>
        </w:rPr>
        <w:t>เจริญชัย</w:t>
      </w:r>
      <w:r w:rsidRPr="008708FA">
        <w:rPr>
          <w:rFonts w:eastAsia="Calibri"/>
          <w:rtl/>
          <w:cs/>
        </w:rPr>
        <w:t>(</w:t>
      </w:r>
      <w:proofErr w:type="gramEnd"/>
      <w:r w:rsidRPr="008708FA">
        <w:rPr>
          <w:rFonts w:ascii="Tahoma" w:eastAsia="Calibri" w:hAnsi="Tahoma" w:cs="Tahoma" w:hint="cs"/>
          <w:cs/>
          <w:lang w:bidi="th-TH"/>
        </w:rPr>
        <w:t>นายเจ่า</w:t>
      </w:r>
      <w:r w:rsidRPr="008708FA">
        <w:rPr>
          <w:rFonts w:eastAsia="Calibri"/>
          <w:rtl/>
          <w:cs/>
        </w:rPr>
        <w:t xml:space="preserve">) </w:t>
      </w:r>
      <w:r w:rsidRPr="008708FA">
        <w:rPr>
          <w:rFonts w:ascii="Tahoma" w:eastAsia="Calibri" w:hAnsi="Tahoma" w:cs="Tahoma" w:hint="cs"/>
          <w:cs/>
          <w:lang w:bidi="th-TH"/>
        </w:rPr>
        <w:t>อยุธยา</w:t>
      </w:r>
      <w:r w:rsidRPr="008708FA">
        <w:rPr>
          <w:rFonts w:eastAsia="Calibri"/>
        </w:rPr>
        <w:t>” which can be found also as “</w:t>
      </w:r>
      <w:r w:rsidRPr="008708FA">
        <w:rPr>
          <w:rFonts w:ascii="Tahoma" w:eastAsia="Calibri" w:hAnsi="Tahoma" w:cs="Tahoma" w:hint="cs"/>
          <w:u w:val="single"/>
          <w:cs/>
          <w:lang w:bidi="th-TH"/>
        </w:rPr>
        <w:t>หจก</w:t>
      </w:r>
      <w:r w:rsidRPr="008708FA">
        <w:rPr>
          <w:rFonts w:eastAsia="Calibri"/>
          <w:rtl/>
          <w:cs/>
        </w:rPr>
        <w:t>.</w:t>
      </w:r>
      <w:r w:rsidRPr="008708FA">
        <w:rPr>
          <w:rFonts w:ascii="Tahoma" w:eastAsia="Calibri" w:hAnsi="Tahoma" w:cs="Tahoma" w:hint="cs"/>
          <w:cs/>
          <w:lang w:bidi="th-TH"/>
        </w:rPr>
        <w:t>โรงงานรถไถนา</w:t>
      </w:r>
      <w:r w:rsidRPr="008708FA">
        <w:rPr>
          <w:rFonts w:eastAsia="Calibri"/>
          <w:rtl/>
          <w:cs/>
        </w:rPr>
        <w:t xml:space="preserve"> </w:t>
      </w:r>
      <w:r w:rsidRPr="008708FA">
        <w:rPr>
          <w:rFonts w:ascii="Tahoma" w:eastAsia="Calibri" w:hAnsi="Tahoma" w:cs="Tahoma" w:hint="cs"/>
          <w:cs/>
          <w:lang w:bidi="th-TH"/>
        </w:rPr>
        <w:t>จ</w:t>
      </w:r>
      <w:r w:rsidRPr="008708FA">
        <w:rPr>
          <w:rFonts w:eastAsia="Calibri"/>
          <w:rtl/>
          <w:cs/>
        </w:rPr>
        <w:t>.</w:t>
      </w:r>
      <w:r w:rsidRPr="008708FA">
        <w:rPr>
          <w:rFonts w:ascii="Tahoma" w:eastAsia="Calibri" w:hAnsi="Tahoma" w:cs="Tahoma" w:hint="cs"/>
          <w:cs/>
          <w:lang w:bidi="th-TH"/>
        </w:rPr>
        <w:t>เจริญชัย</w:t>
      </w:r>
      <w:r w:rsidRPr="008708FA">
        <w:rPr>
          <w:rFonts w:eastAsia="Calibri"/>
          <w:rtl/>
          <w:cs/>
        </w:rPr>
        <w:t>(</w:t>
      </w:r>
      <w:r w:rsidRPr="008708FA">
        <w:rPr>
          <w:rFonts w:ascii="Tahoma" w:eastAsia="Calibri" w:hAnsi="Tahoma" w:cs="Tahoma" w:hint="cs"/>
          <w:cs/>
          <w:lang w:bidi="th-TH"/>
        </w:rPr>
        <w:t>นายเจ่า</w:t>
      </w:r>
      <w:r w:rsidRPr="008708FA">
        <w:rPr>
          <w:rFonts w:eastAsia="Calibri"/>
          <w:rtl/>
          <w:cs/>
        </w:rPr>
        <w:t>)</w:t>
      </w:r>
      <w:r w:rsidRPr="008708FA">
        <w:rPr>
          <w:rFonts w:ascii="Tahoma" w:eastAsia="Calibri" w:hAnsi="Tahoma" w:cs="Tahoma" w:hint="cs"/>
          <w:cs/>
          <w:lang w:bidi="th-TH"/>
        </w:rPr>
        <w:t>อยุธยา</w:t>
      </w:r>
      <w:r w:rsidRPr="008708FA">
        <w:rPr>
          <w:rFonts w:eastAsia="Calibri"/>
        </w:rPr>
        <w:t xml:space="preserve">”.  However, the same name </w:t>
      </w:r>
      <w:r w:rsidRPr="008708FA">
        <w:rPr>
          <w:rFonts w:eastAsia="Calibri"/>
          <w:shd w:val="clear" w:color="auto" w:fill="FFFFFF"/>
        </w:rPr>
        <w:t xml:space="preserve">written in the same way may not appear all together due to the different use of blank spaces.  For example the name </w:t>
      </w:r>
      <w:r w:rsidRPr="008708FA">
        <w:rPr>
          <w:rFonts w:eastAsia="Calibri"/>
        </w:rPr>
        <w:t>“</w:t>
      </w:r>
      <w:r w:rsidRPr="008708FA">
        <w:rPr>
          <w:rFonts w:ascii="Tahoma" w:eastAsia="Calibri" w:hAnsi="Tahoma" w:cs="Tahoma" w:hint="cs"/>
          <w:cs/>
          <w:lang w:bidi="th-TH"/>
        </w:rPr>
        <w:t>ดร</w:t>
      </w:r>
      <w:r w:rsidRPr="008708FA">
        <w:rPr>
          <w:rFonts w:eastAsia="Calibri"/>
          <w:rtl/>
          <w:cs/>
        </w:rPr>
        <w:t>.</w:t>
      </w:r>
      <w:r w:rsidRPr="008708FA">
        <w:rPr>
          <w:rFonts w:ascii="Tahoma" w:eastAsia="Calibri" w:hAnsi="Tahoma" w:cs="Tahoma" w:hint="cs"/>
          <w:cs/>
          <w:lang w:bidi="th-TH"/>
        </w:rPr>
        <w:t>ชวาล</w:t>
      </w:r>
      <w:r w:rsidRPr="008708FA">
        <w:rPr>
          <w:rFonts w:eastAsia="Calibri"/>
          <w:rtl/>
          <w:cs/>
        </w:rPr>
        <w:t xml:space="preserve"> </w:t>
      </w:r>
      <w:r w:rsidRPr="008708FA">
        <w:rPr>
          <w:rFonts w:ascii="Tahoma" w:eastAsia="Calibri" w:hAnsi="Tahoma" w:cs="Tahoma" w:hint="cs"/>
          <w:cs/>
          <w:lang w:bidi="th-TH"/>
        </w:rPr>
        <w:t>โสตถิวันวงศ์</w:t>
      </w:r>
      <w:r w:rsidRPr="008708FA">
        <w:rPr>
          <w:rFonts w:eastAsia="Calibri"/>
        </w:rPr>
        <w:t xml:space="preserve">” (no space between </w:t>
      </w:r>
      <w:r w:rsidRPr="008708FA">
        <w:rPr>
          <w:rFonts w:ascii="Tahoma" w:eastAsia="Calibri" w:hAnsi="Tahoma" w:cs="Tahoma" w:hint="cs"/>
          <w:cs/>
          <w:lang w:bidi="th-TH"/>
        </w:rPr>
        <w:t>ดร</w:t>
      </w:r>
      <w:r w:rsidRPr="008708FA">
        <w:rPr>
          <w:rFonts w:eastAsia="Calibri"/>
          <w:rtl/>
          <w:cs/>
        </w:rPr>
        <w:t xml:space="preserve">. </w:t>
      </w:r>
      <w:r w:rsidRPr="008708FA">
        <w:rPr>
          <w:rFonts w:eastAsia="Calibri"/>
        </w:rPr>
        <w:t xml:space="preserve">and </w:t>
      </w:r>
      <w:r w:rsidRPr="008708FA">
        <w:rPr>
          <w:rFonts w:ascii="Tahoma" w:eastAsia="Calibri" w:hAnsi="Tahoma" w:cs="Tahoma" w:hint="cs"/>
          <w:cs/>
          <w:lang w:bidi="th-TH"/>
        </w:rPr>
        <w:t>ชวาล</w:t>
      </w:r>
      <w:r w:rsidRPr="008708FA">
        <w:rPr>
          <w:rFonts w:eastAsia="Calibri"/>
        </w:rPr>
        <w:t>) was appeared also as “</w:t>
      </w:r>
      <w:r w:rsidRPr="008708FA">
        <w:rPr>
          <w:rFonts w:ascii="Tahoma" w:eastAsia="Calibri" w:hAnsi="Tahoma" w:cs="Tahoma" w:hint="cs"/>
          <w:cs/>
          <w:lang w:bidi="th-TH"/>
        </w:rPr>
        <w:t>ดร</w:t>
      </w:r>
      <w:r w:rsidRPr="008708FA">
        <w:rPr>
          <w:rFonts w:eastAsia="Calibri"/>
          <w:rtl/>
          <w:cs/>
        </w:rPr>
        <w:t xml:space="preserve">. </w:t>
      </w:r>
      <w:r w:rsidRPr="008708FA">
        <w:rPr>
          <w:rFonts w:ascii="Tahoma" w:eastAsia="Calibri" w:hAnsi="Tahoma" w:cs="Tahoma" w:hint="cs"/>
          <w:cs/>
          <w:lang w:bidi="th-TH"/>
        </w:rPr>
        <w:t>ชวาล</w:t>
      </w:r>
      <w:r w:rsidRPr="008708FA">
        <w:rPr>
          <w:rFonts w:eastAsia="Calibri"/>
          <w:rtl/>
          <w:cs/>
        </w:rPr>
        <w:t xml:space="preserve"> </w:t>
      </w:r>
      <w:r w:rsidRPr="008708FA">
        <w:rPr>
          <w:rFonts w:ascii="Tahoma" w:eastAsia="Calibri" w:hAnsi="Tahoma" w:cs="Tahoma" w:hint="cs"/>
          <w:cs/>
          <w:lang w:bidi="th-TH"/>
        </w:rPr>
        <w:t>โสตถิวันวงศ์</w:t>
      </w:r>
      <w:r w:rsidRPr="008708FA">
        <w:rPr>
          <w:rFonts w:eastAsia="Calibri"/>
        </w:rPr>
        <w:t xml:space="preserve">” (one blank space between </w:t>
      </w:r>
      <w:r w:rsidRPr="008708FA">
        <w:rPr>
          <w:rFonts w:ascii="Tahoma" w:eastAsia="Calibri" w:hAnsi="Tahoma" w:cs="Tahoma" w:hint="cs"/>
          <w:cs/>
          <w:lang w:bidi="th-TH"/>
        </w:rPr>
        <w:t>ดร</w:t>
      </w:r>
      <w:r w:rsidRPr="008708FA">
        <w:rPr>
          <w:rFonts w:eastAsia="Calibri"/>
          <w:rtl/>
          <w:cs/>
        </w:rPr>
        <w:t xml:space="preserve">. </w:t>
      </w:r>
      <w:proofErr w:type="gramStart"/>
      <w:r w:rsidRPr="008708FA">
        <w:rPr>
          <w:rFonts w:eastAsia="Calibri"/>
        </w:rPr>
        <w:t>and</w:t>
      </w:r>
      <w:proofErr w:type="gramEnd"/>
      <w:r w:rsidRPr="008708FA">
        <w:rPr>
          <w:rFonts w:eastAsia="Calibri"/>
        </w:rPr>
        <w:t xml:space="preserve"> </w:t>
      </w:r>
      <w:r w:rsidRPr="008708FA">
        <w:rPr>
          <w:rFonts w:ascii="Tahoma" w:eastAsia="Calibri" w:hAnsi="Tahoma" w:cs="Tahoma" w:hint="cs"/>
          <w:cs/>
          <w:lang w:bidi="th-TH"/>
        </w:rPr>
        <w:t>ชวาล</w:t>
      </w:r>
      <w:r w:rsidRPr="008708FA">
        <w:rPr>
          <w:rFonts w:eastAsia="Calibri"/>
        </w:rPr>
        <w:t>) and the name “</w:t>
      </w:r>
      <w:r w:rsidRPr="008708FA">
        <w:rPr>
          <w:rFonts w:ascii="Tahoma" w:eastAsia="Calibri" w:hAnsi="Tahoma" w:cs="Tahoma" w:hint="cs"/>
          <w:cs/>
          <w:lang w:bidi="th-TH"/>
        </w:rPr>
        <w:t>นางยุพดี</w:t>
      </w:r>
      <w:r w:rsidRPr="008708FA">
        <w:rPr>
          <w:rFonts w:eastAsia="Calibri"/>
          <w:rtl/>
          <w:cs/>
        </w:rPr>
        <w:t xml:space="preserve"> </w:t>
      </w:r>
      <w:r w:rsidRPr="008708FA">
        <w:rPr>
          <w:rFonts w:ascii="Tahoma" w:eastAsia="Calibri" w:hAnsi="Tahoma" w:cs="Tahoma" w:hint="cs"/>
          <w:cs/>
          <w:lang w:bidi="th-TH"/>
        </w:rPr>
        <w:t>รัตนจัง</w:t>
      </w:r>
      <w:r w:rsidRPr="008708FA">
        <w:rPr>
          <w:rFonts w:eastAsia="Calibri"/>
        </w:rPr>
        <w:t>”</w:t>
      </w:r>
      <w:r w:rsidRPr="008708FA">
        <w:rPr>
          <w:rFonts w:eastAsia="Calibri"/>
          <w:rtl/>
          <w:cs/>
        </w:rPr>
        <w:t xml:space="preserve"> </w:t>
      </w:r>
      <w:r w:rsidRPr="008708FA">
        <w:rPr>
          <w:rFonts w:eastAsia="Calibri"/>
        </w:rPr>
        <w:t>(one blank space between first name</w:t>
      </w:r>
      <w:r w:rsidRPr="008708FA">
        <w:rPr>
          <w:rFonts w:eastAsia="Calibri"/>
          <w:rtl/>
          <w:cs/>
        </w:rPr>
        <w:t xml:space="preserve"> </w:t>
      </w:r>
      <w:r w:rsidRPr="008708FA">
        <w:rPr>
          <w:rFonts w:eastAsia="Calibri"/>
        </w:rPr>
        <w:t>and last name) was found also as</w:t>
      </w:r>
      <w:r w:rsidRPr="008708FA">
        <w:rPr>
          <w:rFonts w:eastAsia="Calibri"/>
          <w:rtl/>
          <w:cs/>
        </w:rPr>
        <w:t xml:space="preserve"> </w:t>
      </w:r>
      <w:r w:rsidRPr="008708FA">
        <w:rPr>
          <w:rFonts w:eastAsia="Calibri"/>
        </w:rPr>
        <w:t>“</w:t>
      </w:r>
      <w:r w:rsidRPr="008708FA">
        <w:rPr>
          <w:rFonts w:ascii="Tahoma" w:eastAsia="Calibri" w:hAnsi="Tahoma" w:cs="Tahoma" w:hint="cs"/>
          <w:cs/>
          <w:lang w:bidi="th-TH"/>
        </w:rPr>
        <w:t>นางยุพดี</w:t>
      </w:r>
      <w:r w:rsidRPr="008708FA">
        <w:rPr>
          <w:rFonts w:eastAsia="Calibri"/>
          <w:rtl/>
          <w:cs/>
        </w:rPr>
        <w:t xml:space="preserve">  </w:t>
      </w:r>
      <w:r w:rsidRPr="008708FA">
        <w:rPr>
          <w:rFonts w:ascii="Tahoma" w:eastAsia="Calibri" w:hAnsi="Tahoma" w:cs="Tahoma" w:hint="cs"/>
          <w:cs/>
          <w:lang w:bidi="th-TH"/>
        </w:rPr>
        <w:t>รัตนจัง</w:t>
      </w:r>
      <w:r w:rsidRPr="008708FA">
        <w:rPr>
          <w:rFonts w:eastAsia="Calibri"/>
        </w:rPr>
        <w:t>”</w:t>
      </w:r>
      <w:r w:rsidRPr="008708FA">
        <w:rPr>
          <w:rFonts w:eastAsia="Calibri"/>
          <w:shd w:val="clear" w:color="auto" w:fill="FFFFFF"/>
          <w:rtl/>
          <w:cs/>
        </w:rPr>
        <w:t xml:space="preserve"> </w:t>
      </w:r>
      <w:r w:rsidRPr="008708FA">
        <w:rPr>
          <w:rFonts w:eastAsia="Calibri"/>
          <w:shd w:val="clear" w:color="auto" w:fill="FFFFFF"/>
        </w:rPr>
        <w:t xml:space="preserve">(more than </w:t>
      </w:r>
      <w:r w:rsidRPr="008708FA">
        <w:rPr>
          <w:rFonts w:eastAsia="Calibri"/>
        </w:rPr>
        <w:t xml:space="preserve">one blank space </w:t>
      </w:r>
      <w:r w:rsidRPr="008708FA">
        <w:rPr>
          <w:rFonts w:eastAsia="Calibri"/>
          <w:shd w:val="clear" w:color="auto" w:fill="FFFFFF"/>
        </w:rPr>
        <w:t>between first name</w:t>
      </w:r>
      <w:r w:rsidRPr="008708FA">
        <w:rPr>
          <w:rFonts w:eastAsia="Calibri"/>
          <w:shd w:val="clear" w:color="auto" w:fill="FFFFFF"/>
          <w:rtl/>
          <w:cs/>
        </w:rPr>
        <w:t xml:space="preserve"> </w:t>
      </w:r>
      <w:r w:rsidRPr="008708FA">
        <w:rPr>
          <w:rFonts w:eastAsia="Calibri"/>
          <w:shd w:val="clear" w:color="auto" w:fill="FFFFFF"/>
        </w:rPr>
        <w:t xml:space="preserve">and last name).  </w:t>
      </w:r>
    </w:p>
    <w:p w:rsidR="008708FA" w:rsidRPr="008708FA" w:rsidRDefault="008708FA" w:rsidP="008708FA">
      <w:pPr>
        <w:rPr>
          <w:rFonts w:eastAsia="Calibri"/>
          <w:shd w:val="clear" w:color="auto" w:fill="FFFFFF"/>
        </w:rPr>
      </w:pPr>
    </w:p>
    <w:p w:rsidR="008708FA" w:rsidRPr="008708FA" w:rsidRDefault="008708FA" w:rsidP="008708FA">
      <w:pPr>
        <w:rPr>
          <w:rFonts w:eastAsia="Calibri"/>
          <w:color w:val="000000"/>
          <w:shd w:val="clear" w:color="auto" w:fill="FFFFFF"/>
        </w:rPr>
      </w:pPr>
      <w:r w:rsidRPr="008708FA">
        <w:rPr>
          <w:rFonts w:eastAsia="Calibri"/>
          <w:shd w:val="clear" w:color="auto" w:fill="FFFFFF"/>
        </w:rPr>
        <w:t xml:space="preserve">Additionally, applicant names were found misspelled in several cases.  For example, the </w:t>
      </w:r>
      <w:r w:rsidRPr="008708FA">
        <w:rPr>
          <w:rFonts w:eastAsia="Calibri"/>
        </w:rPr>
        <w:t>word “</w:t>
      </w:r>
      <w:r w:rsidRPr="008708FA">
        <w:rPr>
          <w:rFonts w:ascii="Tahoma" w:eastAsia="Calibri" w:hAnsi="Tahoma" w:cs="Tahoma" w:hint="cs"/>
          <w:cs/>
          <w:lang w:bidi="th-TH"/>
        </w:rPr>
        <w:t>บริษัท</w:t>
      </w:r>
      <w:r w:rsidRPr="008708FA">
        <w:rPr>
          <w:rFonts w:eastAsia="Calibri"/>
        </w:rPr>
        <w:t>” (means company) was found also as “</w:t>
      </w:r>
      <w:r w:rsidRPr="008708FA">
        <w:rPr>
          <w:rFonts w:ascii="Tahoma" w:eastAsia="Calibri" w:hAnsi="Tahoma" w:cs="Tahoma" w:hint="cs"/>
          <w:cs/>
          <w:lang w:bidi="th-TH"/>
        </w:rPr>
        <w:t>บรัษัท</w:t>
      </w:r>
      <w:r w:rsidRPr="008708FA">
        <w:rPr>
          <w:rFonts w:eastAsia="Calibri"/>
        </w:rPr>
        <w:t>” and the word “</w:t>
      </w:r>
      <w:r w:rsidRPr="008708FA">
        <w:rPr>
          <w:rFonts w:ascii="Tahoma" w:eastAsia="Calibri" w:hAnsi="Tahoma" w:cs="Tahoma" w:hint="cs"/>
          <w:cs/>
          <w:lang w:bidi="th-TH"/>
        </w:rPr>
        <w:t>นาย</w:t>
      </w:r>
      <w:r w:rsidRPr="008708FA">
        <w:rPr>
          <w:rFonts w:eastAsia="Calibri"/>
        </w:rPr>
        <w:t xml:space="preserve">” (means </w:t>
      </w:r>
      <w:proofErr w:type="spellStart"/>
      <w:r w:rsidRPr="008708FA">
        <w:rPr>
          <w:rFonts w:eastAsia="Calibri"/>
        </w:rPr>
        <w:t>Mr</w:t>
      </w:r>
      <w:proofErr w:type="spellEnd"/>
      <w:r w:rsidRPr="008708FA">
        <w:rPr>
          <w:rFonts w:eastAsia="Calibri"/>
        </w:rPr>
        <w:t xml:space="preserve">) </w:t>
      </w:r>
      <w:r w:rsidRPr="008708FA">
        <w:rPr>
          <w:rFonts w:eastAsia="Calibri"/>
          <w:shd w:val="clear" w:color="auto" w:fill="FFFFFF"/>
        </w:rPr>
        <w:t>was typed as “</w:t>
      </w:r>
      <w:r w:rsidRPr="008708FA">
        <w:rPr>
          <w:rFonts w:ascii="Tahoma" w:eastAsia="Calibri" w:hAnsi="Tahoma" w:cs="Tahoma" w:hint="cs"/>
          <w:cs/>
          <w:lang w:bidi="th-TH"/>
        </w:rPr>
        <w:t>นย</w:t>
      </w:r>
      <w:r w:rsidRPr="008708FA">
        <w:rPr>
          <w:rFonts w:eastAsia="Calibri"/>
        </w:rPr>
        <w:t>”</w:t>
      </w:r>
      <w:r w:rsidRPr="008708FA">
        <w:rPr>
          <w:rFonts w:eastAsia="Calibri"/>
          <w:shd w:val="clear" w:color="auto" w:fill="FFFFFF"/>
        </w:rPr>
        <w:t xml:space="preserve"> in some application.  Similarly, some institutions’ names were found misspelled as well, such as the case of word </w:t>
      </w:r>
      <w:r w:rsidRPr="008708FA">
        <w:rPr>
          <w:rFonts w:eastAsia="Calibri"/>
          <w:color w:val="000000"/>
          <w:shd w:val="clear" w:color="auto" w:fill="FFFFFF"/>
        </w:rPr>
        <w:t>“</w:t>
      </w:r>
      <w:r w:rsidRPr="008708FA">
        <w:rPr>
          <w:rFonts w:ascii="Tahoma" w:eastAsia="Calibri" w:hAnsi="Tahoma" w:cs="Tahoma" w:hint="cs"/>
          <w:cs/>
          <w:lang w:bidi="th-TH"/>
        </w:rPr>
        <w:t>องค์การเภสัชกรรม</w:t>
      </w:r>
      <w:r w:rsidRPr="008708FA">
        <w:rPr>
          <w:rFonts w:eastAsia="Calibri"/>
          <w:color w:val="000000"/>
          <w:shd w:val="clear" w:color="auto" w:fill="FFFFFF"/>
        </w:rPr>
        <w:t>”</w:t>
      </w:r>
      <w:r w:rsidRPr="008708FA">
        <w:rPr>
          <w:rFonts w:eastAsia="Calibri"/>
          <w:shd w:val="clear" w:color="auto" w:fill="FFFFFF"/>
        </w:rPr>
        <w:t xml:space="preserve"> (</w:t>
      </w:r>
      <w:r w:rsidRPr="008708FA">
        <w:t>The Government Pharmaceutical Organization</w:t>
      </w:r>
      <w:r w:rsidRPr="008708FA">
        <w:rPr>
          <w:rFonts w:eastAsia="Calibri"/>
          <w:shd w:val="clear" w:color="auto" w:fill="FFFFFF"/>
        </w:rPr>
        <w:t xml:space="preserve">) can be found as </w:t>
      </w:r>
      <w:r w:rsidRPr="008708FA">
        <w:rPr>
          <w:rFonts w:eastAsia="Calibri"/>
          <w:color w:val="000000"/>
          <w:shd w:val="clear" w:color="auto" w:fill="FFFFFF"/>
        </w:rPr>
        <w:t>“</w:t>
      </w:r>
      <w:r w:rsidRPr="008708FA">
        <w:rPr>
          <w:rFonts w:ascii="Angsana New" w:eastAsia="Calibri" w:hAnsi="Angsana New" w:cs="Angsana New" w:hint="cs"/>
          <w:color w:val="000000"/>
          <w:shd w:val="clear" w:color="auto" w:fill="FFFFFF"/>
          <w:cs/>
          <w:lang w:bidi="th-TH"/>
        </w:rPr>
        <w:t>องการเภสัชกรรม</w:t>
      </w:r>
      <w:r w:rsidRPr="008708FA">
        <w:rPr>
          <w:rFonts w:eastAsia="Calibri"/>
          <w:color w:val="000000"/>
          <w:shd w:val="clear" w:color="auto" w:fill="FFFFFF"/>
        </w:rPr>
        <w:t>”</w:t>
      </w:r>
      <w:r w:rsidRPr="008708FA">
        <w:rPr>
          <w:rFonts w:eastAsia="Calibri"/>
          <w:shd w:val="clear" w:color="auto" w:fill="FFFFFF"/>
        </w:rPr>
        <w:t>.</w:t>
      </w:r>
    </w:p>
    <w:p w:rsidR="008708FA" w:rsidRPr="008708FA" w:rsidRDefault="008708FA" w:rsidP="008708FA">
      <w:pPr>
        <w:rPr>
          <w:rFonts w:eastAsia="Calibri"/>
          <w:color w:val="000000"/>
          <w:shd w:val="clear" w:color="auto" w:fill="FFFFFF"/>
        </w:rPr>
      </w:pPr>
    </w:p>
    <w:p w:rsidR="008708FA" w:rsidRPr="008708FA" w:rsidRDefault="008708FA" w:rsidP="008708FA">
      <w:pPr>
        <w:rPr>
          <w:rFonts w:eastAsia="Calibri"/>
          <w:shd w:val="clear" w:color="auto" w:fill="FFFFFF"/>
        </w:rPr>
      </w:pPr>
      <w:r w:rsidRPr="008708FA">
        <w:rPr>
          <w:rFonts w:eastAsia="Calibri"/>
        </w:rPr>
        <w:t>Another kind of problem arises when companies change their names over time.  As such, d</w:t>
      </w:r>
      <w:r w:rsidRPr="008708FA">
        <w:rPr>
          <w:rFonts w:eastAsia="Calibri"/>
          <w:shd w:val="clear" w:color="auto" w:fill="FFFFFF"/>
        </w:rPr>
        <w:t>ifferent UM applications by the same company were not always attributed to the same entity.  For example, the company “</w:t>
      </w:r>
      <w:r w:rsidRPr="008708FA">
        <w:rPr>
          <w:rFonts w:ascii="Tahoma" w:eastAsia="Calibri" w:hAnsi="Tahoma" w:cs="Tahoma" w:hint="cs"/>
          <w:cs/>
          <w:lang w:bidi="th-TH"/>
        </w:rPr>
        <w:t>บริษัท</w:t>
      </w:r>
      <w:r w:rsidRPr="008708FA">
        <w:rPr>
          <w:rFonts w:eastAsia="Calibri"/>
          <w:rtl/>
          <w:cs/>
        </w:rPr>
        <w:t xml:space="preserve"> </w:t>
      </w:r>
      <w:r w:rsidRPr="008708FA">
        <w:rPr>
          <w:rFonts w:ascii="Tahoma" w:eastAsia="Calibri" w:hAnsi="Tahoma" w:cs="Tahoma" w:hint="cs"/>
          <w:cs/>
          <w:lang w:bidi="th-TH"/>
        </w:rPr>
        <w:t>แอร์โรเฟลกซ์</w:t>
      </w:r>
      <w:r w:rsidRPr="008708FA">
        <w:rPr>
          <w:rFonts w:eastAsia="Calibri"/>
          <w:rtl/>
          <w:cs/>
        </w:rPr>
        <w:t xml:space="preserve"> </w:t>
      </w:r>
      <w:r w:rsidRPr="008708FA">
        <w:rPr>
          <w:rFonts w:ascii="Tahoma" w:eastAsia="Calibri" w:hAnsi="Tahoma" w:cs="Tahoma" w:hint="cs"/>
          <w:cs/>
          <w:lang w:bidi="th-TH"/>
        </w:rPr>
        <w:t>อินเตอร์เนชันแนล</w:t>
      </w:r>
      <w:r w:rsidRPr="008708FA">
        <w:rPr>
          <w:rFonts w:eastAsia="Calibri"/>
          <w:rtl/>
          <w:cs/>
        </w:rPr>
        <w:t xml:space="preserve"> </w:t>
      </w:r>
      <w:r w:rsidRPr="008708FA">
        <w:rPr>
          <w:rFonts w:ascii="Tahoma" w:eastAsia="Calibri" w:hAnsi="Tahoma" w:cs="Tahoma" w:hint="cs"/>
          <w:cs/>
          <w:lang w:bidi="th-TH"/>
        </w:rPr>
        <w:t>จำกัด</w:t>
      </w:r>
      <w:r w:rsidRPr="008708FA">
        <w:rPr>
          <w:rFonts w:eastAsia="Calibri"/>
          <w:shd w:val="clear" w:color="auto" w:fill="FFFFFF"/>
        </w:rPr>
        <w:t>” was renamed as “</w:t>
      </w:r>
      <w:r w:rsidRPr="008708FA">
        <w:rPr>
          <w:rFonts w:ascii="Tahoma" w:eastAsia="Calibri" w:hAnsi="Tahoma" w:cs="Tahoma" w:hint="cs"/>
          <w:cs/>
          <w:lang w:bidi="th-TH"/>
        </w:rPr>
        <w:t>บริษัท</w:t>
      </w:r>
      <w:r w:rsidRPr="008708FA">
        <w:rPr>
          <w:rFonts w:eastAsia="Calibri"/>
          <w:rtl/>
          <w:cs/>
        </w:rPr>
        <w:t xml:space="preserve"> </w:t>
      </w:r>
      <w:r w:rsidRPr="008708FA">
        <w:rPr>
          <w:rFonts w:ascii="Tahoma" w:eastAsia="Calibri" w:hAnsi="Tahoma" w:cs="Tahoma" w:hint="cs"/>
          <w:cs/>
          <w:lang w:bidi="th-TH"/>
        </w:rPr>
        <w:t>แอร์โรคลาส</w:t>
      </w:r>
      <w:r w:rsidRPr="008708FA">
        <w:rPr>
          <w:rFonts w:eastAsia="Calibri"/>
          <w:rtl/>
          <w:cs/>
        </w:rPr>
        <w:t xml:space="preserve"> </w:t>
      </w:r>
      <w:r w:rsidRPr="008708FA">
        <w:rPr>
          <w:rFonts w:ascii="Tahoma" w:eastAsia="Calibri" w:hAnsi="Tahoma" w:cs="Tahoma" w:hint="cs"/>
          <w:cs/>
          <w:lang w:bidi="th-TH"/>
        </w:rPr>
        <w:t>จำกัด</w:t>
      </w:r>
      <w:r w:rsidRPr="008708FA">
        <w:rPr>
          <w:rFonts w:eastAsia="Calibri"/>
        </w:rPr>
        <w:t>” or the company “</w:t>
      </w:r>
      <w:r w:rsidRPr="008708FA">
        <w:rPr>
          <w:rFonts w:ascii="Tahoma" w:eastAsia="Calibri" w:hAnsi="Tahoma" w:cs="Tahoma" w:hint="cs"/>
          <w:cs/>
          <w:lang w:bidi="th-TH"/>
        </w:rPr>
        <w:t>บริษัท</w:t>
      </w:r>
      <w:r w:rsidRPr="008708FA">
        <w:rPr>
          <w:rFonts w:eastAsia="Calibri"/>
          <w:rtl/>
          <w:cs/>
        </w:rPr>
        <w:t xml:space="preserve"> </w:t>
      </w:r>
      <w:r w:rsidRPr="008708FA">
        <w:rPr>
          <w:rFonts w:ascii="Tahoma" w:eastAsia="Calibri" w:hAnsi="Tahoma" w:cs="Tahoma" w:hint="cs"/>
          <w:cs/>
          <w:lang w:bidi="th-TH"/>
        </w:rPr>
        <w:t>ปูนซีเมนต์อุตสาหกรรมไทย</w:t>
      </w:r>
      <w:r w:rsidRPr="008708FA">
        <w:rPr>
          <w:rFonts w:eastAsia="Calibri"/>
          <w:rtl/>
          <w:cs/>
        </w:rPr>
        <w:t xml:space="preserve"> </w:t>
      </w:r>
      <w:r w:rsidRPr="008708FA">
        <w:rPr>
          <w:rFonts w:ascii="Tahoma" w:eastAsia="Calibri" w:hAnsi="Tahoma" w:cs="Tahoma" w:hint="cs"/>
          <w:cs/>
          <w:lang w:bidi="th-TH"/>
        </w:rPr>
        <w:t>จำกัด</w:t>
      </w:r>
      <w:r w:rsidRPr="008708FA">
        <w:rPr>
          <w:rFonts w:eastAsia="Calibri"/>
        </w:rPr>
        <w:t>” was renamed as “</w:t>
      </w:r>
      <w:r w:rsidRPr="008708FA">
        <w:rPr>
          <w:rFonts w:ascii="Tahoma" w:eastAsia="Calibri" w:hAnsi="Tahoma" w:cs="Tahoma" w:hint="cs"/>
          <w:cs/>
          <w:lang w:bidi="th-TH"/>
        </w:rPr>
        <w:t>บริษัท</w:t>
      </w:r>
      <w:r w:rsidRPr="008708FA">
        <w:rPr>
          <w:rFonts w:eastAsia="Calibri"/>
          <w:rtl/>
          <w:cs/>
        </w:rPr>
        <w:t xml:space="preserve"> </w:t>
      </w:r>
      <w:r w:rsidRPr="008708FA">
        <w:rPr>
          <w:rFonts w:ascii="Tahoma" w:eastAsia="Calibri" w:hAnsi="Tahoma" w:cs="Tahoma" w:hint="cs"/>
          <w:cs/>
          <w:lang w:bidi="th-TH"/>
        </w:rPr>
        <w:t>เอสซีจี</w:t>
      </w:r>
      <w:r w:rsidRPr="008708FA">
        <w:rPr>
          <w:rFonts w:eastAsia="Calibri"/>
          <w:rtl/>
          <w:cs/>
        </w:rPr>
        <w:t xml:space="preserve"> </w:t>
      </w:r>
      <w:r w:rsidRPr="008708FA">
        <w:rPr>
          <w:rFonts w:ascii="Tahoma" w:eastAsia="Calibri" w:hAnsi="Tahoma" w:cs="Tahoma" w:hint="cs"/>
          <w:cs/>
          <w:lang w:bidi="th-TH"/>
        </w:rPr>
        <w:t>ซิเมนต์</w:t>
      </w:r>
      <w:r w:rsidRPr="008708FA">
        <w:rPr>
          <w:rFonts w:eastAsia="Calibri"/>
          <w:rtl/>
          <w:cs/>
        </w:rPr>
        <w:t xml:space="preserve"> </w:t>
      </w:r>
      <w:r w:rsidRPr="008708FA">
        <w:rPr>
          <w:rFonts w:ascii="Tahoma" w:eastAsia="Calibri" w:hAnsi="Tahoma" w:cs="Tahoma" w:hint="cs"/>
          <w:cs/>
          <w:lang w:bidi="th-TH"/>
        </w:rPr>
        <w:t>จำกัด</w:t>
      </w:r>
      <w:r w:rsidRPr="008708FA">
        <w:rPr>
          <w:rFonts w:eastAsia="Calibri"/>
          <w:shd w:val="clear" w:color="auto" w:fill="FFFFFF"/>
        </w:rPr>
        <w:t>.</w:t>
      </w:r>
    </w:p>
    <w:p w:rsidR="008708FA" w:rsidRPr="008708FA" w:rsidRDefault="008708FA" w:rsidP="008708FA">
      <w:pPr>
        <w:rPr>
          <w:rFonts w:eastAsia="Calibri"/>
          <w:shd w:val="clear" w:color="auto" w:fill="FFFFFF"/>
        </w:rPr>
      </w:pPr>
    </w:p>
    <w:p w:rsidR="008708FA" w:rsidRPr="008708FA" w:rsidRDefault="008708FA" w:rsidP="008708FA">
      <w:pPr>
        <w:rPr>
          <w:rFonts w:eastAsia="Calibri"/>
          <w:color w:val="000000"/>
          <w:shd w:val="clear" w:color="auto" w:fill="FFFFFF"/>
        </w:rPr>
      </w:pPr>
      <w:r w:rsidRPr="008708FA">
        <w:rPr>
          <w:rFonts w:eastAsia="Calibri"/>
        </w:rPr>
        <w:t xml:space="preserve">In some cases, </w:t>
      </w:r>
      <w:r w:rsidRPr="008708FA">
        <w:rPr>
          <w:rFonts w:eastAsia="Calibri"/>
          <w:color w:val="000000"/>
          <w:shd w:val="clear" w:color="auto" w:fill="FFFFFF"/>
        </w:rPr>
        <w:t xml:space="preserve">applicant’s name includes additional information.  For instance, many companies provide information on their legal registration (e.g. </w:t>
      </w:r>
      <w:r w:rsidRPr="008708FA">
        <w:rPr>
          <w:rFonts w:eastAsia="Calibri"/>
        </w:rPr>
        <w:t>a company organized under a foreign law</w:t>
      </w:r>
      <w:r w:rsidRPr="008708FA">
        <w:rPr>
          <w:rFonts w:eastAsia="Calibri"/>
          <w:color w:val="000000"/>
          <w:shd w:val="clear" w:color="auto" w:fill="FFFFFF"/>
        </w:rPr>
        <w:t xml:space="preserve">).  Some applicant names contain the name both in Thai and English (e.g.  </w:t>
      </w:r>
      <w:r w:rsidRPr="008708FA">
        <w:rPr>
          <w:rFonts w:ascii="Tahoma" w:eastAsia="Calibri" w:hAnsi="Tahoma" w:cs="Tahoma" w:hint="cs"/>
          <w:cs/>
          <w:lang w:bidi="th-TH"/>
        </w:rPr>
        <w:t>นายจอร์จ</w:t>
      </w:r>
      <w:r w:rsidRPr="008708FA">
        <w:rPr>
          <w:rFonts w:eastAsia="Calibri"/>
          <w:rtl/>
          <w:cs/>
        </w:rPr>
        <w:t xml:space="preserve"> </w:t>
      </w:r>
      <w:r w:rsidRPr="008708FA">
        <w:rPr>
          <w:rFonts w:ascii="Tahoma" w:eastAsia="Calibri" w:hAnsi="Tahoma" w:cs="Tahoma" w:hint="cs"/>
          <w:cs/>
          <w:lang w:bidi="th-TH"/>
        </w:rPr>
        <w:t>ออตโต</w:t>
      </w:r>
      <w:r w:rsidRPr="008708FA">
        <w:rPr>
          <w:rFonts w:eastAsia="Calibri"/>
          <w:rtl/>
          <w:cs/>
        </w:rPr>
        <w:t xml:space="preserve"> </w:t>
      </w:r>
      <w:r w:rsidRPr="008708FA">
        <w:rPr>
          <w:rFonts w:ascii="Tahoma" w:eastAsia="Calibri" w:hAnsi="Tahoma" w:cs="Tahoma" w:hint="cs"/>
          <w:cs/>
          <w:lang w:bidi="th-TH"/>
        </w:rPr>
        <w:t>แอปส์โฮฟ</w:t>
      </w:r>
      <w:r w:rsidRPr="008708FA">
        <w:rPr>
          <w:rFonts w:eastAsia="Calibri"/>
          <w:color w:val="000000"/>
          <w:shd w:val="clear" w:color="auto" w:fill="FFFFFF"/>
          <w:rtl/>
          <w:cs/>
        </w:rPr>
        <w:t xml:space="preserve"> (</w:t>
      </w:r>
      <w:proofErr w:type="spellStart"/>
      <w:r w:rsidRPr="008708FA">
        <w:rPr>
          <w:rFonts w:eastAsia="Calibri"/>
          <w:color w:val="000000"/>
          <w:shd w:val="clear" w:color="auto" w:fill="FFFFFF"/>
        </w:rPr>
        <w:t>Mr.Georg</w:t>
      </w:r>
      <w:proofErr w:type="spellEnd"/>
      <w:r w:rsidRPr="008708FA">
        <w:rPr>
          <w:rFonts w:eastAsia="Calibri"/>
          <w:color w:val="000000"/>
          <w:shd w:val="clear" w:color="auto" w:fill="FFFFFF"/>
        </w:rPr>
        <w:t xml:space="preserve"> Otto </w:t>
      </w:r>
      <w:proofErr w:type="spellStart"/>
      <w:r w:rsidRPr="008708FA">
        <w:rPr>
          <w:rFonts w:eastAsia="Calibri"/>
          <w:color w:val="000000"/>
          <w:shd w:val="clear" w:color="auto" w:fill="FFFFFF"/>
        </w:rPr>
        <w:t>Abshof</w:t>
      </w:r>
      <w:proofErr w:type="spellEnd"/>
      <w:r w:rsidRPr="008708FA">
        <w:rPr>
          <w:rFonts w:eastAsia="Calibri"/>
          <w:color w:val="000000"/>
          <w:shd w:val="clear" w:color="auto" w:fill="FFFFFF"/>
        </w:rPr>
        <w:t xml:space="preserve">), </w:t>
      </w:r>
      <w:r w:rsidRPr="008708FA">
        <w:rPr>
          <w:rFonts w:ascii="Tahoma" w:eastAsia="Calibri" w:hAnsi="Tahoma" w:cs="Tahoma" w:hint="cs"/>
          <w:cs/>
          <w:lang w:bidi="th-TH"/>
        </w:rPr>
        <w:t>ฉือ</w:t>
      </w:r>
      <w:r w:rsidRPr="008708FA">
        <w:rPr>
          <w:rFonts w:eastAsia="Calibri"/>
        </w:rPr>
        <w:t xml:space="preserve">, </w:t>
      </w:r>
      <w:r w:rsidRPr="008708FA">
        <w:rPr>
          <w:rFonts w:ascii="Tahoma" w:eastAsia="Calibri" w:hAnsi="Tahoma" w:cs="Tahoma" w:hint="cs"/>
          <w:cs/>
          <w:lang w:bidi="th-TH"/>
        </w:rPr>
        <w:t>จี้</w:t>
      </w:r>
      <w:r w:rsidRPr="008708FA">
        <w:rPr>
          <w:rFonts w:eastAsia="Calibri"/>
          <w:rtl/>
          <w:cs/>
        </w:rPr>
        <w:t xml:space="preserve"> - </w:t>
      </w:r>
      <w:r w:rsidRPr="008708FA">
        <w:rPr>
          <w:rFonts w:ascii="Tahoma" w:eastAsia="Calibri" w:hAnsi="Tahoma" w:cs="Tahoma" w:hint="cs"/>
          <w:cs/>
          <w:lang w:bidi="th-TH"/>
        </w:rPr>
        <w:t>หยวน</w:t>
      </w:r>
      <w:r w:rsidRPr="008708FA">
        <w:rPr>
          <w:rFonts w:eastAsia="Calibri"/>
          <w:color w:val="000000"/>
          <w:shd w:val="clear" w:color="auto" w:fill="FFFFFF"/>
          <w:rtl/>
          <w:cs/>
        </w:rPr>
        <w:t xml:space="preserve"> (</w:t>
      </w:r>
      <w:proofErr w:type="spellStart"/>
      <w:r w:rsidRPr="008708FA">
        <w:rPr>
          <w:rFonts w:eastAsia="Calibri"/>
          <w:color w:val="000000"/>
          <w:shd w:val="clear" w:color="auto" w:fill="FFFFFF"/>
        </w:rPr>
        <w:t>Hsueh</w:t>
      </w:r>
      <w:proofErr w:type="spellEnd"/>
      <w:r w:rsidRPr="008708FA">
        <w:rPr>
          <w:rFonts w:eastAsia="Calibri"/>
          <w:color w:val="000000"/>
          <w:shd w:val="clear" w:color="auto" w:fill="FFFFFF"/>
        </w:rPr>
        <w:t xml:space="preserve">, </w:t>
      </w:r>
      <w:proofErr w:type="spellStart"/>
      <w:r w:rsidRPr="008708FA">
        <w:rPr>
          <w:rFonts w:eastAsia="Calibri"/>
          <w:color w:val="000000"/>
          <w:shd w:val="clear" w:color="auto" w:fill="FFFFFF"/>
        </w:rPr>
        <w:t>Chih</w:t>
      </w:r>
      <w:proofErr w:type="spellEnd"/>
      <w:r w:rsidRPr="008708FA">
        <w:rPr>
          <w:rFonts w:eastAsia="Calibri"/>
          <w:color w:val="000000"/>
          <w:shd w:val="clear" w:color="auto" w:fill="FFFFFF"/>
        </w:rPr>
        <w:t xml:space="preserve"> - Yuan).  Also, in some cases, the name includes members of the company’s Board of directors.</w:t>
      </w:r>
    </w:p>
    <w:p w:rsidR="008708FA" w:rsidRPr="008708FA" w:rsidRDefault="008708FA" w:rsidP="008708FA">
      <w:pPr>
        <w:rPr>
          <w:rFonts w:eastAsia="Calibri"/>
          <w:color w:val="000000"/>
          <w:shd w:val="clear" w:color="auto" w:fill="FFFFFF"/>
        </w:rPr>
      </w:pPr>
    </w:p>
    <w:p w:rsidR="008708FA" w:rsidRPr="008708FA" w:rsidRDefault="008708FA" w:rsidP="008708FA">
      <w:pPr>
        <w:rPr>
          <w:rFonts w:eastAsia="Calibri"/>
          <w:color w:val="000000"/>
          <w:shd w:val="clear" w:color="auto" w:fill="FFFFFF"/>
        </w:rPr>
      </w:pPr>
      <w:r w:rsidRPr="008708FA">
        <w:rPr>
          <w:rFonts w:eastAsia="Calibri"/>
          <w:shd w:val="clear" w:color="auto" w:fill="FFFFFF"/>
        </w:rPr>
        <w:t xml:space="preserve">Lastly, </w:t>
      </w:r>
      <w:r w:rsidRPr="008708FA">
        <w:rPr>
          <w:rFonts w:eastAsia="Calibri"/>
          <w:color w:val="000000"/>
          <w:shd w:val="clear" w:color="auto" w:fill="FFFFFF"/>
        </w:rPr>
        <w:t xml:space="preserve">many UM applications show the names of more than one applicant in the same field.  In the case of multiple applicants, the rule of first applicant has been applied in order to classify the applicant type and count as one applicant for each application.  For example, if the first applicant is an individual </w:t>
      </w:r>
      <w:r w:rsidRPr="008708FA">
        <w:rPr>
          <w:rFonts w:eastAsia="Calibri"/>
        </w:rPr>
        <w:t xml:space="preserve">and the second one a registered company, </w:t>
      </w:r>
      <w:r w:rsidRPr="008708FA">
        <w:rPr>
          <w:rFonts w:eastAsia="Calibri"/>
          <w:color w:val="000000"/>
          <w:shd w:val="clear" w:color="auto" w:fill="FFFFFF"/>
        </w:rPr>
        <w:t>we have classified this UM application as from an individual.</w:t>
      </w:r>
    </w:p>
    <w:p w:rsidR="008708FA" w:rsidRPr="008708FA" w:rsidRDefault="008708FA" w:rsidP="008708FA">
      <w:pPr>
        <w:rPr>
          <w:rFonts w:eastAsia="Calibri"/>
        </w:rPr>
      </w:pPr>
    </w:p>
    <w:p w:rsidR="008708FA" w:rsidRDefault="008708FA" w:rsidP="008708FA">
      <w:pPr>
        <w:rPr>
          <w:rFonts w:eastAsia="Calibri"/>
          <w:b/>
          <w:bCs/>
          <w:i/>
          <w:sz w:val="20"/>
          <w:szCs w:val="20"/>
        </w:rPr>
      </w:pPr>
      <w:bookmarkStart w:id="123" w:name="_Ref364690452"/>
      <w:bookmarkStart w:id="124" w:name="_Toc359581427"/>
      <w:bookmarkStart w:id="125" w:name="_Ref364690443"/>
      <w:r w:rsidRPr="009E1F3F">
        <w:rPr>
          <w:rFonts w:eastAsia="Calibri"/>
          <w:b/>
          <w:bCs/>
          <w:i/>
          <w:sz w:val="20"/>
          <w:szCs w:val="20"/>
        </w:rPr>
        <w:t xml:space="preserve">Table A. </w:t>
      </w:r>
      <w:r w:rsidRPr="008708FA">
        <w:rPr>
          <w:rFonts w:eastAsia="Calibri"/>
          <w:b/>
          <w:bCs/>
          <w:i/>
          <w:sz w:val="20"/>
          <w:szCs w:val="18"/>
        </w:rPr>
        <w:fldChar w:fldCharType="begin"/>
      </w:r>
      <w:r w:rsidRPr="008708FA">
        <w:rPr>
          <w:rFonts w:eastAsia="Calibri"/>
          <w:b/>
          <w:bCs/>
          <w:i/>
          <w:sz w:val="20"/>
          <w:szCs w:val="18"/>
        </w:rPr>
        <w:instrText xml:space="preserve"> SEQ Table_A. \* ARABIC </w:instrText>
      </w:r>
      <w:r w:rsidRPr="008708FA">
        <w:rPr>
          <w:rFonts w:eastAsia="Calibri"/>
          <w:b/>
          <w:bCs/>
          <w:i/>
          <w:sz w:val="20"/>
          <w:szCs w:val="18"/>
        </w:rPr>
        <w:fldChar w:fldCharType="separate"/>
      </w:r>
      <w:r w:rsidR="006A4BE7">
        <w:rPr>
          <w:rFonts w:eastAsia="Calibri"/>
          <w:b/>
          <w:bCs/>
          <w:i/>
          <w:noProof/>
          <w:sz w:val="20"/>
          <w:szCs w:val="18"/>
        </w:rPr>
        <w:t>7</w:t>
      </w:r>
      <w:r w:rsidRPr="008708FA">
        <w:rPr>
          <w:rFonts w:eastAsia="Calibri"/>
          <w:b/>
          <w:bCs/>
          <w:i/>
          <w:noProof/>
          <w:sz w:val="20"/>
          <w:szCs w:val="18"/>
        </w:rPr>
        <w:fldChar w:fldCharType="end"/>
      </w:r>
      <w:bookmarkEnd w:id="123"/>
      <w:r w:rsidRPr="009E1F3F">
        <w:rPr>
          <w:rFonts w:eastAsia="Calibri"/>
          <w:b/>
          <w:bCs/>
          <w:i/>
          <w:sz w:val="20"/>
          <w:szCs w:val="20"/>
        </w:rPr>
        <w:t>: Data Collection from the DIP Website</w:t>
      </w:r>
      <w:bookmarkEnd w:id="124"/>
      <w:bookmarkEnd w:id="125"/>
    </w:p>
    <w:p w:rsidR="00DC5603" w:rsidRPr="009E1F3F" w:rsidRDefault="00DC5603" w:rsidP="008708FA">
      <w:pPr>
        <w:rPr>
          <w:rFonts w:eastAsia="Calibri"/>
          <w:b/>
          <w:bCs/>
          <w:i/>
          <w:sz w:val="20"/>
          <w:szCs w:val="20"/>
        </w:rPr>
      </w:pPr>
    </w:p>
    <w:tbl>
      <w:tblPr>
        <w:tblW w:w="9149" w:type="dxa"/>
        <w:tblInd w:w="93" w:type="dxa"/>
        <w:tblLook w:val="04A0" w:firstRow="1" w:lastRow="0" w:firstColumn="1" w:lastColumn="0" w:noHBand="0" w:noVBand="1"/>
      </w:tblPr>
      <w:tblGrid>
        <w:gridCol w:w="2540"/>
        <w:gridCol w:w="1444"/>
        <w:gridCol w:w="1418"/>
        <w:gridCol w:w="1276"/>
        <w:gridCol w:w="1134"/>
        <w:gridCol w:w="1337"/>
      </w:tblGrid>
      <w:tr w:rsidR="008708FA" w:rsidRPr="008708FA" w:rsidTr="005C2427">
        <w:trPr>
          <w:trHeight w:val="255"/>
          <w:tblHeader/>
        </w:trPr>
        <w:tc>
          <w:tcPr>
            <w:tcW w:w="2540" w:type="dxa"/>
            <w:vMerge w:val="restart"/>
            <w:tcBorders>
              <w:top w:val="single" w:sz="4" w:space="0" w:color="auto"/>
              <w:left w:val="single" w:sz="4" w:space="0" w:color="auto"/>
              <w:right w:val="single" w:sz="4" w:space="0" w:color="auto"/>
            </w:tcBorders>
            <w:shd w:val="clear" w:color="auto" w:fill="8DB3E2" w:themeFill="text2" w:themeFillTint="66"/>
            <w:noWrap/>
            <w:vAlign w:val="center"/>
            <w:hideMark/>
          </w:tcPr>
          <w:p w:rsidR="008708FA" w:rsidRPr="008708FA" w:rsidRDefault="008708FA" w:rsidP="008708FA">
            <w:pPr>
              <w:ind w:firstLine="49"/>
              <w:jc w:val="center"/>
              <w:rPr>
                <w:rFonts w:cs="Arial"/>
                <w:b/>
                <w:bCs/>
                <w:sz w:val="20"/>
                <w:szCs w:val="20"/>
              </w:rPr>
            </w:pPr>
            <w:r w:rsidRPr="008708FA">
              <w:rPr>
                <w:rFonts w:cs="Arial"/>
                <w:b/>
                <w:bCs/>
                <w:sz w:val="20"/>
                <w:szCs w:val="20"/>
              </w:rPr>
              <w:t>Database</w:t>
            </w:r>
          </w:p>
          <w:p w:rsidR="008708FA" w:rsidRPr="008708FA" w:rsidRDefault="008708FA" w:rsidP="008708FA">
            <w:pPr>
              <w:ind w:firstLine="49"/>
              <w:jc w:val="center"/>
              <w:rPr>
                <w:rFonts w:cs="Arial"/>
                <w:b/>
                <w:bCs/>
                <w:sz w:val="20"/>
                <w:szCs w:val="20"/>
              </w:rPr>
            </w:pPr>
          </w:p>
        </w:tc>
        <w:tc>
          <w:tcPr>
            <w:tcW w:w="5272" w:type="dxa"/>
            <w:gridSpan w:val="4"/>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8708FA" w:rsidRPr="008708FA" w:rsidRDefault="008708FA" w:rsidP="008708FA">
            <w:pPr>
              <w:jc w:val="center"/>
              <w:rPr>
                <w:rFonts w:cs="Arial"/>
                <w:b/>
                <w:bCs/>
                <w:sz w:val="20"/>
                <w:szCs w:val="20"/>
              </w:rPr>
            </w:pPr>
            <w:r w:rsidRPr="008708FA">
              <w:rPr>
                <w:rFonts w:cs="Arial"/>
                <w:b/>
                <w:bCs/>
                <w:sz w:val="20"/>
                <w:szCs w:val="20"/>
              </w:rPr>
              <w:t>Data collection on the DIP website</w:t>
            </w:r>
          </w:p>
        </w:tc>
        <w:tc>
          <w:tcPr>
            <w:tcW w:w="1337" w:type="dxa"/>
            <w:vMerge w:val="restart"/>
            <w:tcBorders>
              <w:top w:val="single" w:sz="4" w:space="0" w:color="auto"/>
              <w:left w:val="nil"/>
              <w:right w:val="single" w:sz="4" w:space="0" w:color="auto"/>
            </w:tcBorders>
            <w:shd w:val="clear" w:color="auto" w:fill="8DB3E2" w:themeFill="text2" w:themeFillTint="66"/>
            <w:vAlign w:val="center"/>
          </w:tcPr>
          <w:p w:rsidR="008708FA" w:rsidRPr="008708FA" w:rsidRDefault="008708FA" w:rsidP="008708FA">
            <w:pPr>
              <w:ind w:firstLine="34"/>
              <w:jc w:val="center"/>
              <w:rPr>
                <w:rFonts w:cs="Arial"/>
                <w:b/>
                <w:bCs/>
                <w:sz w:val="20"/>
                <w:szCs w:val="20"/>
              </w:rPr>
            </w:pPr>
            <w:r w:rsidRPr="008708FA">
              <w:rPr>
                <w:rFonts w:cs="Arial"/>
                <w:b/>
                <w:bCs/>
                <w:sz w:val="20"/>
                <w:szCs w:val="20"/>
              </w:rPr>
              <w:t>Contents in Thai</w:t>
            </w:r>
          </w:p>
        </w:tc>
      </w:tr>
      <w:tr w:rsidR="008708FA" w:rsidRPr="008708FA" w:rsidTr="005C2427">
        <w:trPr>
          <w:trHeight w:val="255"/>
          <w:tblHeader/>
        </w:trPr>
        <w:tc>
          <w:tcPr>
            <w:tcW w:w="2540" w:type="dxa"/>
            <w:vMerge/>
            <w:tcBorders>
              <w:left w:val="single" w:sz="4" w:space="0" w:color="auto"/>
              <w:bottom w:val="single" w:sz="4" w:space="0" w:color="auto"/>
              <w:right w:val="single" w:sz="4" w:space="0" w:color="auto"/>
            </w:tcBorders>
            <w:shd w:val="clear" w:color="auto" w:fill="8DB3E2" w:themeFill="text2" w:themeFillTint="66"/>
            <w:noWrap/>
            <w:vAlign w:val="center"/>
            <w:hideMark/>
          </w:tcPr>
          <w:p w:rsidR="008708FA" w:rsidRPr="008708FA" w:rsidRDefault="008708FA" w:rsidP="008708FA">
            <w:pPr>
              <w:ind w:firstLine="49"/>
              <w:rPr>
                <w:rFonts w:cs="Arial"/>
                <w:sz w:val="20"/>
                <w:szCs w:val="20"/>
              </w:rPr>
            </w:pPr>
          </w:p>
        </w:tc>
        <w:tc>
          <w:tcPr>
            <w:tcW w:w="1444" w:type="dxa"/>
            <w:tcBorders>
              <w:top w:val="nil"/>
              <w:left w:val="nil"/>
              <w:bottom w:val="single" w:sz="4" w:space="0" w:color="auto"/>
              <w:right w:val="single" w:sz="4" w:space="0" w:color="auto"/>
            </w:tcBorders>
            <w:shd w:val="clear" w:color="auto" w:fill="8DB3E2" w:themeFill="text2" w:themeFillTint="66"/>
            <w:noWrap/>
            <w:vAlign w:val="center"/>
            <w:hideMark/>
          </w:tcPr>
          <w:p w:rsidR="008708FA" w:rsidRPr="008708FA" w:rsidRDefault="008708FA" w:rsidP="008708FA">
            <w:pPr>
              <w:jc w:val="center"/>
              <w:rPr>
                <w:rFonts w:cs="Arial"/>
                <w:b/>
                <w:bCs/>
                <w:sz w:val="20"/>
                <w:szCs w:val="20"/>
              </w:rPr>
            </w:pPr>
            <w:r w:rsidRPr="008708FA">
              <w:rPr>
                <w:rFonts w:cs="Arial"/>
                <w:b/>
                <w:bCs/>
                <w:sz w:val="20"/>
                <w:szCs w:val="20"/>
              </w:rPr>
              <w:t>Step 1</w:t>
            </w:r>
          </w:p>
        </w:tc>
        <w:tc>
          <w:tcPr>
            <w:tcW w:w="1418" w:type="dxa"/>
            <w:tcBorders>
              <w:top w:val="nil"/>
              <w:left w:val="nil"/>
              <w:bottom w:val="single" w:sz="4" w:space="0" w:color="auto"/>
              <w:right w:val="single" w:sz="4" w:space="0" w:color="auto"/>
            </w:tcBorders>
            <w:shd w:val="clear" w:color="auto" w:fill="8DB3E2" w:themeFill="text2" w:themeFillTint="66"/>
            <w:noWrap/>
            <w:vAlign w:val="center"/>
            <w:hideMark/>
          </w:tcPr>
          <w:p w:rsidR="008708FA" w:rsidRPr="008708FA" w:rsidRDefault="008708FA" w:rsidP="008708FA">
            <w:pPr>
              <w:jc w:val="center"/>
              <w:rPr>
                <w:rFonts w:cs="Arial"/>
                <w:b/>
                <w:bCs/>
                <w:sz w:val="20"/>
                <w:szCs w:val="20"/>
              </w:rPr>
            </w:pPr>
            <w:r w:rsidRPr="008708FA">
              <w:rPr>
                <w:rFonts w:cs="Arial"/>
                <w:b/>
                <w:bCs/>
                <w:sz w:val="20"/>
                <w:szCs w:val="20"/>
              </w:rPr>
              <w:t>Step 2</w:t>
            </w:r>
          </w:p>
        </w:tc>
        <w:tc>
          <w:tcPr>
            <w:tcW w:w="1276" w:type="dxa"/>
            <w:tcBorders>
              <w:top w:val="single" w:sz="4" w:space="0" w:color="auto"/>
              <w:left w:val="nil"/>
              <w:bottom w:val="single" w:sz="4" w:space="0" w:color="auto"/>
              <w:right w:val="single" w:sz="4" w:space="0" w:color="auto"/>
            </w:tcBorders>
            <w:shd w:val="clear" w:color="auto" w:fill="8DB3E2" w:themeFill="text2" w:themeFillTint="66"/>
            <w:vAlign w:val="center"/>
          </w:tcPr>
          <w:p w:rsidR="008708FA" w:rsidRPr="008708FA" w:rsidRDefault="008708FA" w:rsidP="008708FA">
            <w:pPr>
              <w:jc w:val="center"/>
              <w:rPr>
                <w:rFonts w:cs="Arial"/>
                <w:b/>
                <w:bCs/>
                <w:sz w:val="20"/>
                <w:szCs w:val="20"/>
              </w:rPr>
            </w:pPr>
            <w:r w:rsidRPr="008708FA">
              <w:rPr>
                <w:rFonts w:cs="Arial"/>
                <w:b/>
                <w:bCs/>
                <w:sz w:val="20"/>
                <w:szCs w:val="20"/>
              </w:rPr>
              <w:t>Step 3</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8708FA" w:rsidRPr="008708FA" w:rsidRDefault="008708FA" w:rsidP="008708FA">
            <w:pPr>
              <w:jc w:val="center"/>
              <w:rPr>
                <w:rFonts w:cs="Arial"/>
                <w:b/>
                <w:bCs/>
                <w:sz w:val="20"/>
                <w:szCs w:val="20"/>
              </w:rPr>
            </w:pPr>
            <w:r w:rsidRPr="008708FA">
              <w:rPr>
                <w:rFonts w:cs="Arial"/>
                <w:b/>
                <w:bCs/>
                <w:sz w:val="20"/>
                <w:szCs w:val="20"/>
              </w:rPr>
              <w:t>Step 4</w:t>
            </w:r>
          </w:p>
        </w:tc>
        <w:tc>
          <w:tcPr>
            <w:tcW w:w="1337" w:type="dxa"/>
            <w:vMerge/>
            <w:tcBorders>
              <w:left w:val="single" w:sz="4" w:space="0" w:color="auto"/>
              <w:bottom w:val="single" w:sz="4" w:space="0" w:color="auto"/>
              <w:right w:val="single" w:sz="4" w:space="0" w:color="auto"/>
            </w:tcBorders>
            <w:shd w:val="clear" w:color="auto" w:fill="8DB3E2" w:themeFill="text2" w:themeFillTint="66"/>
            <w:vAlign w:val="center"/>
          </w:tcPr>
          <w:p w:rsidR="008708FA" w:rsidRPr="008708FA" w:rsidRDefault="008708FA" w:rsidP="008708FA">
            <w:pPr>
              <w:ind w:firstLine="34"/>
              <w:rPr>
                <w:rFonts w:cs="Arial"/>
                <w:sz w:val="20"/>
                <w:szCs w:val="20"/>
              </w:rPr>
            </w:pP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IPC</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ind w:left="486"/>
              <w:rPr>
                <w:rFonts w:cs="Arial"/>
                <w:sz w:val="20"/>
                <w:szCs w:val="20"/>
                <w:lang w:bidi="th-TH"/>
              </w:rPr>
            </w:pP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r w:rsidRPr="008708FA">
              <w:rPr>
                <w:rFonts w:eastAsia="Calibri"/>
                <w:b/>
              </w:rPr>
              <w:sym w:font="Wingdings" w:char="F0FC"/>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ind w:firstLine="34"/>
              <w:rPr>
                <w:rFonts w:cs="Arial"/>
                <w:sz w:val="20"/>
                <w:szCs w:val="20"/>
              </w:rPr>
            </w:pP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Abstract</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r w:rsidRPr="008708FA">
              <w:rPr>
                <w:rFonts w:eastAsia="Calibri"/>
                <w:b/>
              </w:rPr>
              <w:sym w:font="Wingdings" w:char="F0FC"/>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jc w:val="center"/>
              <w:rPr>
                <w:rFonts w:eastAsia="Calibri"/>
                <w:b/>
              </w:rPr>
            </w:pPr>
            <w:r w:rsidRPr="008708FA">
              <w:rPr>
                <w:rFonts w:eastAsia="Calibri"/>
                <w:b/>
              </w:rPr>
              <w:sym w:font="Wingdings" w:char="F0FC"/>
            </w: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Category</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r w:rsidRPr="008708FA">
              <w:rPr>
                <w:rFonts w:eastAsia="Calibri"/>
                <w:b/>
              </w:rPr>
              <w:sym w:font="Wingdings" w:char="F0FC"/>
            </w: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ind w:firstLine="34"/>
              <w:rPr>
                <w:rFonts w:cs="Arial"/>
                <w:sz w:val="20"/>
                <w:szCs w:val="20"/>
              </w:rPr>
            </w:pP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application number</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r w:rsidRPr="008708FA">
              <w:rPr>
                <w:rFonts w:eastAsia="Calibri"/>
                <w:b/>
              </w:rPr>
              <w:sym w:font="Wingdings" w:char="F0FC"/>
            </w: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ind w:firstLine="34"/>
              <w:rPr>
                <w:rFonts w:cs="Arial"/>
                <w:sz w:val="20"/>
                <w:szCs w:val="20"/>
              </w:rPr>
            </w:pP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application date</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ind w:left="486"/>
              <w:rPr>
                <w:rFonts w:cs="Arial"/>
                <w:sz w:val="20"/>
                <w:szCs w:val="20"/>
                <w:lang w:bidi="th-TH"/>
              </w:rPr>
            </w:pP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r w:rsidRPr="008708FA">
              <w:rPr>
                <w:rFonts w:eastAsia="Calibri"/>
                <w:b/>
              </w:rPr>
              <w:sym w:font="Wingdings" w:char="F0FC"/>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ind w:firstLine="34"/>
              <w:rPr>
                <w:rFonts w:cs="Arial"/>
                <w:sz w:val="20"/>
                <w:szCs w:val="20"/>
              </w:rPr>
            </w:pP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publication number</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r w:rsidRPr="008708FA">
              <w:rPr>
                <w:rFonts w:eastAsia="Calibri"/>
                <w:b/>
              </w:rPr>
              <w:sym w:font="Wingdings" w:char="F0FC"/>
            </w: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ind w:firstLine="34"/>
              <w:rPr>
                <w:rFonts w:cs="Arial"/>
                <w:sz w:val="20"/>
                <w:szCs w:val="20"/>
              </w:rPr>
            </w:pP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publication date</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ind w:left="486"/>
              <w:rPr>
                <w:rFonts w:cs="Arial"/>
                <w:sz w:val="20"/>
                <w:szCs w:val="20"/>
                <w:lang w:bidi="th-TH"/>
              </w:rPr>
            </w:pP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r w:rsidRPr="008708FA">
              <w:rPr>
                <w:rFonts w:eastAsia="Calibri"/>
                <w:b/>
              </w:rPr>
              <w:sym w:font="Wingdings" w:char="F0FC"/>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ind w:firstLine="34"/>
              <w:rPr>
                <w:rFonts w:cs="Arial"/>
                <w:sz w:val="20"/>
                <w:szCs w:val="20"/>
              </w:rPr>
            </w:pP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registration number</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r w:rsidRPr="008708FA">
              <w:rPr>
                <w:rFonts w:eastAsia="Calibri"/>
                <w:b/>
              </w:rPr>
              <w:sym w:font="Wingdings" w:char="F0FC"/>
            </w: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ind w:firstLine="34"/>
              <w:rPr>
                <w:rFonts w:cs="Arial"/>
                <w:sz w:val="20"/>
                <w:szCs w:val="20"/>
              </w:rPr>
            </w:pP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registration date</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r w:rsidRPr="008708FA">
              <w:rPr>
                <w:rFonts w:eastAsia="Calibri"/>
                <w:b/>
              </w:rPr>
              <w:sym w:font="Wingdings" w:char="F0FC"/>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ind w:firstLine="34"/>
              <w:rPr>
                <w:rFonts w:cs="Arial"/>
                <w:sz w:val="20"/>
                <w:szCs w:val="20"/>
              </w:rPr>
            </w:pP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Title</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r w:rsidRPr="008708FA">
              <w:rPr>
                <w:rFonts w:eastAsia="Calibri"/>
                <w:b/>
              </w:rPr>
              <w:sym w:font="Wingdings" w:char="F0FC"/>
            </w: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jc w:val="center"/>
              <w:rPr>
                <w:rFonts w:eastAsia="Calibri"/>
                <w:b/>
              </w:rPr>
            </w:pPr>
            <w:r w:rsidRPr="008708FA">
              <w:rPr>
                <w:rFonts w:eastAsia="Calibri"/>
                <w:b/>
              </w:rPr>
              <w:sym w:font="Wingdings" w:char="F0FC"/>
            </w: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Applicant</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r w:rsidRPr="008708FA">
              <w:rPr>
                <w:rFonts w:eastAsia="Calibri"/>
                <w:b/>
              </w:rPr>
              <w:sym w:font="Wingdings" w:char="F0FC"/>
            </w: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jc w:val="center"/>
              <w:rPr>
                <w:rFonts w:eastAsia="Calibri"/>
                <w:b/>
              </w:rPr>
            </w:pPr>
            <w:r w:rsidRPr="008708FA">
              <w:rPr>
                <w:rFonts w:eastAsia="Calibri"/>
                <w:b/>
              </w:rPr>
              <w:sym w:font="Wingdings" w:char="F0FC"/>
            </w: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applicant country code</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ind w:left="486"/>
              <w:rPr>
                <w:rFonts w:cs="Arial"/>
                <w:sz w:val="20"/>
                <w:szCs w:val="20"/>
                <w:lang w:bidi="th-TH"/>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r w:rsidRPr="008708FA">
              <w:rPr>
                <w:rFonts w:eastAsia="Calibri"/>
                <w:b/>
              </w:rPr>
              <w:sym w:font="Wingdings" w:char="F0FC"/>
            </w: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ind w:left="301"/>
              <w:jc w:val="center"/>
              <w:rPr>
                <w:rFonts w:cs="Arial"/>
                <w:sz w:val="20"/>
                <w:szCs w:val="20"/>
                <w:lang w:bidi="th-TH"/>
              </w:rPr>
            </w:pP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Inventor</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r w:rsidRPr="008708FA">
              <w:rPr>
                <w:rFonts w:eastAsia="Calibri"/>
                <w:b/>
              </w:rPr>
              <w:sym w:font="Wingdings" w:char="F0FC"/>
            </w: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jc w:val="center"/>
              <w:rPr>
                <w:rFonts w:eastAsia="Calibri"/>
                <w:b/>
              </w:rPr>
            </w:pPr>
            <w:r w:rsidRPr="008708FA">
              <w:rPr>
                <w:rFonts w:eastAsia="Calibri"/>
                <w:b/>
              </w:rPr>
              <w:sym w:font="Wingdings" w:char="F0FC"/>
            </w: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inventor country code</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ind w:left="486"/>
              <w:rPr>
                <w:rFonts w:cs="Arial"/>
                <w:sz w:val="20"/>
                <w:szCs w:val="20"/>
                <w:lang w:bidi="th-TH"/>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r w:rsidRPr="008708FA">
              <w:rPr>
                <w:rFonts w:eastAsia="Calibri"/>
                <w:b/>
              </w:rPr>
              <w:sym w:font="Wingdings" w:char="F0FC"/>
            </w: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ind w:left="301"/>
              <w:jc w:val="center"/>
              <w:rPr>
                <w:rFonts w:cs="Arial"/>
                <w:sz w:val="20"/>
                <w:szCs w:val="20"/>
                <w:lang w:bidi="th-TH"/>
              </w:rPr>
            </w:pP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Claims</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ind w:left="1080"/>
              <w:jc w:val="center"/>
              <w:rPr>
                <w:rFonts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r w:rsidRPr="008708FA">
              <w:rPr>
                <w:rFonts w:eastAsia="Calibri"/>
                <w:b/>
              </w:rPr>
              <w:sym w:font="Wingdings" w:char="F0FC"/>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jc w:val="center"/>
              <w:rPr>
                <w:rFonts w:eastAsia="Calibri"/>
                <w:b/>
              </w:rPr>
            </w:pPr>
            <w:r w:rsidRPr="008708FA">
              <w:rPr>
                <w:rFonts w:eastAsia="Calibri"/>
                <w:b/>
              </w:rPr>
              <w:sym w:font="Wingdings" w:char="F0FC"/>
            </w: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tcPr>
          <w:p w:rsidR="008708FA" w:rsidRPr="008708FA" w:rsidRDefault="008708FA" w:rsidP="008708FA">
            <w:pPr>
              <w:ind w:firstLine="49"/>
              <w:rPr>
                <w:rFonts w:cs="Arial"/>
                <w:sz w:val="20"/>
                <w:szCs w:val="20"/>
              </w:rPr>
            </w:pPr>
            <w:r w:rsidRPr="008708FA">
              <w:rPr>
                <w:rFonts w:eastAsia="Calibri" w:cs="Arial"/>
                <w:sz w:val="20"/>
                <w:szCs w:val="20"/>
              </w:rPr>
              <w:t>receive date</w:t>
            </w:r>
          </w:p>
        </w:tc>
        <w:tc>
          <w:tcPr>
            <w:tcW w:w="1444" w:type="dxa"/>
            <w:tcBorders>
              <w:top w:val="nil"/>
              <w:left w:val="nil"/>
              <w:bottom w:val="single" w:sz="4" w:space="0" w:color="auto"/>
              <w:right w:val="single" w:sz="4" w:space="0" w:color="auto"/>
            </w:tcBorders>
            <w:shd w:val="clear" w:color="auto" w:fill="auto"/>
            <w:noWrap/>
            <w:vAlign w:val="center"/>
          </w:tcPr>
          <w:p w:rsidR="008708FA" w:rsidRPr="008708FA" w:rsidRDefault="008708FA" w:rsidP="008708FA">
            <w:pPr>
              <w:ind w:left="1080"/>
              <w:jc w:val="center"/>
              <w:rPr>
                <w:rFonts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8708FA" w:rsidRPr="008708FA" w:rsidRDefault="008708FA" w:rsidP="008708FA">
            <w:pPr>
              <w:jc w:val="center"/>
              <w:rPr>
                <w:rFonts w:eastAsia="Calibri"/>
                <w:b/>
              </w:rPr>
            </w:pPr>
            <w:r w:rsidRPr="008708FA">
              <w:rPr>
                <w:rFonts w:eastAsia="Calibri"/>
                <w:b/>
              </w:rPr>
              <w:sym w:font="Wingdings" w:char="F0FC"/>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08FA" w:rsidRPr="008708FA" w:rsidRDefault="008708FA" w:rsidP="008708FA">
            <w:pPr>
              <w:rPr>
                <w:rFonts w:cs="Arial"/>
                <w:sz w:val="20"/>
                <w:szCs w:val="20"/>
              </w:rPr>
            </w:pP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ind w:left="33"/>
              <w:jc w:val="center"/>
              <w:rPr>
                <w:rFonts w:cs="Arial"/>
                <w:sz w:val="20"/>
                <w:szCs w:val="20"/>
              </w:rPr>
            </w:pP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tcPr>
          <w:p w:rsidR="008708FA" w:rsidRPr="008708FA" w:rsidRDefault="008708FA" w:rsidP="008708FA">
            <w:pPr>
              <w:ind w:left="49"/>
              <w:rPr>
                <w:rFonts w:cs="Arial"/>
                <w:sz w:val="20"/>
                <w:szCs w:val="20"/>
              </w:rPr>
            </w:pPr>
            <w:r w:rsidRPr="008708FA">
              <w:rPr>
                <w:rFonts w:eastAsia="Calibri" w:cs="Arial"/>
                <w:sz w:val="20"/>
                <w:szCs w:val="20"/>
              </w:rPr>
              <w:t>Agent</w:t>
            </w:r>
          </w:p>
        </w:tc>
        <w:tc>
          <w:tcPr>
            <w:tcW w:w="1444" w:type="dxa"/>
            <w:tcBorders>
              <w:top w:val="nil"/>
              <w:left w:val="nil"/>
              <w:bottom w:val="single" w:sz="4" w:space="0" w:color="auto"/>
              <w:right w:val="single" w:sz="4" w:space="0" w:color="auto"/>
            </w:tcBorders>
            <w:shd w:val="clear" w:color="auto" w:fill="auto"/>
            <w:noWrap/>
            <w:vAlign w:val="center"/>
          </w:tcPr>
          <w:p w:rsidR="008708FA" w:rsidRPr="008708FA" w:rsidRDefault="008708FA" w:rsidP="008708FA">
            <w:pPr>
              <w:ind w:left="1080"/>
              <w:jc w:val="center"/>
              <w:rPr>
                <w:rFonts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8708FA" w:rsidRPr="008708FA" w:rsidRDefault="008708FA" w:rsidP="008708FA">
            <w:pPr>
              <w:jc w:val="center"/>
              <w:rPr>
                <w:rFonts w:eastAsia="Calibri"/>
                <w:b/>
              </w:rPr>
            </w:pPr>
            <w:r w:rsidRPr="008708FA">
              <w:rPr>
                <w:rFonts w:eastAsia="Calibri"/>
                <w:b/>
              </w:rPr>
              <w:sym w:font="Wingdings" w:char="F0FC"/>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08FA" w:rsidRPr="008708FA" w:rsidRDefault="008708FA" w:rsidP="008708FA">
            <w:pPr>
              <w:rPr>
                <w:rFonts w:cs="Arial"/>
                <w:sz w:val="20"/>
                <w:szCs w:val="20"/>
              </w:rPr>
            </w:pP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jc w:val="center"/>
              <w:rPr>
                <w:rFonts w:eastAsia="Calibri"/>
                <w:b/>
              </w:rPr>
            </w:pPr>
            <w:r w:rsidRPr="008708FA">
              <w:rPr>
                <w:rFonts w:eastAsia="Calibri"/>
                <w:b/>
              </w:rPr>
              <w:sym w:font="Wingdings" w:char="F0FC"/>
            </w: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tcPr>
          <w:p w:rsidR="008708FA" w:rsidRPr="008708FA" w:rsidRDefault="008708FA" w:rsidP="008708FA">
            <w:pPr>
              <w:ind w:firstLine="49"/>
              <w:rPr>
                <w:rFonts w:cs="Arial"/>
                <w:sz w:val="20"/>
                <w:szCs w:val="20"/>
              </w:rPr>
            </w:pPr>
            <w:r w:rsidRPr="008708FA">
              <w:rPr>
                <w:rFonts w:eastAsia="Calibri" w:cs="Arial"/>
                <w:sz w:val="20"/>
                <w:szCs w:val="20"/>
              </w:rPr>
              <w:t>last status</w:t>
            </w:r>
          </w:p>
        </w:tc>
        <w:tc>
          <w:tcPr>
            <w:tcW w:w="1444" w:type="dxa"/>
            <w:tcBorders>
              <w:top w:val="nil"/>
              <w:left w:val="nil"/>
              <w:bottom w:val="single" w:sz="4" w:space="0" w:color="auto"/>
              <w:right w:val="single" w:sz="4" w:space="0" w:color="auto"/>
            </w:tcBorders>
            <w:shd w:val="clear" w:color="auto" w:fill="auto"/>
            <w:noWrap/>
            <w:vAlign w:val="center"/>
          </w:tcPr>
          <w:p w:rsidR="008708FA" w:rsidRPr="008708FA" w:rsidRDefault="008708FA" w:rsidP="008708FA">
            <w:pPr>
              <w:ind w:left="1080"/>
              <w:jc w:val="center"/>
              <w:rPr>
                <w:rFonts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8708FA" w:rsidRPr="008708FA" w:rsidRDefault="008708FA" w:rsidP="008708FA">
            <w:pPr>
              <w:jc w:val="center"/>
              <w:rPr>
                <w:rFonts w:eastAsia="Calibri"/>
                <w:b/>
              </w:rPr>
            </w:pPr>
            <w:r w:rsidRPr="008708FA">
              <w:rPr>
                <w:rFonts w:eastAsia="Calibri"/>
                <w:b/>
              </w:rPr>
              <w:sym w:font="Wingdings" w:char="F0FC"/>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08FA" w:rsidRPr="008708FA" w:rsidRDefault="008708FA" w:rsidP="008708FA">
            <w:pPr>
              <w:rPr>
                <w:rFonts w:cs="Arial"/>
                <w:sz w:val="20"/>
                <w:szCs w:val="20"/>
              </w:rPr>
            </w:pP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jc w:val="center"/>
              <w:rPr>
                <w:rFonts w:eastAsia="Calibri"/>
                <w:b/>
              </w:rPr>
            </w:pPr>
            <w:r w:rsidRPr="008708FA">
              <w:rPr>
                <w:rFonts w:eastAsia="Calibri"/>
                <w:b/>
              </w:rPr>
              <w:sym w:font="Wingdings" w:char="F0FC"/>
            </w: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tcPr>
          <w:p w:rsidR="008708FA" w:rsidRPr="008708FA" w:rsidRDefault="008708FA" w:rsidP="008708FA">
            <w:pPr>
              <w:ind w:firstLine="49"/>
              <w:rPr>
                <w:rFonts w:cs="Arial"/>
                <w:sz w:val="20"/>
                <w:szCs w:val="20"/>
              </w:rPr>
            </w:pPr>
            <w:r w:rsidRPr="008708FA">
              <w:rPr>
                <w:rFonts w:eastAsia="Calibri" w:cs="Arial"/>
                <w:sz w:val="20"/>
                <w:szCs w:val="20"/>
              </w:rPr>
              <w:t>status date</w:t>
            </w:r>
          </w:p>
        </w:tc>
        <w:tc>
          <w:tcPr>
            <w:tcW w:w="1444" w:type="dxa"/>
            <w:tcBorders>
              <w:top w:val="nil"/>
              <w:left w:val="nil"/>
              <w:bottom w:val="single" w:sz="4" w:space="0" w:color="auto"/>
              <w:right w:val="single" w:sz="4" w:space="0" w:color="auto"/>
            </w:tcBorders>
            <w:shd w:val="clear" w:color="auto" w:fill="auto"/>
            <w:noWrap/>
            <w:vAlign w:val="center"/>
          </w:tcPr>
          <w:p w:rsidR="008708FA" w:rsidRPr="008708FA" w:rsidRDefault="008708FA" w:rsidP="008708FA">
            <w:pPr>
              <w:ind w:left="1080"/>
              <w:jc w:val="center"/>
              <w:rPr>
                <w:rFonts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8708FA" w:rsidRPr="008708FA" w:rsidRDefault="008708FA" w:rsidP="008708FA">
            <w:pPr>
              <w:jc w:val="center"/>
              <w:rPr>
                <w:rFonts w:eastAsia="Calibri"/>
                <w:b/>
              </w:rPr>
            </w:pPr>
            <w:r w:rsidRPr="008708FA">
              <w:rPr>
                <w:rFonts w:eastAsia="Calibri"/>
                <w:b/>
              </w:rPr>
              <w:sym w:font="Wingdings" w:char="F0FC"/>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08FA" w:rsidRPr="008708FA" w:rsidRDefault="008708FA" w:rsidP="008708FA">
            <w:pPr>
              <w:rPr>
                <w:rFonts w:cs="Arial"/>
                <w:sz w:val="20"/>
                <w:szCs w:val="20"/>
              </w:rPr>
            </w:pP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ind w:left="33"/>
              <w:jc w:val="center"/>
              <w:rPr>
                <w:rFonts w:cs="Arial"/>
                <w:sz w:val="20"/>
                <w:szCs w:val="20"/>
              </w:rPr>
            </w:pP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tcPr>
          <w:p w:rsidR="008708FA" w:rsidRPr="008708FA" w:rsidRDefault="008708FA" w:rsidP="008708FA">
            <w:pPr>
              <w:ind w:firstLine="49"/>
              <w:rPr>
                <w:rFonts w:cs="Arial"/>
                <w:sz w:val="20"/>
                <w:szCs w:val="20"/>
              </w:rPr>
            </w:pPr>
            <w:r w:rsidRPr="008708FA">
              <w:rPr>
                <w:rFonts w:eastAsia="Calibri" w:cs="Arial"/>
                <w:sz w:val="20"/>
                <w:szCs w:val="20"/>
              </w:rPr>
              <w:t>published document</w:t>
            </w:r>
          </w:p>
        </w:tc>
        <w:tc>
          <w:tcPr>
            <w:tcW w:w="1444" w:type="dxa"/>
            <w:tcBorders>
              <w:top w:val="nil"/>
              <w:left w:val="nil"/>
              <w:bottom w:val="single" w:sz="4" w:space="0" w:color="auto"/>
              <w:right w:val="single" w:sz="4" w:space="0" w:color="auto"/>
            </w:tcBorders>
            <w:shd w:val="clear" w:color="auto" w:fill="auto"/>
            <w:noWrap/>
            <w:vAlign w:val="center"/>
          </w:tcPr>
          <w:p w:rsidR="008708FA" w:rsidRPr="008708FA" w:rsidRDefault="008708FA" w:rsidP="008708FA">
            <w:pPr>
              <w:ind w:left="1080"/>
              <w:jc w:val="center"/>
              <w:rPr>
                <w:rFonts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8708FA" w:rsidRPr="008708FA" w:rsidRDefault="008708FA" w:rsidP="008708FA">
            <w:pPr>
              <w:jc w:val="center"/>
              <w:rPr>
                <w:rFonts w:eastAsia="Calibri"/>
                <w:b/>
              </w:rPr>
            </w:pPr>
            <w:r w:rsidRPr="008708FA">
              <w:rPr>
                <w:rFonts w:eastAsia="Calibri"/>
                <w:b/>
              </w:rPr>
              <w:sym w:font="Wingdings" w:char="F0FC"/>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08FA" w:rsidRPr="008708FA" w:rsidRDefault="008708FA" w:rsidP="008708FA">
            <w:pPr>
              <w:rPr>
                <w:rFonts w:cs="Arial"/>
                <w:sz w:val="20"/>
                <w:szCs w:val="20"/>
              </w:rPr>
            </w:pP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jc w:val="center"/>
              <w:rPr>
                <w:rFonts w:eastAsia="Calibri"/>
                <w:b/>
              </w:rPr>
            </w:pPr>
            <w:r w:rsidRPr="008708FA">
              <w:rPr>
                <w:rFonts w:eastAsia="Calibri"/>
                <w:b/>
              </w:rPr>
              <w:sym w:font="Wingdings" w:char="F0FC"/>
            </w: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tcPr>
          <w:p w:rsidR="008708FA" w:rsidRPr="008708FA" w:rsidRDefault="008708FA" w:rsidP="008708FA">
            <w:pPr>
              <w:ind w:firstLine="49"/>
              <w:rPr>
                <w:rFonts w:cs="Arial"/>
                <w:sz w:val="20"/>
                <w:szCs w:val="20"/>
              </w:rPr>
            </w:pPr>
            <w:r w:rsidRPr="008708FA">
              <w:rPr>
                <w:rFonts w:eastAsia="Calibri" w:cs="Arial"/>
                <w:sz w:val="20"/>
                <w:szCs w:val="20"/>
              </w:rPr>
              <w:t>application certificate</w:t>
            </w:r>
          </w:p>
        </w:tc>
        <w:tc>
          <w:tcPr>
            <w:tcW w:w="1444" w:type="dxa"/>
            <w:tcBorders>
              <w:top w:val="nil"/>
              <w:left w:val="nil"/>
              <w:bottom w:val="single" w:sz="4" w:space="0" w:color="auto"/>
              <w:right w:val="single" w:sz="4" w:space="0" w:color="auto"/>
            </w:tcBorders>
            <w:shd w:val="clear" w:color="auto" w:fill="auto"/>
            <w:noWrap/>
            <w:vAlign w:val="center"/>
          </w:tcPr>
          <w:p w:rsidR="008708FA" w:rsidRPr="008708FA" w:rsidRDefault="008708FA" w:rsidP="008708FA">
            <w:pPr>
              <w:ind w:left="1080"/>
              <w:jc w:val="center"/>
              <w:rPr>
                <w:rFonts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8708FA" w:rsidRPr="008708FA" w:rsidRDefault="008708FA" w:rsidP="008708FA">
            <w:pPr>
              <w:jc w:val="center"/>
              <w:rPr>
                <w:rFonts w:eastAsia="Calibri"/>
                <w:b/>
              </w:rPr>
            </w:pPr>
            <w:r w:rsidRPr="008708FA">
              <w:rPr>
                <w:rFonts w:eastAsia="Calibri"/>
                <w:b/>
              </w:rPr>
              <w:sym w:font="Wingdings" w:char="F0FC"/>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08FA" w:rsidRPr="008708FA" w:rsidRDefault="008708FA" w:rsidP="008708FA">
            <w:pPr>
              <w:rPr>
                <w:rFonts w:cs="Arial"/>
                <w:sz w:val="20"/>
                <w:szCs w:val="20"/>
              </w:rPr>
            </w:pP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jc w:val="center"/>
              <w:rPr>
                <w:rFonts w:eastAsia="Calibri"/>
                <w:b/>
              </w:rPr>
            </w:pPr>
            <w:r w:rsidRPr="008708FA">
              <w:rPr>
                <w:rFonts w:eastAsia="Calibri"/>
                <w:b/>
              </w:rPr>
              <w:sym w:font="Wingdings" w:char="F0FC"/>
            </w: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tcPr>
          <w:p w:rsidR="008708FA" w:rsidRPr="008708FA" w:rsidRDefault="008708FA" w:rsidP="008708FA">
            <w:pPr>
              <w:ind w:firstLine="49"/>
              <w:rPr>
                <w:rFonts w:cs="Arial"/>
                <w:sz w:val="20"/>
                <w:szCs w:val="20"/>
              </w:rPr>
            </w:pPr>
            <w:r w:rsidRPr="008708FA">
              <w:rPr>
                <w:rFonts w:eastAsia="Calibri" w:cs="Arial"/>
                <w:sz w:val="20"/>
                <w:szCs w:val="20"/>
              </w:rPr>
              <w:t>invention details</w:t>
            </w:r>
          </w:p>
        </w:tc>
        <w:tc>
          <w:tcPr>
            <w:tcW w:w="1444" w:type="dxa"/>
            <w:tcBorders>
              <w:top w:val="nil"/>
              <w:left w:val="nil"/>
              <w:bottom w:val="single" w:sz="4" w:space="0" w:color="auto"/>
              <w:right w:val="single" w:sz="4" w:space="0" w:color="auto"/>
            </w:tcBorders>
            <w:shd w:val="clear" w:color="auto" w:fill="auto"/>
            <w:noWrap/>
            <w:vAlign w:val="center"/>
          </w:tcPr>
          <w:p w:rsidR="008708FA" w:rsidRPr="008708FA" w:rsidRDefault="008708FA" w:rsidP="008708FA">
            <w:pPr>
              <w:ind w:left="1080"/>
              <w:jc w:val="center"/>
              <w:rPr>
                <w:rFonts w:cs="Arial"/>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8708FA" w:rsidRPr="008708FA" w:rsidRDefault="008708FA" w:rsidP="008708FA">
            <w:pPr>
              <w:jc w:val="center"/>
              <w:rPr>
                <w:rFonts w:eastAsia="Calibri"/>
                <w:b/>
              </w:rPr>
            </w:pPr>
            <w:r w:rsidRPr="008708FA">
              <w:rPr>
                <w:rFonts w:eastAsia="Calibri"/>
                <w:b/>
              </w:rPr>
              <w:sym w:font="Wingdings" w:char="F0FC"/>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08FA" w:rsidRPr="008708FA" w:rsidRDefault="008708FA" w:rsidP="008708FA">
            <w:pPr>
              <w:rPr>
                <w:rFonts w:cs="Arial"/>
                <w:sz w:val="20"/>
                <w:szCs w:val="20"/>
              </w:rPr>
            </w:pP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jc w:val="center"/>
              <w:rPr>
                <w:rFonts w:eastAsia="Calibri"/>
                <w:b/>
              </w:rPr>
            </w:pPr>
            <w:r w:rsidRPr="008708FA">
              <w:rPr>
                <w:rFonts w:eastAsia="Calibri"/>
                <w:b/>
              </w:rPr>
              <w:sym w:font="Wingdings" w:char="F0FC"/>
            </w: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priority date</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jc w:val="center"/>
              <w:rPr>
                <w:rFonts w:eastAsia="Calibri"/>
                <w:b/>
              </w:rPr>
            </w:pPr>
            <w:r w:rsidRPr="008708FA">
              <w:rPr>
                <w:rFonts w:eastAsia="Calibri"/>
                <w:b/>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ind w:left="486" w:firstLine="34"/>
              <w:rPr>
                <w:rFonts w:cs="Arial"/>
                <w:sz w:val="20"/>
                <w:szCs w:val="20"/>
                <w:lang w:bidi="th-TH"/>
              </w:rPr>
            </w:pP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priority number</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jc w:val="center"/>
              <w:rPr>
                <w:rFonts w:eastAsia="Calibri"/>
                <w:b/>
              </w:rPr>
            </w:pPr>
            <w:r w:rsidRPr="008708FA">
              <w:rPr>
                <w:rFonts w:eastAsia="Calibri"/>
                <w:b/>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ind w:left="486" w:firstLine="34"/>
              <w:rPr>
                <w:rFonts w:cs="Arial"/>
                <w:sz w:val="20"/>
                <w:szCs w:val="20"/>
                <w:lang w:bidi="th-TH"/>
              </w:rPr>
            </w:pPr>
          </w:p>
        </w:tc>
      </w:tr>
      <w:tr w:rsidR="008708FA" w:rsidRPr="008708FA" w:rsidTr="005C2427">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ind w:firstLine="49"/>
              <w:rPr>
                <w:rFonts w:cs="Arial"/>
                <w:sz w:val="20"/>
                <w:szCs w:val="20"/>
              </w:rPr>
            </w:pPr>
            <w:r w:rsidRPr="008708FA">
              <w:rPr>
                <w:rFonts w:cs="Arial"/>
                <w:sz w:val="20"/>
                <w:szCs w:val="20"/>
              </w:rPr>
              <w:t>priority country code</w:t>
            </w:r>
          </w:p>
        </w:tc>
        <w:tc>
          <w:tcPr>
            <w:tcW w:w="1444"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8708FA" w:rsidRPr="008708FA" w:rsidRDefault="008708FA" w:rsidP="008708FA">
            <w:pPr>
              <w:rPr>
                <w:rFonts w:cs="Arial"/>
                <w:sz w:val="20"/>
                <w:szCs w:val="20"/>
              </w:rPr>
            </w:pPr>
            <w:r w:rsidRPr="008708FA">
              <w:rPr>
                <w:rFonts w:cs="Arial"/>
                <w:sz w:val="20"/>
                <w:szCs w:val="20"/>
              </w:rPr>
              <w:t xml:space="preserve">  </w:t>
            </w:r>
          </w:p>
        </w:tc>
        <w:tc>
          <w:tcPr>
            <w:tcW w:w="1276" w:type="dxa"/>
            <w:tcBorders>
              <w:top w:val="single" w:sz="4" w:space="0" w:color="auto"/>
              <w:left w:val="nil"/>
              <w:bottom w:val="single" w:sz="4" w:space="0" w:color="auto"/>
              <w:right w:val="single" w:sz="4" w:space="0" w:color="auto"/>
            </w:tcBorders>
            <w:vAlign w:val="center"/>
          </w:tcPr>
          <w:p w:rsidR="008708FA" w:rsidRPr="008708FA" w:rsidRDefault="008708FA" w:rsidP="008708FA">
            <w:pPr>
              <w:ind w:left="1080"/>
              <w:jc w:val="cente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8FA" w:rsidRPr="008708FA" w:rsidRDefault="008708FA" w:rsidP="008708FA">
            <w:pPr>
              <w:jc w:val="center"/>
              <w:rPr>
                <w:rFonts w:eastAsia="Calibri"/>
                <w:b/>
              </w:rPr>
            </w:pPr>
            <w:r w:rsidRPr="008708FA">
              <w:rPr>
                <w:rFonts w:eastAsia="Calibri"/>
                <w:b/>
              </w:rPr>
              <w:sym w:font="Wingdings" w:char="F0FC"/>
            </w:r>
          </w:p>
        </w:tc>
        <w:tc>
          <w:tcPr>
            <w:tcW w:w="1337" w:type="dxa"/>
            <w:tcBorders>
              <w:top w:val="single" w:sz="4" w:space="0" w:color="auto"/>
              <w:left w:val="single" w:sz="4" w:space="0" w:color="auto"/>
              <w:bottom w:val="single" w:sz="4" w:space="0" w:color="auto"/>
              <w:right w:val="single" w:sz="4" w:space="0" w:color="auto"/>
            </w:tcBorders>
            <w:vAlign w:val="center"/>
          </w:tcPr>
          <w:p w:rsidR="008708FA" w:rsidRPr="008708FA" w:rsidRDefault="008708FA" w:rsidP="008708FA">
            <w:pPr>
              <w:ind w:left="486" w:firstLine="34"/>
              <w:rPr>
                <w:rFonts w:cs="Arial"/>
                <w:sz w:val="20"/>
                <w:szCs w:val="20"/>
                <w:lang w:bidi="th-TH"/>
              </w:rPr>
            </w:pPr>
          </w:p>
        </w:tc>
      </w:tr>
    </w:tbl>
    <w:p w:rsidR="009E1F3F" w:rsidRDefault="009E1F3F" w:rsidP="00A16528">
      <w:pPr>
        <w:rPr>
          <w:rFonts w:eastAsia="Calibri"/>
        </w:rPr>
      </w:pPr>
    </w:p>
    <w:p w:rsidR="001C54A4" w:rsidRDefault="009E1F3F" w:rsidP="00A16528">
      <w:pPr>
        <w:rPr>
          <w:rFonts w:eastAsia="Calibri"/>
        </w:rPr>
        <w:sectPr w:rsidR="001C54A4" w:rsidSect="001C54A4">
          <w:headerReference w:type="default" r:id="rId43"/>
          <w:headerReference w:type="first" r:id="rId44"/>
          <w:pgSz w:w="11907" w:h="16840" w:code="9"/>
          <w:pgMar w:top="1417" w:right="1417" w:bottom="1417" w:left="1440" w:header="709" w:footer="709" w:gutter="0"/>
          <w:pgNumType w:start="1"/>
          <w:cols w:space="720"/>
          <w:titlePg/>
          <w:docGrid w:linePitch="299"/>
        </w:sectPr>
      </w:pPr>
      <w:r>
        <w:rPr>
          <w:rFonts w:eastAsia="Calibri"/>
        </w:rPr>
        <w:br w:type="page"/>
      </w:r>
    </w:p>
    <w:p w:rsidR="008708FA" w:rsidRPr="008708FA" w:rsidRDefault="008708FA" w:rsidP="00A16528">
      <w:pPr>
        <w:rPr>
          <w:rFonts w:eastAsia="Calibri"/>
        </w:rPr>
      </w:pPr>
    </w:p>
    <w:p w:rsidR="008708FA" w:rsidRPr="008708FA" w:rsidRDefault="008708FA" w:rsidP="005C2427">
      <w:pPr>
        <w:pStyle w:val="Heading1"/>
        <w:numPr>
          <w:ilvl w:val="0"/>
          <w:numId w:val="0"/>
        </w:numPr>
        <w:ind w:left="432" w:hanging="432"/>
      </w:pPr>
      <w:bookmarkStart w:id="126" w:name="_Ref370306519"/>
      <w:bookmarkStart w:id="127" w:name="_Toc370307945"/>
      <w:bookmarkStart w:id="128" w:name="_Toc370310354"/>
      <w:r w:rsidRPr="008708FA">
        <w:t>Appendix C: List of interviewed UM stakeholders</w:t>
      </w:r>
      <w:bookmarkEnd w:id="126"/>
      <w:r w:rsidRPr="008708FA">
        <w:t xml:space="preserve"> in Thailand</w:t>
      </w:r>
      <w:bookmarkEnd w:id="127"/>
      <w:bookmarkEnd w:id="128"/>
    </w:p>
    <w:p w:rsidR="008708FA" w:rsidRPr="008708FA" w:rsidRDefault="008708FA" w:rsidP="008708FA">
      <w:pPr>
        <w:rPr>
          <w:rFonts w:eastAsia="Calibri"/>
        </w:rPr>
      </w:pPr>
    </w:p>
    <w:p w:rsidR="008708FA" w:rsidRPr="008708FA" w:rsidRDefault="008708FA" w:rsidP="008708FA">
      <w:pPr>
        <w:rPr>
          <w:rFonts w:eastAsia="Calibri"/>
          <w:u w:val="single"/>
        </w:rPr>
      </w:pPr>
      <w:r w:rsidRPr="008708FA">
        <w:rPr>
          <w:rFonts w:eastAsia="Calibri"/>
          <w:u w:val="single"/>
        </w:rPr>
        <w:t>Department of Intellectual Property</w:t>
      </w:r>
    </w:p>
    <w:p w:rsidR="008708FA" w:rsidRPr="008708FA" w:rsidRDefault="008708FA" w:rsidP="008708FA">
      <w:pPr>
        <w:rPr>
          <w:rFonts w:eastAsia="Calibri"/>
        </w:rPr>
      </w:pPr>
      <w:r w:rsidRPr="008708FA">
        <w:rPr>
          <w:rFonts w:eastAsia="Calibri"/>
        </w:rPr>
        <w:t xml:space="preserve">Mr. </w:t>
      </w:r>
      <w:proofErr w:type="spellStart"/>
      <w:r w:rsidRPr="008708FA">
        <w:rPr>
          <w:rFonts w:eastAsia="Calibri"/>
        </w:rPr>
        <w:t>Thanit</w:t>
      </w:r>
      <w:proofErr w:type="spellEnd"/>
      <w:r w:rsidRPr="008708FA">
        <w:rPr>
          <w:rFonts w:eastAsia="Calibri"/>
        </w:rPr>
        <w:t xml:space="preserve"> </w:t>
      </w:r>
      <w:proofErr w:type="spellStart"/>
      <w:r w:rsidRPr="008708FA">
        <w:rPr>
          <w:rFonts w:eastAsia="Calibri"/>
        </w:rPr>
        <w:t>Ngansampantrit</w:t>
      </w:r>
      <w:proofErr w:type="spellEnd"/>
      <w:r w:rsidRPr="008708FA">
        <w:rPr>
          <w:rFonts w:eastAsia="Calibri"/>
        </w:rPr>
        <w:t>, Head of International Cooperation, Section 2 (Europe)</w:t>
      </w:r>
    </w:p>
    <w:p w:rsidR="008708FA" w:rsidRPr="008708FA" w:rsidRDefault="008708FA" w:rsidP="008708FA">
      <w:pPr>
        <w:rPr>
          <w:rFonts w:eastAsia="Calibri"/>
        </w:rPr>
      </w:pPr>
      <w:r w:rsidRPr="008708FA">
        <w:rPr>
          <w:rFonts w:eastAsia="Calibri"/>
        </w:rPr>
        <w:t xml:space="preserve">Ms. </w:t>
      </w:r>
      <w:proofErr w:type="spellStart"/>
      <w:r w:rsidRPr="008708FA">
        <w:rPr>
          <w:rFonts w:eastAsia="Calibri"/>
        </w:rPr>
        <w:t>Kitiyaporn</w:t>
      </w:r>
      <w:proofErr w:type="spellEnd"/>
      <w:r w:rsidRPr="008708FA">
        <w:rPr>
          <w:rFonts w:eastAsia="Calibri"/>
        </w:rPr>
        <w:t xml:space="preserve"> </w:t>
      </w:r>
      <w:proofErr w:type="spellStart"/>
      <w:r w:rsidRPr="008708FA">
        <w:rPr>
          <w:rFonts w:eastAsia="Calibri"/>
        </w:rPr>
        <w:t>Sathusen</w:t>
      </w:r>
      <w:proofErr w:type="spellEnd"/>
      <w:r w:rsidRPr="008708FA">
        <w:rPr>
          <w:rFonts w:eastAsia="Calibri"/>
        </w:rPr>
        <w:t>, Senior Trade Officer, IP Promotion and Development Office</w:t>
      </w:r>
    </w:p>
    <w:p w:rsidR="008708FA" w:rsidRPr="008708FA" w:rsidRDefault="008708FA" w:rsidP="008708FA">
      <w:pPr>
        <w:rPr>
          <w:rFonts w:eastAsia="Calibri"/>
        </w:rPr>
      </w:pPr>
      <w:r w:rsidRPr="008708FA">
        <w:rPr>
          <w:rFonts w:eastAsia="Calibri"/>
        </w:rPr>
        <w:t xml:space="preserve">Mr. </w:t>
      </w:r>
      <w:proofErr w:type="spellStart"/>
      <w:r w:rsidRPr="008708FA">
        <w:rPr>
          <w:rFonts w:eastAsia="Calibri"/>
        </w:rPr>
        <w:t>Sakol</w:t>
      </w:r>
      <w:proofErr w:type="spellEnd"/>
      <w:r w:rsidRPr="008708FA">
        <w:rPr>
          <w:rFonts w:eastAsia="Calibri"/>
        </w:rPr>
        <w:t xml:space="preserve"> </w:t>
      </w:r>
      <w:proofErr w:type="spellStart"/>
      <w:r w:rsidRPr="008708FA">
        <w:rPr>
          <w:rFonts w:eastAsia="Calibri"/>
        </w:rPr>
        <w:t>Vithoonjit</w:t>
      </w:r>
      <w:proofErr w:type="spellEnd"/>
      <w:r w:rsidRPr="008708FA">
        <w:rPr>
          <w:rFonts w:eastAsia="Calibri"/>
        </w:rPr>
        <w:t>, Patent Examiner, Petty Patent Group 1</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u w:val="single"/>
        </w:rPr>
        <w:t>The Federation of Thai Industries</w:t>
      </w:r>
    </w:p>
    <w:p w:rsidR="008708FA" w:rsidRPr="008708FA" w:rsidRDefault="008708FA" w:rsidP="008708FA">
      <w:pPr>
        <w:rPr>
          <w:rFonts w:eastAsia="Calibri"/>
        </w:rPr>
      </w:pPr>
      <w:r w:rsidRPr="008708FA">
        <w:rPr>
          <w:rFonts w:eastAsia="Calibri"/>
        </w:rPr>
        <w:t xml:space="preserve">Dr. </w:t>
      </w:r>
      <w:proofErr w:type="spellStart"/>
      <w:r w:rsidRPr="008708FA">
        <w:rPr>
          <w:rFonts w:eastAsia="Calibri"/>
        </w:rPr>
        <w:t>Nilsuwan</w:t>
      </w:r>
      <w:proofErr w:type="spellEnd"/>
      <w:r w:rsidRPr="008708FA">
        <w:rPr>
          <w:rFonts w:eastAsia="Calibri"/>
        </w:rPr>
        <w:t xml:space="preserve"> </w:t>
      </w:r>
      <w:proofErr w:type="spellStart"/>
      <w:r w:rsidRPr="008708FA">
        <w:rPr>
          <w:rFonts w:eastAsia="Calibri"/>
        </w:rPr>
        <w:t>Leelarasamee</w:t>
      </w:r>
      <w:proofErr w:type="spellEnd"/>
      <w:r w:rsidRPr="008708FA">
        <w:rPr>
          <w:rFonts w:eastAsia="Calibri"/>
        </w:rPr>
        <w:t>, Chairman</w:t>
      </w:r>
    </w:p>
    <w:p w:rsidR="008708FA" w:rsidRPr="008708FA" w:rsidRDefault="008708FA" w:rsidP="008708FA">
      <w:pPr>
        <w:rPr>
          <w:rFonts w:eastAsia="Calibri"/>
        </w:rPr>
      </w:pPr>
    </w:p>
    <w:p w:rsidR="008708FA" w:rsidRPr="008708FA" w:rsidRDefault="008708FA" w:rsidP="008708FA">
      <w:pPr>
        <w:rPr>
          <w:rFonts w:eastAsia="Calibri"/>
          <w:u w:val="single"/>
        </w:rPr>
      </w:pPr>
      <w:r w:rsidRPr="008708FA">
        <w:rPr>
          <w:rFonts w:eastAsia="Calibri"/>
          <w:u w:val="single"/>
        </w:rPr>
        <w:t>National Science and Technology Development Agency</w:t>
      </w:r>
    </w:p>
    <w:p w:rsidR="008708FA" w:rsidRPr="008708FA" w:rsidRDefault="008708FA" w:rsidP="008708FA">
      <w:pPr>
        <w:rPr>
          <w:rFonts w:eastAsia="Calibri"/>
        </w:rPr>
      </w:pPr>
      <w:r w:rsidRPr="008708FA">
        <w:rPr>
          <w:rFonts w:eastAsia="Calibri"/>
        </w:rPr>
        <w:t xml:space="preserve">Dr. </w:t>
      </w:r>
      <w:proofErr w:type="spellStart"/>
      <w:r w:rsidRPr="008708FA">
        <w:rPr>
          <w:rFonts w:eastAsia="Calibri"/>
        </w:rPr>
        <w:t>Orakanoke</w:t>
      </w:r>
      <w:proofErr w:type="spellEnd"/>
      <w:r w:rsidRPr="008708FA">
        <w:rPr>
          <w:rFonts w:eastAsia="Calibri"/>
        </w:rPr>
        <w:t xml:space="preserve"> </w:t>
      </w:r>
      <w:proofErr w:type="spellStart"/>
      <w:r w:rsidRPr="008708FA">
        <w:rPr>
          <w:rFonts w:eastAsia="Calibri"/>
        </w:rPr>
        <w:t>Phanraksa</w:t>
      </w:r>
      <w:proofErr w:type="spellEnd"/>
      <w:r w:rsidRPr="008708FA">
        <w:rPr>
          <w:rFonts w:eastAsia="Calibri"/>
        </w:rPr>
        <w:t>, Acting Head, Intellectual Property Policy, Technology Licensing Office</w:t>
      </w:r>
    </w:p>
    <w:p w:rsidR="008708FA" w:rsidRPr="008708FA" w:rsidRDefault="008708FA" w:rsidP="008708FA">
      <w:pPr>
        <w:rPr>
          <w:rFonts w:eastAsia="Calibri"/>
        </w:rPr>
      </w:pPr>
      <w:r w:rsidRPr="008708FA">
        <w:rPr>
          <w:rFonts w:eastAsia="Calibri"/>
        </w:rPr>
        <w:t xml:space="preserve">Ms. </w:t>
      </w:r>
      <w:proofErr w:type="spellStart"/>
      <w:r w:rsidRPr="008708FA">
        <w:rPr>
          <w:rFonts w:eastAsia="Calibri"/>
        </w:rPr>
        <w:t>Arunsri</w:t>
      </w:r>
      <w:proofErr w:type="spellEnd"/>
      <w:r w:rsidRPr="008708FA">
        <w:rPr>
          <w:rFonts w:eastAsia="Calibri"/>
        </w:rPr>
        <w:t xml:space="preserve"> </w:t>
      </w:r>
      <w:proofErr w:type="spellStart"/>
      <w:r w:rsidRPr="008708FA">
        <w:rPr>
          <w:rFonts w:eastAsia="Calibri"/>
        </w:rPr>
        <w:t>Sritanitipol</w:t>
      </w:r>
      <w:proofErr w:type="spellEnd"/>
      <w:r w:rsidRPr="008708FA">
        <w:rPr>
          <w:rFonts w:eastAsia="Calibri"/>
        </w:rPr>
        <w:t xml:space="preserve">, Manager, Intellectual Property Management, </w:t>
      </w:r>
      <w:proofErr w:type="spellStart"/>
      <w:r w:rsidRPr="008708FA">
        <w:rPr>
          <w:rFonts w:eastAsia="Calibri"/>
        </w:rPr>
        <w:t>Technoolgy</w:t>
      </w:r>
      <w:proofErr w:type="spellEnd"/>
      <w:r w:rsidRPr="008708FA">
        <w:rPr>
          <w:rFonts w:eastAsia="Calibri"/>
        </w:rPr>
        <w:t xml:space="preserve"> Licensing Office</w:t>
      </w:r>
    </w:p>
    <w:p w:rsidR="008708FA" w:rsidRPr="008708FA" w:rsidRDefault="008708FA" w:rsidP="008708FA">
      <w:pPr>
        <w:rPr>
          <w:rFonts w:eastAsia="Calibri"/>
        </w:rPr>
      </w:pPr>
    </w:p>
    <w:p w:rsidR="008708FA" w:rsidRPr="008708FA" w:rsidRDefault="008708FA" w:rsidP="008708FA">
      <w:pPr>
        <w:rPr>
          <w:rFonts w:eastAsia="Calibri"/>
        </w:rPr>
      </w:pPr>
      <w:proofErr w:type="spellStart"/>
      <w:r w:rsidRPr="008708FA">
        <w:rPr>
          <w:rFonts w:eastAsia="Calibri"/>
          <w:u w:val="single"/>
        </w:rPr>
        <w:t>Mahidol</w:t>
      </w:r>
      <w:proofErr w:type="spellEnd"/>
      <w:r w:rsidRPr="008708FA">
        <w:rPr>
          <w:rFonts w:eastAsia="Calibri"/>
          <w:u w:val="single"/>
        </w:rPr>
        <w:t xml:space="preserve"> University</w:t>
      </w:r>
    </w:p>
    <w:p w:rsidR="008708FA" w:rsidRPr="008708FA" w:rsidRDefault="008708FA" w:rsidP="008708FA">
      <w:pPr>
        <w:rPr>
          <w:rFonts w:eastAsia="Calibri"/>
        </w:rPr>
      </w:pPr>
      <w:r w:rsidRPr="008708FA">
        <w:rPr>
          <w:rFonts w:eastAsia="Calibri"/>
        </w:rPr>
        <w:t xml:space="preserve">Associate Professor </w:t>
      </w:r>
      <w:proofErr w:type="spellStart"/>
      <w:r w:rsidRPr="008708FA">
        <w:rPr>
          <w:rFonts w:eastAsia="Calibri"/>
        </w:rPr>
        <w:t>Soranit</w:t>
      </w:r>
      <w:proofErr w:type="spellEnd"/>
      <w:r w:rsidRPr="008708FA">
        <w:rPr>
          <w:rFonts w:eastAsia="Calibri"/>
        </w:rPr>
        <w:t xml:space="preserve"> </w:t>
      </w:r>
      <w:proofErr w:type="spellStart"/>
      <w:r w:rsidRPr="008708FA">
        <w:rPr>
          <w:rFonts w:eastAsia="Calibri"/>
        </w:rPr>
        <w:t>Siltharm</w:t>
      </w:r>
      <w:proofErr w:type="spellEnd"/>
      <w:r w:rsidRPr="008708FA">
        <w:rPr>
          <w:rFonts w:eastAsia="Calibri"/>
        </w:rPr>
        <w:t>, Vice President for Policy and Planning</w:t>
      </w:r>
    </w:p>
    <w:p w:rsidR="008708FA" w:rsidRPr="008708FA" w:rsidRDefault="008708FA" w:rsidP="008708FA">
      <w:pPr>
        <w:rPr>
          <w:rFonts w:eastAsia="Calibri"/>
        </w:rPr>
      </w:pPr>
      <w:r w:rsidRPr="008708FA">
        <w:rPr>
          <w:rFonts w:eastAsia="Calibri"/>
        </w:rPr>
        <w:t xml:space="preserve">Ms. </w:t>
      </w:r>
      <w:proofErr w:type="spellStart"/>
      <w:r w:rsidRPr="008708FA">
        <w:rPr>
          <w:rFonts w:eastAsia="Calibri"/>
        </w:rPr>
        <w:t>Pimprapi</w:t>
      </w:r>
      <w:proofErr w:type="spellEnd"/>
      <w:r w:rsidRPr="008708FA">
        <w:rPr>
          <w:rFonts w:eastAsia="Calibri"/>
        </w:rPr>
        <w:t xml:space="preserve"> </w:t>
      </w:r>
      <w:proofErr w:type="spellStart"/>
      <w:r w:rsidRPr="008708FA">
        <w:rPr>
          <w:rFonts w:eastAsia="Calibri"/>
        </w:rPr>
        <w:t>Theeracheep</w:t>
      </w:r>
      <w:proofErr w:type="spellEnd"/>
      <w:r w:rsidRPr="008708FA">
        <w:rPr>
          <w:rFonts w:eastAsia="Calibri"/>
        </w:rPr>
        <w:t xml:space="preserve">, Deputy Director, </w:t>
      </w:r>
      <w:proofErr w:type="spellStart"/>
      <w:r w:rsidRPr="008708FA">
        <w:rPr>
          <w:rFonts w:eastAsia="Calibri"/>
        </w:rPr>
        <w:t>Mahidol</w:t>
      </w:r>
      <w:proofErr w:type="spellEnd"/>
      <w:r w:rsidRPr="008708FA">
        <w:rPr>
          <w:rFonts w:eastAsia="Calibri"/>
        </w:rPr>
        <w:t xml:space="preserve"> University Business Incubator</w:t>
      </w:r>
    </w:p>
    <w:p w:rsidR="008708FA" w:rsidRPr="008708FA" w:rsidRDefault="008708FA" w:rsidP="008708FA">
      <w:pPr>
        <w:rPr>
          <w:rFonts w:eastAsia="Calibri"/>
        </w:rPr>
      </w:pPr>
    </w:p>
    <w:p w:rsidR="008708FA" w:rsidRPr="008708FA" w:rsidRDefault="008708FA" w:rsidP="008708FA">
      <w:pPr>
        <w:rPr>
          <w:rFonts w:eastAsia="Calibri"/>
        </w:rPr>
      </w:pPr>
      <w:r w:rsidRPr="008708FA">
        <w:rPr>
          <w:rFonts w:eastAsia="Calibri"/>
          <w:u w:val="single"/>
        </w:rPr>
        <w:t>Siam Cement Group</w:t>
      </w:r>
    </w:p>
    <w:p w:rsidR="008708FA" w:rsidRPr="008708FA" w:rsidRDefault="008708FA" w:rsidP="008708FA">
      <w:pPr>
        <w:rPr>
          <w:rFonts w:eastAsia="Calibri"/>
        </w:rPr>
      </w:pPr>
      <w:r w:rsidRPr="008708FA">
        <w:rPr>
          <w:rFonts w:eastAsia="Calibri"/>
        </w:rPr>
        <w:t xml:space="preserve">Dr. </w:t>
      </w:r>
      <w:proofErr w:type="spellStart"/>
      <w:r w:rsidRPr="008708FA">
        <w:rPr>
          <w:rFonts w:eastAsia="Calibri"/>
        </w:rPr>
        <w:t>Wilaiporn</w:t>
      </w:r>
      <w:proofErr w:type="spellEnd"/>
      <w:r w:rsidRPr="008708FA">
        <w:rPr>
          <w:rFonts w:eastAsia="Calibri"/>
        </w:rPr>
        <w:t xml:space="preserve"> </w:t>
      </w:r>
      <w:proofErr w:type="spellStart"/>
      <w:r w:rsidRPr="008708FA">
        <w:rPr>
          <w:rFonts w:eastAsia="Calibri"/>
        </w:rPr>
        <w:t>Chetanachan</w:t>
      </w:r>
      <w:proofErr w:type="spellEnd"/>
      <w:r w:rsidRPr="008708FA">
        <w:rPr>
          <w:rFonts w:eastAsia="Calibri"/>
        </w:rPr>
        <w:t>, Director, Corporate Technology Office</w:t>
      </w:r>
    </w:p>
    <w:p w:rsidR="008708FA" w:rsidRPr="008708FA" w:rsidRDefault="008708FA" w:rsidP="008708FA">
      <w:pPr>
        <w:rPr>
          <w:rFonts w:eastAsia="Calibri"/>
        </w:rPr>
      </w:pPr>
      <w:r w:rsidRPr="008708FA">
        <w:rPr>
          <w:rFonts w:eastAsia="Calibri"/>
        </w:rPr>
        <w:t xml:space="preserve">Ms. </w:t>
      </w:r>
      <w:proofErr w:type="spellStart"/>
      <w:r w:rsidRPr="008708FA">
        <w:rPr>
          <w:rFonts w:eastAsia="Calibri"/>
        </w:rPr>
        <w:t>Vikran</w:t>
      </w:r>
      <w:proofErr w:type="spellEnd"/>
      <w:r w:rsidRPr="008708FA">
        <w:rPr>
          <w:rFonts w:eastAsia="Calibri"/>
        </w:rPr>
        <w:t xml:space="preserve"> </w:t>
      </w:r>
      <w:proofErr w:type="spellStart"/>
      <w:r w:rsidRPr="008708FA">
        <w:rPr>
          <w:rFonts w:eastAsia="Calibri"/>
        </w:rPr>
        <w:t>Duangmanee</w:t>
      </w:r>
      <w:proofErr w:type="spellEnd"/>
      <w:r w:rsidRPr="008708FA">
        <w:rPr>
          <w:rFonts w:eastAsia="Calibri"/>
        </w:rPr>
        <w:t>, IP Manager, Legal and Corporate Affairs</w:t>
      </w:r>
    </w:p>
    <w:p w:rsidR="008708FA" w:rsidRPr="008708FA" w:rsidRDefault="008708FA" w:rsidP="008708FA">
      <w:pPr>
        <w:rPr>
          <w:rFonts w:eastAsia="Calibri"/>
        </w:rPr>
      </w:pPr>
      <w:r w:rsidRPr="008708FA">
        <w:rPr>
          <w:rFonts w:eastAsia="Calibri"/>
        </w:rPr>
        <w:t xml:space="preserve">Ms. </w:t>
      </w:r>
      <w:proofErr w:type="spellStart"/>
      <w:r w:rsidRPr="008708FA">
        <w:rPr>
          <w:rFonts w:eastAsia="Calibri"/>
        </w:rPr>
        <w:t>Uraiwan</w:t>
      </w:r>
      <w:proofErr w:type="spellEnd"/>
      <w:r w:rsidRPr="008708FA">
        <w:rPr>
          <w:rFonts w:eastAsia="Calibri"/>
        </w:rPr>
        <w:t xml:space="preserve"> </w:t>
      </w:r>
      <w:proofErr w:type="spellStart"/>
      <w:r w:rsidRPr="008708FA">
        <w:rPr>
          <w:rFonts w:eastAsia="Calibri"/>
        </w:rPr>
        <w:t>Sintharapantorn</w:t>
      </w:r>
      <w:proofErr w:type="spellEnd"/>
      <w:r w:rsidRPr="008708FA">
        <w:rPr>
          <w:rFonts w:eastAsia="Calibri"/>
        </w:rPr>
        <w:t>, Head of Legal and Corporate Affairs</w:t>
      </w:r>
    </w:p>
    <w:p w:rsidR="008708FA" w:rsidRPr="008708FA" w:rsidRDefault="008708FA" w:rsidP="008708FA">
      <w:pPr>
        <w:rPr>
          <w:rFonts w:eastAsia="Calibri"/>
        </w:rPr>
      </w:pPr>
      <w:r w:rsidRPr="008708FA">
        <w:rPr>
          <w:rFonts w:eastAsia="Calibri"/>
        </w:rPr>
        <w:t xml:space="preserve">Ms. </w:t>
      </w:r>
      <w:proofErr w:type="spellStart"/>
      <w:r w:rsidRPr="008708FA">
        <w:rPr>
          <w:rFonts w:eastAsia="Calibri"/>
        </w:rPr>
        <w:t>Morakot</w:t>
      </w:r>
      <w:proofErr w:type="spellEnd"/>
      <w:r w:rsidRPr="008708FA">
        <w:rPr>
          <w:rFonts w:eastAsia="Calibri"/>
        </w:rPr>
        <w:t xml:space="preserve"> </w:t>
      </w:r>
      <w:proofErr w:type="spellStart"/>
      <w:r w:rsidRPr="008708FA">
        <w:rPr>
          <w:rFonts w:eastAsia="Calibri"/>
        </w:rPr>
        <w:t>Veerabhand</w:t>
      </w:r>
      <w:proofErr w:type="spellEnd"/>
      <w:r w:rsidRPr="008708FA">
        <w:rPr>
          <w:rFonts w:eastAsia="Calibri"/>
        </w:rPr>
        <w:t>, IP Specialist – Product and Technology Development Center</w:t>
      </w:r>
    </w:p>
    <w:p w:rsidR="008708FA" w:rsidRPr="008708FA" w:rsidRDefault="008708FA" w:rsidP="008708FA">
      <w:pPr>
        <w:rPr>
          <w:rFonts w:eastAsia="Calibri"/>
        </w:rPr>
      </w:pPr>
      <w:r w:rsidRPr="008708FA">
        <w:rPr>
          <w:rFonts w:eastAsia="Calibri"/>
        </w:rPr>
        <w:t xml:space="preserve">Mr. </w:t>
      </w:r>
      <w:proofErr w:type="spellStart"/>
      <w:r w:rsidRPr="008708FA">
        <w:rPr>
          <w:rFonts w:eastAsia="Calibri"/>
        </w:rPr>
        <w:t>Yingyong</w:t>
      </w:r>
      <w:proofErr w:type="spellEnd"/>
      <w:r w:rsidRPr="008708FA">
        <w:rPr>
          <w:rFonts w:eastAsia="Calibri"/>
        </w:rPr>
        <w:t xml:space="preserve"> </w:t>
      </w:r>
      <w:proofErr w:type="spellStart"/>
      <w:r w:rsidRPr="008708FA">
        <w:rPr>
          <w:rFonts w:eastAsia="Calibri"/>
        </w:rPr>
        <w:t>Thanthanapongphan</w:t>
      </w:r>
      <w:proofErr w:type="spellEnd"/>
      <w:r w:rsidRPr="008708FA">
        <w:rPr>
          <w:rFonts w:eastAsia="Calibri"/>
        </w:rPr>
        <w:t>, IP Manager</w:t>
      </w:r>
    </w:p>
    <w:p w:rsidR="008708FA" w:rsidRPr="008708FA" w:rsidRDefault="008708FA" w:rsidP="008708FA">
      <w:pPr>
        <w:rPr>
          <w:rFonts w:eastAsia="Calibri"/>
        </w:rPr>
      </w:pPr>
      <w:r w:rsidRPr="008708FA">
        <w:rPr>
          <w:rFonts w:eastAsia="Calibri"/>
        </w:rPr>
        <w:t xml:space="preserve">Mr. </w:t>
      </w:r>
      <w:proofErr w:type="spellStart"/>
      <w:r w:rsidRPr="008708FA">
        <w:rPr>
          <w:rFonts w:eastAsia="Calibri"/>
        </w:rPr>
        <w:t>Roongnirun</w:t>
      </w:r>
      <w:proofErr w:type="spellEnd"/>
      <w:r w:rsidRPr="008708FA">
        <w:rPr>
          <w:rFonts w:eastAsia="Calibri"/>
        </w:rPr>
        <w:t xml:space="preserve"> </w:t>
      </w:r>
      <w:proofErr w:type="spellStart"/>
      <w:r w:rsidRPr="008708FA">
        <w:rPr>
          <w:rFonts w:eastAsia="Calibri"/>
        </w:rPr>
        <w:t>Nirundorn</w:t>
      </w:r>
      <w:proofErr w:type="spellEnd"/>
      <w:r w:rsidRPr="008708FA">
        <w:rPr>
          <w:rFonts w:eastAsia="Calibri"/>
        </w:rPr>
        <w:t>, IP Specialist, Legal and Corporate Affairs</w:t>
      </w:r>
    </w:p>
    <w:p w:rsidR="008708FA" w:rsidRPr="008708FA" w:rsidRDefault="008708FA" w:rsidP="008708FA">
      <w:pPr>
        <w:rPr>
          <w:rFonts w:eastAsia="Calibri"/>
        </w:rPr>
      </w:pPr>
      <w:r w:rsidRPr="008708FA">
        <w:rPr>
          <w:rFonts w:eastAsia="Calibri"/>
        </w:rPr>
        <w:t xml:space="preserve">Mr. </w:t>
      </w:r>
      <w:proofErr w:type="spellStart"/>
      <w:r w:rsidRPr="008708FA">
        <w:rPr>
          <w:rFonts w:eastAsia="Calibri"/>
        </w:rPr>
        <w:t>Kulachet</w:t>
      </w:r>
      <w:proofErr w:type="spellEnd"/>
      <w:r w:rsidRPr="008708FA">
        <w:rPr>
          <w:rFonts w:eastAsia="Calibri"/>
        </w:rPr>
        <w:t xml:space="preserve"> </w:t>
      </w:r>
      <w:proofErr w:type="spellStart"/>
      <w:r w:rsidRPr="008708FA">
        <w:rPr>
          <w:rFonts w:eastAsia="Calibri"/>
        </w:rPr>
        <w:t>Dharachandra</w:t>
      </w:r>
      <w:proofErr w:type="spellEnd"/>
      <w:r w:rsidRPr="008708FA">
        <w:rPr>
          <w:rFonts w:eastAsia="Calibri"/>
        </w:rPr>
        <w:t>, Corporate Planning and Business Development Director</w:t>
      </w:r>
    </w:p>
    <w:p w:rsidR="008708FA" w:rsidRPr="008708FA" w:rsidRDefault="008708FA" w:rsidP="008708FA">
      <w:pPr>
        <w:rPr>
          <w:rFonts w:eastAsia="Calibri"/>
        </w:rPr>
      </w:pPr>
      <w:r w:rsidRPr="008708FA">
        <w:rPr>
          <w:rFonts w:eastAsia="Calibri"/>
        </w:rPr>
        <w:t xml:space="preserve">Mr. </w:t>
      </w:r>
      <w:proofErr w:type="spellStart"/>
      <w:r w:rsidRPr="008708FA">
        <w:rPr>
          <w:rFonts w:eastAsia="Calibri"/>
        </w:rPr>
        <w:t>Thanachai</w:t>
      </w:r>
      <w:proofErr w:type="spellEnd"/>
      <w:r w:rsidRPr="008708FA">
        <w:rPr>
          <w:rFonts w:eastAsia="Calibri"/>
        </w:rPr>
        <w:t xml:space="preserve"> </w:t>
      </w:r>
      <w:proofErr w:type="spellStart"/>
      <w:r w:rsidRPr="008708FA">
        <w:rPr>
          <w:rFonts w:eastAsia="Calibri"/>
        </w:rPr>
        <w:t>Piyasrithong</w:t>
      </w:r>
      <w:proofErr w:type="spellEnd"/>
      <w:r w:rsidRPr="008708FA">
        <w:rPr>
          <w:rFonts w:eastAsia="Calibri"/>
        </w:rPr>
        <w:t>, Technology Management Manager</w:t>
      </w:r>
    </w:p>
    <w:p w:rsidR="008708FA" w:rsidRPr="008708FA" w:rsidRDefault="008708FA" w:rsidP="008708FA">
      <w:pPr>
        <w:rPr>
          <w:rFonts w:eastAsia="Calibri"/>
        </w:rPr>
      </w:pPr>
      <w:r w:rsidRPr="008708FA">
        <w:rPr>
          <w:rFonts w:eastAsia="Calibri"/>
        </w:rPr>
        <w:t xml:space="preserve">Mr. </w:t>
      </w:r>
      <w:proofErr w:type="spellStart"/>
      <w:r w:rsidRPr="008708FA">
        <w:rPr>
          <w:rFonts w:eastAsia="Calibri"/>
        </w:rPr>
        <w:t>Surachate</w:t>
      </w:r>
      <w:proofErr w:type="spellEnd"/>
      <w:r w:rsidRPr="008708FA">
        <w:rPr>
          <w:rFonts w:eastAsia="Calibri"/>
        </w:rPr>
        <w:t xml:space="preserve"> </w:t>
      </w:r>
      <w:proofErr w:type="spellStart"/>
      <w:r w:rsidRPr="008708FA">
        <w:rPr>
          <w:rFonts w:eastAsia="Calibri"/>
        </w:rPr>
        <w:t>Chalothorn</w:t>
      </w:r>
      <w:proofErr w:type="spellEnd"/>
      <w:r w:rsidRPr="008708FA">
        <w:rPr>
          <w:rFonts w:eastAsia="Calibri"/>
        </w:rPr>
        <w:t>, Technology Director</w:t>
      </w:r>
    </w:p>
    <w:p w:rsidR="008708FA" w:rsidRPr="008708FA" w:rsidRDefault="008708FA" w:rsidP="008708FA">
      <w:pPr>
        <w:rPr>
          <w:rFonts w:eastAsia="Calibri"/>
        </w:rPr>
      </w:pPr>
    </w:p>
    <w:p w:rsidR="008708FA" w:rsidRPr="008708FA" w:rsidRDefault="008708FA" w:rsidP="008708FA">
      <w:pPr>
        <w:rPr>
          <w:rFonts w:eastAsia="Calibri"/>
        </w:rPr>
      </w:pPr>
      <w:proofErr w:type="spellStart"/>
      <w:r w:rsidRPr="008708FA">
        <w:rPr>
          <w:rFonts w:eastAsia="Calibri"/>
          <w:u w:val="single"/>
        </w:rPr>
        <w:t>Tilleke</w:t>
      </w:r>
      <w:proofErr w:type="spellEnd"/>
      <w:r w:rsidRPr="008708FA">
        <w:rPr>
          <w:rFonts w:eastAsia="Calibri"/>
          <w:u w:val="single"/>
        </w:rPr>
        <w:t xml:space="preserve"> and </w:t>
      </w:r>
      <w:proofErr w:type="spellStart"/>
      <w:r w:rsidRPr="008708FA">
        <w:rPr>
          <w:rFonts w:eastAsia="Calibri"/>
          <w:u w:val="single"/>
        </w:rPr>
        <w:t>Gibbins</w:t>
      </w:r>
      <w:proofErr w:type="spellEnd"/>
      <w:r w:rsidRPr="008708FA">
        <w:rPr>
          <w:rFonts w:eastAsia="Calibri"/>
          <w:u w:val="single"/>
        </w:rPr>
        <w:t xml:space="preserve"> Lawyers</w:t>
      </w:r>
    </w:p>
    <w:p w:rsidR="008708FA" w:rsidRPr="008708FA" w:rsidRDefault="008708FA" w:rsidP="008708FA">
      <w:pPr>
        <w:rPr>
          <w:rFonts w:eastAsia="Calibri"/>
        </w:rPr>
      </w:pPr>
      <w:r w:rsidRPr="008708FA">
        <w:rPr>
          <w:rFonts w:eastAsia="Calibri"/>
        </w:rPr>
        <w:t xml:space="preserve">Ms. </w:t>
      </w:r>
      <w:proofErr w:type="spellStart"/>
      <w:r w:rsidRPr="008708FA">
        <w:rPr>
          <w:rFonts w:eastAsia="Calibri"/>
        </w:rPr>
        <w:t>Darani</w:t>
      </w:r>
      <w:proofErr w:type="spellEnd"/>
      <w:r w:rsidRPr="008708FA">
        <w:rPr>
          <w:rFonts w:eastAsia="Calibri"/>
        </w:rPr>
        <w:t xml:space="preserve"> </w:t>
      </w:r>
      <w:proofErr w:type="spellStart"/>
      <w:r w:rsidRPr="008708FA">
        <w:rPr>
          <w:rFonts w:eastAsia="Calibri"/>
        </w:rPr>
        <w:t>Vachanavuttivong</w:t>
      </w:r>
      <w:proofErr w:type="spellEnd"/>
      <w:r w:rsidRPr="008708FA">
        <w:rPr>
          <w:rFonts w:eastAsia="Calibri"/>
        </w:rPr>
        <w:t>, Co-managing Partner</w:t>
      </w:r>
    </w:p>
    <w:p w:rsidR="008708FA" w:rsidRPr="008708FA" w:rsidRDefault="008708FA" w:rsidP="008708FA">
      <w:pPr>
        <w:rPr>
          <w:rFonts w:eastAsia="Calibri"/>
        </w:rPr>
      </w:pPr>
      <w:r w:rsidRPr="008708FA">
        <w:rPr>
          <w:rFonts w:eastAsia="Calibri"/>
        </w:rPr>
        <w:t>Mr. Alan Adcock, Partner</w:t>
      </w:r>
    </w:p>
    <w:p w:rsidR="008708FA" w:rsidRPr="008708FA" w:rsidRDefault="008708FA" w:rsidP="008708FA">
      <w:pPr>
        <w:rPr>
          <w:rFonts w:eastAsia="Calibri"/>
        </w:rPr>
      </w:pPr>
      <w:r w:rsidRPr="008708FA">
        <w:rPr>
          <w:rFonts w:eastAsia="Calibri"/>
        </w:rPr>
        <w:t xml:space="preserve">Mr. </w:t>
      </w:r>
      <w:proofErr w:type="spellStart"/>
      <w:r w:rsidRPr="008708FA">
        <w:rPr>
          <w:rFonts w:eastAsia="Calibri"/>
        </w:rPr>
        <w:t>Prateep</w:t>
      </w:r>
      <w:proofErr w:type="spellEnd"/>
      <w:r w:rsidRPr="008708FA">
        <w:rPr>
          <w:rFonts w:eastAsia="Calibri"/>
        </w:rPr>
        <w:t xml:space="preserve"> </w:t>
      </w:r>
      <w:proofErr w:type="spellStart"/>
      <w:r w:rsidRPr="008708FA">
        <w:rPr>
          <w:rFonts w:eastAsia="Calibri"/>
        </w:rPr>
        <w:t>Naboriboon</w:t>
      </w:r>
      <w:proofErr w:type="spellEnd"/>
      <w:r w:rsidRPr="008708FA">
        <w:rPr>
          <w:rFonts w:eastAsia="Calibri"/>
        </w:rPr>
        <w:t>, Senior Patent Agent</w:t>
      </w:r>
    </w:p>
    <w:p w:rsidR="008708FA" w:rsidRPr="008708FA" w:rsidRDefault="008708FA" w:rsidP="008708FA">
      <w:pPr>
        <w:rPr>
          <w:rFonts w:eastAsia="Calibri"/>
        </w:rPr>
      </w:pPr>
    </w:p>
    <w:p w:rsidR="008708FA" w:rsidRPr="008708FA" w:rsidRDefault="008708FA" w:rsidP="008708FA">
      <w:pPr>
        <w:rPr>
          <w:rFonts w:eastAsia="Calibri"/>
          <w:u w:val="single"/>
        </w:rPr>
      </w:pPr>
      <w:proofErr w:type="spellStart"/>
      <w:r w:rsidRPr="008708FA">
        <w:rPr>
          <w:rFonts w:eastAsia="Calibri"/>
          <w:u w:val="single"/>
        </w:rPr>
        <w:t>Marut</w:t>
      </w:r>
      <w:proofErr w:type="spellEnd"/>
      <w:r w:rsidRPr="008708FA">
        <w:rPr>
          <w:rFonts w:eastAsia="Calibri"/>
          <w:u w:val="single"/>
        </w:rPr>
        <w:t xml:space="preserve"> </w:t>
      </w:r>
      <w:proofErr w:type="spellStart"/>
      <w:r w:rsidRPr="008708FA">
        <w:rPr>
          <w:rFonts w:eastAsia="Calibri"/>
          <w:u w:val="single"/>
        </w:rPr>
        <w:t>Bunnag</w:t>
      </w:r>
      <w:proofErr w:type="spellEnd"/>
      <w:r w:rsidRPr="008708FA">
        <w:rPr>
          <w:rFonts w:eastAsia="Calibri"/>
          <w:u w:val="single"/>
        </w:rPr>
        <w:t xml:space="preserve"> International Law Office</w:t>
      </w:r>
    </w:p>
    <w:p w:rsidR="008708FA" w:rsidRPr="008708FA" w:rsidRDefault="008708FA" w:rsidP="008708FA">
      <w:pPr>
        <w:rPr>
          <w:rFonts w:eastAsia="Calibri"/>
        </w:rPr>
      </w:pPr>
      <w:r w:rsidRPr="008708FA">
        <w:rPr>
          <w:rFonts w:eastAsia="Calibri"/>
        </w:rPr>
        <w:t xml:space="preserve">Mr. </w:t>
      </w:r>
      <w:proofErr w:type="spellStart"/>
      <w:r w:rsidRPr="008708FA">
        <w:rPr>
          <w:rFonts w:eastAsia="Calibri"/>
        </w:rPr>
        <w:t>Rujira</w:t>
      </w:r>
      <w:proofErr w:type="spellEnd"/>
      <w:r w:rsidRPr="008708FA">
        <w:rPr>
          <w:rFonts w:eastAsia="Calibri"/>
        </w:rPr>
        <w:t xml:space="preserve"> </w:t>
      </w:r>
      <w:proofErr w:type="spellStart"/>
      <w:r w:rsidRPr="008708FA">
        <w:rPr>
          <w:rFonts w:eastAsia="Calibri"/>
        </w:rPr>
        <w:t>Bunnag</w:t>
      </w:r>
      <w:proofErr w:type="spellEnd"/>
      <w:r w:rsidRPr="008708FA">
        <w:rPr>
          <w:rFonts w:eastAsia="Calibri"/>
        </w:rPr>
        <w:t>, Attorney-at-Law</w:t>
      </w:r>
    </w:p>
    <w:p w:rsidR="008708FA" w:rsidRPr="008708FA" w:rsidRDefault="008708FA" w:rsidP="008708FA">
      <w:pPr>
        <w:rPr>
          <w:rFonts w:eastAsia="Calibri"/>
        </w:rPr>
      </w:pPr>
      <w:r w:rsidRPr="008708FA">
        <w:rPr>
          <w:rFonts w:eastAsia="Calibri"/>
        </w:rPr>
        <w:t xml:space="preserve">Mr. </w:t>
      </w:r>
      <w:proofErr w:type="spellStart"/>
      <w:r w:rsidRPr="008708FA">
        <w:rPr>
          <w:rFonts w:eastAsia="Calibri"/>
        </w:rPr>
        <w:t>Niran</w:t>
      </w:r>
      <w:proofErr w:type="spellEnd"/>
      <w:r w:rsidRPr="008708FA">
        <w:rPr>
          <w:rFonts w:eastAsia="Calibri"/>
        </w:rPr>
        <w:t xml:space="preserve"> Santos, Attorney-at-Law</w:t>
      </w:r>
    </w:p>
    <w:p w:rsidR="008708FA" w:rsidRPr="008708FA" w:rsidRDefault="008708FA" w:rsidP="008708FA">
      <w:pPr>
        <w:rPr>
          <w:rFonts w:eastAsia="Calibri"/>
        </w:rPr>
      </w:pPr>
    </w:p>
    <w:p w:rsidR="008708FA" w:rsidRPr="008708FA" w:rsidRDefault="008708FA" w:rsidP="008708FA">
      <w:pPr>
        <w:rPr>
          <w:rFonts w:eastAsia="Calibri"/>
        </w:rPr>
      </w:pPr>
      <w:proofErr w:type="spellStart"/>
      <w:r w:rsidRPr="008708FA">
        <w:rPr>
          <w:rFonts w:eastAsia="Calibri"/>
          <w:u w:val="single"/>
        </w:rPr>
        <w:t>Satyapon</w:t>
      </w:r>
      <w:proofErr w:type="spellEnd"/>
      <w:r w:rsidRPr="008708FA">
        <w:rPr>
          <w:rFonts w:eastAsia="Calibri"/>
          <w:u w:val="single"/>
        </w:rPr>
        <w:t xml:space="preserve"> and Partners Limited</w:t>
      </w:r>
    </w:p>
    <w:p w:rsidR="008708FA" w:rsidRPr="008708FA" w:rsidRDefault="008708FA" w:rsidP="008708FA">
      <w:pPr>
        <w:rPr>
          <w:rFonts w:eastAsia="Calibri"/>
        </w:rPr>
      </w:pPr>
      <w:r w:rsidRPr="008708FA">
        <w:rPr>
          <w:rFonts w:eastAsia="Calibri"/>
        </w:rPr>
        <w:t>Mr. James Pate, Attorney-at-Law</w:t>
      </w:r>
    </w:p>
    <w:p w:rsidR="008708FA" w:rsidRPr="008708FA" w:rsidRDefault="008708FA" w:rsidP="008708FA">
      <w:pPr>
        <w:rPr>
          <w:rFonts w:eastAsia="Calibri"/>
        </w:rPr>
      </w:pPr>
      <w:r w:rsidRPr="008708FA">
        <w:rPr>
          <w:rFonts w:eastAsia="Calibri"/>
        </w:rPr>
        <w:t xml:space="preserve">Mr. </w:t>
      </w:r>
      <w:proofErr w:type="spellStart"/>
      <w:r w:rsidRPr="008708FA">
        <w:rPr>
          <w:rFonts w:eastAsia="Calibri"/>
        </w:rPr>
        <w:t>Kritchawat</w:t>
      </w:r>
      <w:proofErr w:type="spellEnd"/>
      <w:r w:rsidRPr="008708FA">
        <w:rPr>
          <w:rFonts w:eastAsia="Calibri"/>
        </w:rPr>
        <w:t xml:space="preserve"> </w:t>
      </w:r>
      <w:proofErr w:type="spellStart"/>
      <w:r w:rsidRPr="008708FA">
        <w:rPr>
          <w:rFonts w:eastAsia="Calibri"/>
        </w:rPr>
        <w:t>Chainapasak</w:t>
      </w:r>
      <w:proofErr w:type="spellEnd"/>
      <w:r w:rsidRPr="008708FA">
        <w:rPr>
          <w:rFonts w:eastAsia="Calibri"/>
        </w:rPr>
        <w:t>, Attorney-at-Law</w:t>
      </w:r>
    </w:p>
    <w:p w:rsidR="008708FA" w:rsidRPr="008708FA" w:rsidRDefault="008708FA" w:rsidP="008708FA">
      <w:pPr>
        <w:rPr>
          <w:rFonts w:eastAsia="Calibri"/>
        </w:rPr>
      </w:pPr>
    </w:p>
    <w:p w:rsidR="008E431D" w:rsidRDefault="008E431D" w:rsidP="008E431D">
      <w:pPr>
        <w:pStyle w:val="Text"/>
        <w:rPr>
          <w:sz w:val="18"/>
          <w:szCs w:val="18"/>
        </w:rPr>
      </w:pPr>
    </w:p>
    <w:p w:rsidR="008A7CA1" w:rsidRDefault="008A7CA1" w:rsidP="008E431D">
      <w:pPr>
        <w:pStyle w:val="Text"/>
        <w:rPr>
          <w:sz w:val="18"/>
          <w:szCs w:val="18"/>
        </w:rPr>
      </w:pPr>
    </w:p>
    <w:p w:rsidR="00DB3408" w:rsidRPr="00603E83" w:rsidRDefault="00DB3408" w:rsidP="00DB3408">
      <w:pPr>
        <w:pStyle w:val="Text"/>
        <w:ind w:left="5103" w:firstLine="567"/>
      </w:pPr>
      <w:r w:rsidRPr="00603E83">
        <w:t>[End of Annex and of document]</w:t>
      </w:r>
    </w:p>
    <w:p w:rsidR="00DB3408" w:rsidRPr="00701E3B" w:rsidRDefault="00DB3408" w:rsidP="008E431D">
      <w:pPr>
        <w:pStyle w:val="Text"/>
        <w:rPr>
          <w:sz w:val="18"/>
          <w:szCs w:val="18"/>
        </w:rPr>
      </w:pPr>
    </w:p>
    <w:sectPr w:rsidR="00DB3408" w:rsidRPr="00701E3B" w:rsidSect="001C54A4">
      <w:headerReference w:type="first" r:id="rId45"/>
      <w:pgSz w:w="11907" w:h="16840" w:code="9"/>
      <w:pgMar w:top="1417" w:right="1417" w:bottom="1417" w:left="1440"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2CA" w:rsidRDefault="007C52CA">
      <w:r>
        <w:separator/>
      </w:r>
    </w:p>
  </w:endnote>
  <w:endnote w:type="continuationSeparator" w:id="0">
    <w:p w:rsidR="007C52CA" w:rsidRDefault="007C5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dobe Garamond Pro">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Default="007C52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Pr="00385C76" w:rsidRDefault="007C52CA" w:rsidP="00385C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Pr="00385C76" w:rsidRDefault="007C52CA" w:rsidP="00385C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Default="007C52CA" w:rsidP="006C3F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C52CA" w:rsidRDefault="007C52CA" w:rsidP="00AF4B78">
    <w:pPr>
      <w:pStyle w:val="Footer"/>
      <w:ind w:right="360"/>
    </w:pPr>
  </w:p>
  <w:p w:rsidR="007C52CA" w:rsidRDefault="007C52C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Default="007C52CA" w:rsidP="00AF4B78">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Default="007C52C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Default="007C52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2CA" w:rsidRDefault="007C52CA" w:rsidP="008708FA">
      <w:r>
        <w:separator/>
      </w:r>
    </w:p>
  </w:footnote>
  <w:footnote w:type="continuationSeparator" w:id="0">
    <w:p w:rsidR="007C52CA" w:rsidRDefault="007C52CA" w:rsidP="008708FA">
      <w:r>
        <w:continuationSeparator/>
      </w:r>
    </w:p>
  </w:footnote>
  <w:footnote w:type="continuationNotice" w:id="1">
    <w:p w:rsidR="007C52CA" w:rsidRDefault="007C52CA"/>
  </w:footnote>
  <w:footnote w:id="2">
    <w:p w:rsidR="007C52CA" w:rsidRPr="00A36AD5" w:rsidRDefault="007C52CA">
      <w:pPr>
        <w:pStyle w:val="FootnoteText"/>
      </w:pPr>
      <w:r>
        <w:rPr>
          <w:rStyle w:val="FootnoteReference"/>
        </w:rPr>
        <w:footnoteRef/>
      </w:r>
      <w:r>
        <w:t xml:space="preserve"> </w:t>
      </w:r>
      <w:r>
        <w:tab/>
      </w:r>
      <w:r w:rsidRPr="00840699">
        <w:t>The views expressed in this Study are those of the author</w:t>
      </w:r>
      <w:r>
        <w:t>s</w:t>
      </w:r>
      <w:r w:rsidRPr="00840699">
        <w:t xml:space="preserve"> and do not necessarily reflect those of the </w:t>
      </w:r>
      <w:r>
        <w:t>WIPO Secretariat or any of the O</w:t>
      </w:r>
      <w:r w:rsidRPr="00840699">
        <w:t>rganization’s Member States.</w:t>
      </w:r>
    </w:p>
  </w:footnote>
  <w:footnote w:id="3">
    <w:p w:rsidR="007C52CA" w:rsidRDefault="007C52CA" w:rsidP="008708FA">
      <w:pPr>
        <w:pStyle w:val="FootnoteText"/>
      </w:pPr>
      <w:r>
        <w:rPr>
          <w:rStyle w:val="FootnoteReference"/>
        </w:rPr>
        <w:footnoteRef/>
      </w:r>
      <w:r>
        <w:t xml:space="preserve"> This analysis does not take into account trademark filings.</w:t>
      </w:r>
    </w:p>
  </w:footnote>
  <w:footnote w:id="4">
    <w:p w:rsidR="007C52CA" w:rsidRPr="00D264EF" w:rsidRDefault="007C52CA" w:rsidP="008708FA">
      <w:pPr>
        <w:pStyle w:val="FootnoteText"/>
      </w:pPr>
      <w:r>
        <w:rPr>
          <w:rStyle w:val="FootnoteReference"/>
        </w:rPr>
        <w:footnoteRef/>
      </w:r>
      <w:r>
        <w:t xml:space="preserve"> See Document CDIP/5/7, available at </w:t>
      </w:r>
      <w:hyperlink r:id="rId1" w:history="1">
        <w:r w:rsidRPr="00FE303C">
          <w:rPr>
            <w:rStyle w:val="Hyperlink"/>
          </w:rPr>
          <w:t>http://www.wipo.int/meetings/en/doc_details.jsp?doc_id=131717</w:t>
        </w:r>
      </w:hyperlink>
      <w:r>
        <w:t>.</w:t>
      </w:r>
    </w:p>
  </w:footnote>
  <w:footnote w:id="5">
    <w:p w:rsidR="007C52CA" w:rsidRDefault="007C52CA" w:rsidP="008708FA">
      <w:pPr>
        <w:pStyle w:val="FootnoteText"/>
      </w:pPr>
      <w:r>
        <w:rPr>
          <w:rStyle w:val="FootnoteReference"/>
        </w:rPr>
        <w:footnoteRef/>
      </w:r>
      <w:r>
        <w:t xml:space="preserve"> In June 2012, WIPO and TDRI staff conducted a series of interviews in </w:t>
      </w:r>
      <w:r w:rsidRPr="007B6486">
        <w:t xml:space="preserve">Bangkok with a number of stakeholders </w:t>
      </w:r>
      <w:r>
        <w:t xml:space="preserve">to </w:t>
      </w:r>
      <w:r w:rsidRPr="007B6486">
        <w:t xml:space="preserve">seek their views on the contribution and functioning of the Thai </w:t>
      </w:r>
      <w:r>
        <w:t xml:space="preserve">UM </w:t>
      </w:r>
      <w:r w:rsidRPr="007B6486">
        <w:t>system.</w:t>
      </w:r>
      <w:r>
        <w:t xml:space="preserve">  For a detailed list please refer to Appendix C.</w:t>
      </w:r>
    </w:p>
  </w:footnote>
  <w:footnote w:id="6">
    <w:p w:rsidR="007C52CA" w:rsidRDefault="007C52CA" w:rsidP="008708FA">
      <w:pPr>
        <w:pStyle w:val="FootnoteText"/>
      </w:pPr>
      <w:r>
        <w:rPr>
          <w:rStyle w:val="FootnoteReference"/>
        </w:rPr>
        <w:footnoteRef/>
      </w:r>
      <w:r>
        <w:t xml:space="preserve"> For further details, please refer to WIPO’s Statistical Country Profile for Thailand (as in May, 2013) </w:t>
      </w:r>
      <w:hyperlink r:id="rId2" w:history="1">
        <w:r w:rsidRPr="00BE2ACB">
          <w:rPr>
            <w:rStyle w:val="Hyperlink"/>
          </w:rPr>
          <w:t>http://www.wipo.int/ipstats/en/statistics/country_profile/countries/th.html</w:t>
        </w:r>
      </w:hyperlink>
    </w:p>
  </w:footnote>
  <w:footnote w:id="7">
    <w:p w:rsidR="007C52CA" w:rsidRDefault="007C52CA" w:rsidP="008708FA">
      <w:pPr>
        <w:pStyle w:val="FootnoteText"/>
      </w:pPr>
      <w:r>
        <w:rPr>
          <w:rStyle w:val="FootnoteReference"/>
        </w:rPr>
        <w:footnoteRef/>
      </w:r>
      <w:r>
        <w:t xml:space="preserve"> UNESCO</w:t>
      </w:r>
      <w:r w:rsidRPr="000C1C4E">
        <w:t xml:space="preserve"> </w:t>
      </w:r>
      <w:r>
        <w:t>Institute of Statistics (</w:t>
      </w:r>
      <w:hyperlink r:id="rId3" w:history="1">
        <w:r w:rsidRPr="00FE303C">
          <w:rPr>
            <w:rStyle w:val="Hyperlink"/>
          </w:rPr>
          <w:t>www.uis.unesco.org</w:t>
        </w:r>
      </w:hyperlink>
      <w:r>
        <w:t>), d</w:t>
      </w:r>
      <w:r w:rsidRPr="000C1C4E">
        <w:t>ata extracted on Oct</w:t>
      </w:r>
      <w:r>
        <w:t>ober</w:t>
      </w:r>
      <w:r w:rsidRPr="000C1C4E">
        <w:t xml:space="preserve"> 2013</w:t>
      </w:r>
      <w:r>
        <w:t xml:space="preserve">. </w:t>
      </w:r>
    </w:p>
  </w:footnote>
  <w:footnote w:id="8">
    <w:p w:rsidR="007C52CA" w:rsidRDefault="007C52CA" w:rsidP="008708FA">
      <w:pPr>
        <w:pStyle w:val="FootnoteText"/>
      </w:pPr>
      <w:r>
        <w:rPr>
          <w:rStyle w:val="FootnoteReference"/>
        </w:rPr>
        <w:footnoteRef/>
      </w:r>
      <w:r>
        <w:t xml:space="preserve"> It is worth noting that, from this point onwards, much of analysis is based on 7,498 registered Utility Models, which is a smaller set of all the filed Utility Model applications during the same period.</w:t>
      </w:r>
    </w:p>
  </w:footnote>
  <w:footnote w:id="9">
    <w:p w:rsidR="007C52CA" w:rsidRDefault="007C52CA" w:rsidP="008708FA">
      <w:pPr>
        <w:pStyle w:val="FootnoteText"/>
      </w:pPr>
      <w:r>
        <w:rPr>
          <w:rStyle w:val="FootnoteReference"/>
        </w:rPr>
        <w:footnoteRef/>
      </w:r>
      <w:r>
        <w:t xml:space="preserve"> For a detailed list of Government agencies (</w:t>
      </w:r>
      <w:r>
        <w:fldChar w:fldCharType="begin"/>
      </w:r>
      <w:r>
        <w:instrText xml:space="preserve"> REF _Ref367883675 \h </w:instrText>
      </w:r>
      <w:r>
        <w:fldChar w:fldCharType="separate"/>
      </w:r>
      <w:r w:rsidRPr="009E1F3F">
        <w:rPr>
          <w:rFonts w:eastAsia="Calibri"/>
          <w:b/>
          <w:bCs/>
          <w:i/>
          <w:sz w:val="20"/>
          <w:szCs w:val="20"/>
        </w:rPr>
        <w:t xml:space="preserve">Table A. </w:t>
      </w:r>
      <w:r>
        <w:rPr>
          <w:rFonts w:eastAsia="Calibri"/>
          <w:b/>
          <w:bCs/>
          <w:i/>
          <w:noProof/>
          <w:sz w:val="20"/>
          <w:szCs w:val="18"/>
        </w:rPr>
        <w:t>2</w:t>
      </w:r>
      <w:r>
        <w:fldChar w:fldCharType="end"/>
      </w:r>
      <w:r>
        <w:t>) and Universities (</w:t>
      </w:r>
      <w:r>
        <w:fldChar w:fldCharType="begin"/>
      </w:r>
      <w:r>
        <w:instrText xml:space="preserve"> REF _Ref367883678 \h </w:instrText>
      </w:r>
      <w:r>
        <w:fldChar w:fldCharType="separate"/>
      </w:r>
      <w:r w:rsidRPr="009E1F3F">
        <w:rPr>
          <w:rFonts w:eastAsia="Calibri"/>
          <w:b/>
          <w:bCs/>
          <w:i/>
          <w:sz w:val="20"/>
          <w:szCs w:val="20"/>
        </w:rPr>
        <w:t xml:space="preserve">Table A. </w:t>
      </w:r>
      <w:r>
        <w:rPr>
          <w:rFonts w:eastAsia="Calibri"/>
          <w:b/>
          <w:bCs/>
          <w:i/>
          <w:noProof/>
          <w:sz w:val="20"/>
          <w:szCs w:val="18"/>
        </w:rPr>
        <w:t>3</w:t>
      </w:r>
      <w:r>
        <w:fldChar w:fldCharType="end"/>
      </w:r>
      <w:r>
        <w:t>) please refer to Appendix A.</w:t>
      </w:r>
    </w:p>
  </w:footnote>
  <w:footnote w:id="10">
    <w:p w:rsidR="007C52CA" w:rsidRDefault="007C52CA" w:rsidP="008708FA">
      <w:pPr>
        <w:pStyle w:val="FootnoteText"/>
      </w:pPr>
      <w:r>
        <w:rPr>
          <w:rStyle w:val="FootnoteReference"/>
        </w:rPr>
        <w:footnoteRef/>
      </w:r>
      <w:r>
        <w:t xml:space="preserve"> For further details on WIPO’s IPC-Technology concordance refer to </w:t>
      </w:r>
      <w:hyperlink r:id="rId4" w:history="1">
        <w:r>
          <w:rPr>
            <w:rStyle w:val="Hyperlink"/>
          </w:rPr>
          <w:t>www.wipo.int/ipstats/en/statistics/technology_concordance</w:t>
        </w:r>
      </w:hyperlink>
    </w:p>
  </w:footnote>
  <w:footnote w:id="11">
    <w:p w:rsidR="007C52CA" w:rsidRDefault="007C52CA" w:rsidP="008708FA">
      <w:pPr>
        <w:pStyle w:val="FootnoteText"/>
      </w:pPr>
      <w:r>
        <w:rPr>
          <w:rStyle w:val="FootnoteReference"/>
        </w:rPr>
        <w:footnoteRef/>
      </w:r>
      <w:r>
        <w:t xml:space="preserve"> Please refer to the discussion on backlog and pendency in Section </w:t>
      </w:r>
      <w:r>
        <w:fldChar w:fldCharType="begin"/>
      </w:r>
      <w:r>
        <w:instrText xml:space="preserve"> REF _Ref367870745 \r \h </w:instrText>
      </w:r>
      <w:r>
        <w:fldChar w:fldCharType="separate"/>
      </w:r>
      <w:r>
        <w:t>0</w:t>
      </w:r>
      <w:r>
        <w:fldChar w:fldCharType="end"/>
      </w:r>
      <w:r>
        <w:t>.</w:t>
      </w:r>
    </w:p>
  </w:footnote>
  <w:footnote w:id="12">
    <w:p w:rsidR="007C52CA" w:rsidRDefault="007C52CA" w:rsidP="009229EC">
      <w:pPr>
        <w:pStyle w:val="FootnoteText"/>
      </w:pPr>
      <w:r>
        <w:rPr>
          <w:rStyle w:val="FootnoteReference"/>
        </w:rPr>
        <w:footnoteRef/>
      </w:r>
      <w:r>
        <w:t xml:space="preserve"> It is worth signaling that the use of Trademarks is being excluded of this analysis.</w:t>
      </w:r>
    </w:p>
  </w:footnote>
  <w:footnote w:id="13">
    <w:p w:rsidR="007C52CA" w:rsidRDefault="007C52CA" w:rsidP="008708FA">
      <w:pPr>
        <w:pStyle w:val="FootnoteText"/>
        <w:jc w:val="both"/>
      </w:pPr>
      <w:r>
        <w:rPr>
          <w:rStyle w:val="FootnoteReference"/>
        </w:rPr>
        <w:footnoteRef/>
      </w:r>
      <w:r>
        <w:t xml:space="preserve"> See Subsection 2.3 on “Appreciating the Role of patent Institutions,” in Chapter 2 of the World IP Report 2011 on the </w:t>
      </w:r>
      <w:r>
        <w:rPr>
          <w:i/>
        </w:rPr>
        <w:t>Changing Face of Innovation</w:t>
      </w:r>
      <w:r>
        <w:t xml:space="preserve"> (WIPO, 2011).</w:t>
      </w:r>
    </w:p>
  </w:footnote>
  <w:footnote w:id="14">
    <w:p w:rsidR="007C52CA" w:rsidRDefault="007C52CA" w:rsidP="008708FA">
      <w:pPr>
        <w:pStyle w:val="FootnoteText"/>
      </w:pPr>
      <w:r>
        <w:rPr>
          <w:rStyle w:val="FootnoteReference"/>
        </w:rPr>
        <w:footnoteRef/>
      </w:r>
      <w:r>
        <w:t xml:space="preserve"> </w:t>
      </w:r>
      <w:proofErr w:type="gramStart"/>
      <w:r>
        <w:t>From interview with DIP officials and patent examiners.</w:t>
      </w:r>
      <w:proofErr w:type="gramEnd"/>
    </w:p>
  </w:footnote>
  <w:footnote w:id="15">
    <w:p w:rsidR="007C52CA" w:rsidRPr="0024213A" w:rsidRDefault="007C52CA" w:rsidP="008708FA">
      <w:pPr>
        <w:pStyle w:val="FootnoteText"/>
      </w:pPr>
      <w:r>
        <w:rPr>
          <w:rStyle w:val="FootnoteReference"/>
        </w:rPr>
        <w:footnoteRef/>
      </w:r>
      <w:r>
        <w:t xml:space="preserve"> </w:t>
      </w:r>
      <w:r w:rsidRPr="0024213A">
        <w:t xml:space="preserve">Although the registration of utility </w:t>
      </w:r>
      <w:r>
        <w:t>patent</w:t>
      </w:r>
      <w:r w:rsidRPr="0024213A">
        <w:t xml:space="preserve"> started in 1999, but the Department of Intellectual Property Rights allowed applicants with pending </w:t>
      </w:r>
      <w:r>
        <w:t>patent</w:t>
      </w:r>
      <w:r w:rsidRPr="0024213A">
        <w:t xml:space="preserve"> registration to switch application to </w:t>
      </w:r>
      <w:r>
        <w:t>Utility Model</w:t>
      </w:r>
      <w:r w:rsidRPr="0024213A">
        <w:t xml:space="preserve">  instead.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Pr="00C23D65" w:rsidRDefault="007C52CA" w:rsidP="00385C76">
    <w:pPr>
      <w:pStyle w:val="Apendix"/>
      <w:numPr>
        <w:ilvl w:val="0"/>
        <w:numId w:val="0"/>
      </w:numPr>
      <w:rPr>
        <w:b w:val="0"/>
      </w:rPr>
    </w:pPr>
    <w:r w:rsidRPr="00C23D65">
      <w:rPr>
        <w:b w:val="0"/>
      </w:rPr>
      <w:ptab w:relativeTo="margin" w:alignment="right" w:leader="none"/>
    </w:r>
    <w:r w:rsidRPr="00C23D65">
      <w:rPr>
        <w:b w:val="0"/>
      </w:rPr>
      <w:t>CDIP/12/</w:t>
    </w:r>
    <w:r>
      <w:rPr>
        <w:b w:val="0"/>
      </w:rPr>
      <w:t>INF/X</w:t>
    </w:r>
  </w:p>
  <w:p w:rsidR="007C52CA" w:rsidRDefault="007C52CA" w:rsidP="00385C76">
    <w:pPr>
      <w:pStyle w:val="Apendix"/>
      <w:numPr>
        <w:ilvl w:val="0"/>
        <w:numId w:val="0"/>
      </w:numPr>
    </w:pPr>
    <w:r w:rsidRPr="00C23D65">
      <w:rPr>
        <w:b w:val="0"/>
      </w:rPr>
      <w:ptab w:relativeTo="margin" w:alignment="right" w:leader="none"/>
    </w:r>
    <w:r w:rsidRPr="00C23D65">
      <w:rPr>
        <w:b w:val="0"/>
      </w:rPr>
      <w:t>Annex, page</w:t>
    </w:r>
    <w:r>
      <w:rPr>
        <w:b w:val="0"/>
      </w:rPr>
      <w:t xml:space="preserve"> 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Default="007C52CA">
    <w:pPr>
      <w:pStyle w:val="Header"/>
    </w:pPr>
    <w:r>
      <w:ptab w:relativeTo="margin" w:alignment="right" w:leader="none"/>
    </w:r>
    <w:r>
      <w:t>CDIP/12/INF/6</w:t>
    </w:r>
  </w:p>
  <w:p w:rsidR="007C52CA" w:rsidRDefault="007C52CA">
    <w:pPr>
      <w:pStyle w:val="Header"/>
    </w:pPr>
    <w:r>
      <w:ptab w:relativeTo="margin" w:alignment="right" w:leader="none"/>
    </w:r>
    <w:r>
      <w:t>Appendix A, page 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Pr="00D11538" w:rsidRDefault="007C52CA" w:rsidP="009E1F3F">
    <w:pPr>
      <w:pStyle w:val="Apendix"/>
      <w:numPr>
        <w:ilvl w:val="0"/>
        <w:numId w:val="0"/>
      </w:numPr>
      <w:rPr>
        <w:b w:val="0"/>
        <w:lang w:val="fr-CH"/>
      </w:rPr>
    </w:pPr>
    <w:r w:rsidRPr="00C23D65">
      <w:rPr>
        <w:b w:val="0"/>
      </w:rPr>
      <w:ptab w:relativeTo="margin" w:alignment="right" w:leader="none"/>
    </w:r>
    <w:r>
      <w:rPr>
        <w:b w:val="0"/>
        <w:lang w:val="fr-CH"/>
      </w:rPr>
      <w:t>CDIP/12/INF/6</w:t>
    </w:r>
  </w:p>
  <w:p w:rsidR="007C52CA" w:rsidRPr="00D11538" w:rsidRDefault="007C52CA" w:rsidP="00150A16">
    <w:pPr>
      <w:pStyle w:val="Apendix"/>
      <w:numPr>
        <w:ilvl w:val="0"/>
        <w:numId w:val="0"/>
      </w:numPr>
      <w:rPr>
        <w:b w:val="0"/>
        <w:lang w:val="fr-CH"/>
      </w:rPr>
    </w:pPr>
    <w:r w:rsidRPr="00C23D65">
      <w:rPr>
        <w:b w:val="0"/>
      </w:rPr>
      <w:ptab w:relativeTo="margin" w:alignment="right" w:leader="none"/>
    </w:r>
    <w:proofErr w:type="spellStart"/>
    <w:r w:rsidRPr="00D11538">
      <w:rPr>
        <w:b w:val="0"/>
        <w:lang w:val="fr-CH"/>
      </w:rPr>
      <w:t>A</w:t>
    </w:r>
    <w:r>
      <w:rPr>
        <w:b w:val="0"/>
        <w:lang w:val="fr-CH"/>
      </w:rPr>
      <w:t>ppendix</w:t>
    </w:r>
    <w:proofErr w:type="spellEnd"/>
    <w:r>
      <w:rPr>
        <w:b w:val="0"/>
        <w:lang w:val="fr-CH"/>
      </w:rPr>
      <w:t xml:space="preserve"> B</w:t>
    </w:r>
    <w:r w:rsidRPr="00D11538">
      <w:rPr>
        <w:b w:val="0"/>
        <w:lang w:val="fr-CH"/>
      </w:rPr>
      <w:t xml:space="preserve">, page </w:t>
    </w:r>
    <w:r w:rsidRPr="001C54A4">
      <w:rPr>
        <w:b w:val="0"/>
        <w:lang w:val="fr-CH"/>
      </w:rPr>
      <w:fldChar w:fldCharType="begin"/>
    </w:r>
    <w:r w:rsidRPr="001C54A4">
      <w:rPr>
        <w:b w:val="0"/>
        <w:lang w:val="fr-CH"/>
      </w:rPr>
      <w:instrText xml:space="preserve"> PAGE   \* MERGEFORMAT </w:instrText>
    </w:r>
    <w:r w:rsidRPr="001C54A4">
      <w:rPr>
        <w:b w:val="0"/>
        <w:lang w:val="fr-CH"/>
      </w:rPr>
      <w:fldChar w:fldCharType="separate"/>
    </w:r>
    <w:r>
      <w:rPr>
        <w:b w:val="0"/>
        <w:noProof/>
        <w:lang w:val="fr-CH"/>
      </w:rPr>
      <w:t>3</w:t>
    </w:r>
    <w:r w:rsidRPr="001C54A4">
      <w:rPr>
        <w:b w:val="0"/>
        <w:noProof/>
        <w:lang w:val="fr-CH"/>
      </w:rPr>
      <w:fldChar w:fldCharType="end"/>
    </w:r>
  </w:p>
  <w:p w:rsidR="007C52CA" w:rsidRPr="00D11538" w:rsidRDefault="007C52CA">
    <w:pPr>
      <w:rPr>
        <w:lang w:val="fr-CH"/>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Default="007C52CA">
    <w:pPr>
      <w:pStyle w:val="Header"/>
    </w:pPr>
    <w:r>
      <w:ptab w:relativeTo="margin" w:alignment="right" w:leader="none"/>
    </w:r>
    <w:r>
      <w:t>CDIP/12/INF/6</w:t>
    </w:r>
  </w:p>
  <w:p w:rsidR="007C52CA" w:rsidRDefault="007C52CA" w:rsidP="001C54A4">
    <w:pPr>
      <w:pStyle w:val="Header"/>
    </w:pPr>
    <w:r>
      <w:ptab w:relativeTo="margin" w:alignment="right" w:leader="none"/>
    </w:r>
    <w:r>
      <w:t>APPENDIX B</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Default="007C52CA">
    <w:pPr>
      <w:pStyle w:val="Header"/>
    </w:pPr>
    <w:r>
      <w:ptab w:relativeTo="margin" w:alignment="right" w:leader="none"/>
    </w:r>
    <w:r>
      <w:t>CDIP/12/INF/6</w:t>
    </w:r>
  </w:p>
  <w:p w:rsidR="007C52CA" w:rsidRDefault="007C52CA" w:rsidP="001C54A4">
    <w:pPr>
      <w:pStyle w:val="Header"/>
    </w:pPr>
    <w:r>
      <w:ptab w:relativeTo="margin" w:alignment="right" w:leader="none"/>
    </w:r>
    <w:r>
      <w:t>APPENDIX 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Pr="00C23D65" w:rsidRDefault="007C52CA" w:rsidP="008708EC">
    <w:pPr>
      <w:pStyle w:val="Apendix"/>
      <w:numPr>
        <w:ilvl w:val="0"/>
        <w:numId w:val="0"/>
      </w:numPr>
      <w:tabs>
        <w:tab w:val="left" w:pos="8730"/>
      </w:tabs>
      <w:ind w:right="1440"/>
      <w:rPr>
        <w:b w:val="0"/>
      </w:rPr>
    </w:pPr>
    <w:r w:rsidRPr="00C23D65">
      <w:rPr>
        <w:b w:val="0"/>
      </w:rPr>
      <w:ptab w:relativeTo="margin" w:alignment="right" w:leader="none"/>
    </w:r>
    <w:r w:rsidRPr="00C23D65">
      <w:rPr>
        <w:b w:val="0"/>
      </w:rPr>
      <w:t>CDIP/12/</w:t>
    </w:r>
    <w:r>
      <w:rPr>
        <w:b w:val="0"/>
      </w:rPr>
      <w:t>INF/6</w:t>
    </w:r>
  </w:p>
  <w:p w:rsidR="007C52CA" w:rsidRDefault="007C52CA" w:rsidP="008708EC">
    <w:pPr>
      <w:pStyle w:val="Apendix"/>
      <w:numPr>
        <w:ilvl w:val="0"/>
        <w:numId w:val="0"/>
      </w:numPr>
      <w:tabs>
        <w:tab w:val="left" w:pos="8730"/>
      </w:tabs>
      <w:ind w:right="1440"/>
    </w:pPr>
    <w:r w:rsidRPr="00C23D65">
      <w:rPr>
        <w:b w:val="0"/>
      </w:rPr>
      <w:ptab w:relativeTo="margin" w:alignment="right" w:leader="none"/>
    </w:r>
    <w:r w:rsidRPr="00C23D65">
      <w:rPr>
        <w:b w:val="0"/>
      </w:rPr>
      <w:t>Annex, page</w:t>
    </w:r>
    <w:r>
      <w:rPr>
        <w:b w:val="0"/>
      </w:rPr>
      <w:t xml:space="preserve"> </w:t>
    </w:r>
    <w:r>
      <w:rPr>
        <w:b w:val="0"/>
      </w:rPr>
      <w:fldChar w:fldCharType="begin"/>
    </w:r>
    <w:r>
      <w:rPr>
        <w:b w:val="0"/>
      </w:rPr>
      <w:instrText xml:space="preserve"> PAGE  \* Arabic  \* MERGEFORMAT </w:instrText>
    </w:r>
    <w:r>
      <w:rPr>
        <w:b w:val="0"/>
      </w:rPr>
      <w:fldChar w:fldCharType="separate"/>
    </w:r>
    <w:r>
      <w:rPr>
        <w:b w:val="0"/>
        <w:noProof/>
      </w:rPr>
      <w:t>17</w:t>
    </w:r>
    <w:r>
      <w:rPr>
        <w:b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Default="007C52CA" w:rsidP="00534D0D">
    <w:pPr>
      <w:pStyle w:val="Header"/>
      <w:ind w:right="1440"/>
      <w:jc w:val="right"/>
      <w:rPr>
        <w:lang w:val="fr-CH"/>
      </w:rPr>
    </w:pPr>
    <w:r>
      <w:rPr>
        <w:lang w:val="fr-CH"/>
      </w:rPr>
      <w:t>CDIP/12/INF/6</w:t>
    </w:r>
  </w:p>
  <w:p w:rsidR="007C52CA" w:rsidRPr="005C07DF" w:rsidRDefault="007C52CA" w:rsidP="00534D0D">
    <w:pPr>
      <w:pStyle w:val="Header"/>
      <w:ind w:right="1440"/>
      <w:jc w:val="right"/>
      <w:rPr>
        <w:lang w:val="fr-CH"/>
      </w:rPr>
    </w:pPr>
    <w:r>
      <w:rPr>
        <w:lang w:val="fr-CH"/>
      </w:rPr>
      <w:t>ANNEX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Pr="00D11538" w:rsidRDefault="007C52CA" w:rsidP="009E1F3F">
    <w:pPr>
      <w:pStyle w:val="Apendix"/>
      <w:numPr>
        <w:ilvl w:val="0"/>
        <w:numId w:val="0"/>
      </w:numPr>
      <w:rPr>
        <w:b w:val="0"/>
        <w:lang w:val="fr-CH"/>
      </w:rPr>
    </w:pPr>
    <w:r w:rsidRPr="00C23D65">
      <w:rPr>
        <w:b w:val="0"/>
      </w:rPr>
      <w:ptab w:relativeTo="margin" w:alignment="right" w:leader="none"/>
    </w:r>
    <w:r>
      <w:rPr>
        <w:b w:val="0"/>
        <w:lang w:val="fr-CH"/>
      </w:rPr>
      <w:t>CDIP/12/INF/6</w:t>
    </w:r>
  </w:p>
  <w:p w:rsidR="007C52CA" w:rsidRPr="00D11538" w:rsidRDefault="007C52CA" w:rsidP="00585BD3">
    <w:pPr>
      <w:pStyle w:val="Apendix"/>
      <w:numPr>
        <w:ilvl w:val="0"/>
        <w:numId w:val="0"/>
      </w:numPr>
      <w:rPr>
        <w:b w:val="0"/>
        <w:lang w:val="fr-CH"/>
      </w:rPr>
    </w:pPr>
    <w:r w:rsidRPr="00C23D65">
      <w:rPr>
        <w:b w:val="0"/>
      </w:rPr>
      <w:ptab w:relativeTo="margin" w:alignment="right" w:leader="none"/>
    </w:r>
    <w:proofErr w:type="spellStart"/>
    <w:r w:rsidRPr="00D11538">
      <w:rPr>
        <w:b w:val="0"/>
        <w:lang w:val="fr-CH"/>
      </w:rPr>
      <w:t>A</w:t>
    </w:r>
    <w:r>
      <w:rPr>
        <w:b w:val="0"/>
        <w:lang w:val="fr-CH"/>
      </w:rPr>
      <w:t>nnex</w:t>
    </w:r>
    <w:proofErr w:type="spellEnd"/>
    <w:r w:rsidRPr="00D11538">
      <w:rPr>
        <w:b w:val="0"/>
        <w:lang w:val="fr-CH"/>
      </w:rPr>
      <w:t xml:space="preserve">, page </w:t>
    </w:r>
    <w:r>
      <w:rPr>
        <w:b w:val="0"/>
        <w:lang w:val="fr-CH"/>
      </w:rPr>
      <w:t>31</w:t>
    </w:r>
  </w:p>
  <w:p w:rsidR="007C52CA" w:rsidRPr="00D11538" w:rsidRDefault="007C52CA">
    <w:pPr>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Default="007C52CA" w:rsidP="005C07DF">
    <w:pPr>
      <w:pStyle w:val="Header"/>
      <w:jc w:val="right"/>
      <w:rPr>
        <w:lang w:val="fr-CH"/>
      </w:rPr>
    </w:pPr>
    <w:r>
      <w:rPr>
        <w:lang w:val="fr-CH"/>
      </w:rPr>
      <w:t>CDIP/12/INF/6</w:t>
    </w:r>
  </w:p>
  <w:p w:rsidR="007C52CA" w:rsidRPr="005C07DF" w:rsidRDefault="007C52CA" w:rsidP="005C07DF">
    <w:pPr>
      <w:pStyle w:val="Header"/>
      <w:jc w:val="right"/>
      <w:rPr>
        <w:lang w:val="fr-CH"/>
      </w:rPr>
    </w:pPr>
    <w:proofErr w:type="spellStart"/>
    <w:r>
      <w:rPr>
        <w:lang w:val="fr-CH"/>
      </w:rPr>
      <w:t>Annex</w:t>
    </w:r>
    <w:proofErr w:type="spellEnd"/>
    <w:r>
      <w:rPr>
        <w:lang w:val="fr-CH"/>
      </w:rPr>
      <w:t>, page 30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Pr="00D11538" w:rsidRDefault="007C52CA" w:rsidP="009E1F3F">
    <w:pPr>
      <w:pStyle w:val="Apendix"/>
      <w:numPr>
        <w:ilvl w:val="0"/>
        <w:numId w:val="0"/>
      </w:numPr>
      <w:rPr>
        <w:b w:val="0"/>
        <w:lang w:val="fr-CH"/>
      </w:rPr>
    </w:pPr>
    <w:r w:rsidRPr="00C23D65">
      <w:rPr>
        <w:b w:val="0"/>
      </w:rPr>
      <w:ptab w:relativeTo="margin" w:alignment="right" w:leader="none"/>
    </w:r>
    <w:r>
      <w:rPr>
        <w:b w:val="0"/>
        <w:lang w:val="fr-CH"/>
      </w:rPr>
      <w:t>CDIP/12/INF/6</w:t>
    </w:r>
  </w:p>
  <w:p w:rsidR="007C52CA" w:rsidRPr="00D11538" w:rsidRDefault="007C52CA" w:rsidP="00585BD3">
    <w:pPr>
      <w:pStyle w:val="Apendix"/>
      <w:numPr>
        <w:ilvl w:val="0"/>
        <w:numId w:val="0"/>
      </w:numPr>
      <w:rPr>
        <w:b w:val="0"/>
        <w:lang w:val="fr-CH"/>
      </w:rPr>
    </w:pPr>
    <w:r w:rsidRPr="00C23D65">
      <w:rPr>
        <w:b w:val="0"/>
      </w:rPr>
      <w:ptab w:relativeTo="margin" w:alignment="right" w:leader="none"/>
    </w:r>
    <w:proofErr w:type="spellStart"/>
    <w:r w:rsidRPr="00D11538">
      <w:rPr>
        <w:b w:val="0"/>
        <w:lang w:val="fr-CH"/>
      </w:rPr>
      <w:t>A</w:t>
    </w:r>
    <w:r>
      <w:rPr>
        <w:b w:val="0"/>
        <w:lang w:val="fr-CH"/>
      </w:rPr>
      <w:t>nnex</w:t>
    </w:r>
    <w:proofErr w:type="spellEnd"/>
    <w:r w:rsidRPr="00D11538">
      <w:rPr>
        <w:b w:val="0"/>
        <w:lang w:val="fr-CH"/>
      </w:rPr>
      <w:t xml:space="preserve">, page </w:t>
    </w:r>
    <w:r>
      <w:rPr>
        <w:b w:val="0"/>
        <w:lang w:val="fr-CH"/>
      </w:rPr>
      <w:fldChar w:fldCharType="begin"/>
    </w:r>
    <w:r>
      <w:rPr>
        <w:b w:val="0"/>
        <w:lang w:val="fr-CH"/>
      </w:rPr>
      <w:instrText xml:space="preserve"> PAGE  \* Arabic  \* MERGEFORMAT </w:instrText>
    </w:r>
    <w:r>
      <w:rPr>
        <w:b w:val="0"/>
        <w:lang w:val="fr-CH"/>
      </w:rPr>
      <w:fldChar w:fldCharType="separate"/>
    </w:r>
    <w:r>
      <w:rPr>
        <w:b w:val="0"/>
        <w:noProof/>
        <w:lang w:val="fr-CH"/>
      </w:rPr>
      <w:t>34</w:t>
    </w:r>
    <w:r>
      <w:rPr>
        <w:b w:val="0"/>
        <w:lang w:val="fr-CH"/>
      </w:rPr>
      <w:fldChar w:fldCharType="end"/>
    </w:r>
  </w:p>
  <w:p w:rsidR="007C52CA" w:rsidRPr="00D11538" w:rsidRDefault="007C52CA">
    <w:pPr>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Default="007C52CA" w:rsidP="005C07DF">
    <w:pPr>
      <w:pStyle w:val="Header"/>
      <w:jc w:val="right"/>
      <w:rPr>
        <w:lang w:val="fr-CH"/>
      </w:rPr>
    </w:pPr>
    <w:r>
      <w:rPr>
        <w:lang w:val="fr-CH"/>
      </w:rPr>
      <w:t>CDIP/12/INF/6</w:t>
    </w:r>
  </w:p>
  <w:p w:rsidR="007C52CA" w:rsidRPr="005C07DF" w:rsidRDefault="007C52CA" w:rsidP="005C07DF">
    <w:pPr>
      <w:pStyle w:val="Header"/>
      <w:jc w:val="right"/>
      <w:rPr>
        <w:lang w:val="fr-CH"/>
      </w:rPr>
    </w:pPr>
    <w:proofErr w:type="spellStart"/>
    <w:r>
      <w:rPr>
        <w:lang w:val="fr-CH"/>
      </w:rPr>
      <w:t>Annex</w:t>
    </w:r>
    <w:proofErr w:type="spellEnd"/>
    <w:r>
      <w:rPr>
        <w:lang w:val="fr-CH"/>
      </w:rPr>
      <w:t>, page 32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Pr="00D11538" w:rsidRDefault="007C52CA" w:rsidP="009E1F3F">
    <w:pPr>
      <w:pStyle w:val="Apendix"/>
      <w:numPr>
        <w:ilvl w:val="0"/>
        <w:numId w:val="0"/>
      </w:numPr>
      <w:rPr>
        <w:b w:val="0"/>
        <w:lang w:val="fr-CH"/>
      </w:rPr>
    </w:pPr>
    <w:r w:rsidRPr="00C23D65">
      <w:rPr>
        <w:b w:val="0"/>
      </w:rPr>
      <w:ptab w:relativeTo="margin" w:alignment="right" w:leader="none"/>
    </w:r>
    <w:r>
      <w:rPr>
        <w:b w:val="0"/>
        <w:lang w:val="fr-CH"/>
      </w:rPr>
      <w:t>CDIP/12/INF/6</w:t>
    </w:r>
  </w:p>
  <w:p w:rsidR="007C52CA" w:rsidRPr="00D11538" w:rsidRDefault="007C52CA" w:rsidP="001C54A4">
    <w:pPr>
      <w:pStyle w:val="Apendix"/>
      <w:numPr>
        <w:ilvl w:val="0"/>
        <w:numId w:val="0"/>
      </w:numPr>
      <w:rPr>
        <w:b w:val="0"/>
        <w:lang w:val="fr-CH"/>
      </w:rPr>
    </w:pPr>
    <w:r w:rsidRPr="00C23D65">
      <w:rPr>
        <w:b w:val="0"/>
      </w:rPr>
      <w:ptab w:relativeTo="margin" w:alignment="right" w:leader="none"/>
    </w:r>
    <w:proofErr w:type="spellStart"/>
    <w:r w:rsidRPr="00D11538">
      <w:rPr>
        <w:b w:val="0"/>
        <w:lang w:val="fr-CH"/>
      </w:rPr>
      <w:t>A</w:t>
    </w:r>
    <w:r>
      <w:rPr>
        <w:b w:val="0"/>
        <w:lang w:val="fr-CH"/>
      </w:rPr>
      <w:t>ppendix</w:t>
    </w:r>
    <w:proofErr w:type="spellEnd"/>
    <w:r>
      <w:rPr>
        <w:b w:val="0"/>
        <w:lang w:val="fr-CH"/>
      </w:rPr>
      <w:t xml:space="preserve"> A</w:t>
    </w:r>
    <w:r w:rsidRPr="00D11538">
      <w:rPr>
        <w:b w:val="0"/>
        <w:lang w:val="fr-CH"/>
      </w:rPr>
      <w:t xml:space="preserve">, page </w:t>
    </w:r>
    <w:r w:rsidRPr="001C54A4">
      <w:rPr>
        <w:b w:val="0"/>
        <w:lang w:val="fr-CH"/>
      </w:rPr>
      <w:fldChar w:fldCharType="begin"/>
    </w:r>
    <w:r w:rsidRPr="001C54A4">
      <w:rPr>
        <w:b w:val="0"/>
        <w:lang w:val="fr-CH"/>
      </w:rPr>
      <w:instrText xml:space="preserve"> PAGE   \* MERGEFORMAT </w:instrText>
    </w:r>
    <w:r w:rsidRPr="001C54A4">
      <w:rPr>
        <w:b w:val="0"/>
        <w:lang w:val="fr-CH"/>
      </w:rPr>
      <w:fldChar w:fldCharType="separate"/>
    </w:r>
    <w:r>
      <w:rPr>
        <w:b w:val="0"/>
        <w:noProof/>
        <w:lang w:val="fr-CH"/>
      </w:rPr>
      <w:t>4</w:t>
    </w:r>
    <w:r w:rsidRPr="001C54A4">
      <w:rPr>
        <w:b w:val="0"/>
        <w:noProof/>
        <w:lang w:val="fr-CH"/>
      </w:rPr>
      <w:fldChar w:fldCharType="end"/>
    </w:r>
  </w:p>
  <w:p w:rsidR="007C52CA" w:rsidRPr="00D11538" w:rsidRDefault="007C52CA">
    <w:pPr>
      <w:rPr>
        <w:lang w:val="fr-CH"/>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CA" w:rsidRDefault="007C52CA">
    <w:pPr>
      <w:pStyle w:val="Header"/>
    </w:pPr>
    <w:r>
      <w:ptab w:relativeTo="margin" w:alignment="right" w:leader="none"/>
    </w:r>
    <w:r>
      <w:t>CDIP/12/INF/6</w:t>
    </w:r>
  </w:p>
  <w:p w:rsidR="007C52CA" w:rsidRDefault="007C52CA">
    <w:pPr>
      <w:pStyle w:val="Header"/>
    </w:pPr>
    <w:r>
      <w:ptab w:relativeTo="margin" w:alignment="right" w:leader="none"/>
    </w:r>
    <w:r>
      <w:t>APPENDIX 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3422E74"/>
    <w:lvl w:ilvl="0">
      <w:start w:val="1"/>
      <w:numFmt w:val="thaiLetters"/>
      <w:lvlText w:val="%1)"/>
      <w:lvlJc w:val="left"/>
      <w:pPr>
        <w:tabs>
          <w:tab w:val="num" w:pos="1080"/>
        </w:tabs>
        <w:ind w:left="0" w:firstLine="720"/>
      </w:pPr>
    </w:lvl>
  </w:abstractNum>
  <w:abstractNum w:abstractNumId="1">
    <w:nsid w:val="FFFFFF7E"/>
    <w:multiLevelType w:val="singleLevel"/>
    <w:tmpl w:val="9C969714"/>
    <w:lvl w:ilvl="0">
      <w:start w:val="2541"/>
      <w:numFmt w:val="bullet"/>
      <w:lvlText w:val="-"/>
      <w:lvlJc w:val="left"/>
      <w:pPr>
        <w:tabs>
          <w:tab w:val="num" w:pos="1080"/>
        </w:tabs>
        <w:ind w:left="0" w:firstLine="720"/>
      </w:pPr>
      <w:rPr>
        <w:rFonts w:hint="default"/>
      </w:rPr>
    </w:lvl>
  </w:abstractNum>
  <w:abstractNum w:abstractNumId="2">
    <w:nsid w:val="FFFFFF7F"/>
    <w:multiLevelType w:val="singleLevel"/>
    <w:tmpl w:val="259C323A"/>
    <w:lvl w:ilvl="0">
      <w:start w:val="1"/>
      <w:numFmt w:val="decimal"/>
      <w:lvlText w:val="%1."/>
      <w:lvlJc w:val="left"/>
      <w:pPr>
        <w:tabs>
          <w:tab w:val="num" w:pos="1080"/>
        </w:tabs>
        <w:ind w:left="0" w:firstLine="720"/>
      </w:pPr>
    </w:lvl>
  </w:abstractNum>
  <w:abstractNum w:abstractNumId="3">
    <w:nsid w:val="FFFFFF88"/>
    <w:multiLevelType w:val="singleLevel"/>
    <w:tmpl w:val="4182A234"/>
    <w:lvl w:ilvl="0">
      <w:start w:val="1"/>
      <w:numFmt w:val="decimal"/>
      <w:lvlText w:val="%1."/>
      <w:lvlJc w:val="left"/>
      <w:pPr>
        <w:tabs>
          <w:tab w:val="num" w:pos="360"/>
        </w:tabs>
        <w:ind w:left="360" w:hanging="360"/>
      </w:pPr>
    </w:lvl>
  </w:abstractNum>
  <w:abstractNum w:abstractNumId="4">
    <w:nsid w:val="FFFFFF89"/>
    <w:multiLevelType w:val="singleLevel"/>
    <w:tmpl w:val="346C85B2"/>
    <w:lvl w:ilvl="0">
      <w:start w:val="1"/>
      <w:numFmt w:val="bullet"/>
      <w:lvlText w:val=""/>
      <w:lvlJc w:val="left"/>
      <w:pPr>
        <w:tabs>
          <w:tab w:val="num" w:pos="1080"/>
        </w:tabs>
        <w:ind w:left="0" w:firstLine="720"/>
      </w:pPr>
      <w:rPr>
        <w:rFonts w:ascii="Times New Roman" w:hAnsi="Symbol" w:hint="default"/>
      </w:rPr>
    </w:lvl>
  </w:abstractNum>
  <w:abstractNum w:abstractNumId="5">
    <w:nsid w:val="05287258"/>
    <w:multiLevelType w:val="hybridMultilevel"/>
    <w:tmpl w:val="D6C4A014"/>
    <w:lvl w:ilvl="0" w:tplc="093487B6">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5A175E"/>
    <w:multiLevelType w:val="hybridMultilevel"/>
    <w:tmpl w:val="525640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9F80EC3"/>
    <w:multiLevelType w:val="hybridMultilevel"/>
    <w:tmpl w:val="F6442B4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nsid w:val="124C21B6"/>
    <w:multiLevelType w:val="hybridMultilevel"/>
    <w:tmpl w:val="B2AC1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8314FE"/>
    <w:multiLevelType w:val="multilevel"/>
    <w:tmpl w:val="C77A385E"/>
    <w:lvl w:ilvl="0">
      <w:start w:val="2"/>
      <w:numFmt w:val="decimal"/>
      <w:lvlText w:val="3.2.%1"/>
      <w:lvlJc w:val="left"/>
      <w:pPr>
        <w:ind w:left="360" w:hanging="360"/>
      </w:pPr>
      <w:rPr>
        <w:rFonts w:hint="default"/>
      </w:rPr>
    </w:lvl>
    <w:lvl w:ilvl="1">
      <w:start w:val="2"/>
      <w:numFmt w:val="decimal"/>
      <w:lvlText w:val="6.%2."/>
      <w:lvlJc w:val="left"/>
      <w:pPr>
        <w:ind w:left="450" w:hanging="360"/>
      </w:pPr>
      <w:rPr>
        <w:rFonts w:hint="default"/>
      </w:rPr>
    </w:lvl>
    <w:lvl w:ilvl="2">
      <w:start w:val="2"/>
      <w:numFmt w:val="decimal"/>
      <w:lvlText w:val="A.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7F83C30"/>
    <w:multiLevelType w:val="hybridMultilevel"/>
    <w:tmpl w:val="D6C2865E"/>
    <w:lvl w:ilvl="0" w:tplc="D1F400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99C2698"/>
    <w:multiLevelType w:val="hybridMultilevel"/>
    <w:tmpl w:val="7E0E50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C257850"/>
    <w:multiLevelType w:val="hybridMultilevel"/>
    <w:tmpl w:val="E92E4B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8F237D"/>
    <w:multiLevelType w:val="hybridMultilevel"/>
    <w:tmpl w:val="22DC9DF2"/>
    <w:lvl w:ilvl="0" w:tplc="6360CF24">
      <w:start w:val="2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DD571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22612474"/>
    <w:multiLevelType w:val="hybridMultilevel"/>
    <w:tmpl w:val="CC72BCA0"/>
    <w:lvl w:ilvl="0" w:tplc="C56A110E">
      <w:start w:val="1"/>
      <w:numFmt w:val="bullet"/>
      <w:lvlText w:val=""/>
      <w:lvlJc w:val="left"/>
      <w:pPr>
        <w:ind w:left="1440" w:hanging="360"/>
      </w:pPr>
      <w:rPr>
        <w:rFonts w:ascii="Wingdings" w:hAnsi="Wingdings" w:hint="default"/>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5F00FED"/>
    <w:multiLevelType w:val="hybridMultilevel"/>
    <w:tmpl w:val="446EC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A97A0B"/>
    <w:multiLevelType w:val="hybridMultilevel"/>
    <w:tmpl w:val="6DC6C33A"/>
    <w:lvl w:ilvl="0" w:tplc="1786DE6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2D431E82"/>
    <w:multiLevelType w:val="multilevel"/>
    <w:tmpl w:val="2AAC5C40"/>
    <w:lvl w:ilvl="0">
      <w:start w:val="2"/>
      <w:numFmt w:val="decimal"/>
      <w:lvlText w:val="3.2.%1"/>
      <w:lvlJc w:val="left"/>
      <w:pPr>
        <w:ind w:left="360" w:hanging="360"/>
      </w:pPr>
      <w:rPr>
        <w:rFonts w:hint="default"/>
      </w:rPr>
    </w:lvl>
    <w:lvl w:ilvl="1">
      <w:start w:val="1"/>
      <w:numFmt w:val="decimal"/>
      <w:lvlText w:val="6.%2."/>
      <w:lvlJc w:val="left"/>
      <w:pPr>
        <w:ind w:left="450" w:hanging="360"/>
      </w:pPr>
      <w:rPr>
        <w:rFonts w:hint="default"/>
      </w:rPr>
    </w:lvl>
    <w:lvl w:ilvl="2">
      <w:start w:val="2"/>
      <w:numFmt w:val="decimal"/>
      <w:lvlText w:val="5.5.%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067D9E"/>
    <w:multiLevelType w:val="hybridMultilevel"/>
    <w:tmpl w:val="CA6E7F14"/>
    <w:lvl w:ilvl="0" w:tplc="6840D792">
      <w:start w:val="1"/>
      <w:numFmt w:val="decimal"/>
      <w:lvlText w:val="(%1)"/>
      <w:lvlJc w:val="left"/>
      <w:pPr>
        <w:ind w:left="1440" w:hanging="360"/>
      </w:pPr>
      <w:rPr>
        <w:rFonts w:ascii="Angsana New" w:hAnsi="Angsana New" w:cs="Angsana New" w:hint="default"/>
        <w:b w:val="0"/>
        <w:i w:val="0"/>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9164DCA"/>
    <w:multiLevelType w:val="hybridMultilevel"/>
    <w:tmpl w:val="B70CB966"/>
    <w:lvl w:ilvl="0" w:tplc="1130B8B6">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E4F28D7"/>
    <w:multiLevelType w:val="hybridMultilevel"/>
    <w:tmpl w:val="E4786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C833F2"/>
    <w:multiLevelType w:val="hybridMultilevel"/>
    <w:tmpl w:val="08C6DD36"/>
    <w:lvl w:ilvl="0" w:tplc="AD48493C">
      <w:start w:val="1"/>
      <w:numFmt w:val="decimal"/>
      <w:lvlText w:val="(%1)"/>
      <w:lvlJc w:val="left"/>
      <w:pPr>
        <w:ind w:left="1069" w:hanging="360"/>
      </w:pPr>
      <w:rPr>
        <w:rFonts w:cstheme="minorBidi"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FCC6502"/>
    <w:multiLevelType w:val="hybridMultilevel"/>
    <w:tmpl w:val="A95248D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631D261D"/>
    <w:multiLevelType w:val="hybridMultilevel"/>
    <w:tmpl w:val="EB4696D8"/>
    <w:lvl w:ilvl="0" w:tplc="8452BCFE">
      <w:start w:val="1"/>
      <w:numFmt w:val="decimal"/>
      <w:pStyle w:val="SUBSubsection"/>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pStyle w:val="SUBSubsectio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7551DF"/>
    <w:multiLevelType w:val="hybridMultilevel"/>
    <w:tmpl w:val="8C065D82"/>
    <w:lvl w:ilvl="0" w:tplc="6B700C7E">
      <w:start w:val="1"/>
      <w:numFmt w:val="decimal"/>
      <w:lvlText w:val="(%1)"/>
      <w:lvlJc w:val="left"/>
      <w:pPr>
        <w:ind w:left="1860" w:hanging="108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nsid w:val="63F91D38"/>
    <w:multiLevelType w:val="multilevel"/>
    <w:tmpl w:val="CD1EA8D6"/>
    <w:lvl w:ilvl="0">
      <w:start w:val="1"/>
      <w:numFmt w:val="decimal"/>
      <w:lvlText w:val="3.2.%1."/>
      <w:lvlJc w:val="left"/>
      <w:pPr>
        <w:ind w:left="360" w:hanging="360"/>
      </w:pPr>
      <w:rPr>
        <w:rFonts w:hint="default"/>
      </w:rPr>
    </w:lvl>
    <w:lvl w:ilvl="1">
      <w:start w:val="1"/>
      <w:numFmt w:val="decimal"/>
      <w:pStyle w:val="Subsection"/>
      <w:lvlText w:val="%1.%2."/>
      <w:lvlJc w:val="left"/>
      <w:pPr>
        <w:ind w:left="450" w:hanging="36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5070D65"/>
    <w:multiLevelType w:val="hybridMultilevel"/>
    <w:tmpl w:val="8C82F696"/>
    <w:lvl w:ilvl="0" w:tplc="6762B2F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684DE2"/>
    <w:multiLevelType w:val="hybridMultilevel"/>
    <w:tmpl w:val="3C0C0E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77423ED"/>
    <w:multiLevelType w:val="hybridMultilevel"/>
    <w:tmpl w:val="ECD43C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2">
    <w:nsid w:val="69732E1A"/>
    <w:multiLevelType w:val="hybridMultilevel"/>
    <w:tmpl w:val="429CB222"/>
    <w:lvl w:ilvl="0" w:tplc="6D4C57DE">
      <w:start w:val="1"/>
      <w:numFmt w:val="decimal"/>
      <w:pStyle w:val="Section"/>
      <w:lvlText w:val="%1."/>
      <w:lvlJc w:val="left"/>
      <w:pPr>
        <w:tabs>
          <w:tab w:val="num" w:pos="720"/>
        </w:tabs>
        <w:ind w:left="720" w:hanging="360"/>
      </w:pPr>
      <w:rPr>
        <w:rFonts w:hint="default"/>
      </w:rPr>
    </w:lvl>
    <w:lvl w:ilvl="1" w:tplc="BBE0135C">
      <w:start w:val="1"/>
      <w:numFmt w:val="none"/>
      <w:lvlText w:val="1.2"/>
      <w:lvlJc w:val="left"/>
      <w:pPr>
        <w:tabs>
          <w:tab w:val="num" w:pos="720"/>
        </w:tabs>
        <w:ind w:left="720" w:hanging="360"/>
      </w:pPr>
      <w:rPr>
        <w:rFonts w:hint="default"/>
      </w:rPr>
    </w:lvl>
    <w:lvl w:ilvl="2" w:tplc="5A1E9A1E">
      <w:start w:val="5"/>
      <w:numFmt w:val="bullet"/>
      <w:lvlText w:val="-"/>
      <w:lvlJc w:val="left"/>
      <w:pPr>
        <w:tabs>
          <w:tab w:val="num" w:pos="2340"/>
        </w:tabs>
        <w:ind w:left="2340" w:hanging="360"/>
      </w:pPr>
      <w:rPr>
        <w:rFonts w:ascii="Arial" w:eastAsia="Times New Roman" w:hAnsi="Arial" w:cs="Arial" w:hint="default"/>
      </w:rPr>
    </w:lvl>
    <w:lvl w:ilvl="3" w:tplc="37F89D40">
      <w:start w:val="1"/>
      <w:numFmt w:val="decimal"/>
      <w:lvlText w:val="%4."/>
      <w:lvlJc w:val="left"/>
      <w:pPr>
        <w:tabs>
          <w:tab w:val="num" w:pos="2880"/>
        </w:tabs>
        <w:ind w:left="2880" w:hanging="360"/>
      </w:pPr>
      <w:rPr>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20C0A04"/>
    <w:multiLevelType w:val="hybridMultilevel"/>
    <w:tmpl w:val="C8E6DAA6"/>
    <w:lvl w:ilvl="0" w:tplc="5DC00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25C0C2D"/>
    <w:multiLevelType w:val="hybridMultilevel"/>
    <w:tmpl w:val="A5C60F2A"/>
    <w:lvl w:ilvl="0" w:tplc="12548F6C">
      <w:start w:val="2"/>
      <w:numFmt w:val="bullet"/>
      <w:lvlText w:val="-"/>
      <w:lvlJc w:val="left"/>
      <w:pPr>
        <w:ind w:left="1080" w:hanging="360"/>
      </w:pPr>
      <w:rPr>
        <w:rFonts w:ascii="Times New Roman" w:eastAsia="Cordia New"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2852B5B"/>
    <w:multiLevelType w:val="hybridMultilevel"/>
    <w:tmpl w:val="13EEDC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4412CFC"/>
    <w:multiLevelType w:val="hybridMultilevel"/>
    <w:tmpl w:val="206C5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8">
    <w:nsid w:val="78547458"/>
    <w:multiLevelType w:val="multilevel"/>
    <w:tmpl w:val="9A706024"/>
    <w:lvl w:ilvl="0">
      <w:start w:val="2"/>
      <w:numFmt w:val="decimal"/>
      <w:lvlText w:val="3.2.%1"/>
      <w:lvlJc w:val="left"/>
      <w:pPr>
        <w:ind w:left="360" w:hanging="360"/>
      </w:pPr>
      <w:rPr>
        <w:rFonts w:hint="default"/>
      </w:rPr>
    </w:lvl>
    <w:lvl w:ilvl="1">
      <w:start w:val="4"/>
      <w:numFmt w:val="decimal"/>
      <w:lvlText w:val="5.%2."/>
      <w:lvlJc w:val="left"/>
      <w:pPr>
        <w:ind w:left="450" w:hanging="360"/>
      </w:pPr>
      <w:rPr>
        <w:rFonts w:hint="default"/>
      </w:rPr>
    </w:lvl>
    <w:lvl w:ilvl="2">
      <w:start w:val="2"/>
      <w:numFmt w:val="decimal"/>
      <w:lvlText w:val="A.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85C33F7"/>
    <w:multiLevelType w:val="hybridMultilevel"/>
    <w:tmpl w:val="2B64FD4C"/>
    <w:lvl w:ilvl="0" w:tplc="DF3A46D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7BA84161"/>
    <w:multiLevelType w:val="hybridMultilevel"/>
    <w:tmpl w:val="EA5E95C0"/>
    <w:lvl w:ilvl="0" w:tplc="04090001">
      <w:start w:val="4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1"/>
  </w:num>
  <w:num w:numId="3">
    <w:abstractNumId w:val="23"/>
  </w:num>
  <w:num w:numId="4">
    <w:abstractNumId w:val="32"/>
  </w:num>
  <w:num w:numId="5">
    <w:abstractNumId w:val="27"/>
  </w:num>
  <w:num w:numId="6">
    <w:abstractNumId w:val="28"/>
  </w:num>
  <w:num w:numId="7">
    <w:abstractNumId w:val="38"/>
  </w:num>
  <w:num w:numId="8">
    <w:abstractNumId w:val="18"/>
  </w:num>
  <w:num w:numId="9">
    <w:abstractNumId w:val="9"/>
  </w:num>
  <w:num w:numId="10">
    <w:abstractNumId w:val="13"/>
  </w:num>
  <w:num w:numId="11">
    <w:abstractNumId w:val="25"/>
  </w:num>
  <w:num w:numId="12">
    <w:abstractNumId w:val="5"/>
  </w:num>
  <w:num w:numId="13">
    <w:abstractNumId w:val="25"/>
    <w:lvlOverride w:ilvl="0">
      <w:startOverride w:val="1"/>
    </w:lvlOverride>
  </w:num>
  <w:num w:numId="14">
    <w:abstractNumId w:val="25"/>
    <w:lvlOverride w:ilvl="0">
      <w:startOverride w:val="1"/>
    </w:lvlOverride>
  </w:num>
  <w:num w:numId="15">
    <w:abstractNumId w:val="27"/>
  </w:num>
  <w:num w:numId="16">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40"/>
  </w:num>
  <w:num w:numId="19">
    <w:abstractNumId w:val="27"/>
  </w:num>
  <w:num w:numId="20">
    <w:abstractNumId w:val="27"/>
  </w:num>
  <w:num w:numId="21">
    <w:abstractNumId w:val="15"/>
  </w:num>
  <w:num w:numId="22">
    <w:abstractNumId w:val="12"/>
  </w:num>
  <w:num w:numId="23">
    <w:abstractNumId w:val="19"/>
  </w:num>
  <w:num w:numId="24">
    <w:abstractNumId w:val="4"/>
  </w:num>
  <w:num w:numId="25">
    <w:abstractNumId w:val="2"/>
  </w:num>
  <w:num w:numId="26">
    <w:abstractNumId w:val="1"/>
  </w:num>
  <w:num w:numId="27">
    <w:abstractNumId w:val="0"/>
  </w:num>
  <w:num w:numId="28">
    <w:abstractNumId w:val="39"/>
  </w:num>
  <w:num w:numId="29">
    <w:abstractNumId w:val="29"/>
  </w:num>
  <w:num w:numId="30">
    <w:abstractNumId w:val="35"/>
  </w:num>
  <w:num w:numId="31">
    <w:abstractNumId w:val="26"/>
  </w:num>
  <w:num w:numId="32">
    <w:abstractNumId w:val="10"/>
  </w:num>
  <w:num w:numId="33">
    <w:abstractNumId w:val="20"/>
  </w:num>
  <w:num w:numId="34">
    <w:abstractNumId w:val="24"/>
  </w:num>
  <w:num w:numId="35">
    <w:abstractNumId w:val="33"/>
  </w:num>
  <w:num w:numId="36">
    <w:abstractNumId w:val="22"/>
  </w:num>
  <w:num w:numId="37">
    <w:abstractNumId w:val="17"/>
  </w:num>
  <w:num w:numId="38">
    <w:abstractNumId w:val="34"/>
  </w:num>
  <w:num w:numId="39">
    <w:abstractNumId w:val="16"/>
  </w:num>
  <w:num w:numId="40">
    <w:abstractNumId w:val="21"/>
  </w:num>
  <w:num w:numId="41">
    <w:abstractNumId w:val="36"/>
  </w:num>
  <w:num w:numId="42">
    <w:abstractNumId w:val="30"/>
  </w:num>
  <w:num w:numId="43">
    <w:abstractNumId w:val="7"/>
  </w:num>
  <w:num w:numId="44">
    <w:abstractNumId w:val="11"/>
  </w:num>
  <w:num w:numId="45">
    <w:abstractNumId w:val="8"/>
  </w:num>
  <w:num w:numId="46">
    <w:abstractNumId w:val="6"/>
  </w:num>
  <w:num w:numId="47">
    <w:abstractNumId w:val="32"/>
  </w:num>
  <w:num w:numId="48">
    <w:abstractNumId w:val="14"/>
  </w:num>
  <w:num w:numId="49">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562"/>
  <w:hyphenationZone w:val="283"/>
  <w:drawingGridHorizontalSpacing w:val="110"/>
  <w:displayHorizontalDrawingGridEvery w:val="0"/>
  <w:displayVerticalDrawingGridEvery w:val="0"/>
  <w:noPunctuationKerning/>
  <w:characterSpacingControl w:val="doNotCompress"/>
  <w:hdrShapeDefaults>
    <o:shapedefaults v:ext="edit" spidmax="16385"/>
  </w:hdrShapeDefaults>
  <w:footnotePr>
    <w:footnote w:id="-1"/>
    <w:footnote w:id="0"/>
    <w:footnote w:id="1"/>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D0C"/>
    <w:rsid w:val="000018F6"/>
    <w:rsid w:val="00001F04"/>
    <w:rsid w:val="0000378B"/>
    <w:rsid w:val="00004549"/>
    <w:rsid w:val="00005036"/>
    <w:rsid w:val="00006881"/>
    <w:rsid w:val="000118B6"/>
    <w:rsid w:val="000139F7"/>
    <w:rsid w:val="000214AB"/>
    <w:rsid w:val="000214E1"/>
    <w:rsid w:val="0002159A"/>
    <w:rsid w:val="0002237A"/>
    <w:rsid w:val="00023896"/>
    <w:rsid w:val="000238B4"/>
    <w:rsid w:val="000238E9"/>
    <w:rsid w:val="00023B79"/>
    <w:rsid w:val="00026141"/>
    <w:rsid w:val="00031A0B"/>
    <w:rsid w:val="00031C17"/>
    <w:rsid w:val="00032ED2"/>
    <w:rsid w:val="000332AD"/>
    <w:rsid w:val="00034644"/>
    <w:rsid w:val="00040101"/>
    <w:rsid w:val="000403DB"/>
    <w:rsid w:val="00041CDC"/>
    <w:rsid w:val="00042669"/>
    <w:rsid w:val="00044EEF"/>
    <w:rsid w:val="00044F4E"/>
    <w:rsid w:val="0005168C"/>
    <w:rsid w:val="00055391"/>
    <w:rsid w:val="000564C9"/>
    <w:rsid w:val="0006037E"/>
    <w:rsid w:val="00062C48"/>
    <w:rsid w:val="000631F4"/>
    <w:rsid w:val="000640C1"/>
    <w:rsid w:val="00064A8E"/>
    <w:rsid w:val="00065EA5"/>
    <w:rsid w:val="000662ED"/>
    <w:rsid w:val="00067121"/>
    <w:rsid w:val="000712DF"/>
    <w:rsid w:val="0007304D"/>
    <w:rsid w:val="000735AB"/>
    <w:rsid w:val="00075AA1"/>
    <w:rsid w:val="00075F57"/>
    <w:rsid w:val="00076AB8"/>
    <w:rsid w:val="000860C3"/>
    <w:rsid w:val="000868D8"/>
    <w:rsid w:val="0008753B"/>
    <w:rsid w:val="000879BA"/>
    <w:rsid w:val="0009004C"/>
    <w:rsid w:val="000910E9"/>
    <w:rsid w:val="00092BDA"/>
    <w:rsid w:val="00093125"/>
    <w:rsid w:val="00093F7F"/>
    <w:rsid w:val="00096CD9"/>
    <w:rsid w:val="00096D70"/>
    <w:rsid w:val="000A03CD"/>
    <w:rsid w:val="000A3A4E"/>
    <w:rsid w:val="000A3BE0"/>
    <w:rsid w:val="000A3BFA"/>
    <w:rsid w:val="000A4249"/>
    <w:rsid w:val="000A6859"/>
    <w:rsid w:val="000A7AA9"/>
    <w:rsid w:val="000B02E3"/>
    <w:rsid w:val="000B10C5"/>
    <w:rsid w:val="000B31D3"/>
    <w:rsid w:val="000B4CD1"/>
    <w:rsid w:val="000B4F1A"/>
    <w:rsid w:val="000B52E5"/>
    <w:rsid w:val="000B6388"/>
    <w:rsid w:val="000C01B7"/>
    <w:rsid w:val="000C0396"/>
    <w:rsid w:val="000C0CC2"/>
    <w:rsid w:val="000C1C30"/>
    <w:rsid w:val="000C1FDB"/>
    <w:rsid w:val="000C21F0"/>
    <w:rsid w:val="000C591B"/>
    <w:rsid w:val="000C6EB9"/>
    <w:rsid w:val="000C75B5"/>
    <w:rsid w:val="000C76C9"/>
    <w:rsid w:val="000D0FCD"/>
    <w:rsid w:val="000D1019"/>
    <w:rsid w:val="000D1D11"/>
    <w:rsid w:val="000D2507"/>
    <w:rsid w:val="000D3087"/>
    <w:rsid w:val="000D66F0"/>
    <w:rsid w:val="000D730D"/>
    <w:rsid w:val="000D7F57"/>
    <w:rsid w:val="000E13DB"/>
    <w:rsid w:val="000E2563"/>
    <w:rsid w:val="000E33F0"/>
    <w:rsid w:val="000E53BC"/>
    <w:rsid w:val="000E644A"/>
    <w:rsid w:val="000E67BF"/>
    <w:rsid w:val="000E7C82"/>
    <w:rsid w:val="000F09EB"/>
    <w:rsid w:val="000F20D2"/>
    <w:rsid w:val="000F2CAC"/>
    <w:rsid w:val="000F4923"/>
    <w:rsid w:val="000F5E56"/>
    <w:rsid w:val="000F5F3A"/>
    <w:rsid w:val="000F6CAE"/>
    <w:rsid w:val="00100304"/>
    <w:rsid w:val="001012C7"/>
    <w:rsid w:val="0010659C"/>
    <w:rsid w:val="00110327"/>
    <w:rsid w:val="00110598"/>
    <w:rsid w:val="001107C5"/>
    <w:rsid w:val="00111411"/>
    <w:rsid w:val="00111B98"/>
    <w:rsid w:val="0011649C"/>
    <w:rsid w:val="0011690D"/>
    <w:rsid w:val="001205B0"/>
    <w:rsid w:val="001218FF"/>
    <w:rsid w:val="00122FE3"/>
    <w:rsid w:val="001245F6"/>
    <w:rsid w:val="00124E94"/>
    <w:rsid w:val="00125A1B"/>
    <w:rsid w:val="0012724C"/>
    <w:rsid w:val="00127374"/>
    <w:rsid w:val="0012755F"/>
    <w:rsid w:val="00127EE6"/>
    <w:rsid w:val="00132B37"/>
    <w:rsid w:val="00132CE4"/>
    <w:rsid w:val="00132F29"/>
    <w:rsid w:val="001335BA"/>
    <w:rsid w:val="00134A29"/>
    <w:rsid w:val="00136237"/>
    <w:rsid w:val="001378C1"/>
    <w:rsid w:val="00142A98"/>
    <w:rsid w:val="0014554E"/>
    <w:rsid w:val="0014557C"/>
    <w:rsid w:val="00145B77"/>
    <w:rsid w:val="001469B8"/>
    <w:rsid w:val="00150A16"/>
    <w:rsid w:val="00153BC4"/>
    <w:rsid w:val="00155594"/>
    <w:rsid w:val="00155FCD"/>
    <w:rsid w:val="00161B73"/>
    <w:rsid w:val="00165C3A"/>
    <w:rsid w:val="0016742E"/>
    <w:rsid w:val="00171001"/>
    <w:rsid w:val="00176EC2"/>
    <w:rsid w:val="00177F80"/>
    <w:rsid w:val="00180022"/>
    <w:rsid w:val="001804CE"/>
    <w:rsid w:val="00180BF6"/>
    <w:rsid w:val="00185B8B"/>
    <w:rsid w:val="00186E4A"/>
    <w:rsid w:val="00187FE6"/>
    <w:rsid w:val="0019063E"/>
    <w:rsid w:val="0019287C"/>
    <w:rsid w:val="00194722"/>
    <w:rsid w:val="001A3753"/>
    <w:rsid w:val="001A586A"/>
    <w:rsid w:val="001A5BDC"/>
    <w:rsid w:val="001A6827"/>
    <w:rsid w:val="001B13DE"/>
    <w:rsid w:val="001B3997"/>
    <w:rsid w:val="001B4FC1"/>
    <w:rsid w:val="001B67F1"/>
    <w:rsid w:val="001B7185"/>
    <w:rsid w:val="001B7C3A"/>
    <w:rsid w:val="001C091C"/>
    <w:rsid w:val="001C3D40"/>
    <w:rsid w:val="001C4710"/>
    <w:rsid w:val="001C54A4"/>
    <w:rsid w:val="001C6D87"/>
    <w:rsid w:val="001C7A19"/>
    <w:rsid w:val="001D0AD5"/>
    <w:rsid w:val="001D248A"/>
    <w:rsid w:val="001D4110"/>
    <w:rsid w:val="001D45F7"/>
    <w:rsid w:val="001D65B5"/>
    <w:rsid w:val="001E1899"/>
    <w:rsid w:val="001E1CEE"/>
    <w:rsid w:val="001E2CA1"/>
    <w:rsid w:val="001E3814"/>
    <w:rsid w:val="001E50C6"/>
    <w:rsid w:val="001E6678"/>
    <w:rsid w:val="001E6DE7"/>
    <w:rsid w:val="001F0658"/>
    <w:rsid w:val="001F0DF4"/>
    <w:rsid w:val="001F1CAC"/>
    <w:rsid w:val="001F4E34"/>
    <w:rsid w:val="001F68B5"/>
    <w:rsid w:val="001F7EFA"/>
    <w:rsid w:val="0020204E"/>
    <w:rsid w:val="00202D8D"/>
    <w:rsid w:val="00205F42"/>
    <w:rsid w:val="00205F9C"/>
    <w:rsid w:val="0020657F"/>
    <w:rsid w:val="00207B0A"/>
    <w:rsid w:val="002103F7"/>
    <w:rsid w:val="002135C1"/>
    <w:rsid w:val="002139EB"/>
    <w:rsid w:val="002155D1"/>
    <w:rsid w:val="00215D88"/>
    <w:rsid w:val="002163C2"/>
    <w:rsid w:val="00216FFD"/>
    <w:rsid w:val="0022002F"/>
    <w:rsid w:val="00220B4B"/>
    <w:rsid w:val="00220D75"/>
    <w:rsid w:val="0022109C"/>
    <w:rsid w:val="00222A1A"/>
    <w:rsid w:val="00223846"/>
    <w:rsid w:val="002249A8"/>
    <w:rsid w:val="0022531F"/>
    <w:rsid w:val="002256B7"/>
    <w:rsid w:val="00230E16"/>
    <w:rsid w:val="00230F36"/>
    <w:rsid w:val="00231227"/>
    <w:rsid w:val="002314E2"/>
    <w:rsid w:val="00232FD2"/>
    <w:rsid w:val="00237FCA"/>
    <w:rsid w:val="00240975"/>
    <w:rsid w:val="00241050"/>
    <w:rsid w:val="0024106E"/>
    <w:rsid w:val="002420CD"/>
    <w:rsid w:val="00242AE7"/>
    <w:rsid w:val="00242AF3"/>
    <w:rsid w:val="00252627"/>
    <w:rsid w:val="002554B7"/>
    <w:rsid w:val="002622AA"/>
    <w:rsid w:val="002625DF"/>
    <w:rsid w:val="00264063"/>
    <w:rsid w:val="00270B69"/>
    <w:rsid w:val="002714D1"/>
    <w:rsid w:val="002750BC"/>
    <w:rsid w:val="00276138"/>
    <w:rsid w:val="00276F40"/>
    <w:rsid w:val="0027711C"/>
    <w:rsid w:val="00280B90"/>
    <w:rsid w:val="00281FF1"/>
    <w:rsid w:val="002832B8"/>
    <w:rsid w:val="002849BF"/>
    <w:rsid w:val="00284AE5"/>
    <w:rsid w:val="00284F3F"/>
    <w:rsid w:val="00286AE6"/>
    <w:rsid w:val="00290F12"/>
    <w:rsid w:val="00291E41"/>
    <w:rsid w:val="00293189"/>
    <w:rsid w:val="00293BDB"/>
    <w:rsid w:val="00293DB8"/>
    <w:rsid w:val="00295EA6"/>
    <w:rsid w:val="0029613A"/>
    <w:rsid w:val="00296879"/>
    <w:rsid w:val="002972E5"/>
    <w:rsid w:val="002A1AB6"/>
    <w:rsid w:val="002A3309"/>
    <w:rsid w:val="002A37EB"/>
    <w:rsid w:val="002A4C4E"/>
    <w:rsid w:val="002A5F81"/>
    <w:rsid w:val="002A7A89"/>
    <w:rsid w:val="002B4862"/>
    <w:rsid w:val="002B49F6"/>
    <w:rsid w:val="002C0833"/>
    <w:rsid w:val="002C1A08"/>
    <w:rsid w:val="002C1A89"/>
    <w:rsid w:val="002C53CA"/>
    <w:rsid w:val="002C5C68"/>
    <w:rsid w:val="002C61FA"/>
    <w:rsid w:val="002C638D"/>
    <w:rsid w:val="002D0B76"/>
    <w:rsid w:val="002D3A09"/>
    <w:rsid w:val="002D3C3C"/>
    <w:rsid w:val="002D3F0D"/>
    <w:rsid w:val="002D686E"/>
    <w:rsid w:val="002E0657"/>
    <w:rsid w:val="002E0CDC"/>
    <w:rsid w:val="002E1167"/>
    <w:rsid w:val="002E29C0"/>
    <w:rsid w:val="002E5117"/>
    <w:rsid w:val="002E567F"/>
    <w:rsid w:val="002E5A77"/>
    <w:rsid w:val="002E5E5F"/>
    <w:rsid w:val="002E66F4"/>
    <w:rsid w:val="002E73C0"/>
    <w:rsid w:val="002F0D0D"/>
    <w:rsid w:val="002F2467"/>
    <w:rsid w:val="002F4A8F"/>
    <w:rsid w:val="002F7CFB"/>
    <w:rsid w:val="003012EE"/>
    <w:rsid w:val="00301424"/>
    <w:rsid w:val="0030187A"/>
    <w:rsid w:val="00301FE2"/>
    <w:rsid w:val="00305918"/>
    <w:rsid w:val="00310055"/>
    <w:rsid w:val="00310464"/>
    <w:rsid w:val="0031203F"/>
    <w:rsid w:val="0031506B"/>
    <w:rsid w:val="003163A6"/>
    <w:rsid w:val="00320DA5"/>
    <w:rsid w:val="003217F1"/>
    <w:rsid w:val="003246F7"/>
    <w:rsid w:val="00325BF2"/>
    <w:rsid w:val="00326D9C"/>
    <w:rsid w:val="00327809"/>
    <w:rsid w:val="00331118"/>
    <w:rsid w:val="003318D3"/>
    <w:rsid w:val="00343691"/>
    <w:rsid w:val="00343866"/>
    <w:rsid w:val="00344C34"/>
    <w:rsid w:val="00347067"/>
    <w:rsid w:val="00347B9C"/>
    <w:rsid w:val="003536E3"/>
    <w:rsid w:val="0035419F"/>
    <w:rsid w:val="003546C9"/>
    <w:rsid w:val="0035589D"/>
    <w:rsid w:val="003567FF"/>
    <w:rsid w:val="0035780B"/>
    <w:rsid w:val="00361EDB"/>
    <w:rsid w:val="00363BA8"/>
    <w:rsid w:val="0036503C"/>
    <w:rsid w:val="00367E0F"/>
    <w:rsid w:val="003713FF"/>
    <w:rsid w:val="00373E70"/>
    <w:rsid w:val="00375195"/>
    <w:rsid w:val="00376BB7"/>
    <w:rsid w:val="00376DAC"/>
    <w:rsid w:val="00377809"/>
    <w:rsid w:val="00382118"/>
    <w:rsid w:val="00384AD1"/>
    <w:rsid w:val="00385C76"/>
    <w:rsid w:val="00386DA5"/>
    <w:rsid w:val="003874CB"/>
    <w:rsid w:val="00391F21"/>
    <w:rsid w:val="003925AE"/>
    <w:rsid w:val="003932F1"/>
    <w:rsid w:val="00394363"/>
    <w:rsid w:val="00394A1A"/>
    <w:rsid w:val="00394D71"/>
    <w:rsid w:val="00395131"/>
    <w:rsid w:val="003972B7"/>
    <w:rsid w:val="00397EF2"/>
    <w:rsid w:val="003A18DC"/>
    <w:rsid w:val="003A3CFB"/>
    <w:rsid w:val="003A514E"/>
    <w:rsid w:val="003A7E55"/>
    <w:rsid w:val="003B2EB9"/>
    <w:rsid w:val="003B3689"/>
    <w:rsid w:val="003B3A33"/>
    <w:rsid w:val="003B4673"/>
    <w:rsid w:val="003B46B0"/>
    <w:rsid w:val="003B64A9"/>
    <w:rsid w:val="003B6F58"/>
    <w:rsid w:val="003C0D6D"/>
    <w:rsid w:val="003C1806"/>
    <w:rsid w:val="003C18A1"/>
    <w:rsid w:val="003C2958"/>
    <w:rsid w:val="003C3755"/>
    <w:rsid w:val="003C5438"/>
    <w:rsid w:val="003C6518"/>
    <w:rsid w:val="003D0BC3"/>
    <w:rsid w:val="003D1090"/>
    <w:rsid w:val="003D37AD"/>
    <w:rsid w:val="003D3AE4"/>
    <w:rsid w:val="003D42CB"/>
    <w:rsid w:val="003D479F"/>
    <w:rsid w:val="003D4929"/>
    <w:rsid w:val="003D7839"/>
    <w:rsid w:val="003E0A56"/>
    <w:rsid w:val="003E171E"/>
    <w:rsid w:val="003E3149"/>
    <w:rsid w:val="003E48C0"/>
    <w:rsid w:val="003E6B2D"/>
    <w:rsid w:val="003F1AA6"/>
    <w:rsid w:val="003F2684"/>
    <w:rsid w:val="003F53F6"/>
    <w:rsid w:val="00401930"/>
    <w:rsid w:val="00402CF6"/>
    <w:rsid w:val="004046A0"/>
    <w:rsid w:val="00407F8A"/>
    <w:rsid w:val="00410517"/>
    <w:rsid w:val="0041265D"/>
    <w:rsid w:val="00412C43"/>
    <w:rsid w:val="00414462"/>
    <w:rsid w:val="00416114"/>
    <w:rsid w:val="00421FAD"/>
    <w:rsid w:val="00422064"/>
    <w:rsid w:val="004225C0"/>
    <w:rsid w:val="00423C60"/>
    <w:rsid w:val="00425698"/>
    <w:rsid w:val="00426886"/>
    <w:rsid w:val="004276EE"/>
    <w:rsid w:val="00427BD6"/>
    <w:rsid w:val="00430CD0"/>
    <w:rsid w:val="00431118"/>
    <w:rsid w:val="0043205E"/>
    <w:rsid w:val="00432E08"/>
    <w:rsid w:val="00432EA3"/>
    <w:rsid w:val="004336CD"/>
    <w:rsid w:val="00434373"/>
    <w:rsid w:val="00435937"/>
    <w:rsid w:val="00436DF1"/>
    <w:rsid w:val="004374A0"/>
    <w:rsid w:val="00437D0A"/>
    <w:rsid w:val="00437EFA"/>
    <w:rsid w:val="004406E9"/>
    <w:rsid w:val="00441539"/>
    <w:rsid w:val="00442397"/>
    <w:rsid w:val="004443D4"/>
    <w:rsid w:val="00445867"/>
    <w:rsid w:val="00450E1E"/>
    <w:rsid w:val="004512EB"/>
    <w:rsid w:val="0045246F"/>
    <w:rsid w:val="0045314D"/>
    <w:rsid w:val="004553A0"/>
    <w:rsid w:val="00466745"/>
    <w:rsid w:val="00467C16"/>
    <w:rsid w:val="00472E69"/>
    <w:rsid w:val="004830E7"/>
    <w:rsid w:val="00484165"/>
    <w:rsid w:val="00485050"/>
    <w:rsid w:val="00485FA6"/>
    <w:rsid w:val="00486201"/>
    <w:rsid w:val="004864C5"/>
    <w:rsid w:val="00492413"/>
    <w:rsid w:val="0049379F"/>
    <w:rsid w:val="004956A7"/>
    <w:rsid w:val="00497BB3"/>
    <w:rsid w:val="004A183A"/>
    <w:rsid w:val="004A1A9C"/>
    <w:rsid w:val="004A2C39"/>
    <w:rsid w:val="004A3026"/>
    <w:rsid w:val="004A3544"/>
    <w:rsid w:val="004A46C5"/>
    <w:rsid w:val="004A47B4"/>
    <w:rsid w:val="004A6DE0"/>
    <w:rsid w:val="004B0390"/>
    <w:rsid w:val="004B0D00"/>
    <w:rsid w:val="004B2A8B"/>
    <w:rsid w:val="004B2F6C"/>
    <w:rsid w:val="004B3B1B"/>
    <w:rsid w:val="004B3E4E"/>
    <w:rsid w:val="004B4279"/>
    <w:rsid w:val="004B50B9"/>
    <w:rsid w:val="004B532C"/>
    <w:rsid w:val="004B642B"/>
    <w:rsid w:val="004C087B"/>
    <w:rsid w:val="004C61DF"/>
    <w:rsid w:val="004C6E4F"/>
    <w:rsid w:val="004D03E4"/>
    <w:rsid w:val="004D11F5"/>
    <w:rsid w:val="004D25B0"/>
    <w:rsid w:val="004D4425"/>
    <w:rsid w:val="004E0809"/>
    <w:rsid w:val="004E60A0"/>
    <w:rsid w:val="004E7D42"/>
    <w:rsid w:val="004F0098"/>
    <w:rsid w:val="004F09B0"/>
    <w:rsid w:val="004F4661"/>
    <w:rsid w:val="004F6737"/>
    <w:rsid w:val="004F79B9"/>
    <w:rsid w:val="005008C5"/>
    <w:rsid w:val="00503B0E"/>
    <w:rsid w:val="00510E1F"/>
    <w:rsid w:val="0051315A"/>
    <w:rsid w:val="00514B0F"/>
    <w:rsid w:val="005154C7"/>
    <w:rsid w:val="00515A5F"/>
    <w:rsid w:val="00516A23"/>
    <w:rsid w:val="00516BAF"/>
    <w:rsid w:val="00517DA5"/>
    <w:rsid w:val="00520216"/>
    <w:rsid w:val="0052148D"/>
    <w:rsid w:val="00521B0E"/>
    <w:rsid w:val="005220DB"/>
    <w:rsid w:val="00522A6D"/>
    <w:rsid w:val="005234A5"/>
    <w:rsid w:val="00525BDE"/>
    <w:rsid w:val="00525EC4"/>
    <w:rsid w:val="005263D1"/>
    <w:rsid w:val="00526B51"/>
    <w:rsid w:val="00526DB8"/>
    <w:rsid w:val="005302CE"/>
    <w:rsid w:val="00532B5D"/>
    <w:rsid w:val="005333BA"/>
    <w:rsid w:val="00534CAD"/>
    <w:rsid w:val="00534D0D"/>
    <w:rsid w:val="00535247"/>
    <w:rsid w:val="00535F00"/>
    <w:rsid w:val="00541571"/>
    <w:rsid w:val="005417F9"/>
    <w:rsid w:val="00543EDC"/>
    <w:rsid w:val="00544286"/>
    <w:rsid w:val="00545D29"/>
    <w:rsid w:val="005463F0"/>
    <w:rsid w:val="00547377"/>
    <w:rsid w:val="00555B83"/>
    <w:rsid w:val="00557197"/>
    <w:rsid w:val="005605BB"/>
    <w:rsid w:val="00562040"/>
    <w:rsid w:val="00563C77"/>
    <w:rsid w:val="005718D8"/>
    <w:rsid w:val="0057284F"/>
    <w:rsid w:val="00573848"/>
    <w:rsid w:val="00577B2D"/>
    <w:rsid w:val="00580D0E"/>
    <w:rsid w:val="00581F3A"/>
    <w:rsid w:val="00585593"/>
    <w:rsid w:val="00585BD3"/>
    <w:rsid w:val="00592780"/>
    <w:rsid w:val="005940FB"/>
    <w:rsid w:val="0059435A"/>
    <w:rsid w:val="00595AEC"/>
    <w:rsid w:val="00596ACD"/>
    <w:rsid w:val="005A071D"/>
    <w:rsid w:val="005A22D6"/>
    <w:rsid w:val="005A46FA"/>
    <w:rsid w:val="005A5378"/>
    <w:rsid w:val="005A5955"/>
    <w:rsid w:val="005A5D13"/>
    <w:rsid w:val="005A5D2C"/>
    <w:rsid w:val="005A7822"/>
    <w:rsid w:val="005B016F"/>
    <w:rsid w:val="005B1080"/>
    <w:rsid w:val="005B15A4"/>
    <w:rsid w:val="005B3DC6"/>
    <w:rsid w:val="005B587F"/>
    <w:rsid w:val="005B7AEA"/>
    <w:rsid w:val="005C07DF"/>
    <w:rsid w:val="005C2427"/>
    <w:rsid w:val="005C2ECF"/>
    <w:rsid w:val="005C7B92"/>
    <w:rsid w:val="005D1ACA"/>
    <w:rsid w:val="005D2464"/>
    <w:rsid w:val="005D2EFC"/>
    <w:rsid w:val="005D3A34"/>
    <w:rsid w:val="005D62F6"/>
    <w:rsid w:val="005D768F"/>
    <w:rsid w:val="005E034C"/>
    <w:rsid w:val="005E0E25"/>
    <w:rsid w:val="005E1346"/>
    <w:rsid w:val="005E44D4"/>
    <w:rsid w:val="005E50E5"/>
    <w:rsid w:val="005E70EE"/>
    <w:rsid w:val="005E73DB"/>
    <w:rsid w:val="005F0377"/>
    <w:rsid w:val="005F10CA"/>
    <w:rsid w:val="005F6BC0"/>
    <w:rsid w:val="005F7855"/>
    <w:rsid w:val="006002AE"/>
    <w:rsid w:val="00602477"/>
    <w:rsid w:val="006035EB"/>
    <w:rsid w:val="00603E83"/>
    <w:rsid w:val="00606331"/>
    <w:rsid w:val="006069A1"/>
    <w:rsid w:val="0060781A"/>
    <w:rsid w:val="0061058B"/>
    <w:rsid w:val="006107E6"/>
    <w:rsid w:val="00611419"/>
    <w:rsid w:val="00611C4A"/>
    <w:rsid w:val="00613EF2"/>
    <w:rsid w:val="00614BDF"/>
    <w:rsid w:val="00617828"/>
    <w:rsid w:val="00621620"/>
    <w:rsid w:val="00625694"/>
    <w:rsid w:val="00626334"/>
    <w:rsid w:val="00630AD2"/>
    <w:rsid w:val="00631AE0"/>
    <w:rsid w:val="006413A9"/>
    <w:rsid w:val="00644564"/>
    <w:rsid w:val="00644674"/>
    <w:rsid w:val="00644AD2"/>
    <w:rsid w:val="00645DCD"/>
    <w:rsid w:val="00645EC7"/>
    <w:rsid w:val="00645F98"/>
    <w:rsid w:val="006471F8"/>
    <w:rsid w:val="006506F2"/>
    <w:rsid w:val="00652154"/>
    <w:rsid w:val="00653F64"/>
    <w:rsid w:val="00654C5A"/>
    <w:rsid w:val="006550B5"/>
    <w:rsid w:val="006561EF"/>
    <w:rsid w:val="00657432"/>
    <w:rsid w:val="006574E6"/>
    <w:rsid w:val="0066161C"/>
    <w:rsid w:val="00661CD9"/>
    <w:rsid w:val="006620C4"/>
    <w:rsid w:val="00663B3E"/>
    <w:rsid w:val="00666135"/>
    <w:rsid w:val="006666D6"/>
    <w:rsid w:val="00666DBB"/>
    <w:rsid w:val="00667D4D"/>
    <w:rsid w:val="00670BCA"/>
    <w:rsid w:val="006718DF"/>
    <w:rsid w:val="0067351A"/>
    <w:rsid w:val="006739B1"/>
    <w:rsid w:val="006755AA"/>
    <w:rsid w:val="00682608"/>
    <w:rsid w:val="006852C2"/>
    <w:rsid w:val="00686675"/>
    <w:rsid w:val="00690E8E"/>
    <w:rsid w:val="006922E8"/>
    <w:rsid w:val="006938CF"/>
    <w:rsid w:val="00693E97"/>
    <w:rsid w:val="006949AE"/>
    <w:rsid w:val="00694D92"/>
    <w:rsid w:val="006971AF"/>
    <w:rsid w:val="00697434"/>
    <w:rsid w:val="00697E73"/>
    <w:rsid w:val="006A2E63"/>
    <w:rsid w:val="006A367F"/>
    <w:rsid w:val="006A3E81"/>
    <w:rsid w:val="006A405E"/>
    <w:rsid w:val="006A43B1"/>
    <w:rsid w:val="006A4A71"/>
    <w:rsid w:val="006A4BE7"/>
    <w:rsid w:val="006A53A5"/>
    <w:rsid w:val="006B057E"/>
    <w:rsid w:val="006B07AE"/>
    <w:rsid w:val="006B4AF5"/>
    <w:rsid w:val="006B5B44"/>
    <w:rsid w:val="006B6C24"/>
    <w:rsid w:val="006B77E2"/>
    <w:rsid w:val="006C1225"/>
    <w:rsid w:val="006C1428"/>
    <w:rsid w:val="006C2CEF"/>
    <w:rsid w:val="006C3F8F"/>
    <w:rsid w:val="006C416D"/>
    <w:rsid w:val="006C42BD"/>
    <w:rsid w:val="006C4782"/>
    <w:rsid w:val="006C4AE4"/>
    <w:rsid w:val="006C5E26"/>
    <w:rsid w:val="006C6949"/>
    <w:rsid w:val="006C79BA"/>
    <w:rsid w:val="006C7F9A"/>
    <w:rsid w:val="006D0C3F"/>
    <w:rsid w:val="006D44E4"/>
    <w:rsid w:val="006D4CA8"/>
    <w:rsid w:val="006D5DB0"/>
    <w:rsid w:val="006E0A8D"/>
    <w:rsid w:val="006E14FE"/>
    <w:rsid w:val="006E1AE4"/>
    <w:rsid w:val="006E1D01"/>
    <w:rsid w:val="006E2007"/>
    <w:rsid w:val="006E26FF"/>
    <w:rsid w:val="006E2EF7"/>
    <w:rsid w:val="006E3DCB"/>
    <w:rsid w:val="006E4005"/>
    <w:rsid w:val="006E5264"/>
    <w:rsid w:val="006E5BDC"/>
    <w:rsid w:val="006E5E5F"/>
    <w:rsid w:val="006E6369"/>
    <w:rsid w:val="006F0C70"/>
    <w:rsid w:val="006F1BDA"/>
    <w:rsid w:val="006F1F06"/>
    <w:rsid w:val="006F2927"/>
    <w:rsid w:val="006F2B48"/>
    <w:rsid w:val="006F4813"/>
    <w:rsid w:val="006F4A6E"/>
    <w:rsid w:val="006F664A"/>
    <w:rsid w:val="006F7F5C"/>
    <w:rsid w:val="00700B2B"/>
    <w:rsid w:val="00701E3B"/>
    <w:rsid w:val="0070712F"/>
    <w:rsid w:val="00707EF7"/>
    <w:rsid w:val="00710D73"/>
    <w:rsid w:val="00712214"/>
    <w:rsid w:val="007147CE"/>
    <w:rsid w:val="007147D7"/>
    <w:rsid w:val="00714994"/>
    <w:rsid w:val="0071754F"/>
    <w:rsid w:val="007204EF"/>
    <w:rsid w:val="0072149B"/>
    <w:rsid w:val="007215C3"/>
    <w:rsid w:val="00721EB3"/>
    <w:rsid w:val="007249E8"/>
    <w:rsid w:val="00733FD3"/>
    <w:rsid w:val="0073461C"/>
    <w:rsid w:val="00736697"/>
    <w:rsid w:val="0073672B"/>
    <w:rsid w:val="0073679A"/>
    <w:rsid w:val="00741DEA"/>
    <w:rsid w:val="00744080"/>
    <w:rsid w:val="0074525E"/>
    <w:rsid w:val="00745A01"/>
    <w:rsid w:val="007501CF"/>
    <w:rsid w:val="00750F02"/>
    <w:rsid w:val="00750F7E"/>
    <w:rsid w:val="007511FE"/>
    <w:rsid w:val="00751248"/>
    <w:rsid w:val="007521CE"/>
    <w:rsid w:val="0075234D"/>
    <w:rsid w:val="00753091"/>
    <w:rsid w:val="00753C13"/>
    <w:rsid w:val="00753D9C"/>
    <w:rsid w:val="00754D14"/>
    <w:rsid w:val="00760B81"/>
    <w:rsid w:val="00760BEF"/>
    <w:rsid w:val="007624EC"/>
    <w:rsid w:val="0076386B"/>
    <w:rsid w:val="007651F8"/>
    <w:rsid w:val="007659CE"/>
    <w:rsid w:val="00775098"/>
    <w:rsid w:val="00780CE4"/>
    <w:rsid w:val="00781BF5"/>
    <w:rsid w:val="00783402"/>
    <w:rsid w:val="00784A9C"/>
    <w:rsid w:val="007850B7"/>
    <w:rsid w:val="0078681D"/>
    <w:rsid w:val="00792E47"/>
    <w:rsid w:val="007935C1"/>
    <w:rsid w:val="00794A36"/>
    <w:rsid w:val="00794DAE"/>
    <w:rsid w:val="007952FF"/>
    <w:rsid w:val="00795D01"/>
    <w:rsid w:val="007A482B"/>
    <w:rsid w:val="007A5537"/>
    <w:rsid w:val="007A5E1F"/>
    <w:rsid w:val="007B0F3B"/>
    <w:rsid w:val="007B12CE"/>
    <w:rsid w:val="007B1A7B"/>
    <w:rsid w:val="007B22D7"/>
    <w:rsid w:val="007B240C"/>
    <w:rsid w:val="007B60DB"/>
    <w:rsid w:val="007B648F"/>
    <w:rsid w:val="007C24A3"/>
    <w:rsid w:val="007C52CA"/>
    <w:rsid w:val="007C58AB"/>
    <w:rsid w:val="007D0843"/>
    <w:rsid w:val="007D0927"/>
    <w:rsid w:val="007D1393"/>
    <w:rsid w:val="007D53C7"/>
    <w:rsid w:val="007D5AD8"/>
    <w:rsid w:val="007E2FD6"/>
    <w:rsid w:val="007E3CA5"/>
    <w:rsid w:val="007E50AA"/>
    <w:rsid w:val="007E6868"/>
    <w:rsid w:val="007E774C"/>
    <w:rsid w:val="007F2F05"/>
    <w:rsid w:val="007F4794"/>
    <w:rsid w:val="007F7E68"/>
    <w:rsid w:val="00802309"/>
    <w:rsid w:val="008029EA"/>
    <w:rsid w:val="00804DB7"/>
    <w:rsid w:val="0080573C"/>
    <w:rsid w:val="00805CEE"/>
    <w:rsid w:val="008078B5"/>
    <w:rsid w:val="00810ADC"/>
    <w:rsid w:val="0081240C"/>
    <w:rsid w:val="008126DA"/>
    <w:rsid w:val="00813D0C"/>
    <w:rsid w:val="00814D5F"/>
    <w:rsid w:val="00815370"/>
    <w:rsid w:val="00817798"/>
    <w:rsid w:val="00822036"/>
    <w:rsid w:val="008239D2"/>
    <w:rsid w:val="00823DBD"/>
    <w:rsid w:val="008244EE"/>
    <w:rsid w:val="00825971"/>
    <w:rsid w:val="008260D9"/>
    <w:rsid w:val="00826CD3"/>
    <w:rsid w:val="00833C60"/>
    <w:rsid w:val="00836143"/>
    <w:rsid w:val="008365E9"/>
    <w:rsid w:val="00836A0C"/>
    <w:rsid w:val="00836E48"/>
    <w:rsid w:val="00837BE3"/>
    <w:rsid w:val="00837E9B"/>
    <w:rsid w:val="00840B7A"/>
    <w:rsid w:val="00841427"/>
    <w:rsid w:val="0084208A"/>
    <w:rsid w:val="0084486C"/>
    <w:rsid w:val="00847EDB"/>
    <w:rsid w:val="00850141"/>
    <w:rsid w:val="008530E2"/>
    <w:rsid w:val="00854666"/>
    <w:rsid w:val="008631C8"/>
    <w:rsid w:val="00864789"/>
    <w:rsid w:val="00867582"/>
    <w:rsid w:val="00867E76"/>
    <w:rsid w:val="008708EC"/>
    <w:rsid w:val="008708FA"/>
    <w:rsid w:val="008712EA"/>
    <w:rsid w:val="0087412F"/>
    <w:rsid w:val="0087420F"/>
    <w:rsid w:val="008769C1"/>
    <w:rsid w:val="00877962"/>
    <w:rsid w:val="008803CB"/>
    <w:rsid w:val="00884BC5"/>
    <w:rsid w:val="00891F02"/>
    <w:rsid w:val="00893DB7"/>
    <w:rsid w:val="00894313"/>
    <w:rsid w:val="008946D0"/>
    <w:rsid w:val="008A0C9F"/>
    <w:rsid w:val="008A3DBE"/>
    <w:rsid w:val="008A5AF9"/>
    <w:rsid w:val="008A5E47"/>
    <w:rsid w:val="008A62FD"/>
    <w:rsid w:val="008A7201"/>
    <w:rsid w:val="008A7CA1"/>
    <w:rsid w:val="008B5156"/>
    <w:rsid w:val="008C1699"/>
    <w:rsid w:val="008C1FA8"/>
    <w:rsid w:val="008C2665"/>
    <w:rsid w:val="008C2C3A"/>
    <w:rsid w:val="008C2C86"/>
    <w:rsid w:val="008C3385"/>
    <w:rsid w:val="008C3448"/>
    <w:rsid w:val="008C5085"/>
    <w:rsid w:val="008C6634"/>
    <w:rsid w:val="008C69F2"/>
    <w:rsid w:val="008D0A1A"/>
    <w:rsid w:val="008D16D7"/>
    <w:rsid w:val="008D3A1C"/>
    <w:rsid w:val="008D561D"/>
    <w:rsid w:val="008D59C3"/>
    <w:rsid w:val="008D7169"/>
    <w:rsid w:val="008D775A"/>
    <w:rsid w:val="008D7A48"/>
    <w:rsid w:val="008D7BF9"/>
    <w:rsid w:val="008E1C31"/>
    <w:rsid w:val="008E1EAF"/>
    <w:rsid w:val="008E2006"/>
    <w:rsid w:val="008E431D"/>
    <w:rsid w:val="008E67DD"/>
    <w:rsid w:val="008F0565"/>
    <w:rsid w:val="008F5432"/>
    <w:rsid w:val="008F64F7"/>
    <w:rsid w:val="008F6E91"/>
    <w:rsid w:val="008F7A08"/>
    <w:rsid w:val="008F7B46"/>
    <w:rsid w:val="00900A40"/>
    <w:rsid w:val="00900E75"/>
    <w:rsid w:val="00901014"/>
    <w:rsid w:val="00902482"/>
    <w:rsid w:val="00903AAB"/>
    <w:rsid w:val="00904D82"/>
    <w:rsid w:val="00905C7D"/>
    <w:rsid w:val="00907C6D"/>
    <w:rsid w:val="00910B32"/>
    <w:rsid w:val="009122B0"/>
    <w:rsid w:val="0091492D"/>
    <w:rsid w:val="00916FE9"/>
    <w:rsid w:val="00921A7E"/>
    <w:rsid w:val="009229EC"/>
    <w:rsid w:val="00923761"/>
    <w:rsid w:val="0092444E"/>
    <w:rsid w:val="00925A7F"/>
    <w:rsid w:val="00925ACB"/>
    <w:rsid w:val="00926431"/>
    <w:rsid w:val="00926C61"/>
    <w:rsid w:val="00926FDE"/>
    <w:rsid w:val="009322F5"/>
    <w:rsid w:val="009343D1"/>
    <w:rsid w:val="00937307"/>
    <w:rsid w:val="00937CC2"/>
    <w:rsid w:val="009408F6"/>
    <w:rsid w:val="00942240"/>
    <w:rsid w:val="00942849"/>
    <w:rsid w:val="00945983"/>
    <w:rsid w:val="00946420"/>
    <w:rsid w:val="00951D92"/>
    <w:rsid w:val="00951F67"/>
    <w:rsid w:val="00952513"/>
    <w:rsid w:val="00954431"/>
    <w:rsid w:val="0095514F"/>
    <w:rsid w:val="00960F61"/>
    <w:rsid w:val="00962B9A"/>
    <w:rsid w:val="00962F87"/>
    <w:rsid w:val="00964E69"/>
    <w:rsid w:val="00966E8D"/>
    <w:rsid w:val="00972B3E"/>
    <w:rsid w:val="009738B8"/>
    <w:rsid w:val="00973BE1"/>
    <w:rsid w:val="0097469C"/>
    <w:rsid w:val="00974916"/>
    <w:rsid w:val="00975129"/>
    <w:rsid w:val="00975E00"/>
    <w:rsid w:val="009772DA"/>
    <w:rsid w:val="00977FB4"/>
    <w:rsid w:val="009812CE"/>
    <w:rsid w:val="009812DB"/>
    <w:rsid w:val="00984746"/>
    <w:rsid w:val="00985BDD"/>
    <w:rsid w:val="00985C91"/>
    <w:rsid w:val="00990305"/>
    <w:rsid w:val="009906EB"/>
    <w:rsid w:val="00991557"/>
    <w:rsid w:val="00992557"/>
    <w:rsid w:val="00995297"/>
    <w:rsid w:val="00995DC5"/>
    <w:rsid w:val="00996014"/>
    <w:rsid w:val="009A13B4"/>
    <w:rsid w:val="009A2F3B"/>
    <w:rsid w:val="009A3CF5"/>
    <w:rsid w:val="009A3F28"/>
    <w:rsid w:val="009A5087"/>
    <w:rsid w:val="009A5BAF"/>
    <w:rsid w:val="009A698E"/>
    <w:rsid w:val="009A6DCF"/>
    <w:rsid w:val="009A7382"/>
    <w:rsid w:val="009B1D70"/>
    <w:rsid w:val="009B28FD"/>
    <w:rsid w:val="009B2E06"/>
    <w:rsid w:val="009B445C"/>
    <w:rsid w:val="009B632E"/>
    <w:rsid w:val="009C5A8A"/>
    <w:rsid w:val="009D01DB"/>
    <w:rsid w:val="009D06E3"/>
    <w:rsid w:val="009D2977"/>
    <w:rsid w:val="009D49D7"/>
    <w:rsid w:val="009D4C26"/>
    <w:rsid w:val="009D75FA"/>
    <w:rsid w:val="009E0B86"/>
    <w:rsid w:val="009E1F3F"/>
    <w:rsid w:val="009E4A9C"/>
    <w:rsid w:val="009F0973"/>
    <w:rsid w:val="009F0A87"/>
    <w:rsid w:val="009F144D"/>
    <w:rsid w:val="009F2E76"/>
    <w:rsid w:val="009F4339"/>
    <w:rsid w:val="009F487E"/>
    <w:rsid w:val="009F5BF1"/>
    <w:rsid w:val="00A030B9"/>
    <w:rsid w:val="00A046C4"/>
    <w:rsid w:val="00A04894"/>
    <w:rsid w:val="00A06EA0"/>
    <w:rsid w:val="00A06F6E"/>
    <w:rsid w:val="00A07C22"/>
    <w:rsid w:val="00A10159"/>
    <w:rsid w:val="00A10E78"/>
    <w:rsid w:val="00A13431"/>
    <w:rsid w:val="00A13BF2"/>
    <w:rsid w:val="00A14AC0"/>
    <w:rsid w:val="00A16528"/>
    <w:rsid w:val="00A21915"/>
    <w:rsid w:val="00A2408C"/>
    <w:rsid w:val="00A2421F"/>
    <w:rsid w:val="00A24262"/>
    <w:rsid w:val="00A24475"/>
    <w:rsid w:val="00A25EB1"/>
    <w:rsid w:val="00A260E4"/>
    <w:rsid w:val="00A3331B"/>
    <w:rsid w:val="00A33568"/>
    <w:rsid w:val="00A33AFE"/>
    <w:rsid w:val="00A35278"/>
    <w:rsid w:val="00A3584A"/>
    <w:rsid w:val="00A36AD5"/>
    <w:rsid w:val="00A373DB"/>
    <w:rsid w:val="00A37663"/>
    <w:rsid w:val="00A41BAE"/>
    <w:rsid w:val="00A4618F"/>
    <w:rsid w:val="00A47047"/>
    <w:rsid w:val="00A47763"/>
    <w:rsid w:val="00A5768A"/>
    <w:rsid w:val="00A576E5"/>
    <w:rsid w:val="00A61707"/>
    <w:rsid w:val="00A6193D"/>
    <w:rsid w:val="00A65EA5"/>
    <w:rsid w:val="00A71ACE"/>
    <w:rsid w:val="00A72D3D"/>
    <w:rsid w:val="00A73BF4"/>
    <w:rsid w:val="00A7408C"/>
    <w:rsid w:val="00A81EBC"/>
    <w:rsid w:val="00A83FF5"/>
    <w:rsid w:val="00A86AD2"/>
    <w:rsid w:val="00A9152D"/>
    <w:rsid w:val="00A942F5"/>
    <w:rsid w:val="00A94812"/>
    <w:rsid w:val="00A94E23"/>
    <w:rsid w:val="00A950BE"/>
    <w:rsid w:val="00AA21BE"/>
    <w:rsid w:val="00AA21E9"/>
    <w:rsid w:val="00AA2F6A"/>
    <w:rsid w:val="00AA522D"/>
    <w:rsid w:val="00AA74C9"/>
    <w:rsid w:val="00AB6308"/>
    <w:rsid w:val="00AB6E74"/>
    <w:rsid w:val="00AC19E2"/>
    <w:rsid w:val="00AC3FC2"/>
    <w:rsid w:val="00AD13AA"/>
    <w:rsid w:val="00AD583C"/>
    <w:rsid w:val="00AD6240"/>
    <w:rsid w:val="00AE0611"/>
    <w:rsid w:val="00AE08A1"/>
    <w:rsid w:val="00AE0BBF"/>
    <w:rsid w:val="00AE0EF2"/>
    <w:rsid w:val="00AE113F"/>
    <w:rsid w:val="00AE1620"/>
    <w:rsid w:val="00AE57A4"/>
    <w:rsid w:val="00AE59EF"/>
    <w:rsid w:val="00AE7019"/>
    <w:rsid w:val="00AF0DDE"/>
    <w:rsid w:val="00AF4B78"/>
    <w:rsid w:val="00AF5D87"/>
    <w:rsid w:val="00AF7DBB"/>
    <w:rsid w:val="00B0054A"/>
    <w:rsid w:val="00B01145"/>
    <w:rsid w:val="00B0115E"/>
    <w:rsid w:val="00B02BDB"/>
    <w:rsid w:val="00B047FF"/>
    <w:rsid w:val="00B0510F"/>
    <w:rsid w:val="00B07394"/>
    <w:rsid w:val="00B1284B"/>
    <w:rsid w:val="00B12FE7"/>
    <w:rsid w:val="00B13036"/>
    <w:rsid w:val="00B15A8A"/>
    <w:rsid w:val="00B202F6"/>
    <w:rsid w:val="00B207D2"/>
    <w:rsid w:val="00B2242B"/>
    <w:rsid w:val="00B2275F"/>
    <w:rsid w:val="00B22847"/>
    <w:rsid w:val="00B25A6C"/>
    <w:rsid w:val="00B2625E"/>
    <w:rsid w:val="00B262DE"/>
    <w:rsid w:val="00B30229"/>
    <w:rsid w:val="00B311E3"/>
    <w:rsid w:val="00B32691"/>
    <w:rsid w:val="00B33A44"/>
    <w:rsid w:val="00B37406"/>
    <w:rsid w:val="00B41267"/>
    <w:rsid w:val="00B43E69"/>
    <w:rsid w:val="00B46109"/>
    <w:rsid w:val="00B46C45"/>
    <w:rsid w:val="00B4757A"/>
    <w:rsid w:val="00B50D73"/>
    <w:rsid w:val="00B5134C"/>
    <w:rsid w:val="00B52B42"/>
    <w:rsid w:val="00B53BF4"/>
    <w:rsid w:val="00B56147"/>
    <w:rsid w:val="00B56F5C"/>
    <w:rsid w:val="00B60149"/>
    <w:rsid w:val="00B60289"/>
    <w:rsid w:val="00B603C5"/>
    <w:rsid w:val="00B606AC"/>
    <w:rsid w:val="00B60765"/>
    <w:rsid w:val="00B62177"/>
    <w:rsid w:val="00B6433B"/>
    <w:rsid w:val="00B679A6"/>
    <w:rsid w:val="00B72145"/>
    <w:rsid w:val="00B72F88"/>
    <w:rsid w:val="00B730CA"/>
    <w:rsid w:val="00B7374A"/>
    <w:rsid w:val="00B738C6"/>
    <w:rsid w:val="00B73E58"/>
    <w:rsid w:val="00B75F08"/>
    <w:rsid w:val="00B7603F"/>
    <w:rsid w:val="00B81355"/>
    <w:rsid w:val="00B820F5"/>
    <w:rsid w:val="00B83D32"/>
    <w:rsid w:val="00B84D53"/>
    <w:rsid w:val="00B8558A"/>
    <w:rsid w:val="00B90258"/>
    <w:rsid w:val="00B90648"/>
    <w:rsid w:val="00B9128D"/>
    <w:rsid w:val="00B92193"/>
    <w:rsid w:val="00B93399"/>
    <w:rsid w:val="00B94EB0"/>
    <w:rsid w:val="00B952E5"/>
    <w:rsid w:val="00B973F5"/>
    <w:rsid w:val="00BA12D9"/>
    <w:rsid w:val="00BA1CBA"/>
    <w:rsid w:val="00BA3BC2"/>
    <w:rsid w:val="00BB059C"/>
    <w:rsid w:val="00BB09BB"/>
    <w:rsid w:val="00BB298F"/>
    <w:rsid w:val="00BB2A5B"/>
    <w:rsid w:val="00BB3D81"/>
    <w:rsid w:val="00BB7088"/>
    <w:rsid w:val="00BB77EE"/>
    <w:rsid w:val="00BB79DA"/>
    <w:rsid w:val="00BC1AFF"/>
    <w:rsid w:val="00BC726E"/>
    <w:rsid w:val="00BC7B20"/>
    <w:rsid w:val="00BD1A62"/>
    <w:rsid w:val="00BD28CE"/>
    <w:rsid w:val="00BD377F"/>
    <w:rsid w:val="00BD7608"/>
    <w:rsid w:val="00BE1262"/>
    <w:rsid w:val="00BF0531"/>
    <w:rsid w:val="00BF1D98"/>
    <w:rsid w:val="00BF52A2"/>
    <w:rsid w:val="00BF76D9"/>
    <w:rsid w:val="00BF7D3B"/>
    <w:rsid w:val="00C014B5"/>
    <w:rsid w:val="00C01888"/>
    <w:rsid w:val="00C04EBC"/>
    <w:rsid w:val="00C06B50"/>
    <w:rsid w:val="00C10C55"/>
    <w:rsid w:val="00C11CE7"/>
    <w:rsid w:val="00C14772"/>
    <w:rsid w:val="00C17057"/>
    <w:rsid w:val="00C203E9"/>
    <w:rsid w:val="00C2191A"/>
    <w:rsid w:val="00C23D65"/>
    <w:rsid w:val="00C25CD7"/>
    <w:rsid w:val="00C316A0"/>
    <w:rsid w:val="00C32B49"/>
    <w:rsid w:val="00C33D2C"/>
    <w:rsid w:val="00C34E44"/>
    <w:rsid w:val="00C35AAC"/>
    <w:rsid w:val="00C36798"/>
    <w:rsid w:val="00C4044E"/>
    <w:rsid w:val="00C42F45"/>
    <w:rsid w:val="00C430B2"/>
    <w:rsid w:val="00C446E7"/>
    <w:rsid w:val="00C4497E"/>
    <w:rsid w:val="00C44DDF"/>
    <w:rsid w:val="00C46B1A"/>
    <w:rsid w:val="00C50E88"/>
    <w:rsid w:val="00C5142E"/>
    <w:rsid w:val="00C52458"/>
    <w:rsid w:val="00C53204"/>
    <w:rsid w:val="00C534B3"/>
    <w:rsid w:val="00C55FD0"/>
    <w:rsid w:val="00C578B2"/>
    <w:rsid w:val="00C60B2C"/>
    <w:rsid w:val="00C655D8"/>
    <w:rsid w:val="00C66BD9"/>
    <w:rsid w:val="00C6764B"/>
    <w:rsid w:val="00C70533"/>
    <w:rsid w:val="00C70563"/>
    <w:rsid w:val="00C726D6"/>
    <w:rsid w:val="00C752FB"/>
    <w:rsid w:val="00C777E7"/>
    <w:rsid w:val="00C779C1"/>
    <w:rsid w:val="00C77ED4"/>
    <w:rsid w:val="00C805D4"/>
    <w:rsid w:val="00C846FF"/>
    <w:rsid w:val="00C84F1D"/>
    <w:rsid w:val="00C86479"/>
    <w:rsid w:val="00C87B31"/>
    <w:rsid w:val="00C90380"/>
    <w:rsid w:val="00C945FC"/>
    <w:rsid w:val="00C94F73"/>
    <w:rsid w:val="00C9583E"/>
    <w:rsid w:val="00C95FF9"/>
    <w:rsid w:val="00C96BA6"/>
    <w:rsid w:val="00C96DB1"/>
    <w:rsid w:val="00CA01A2"/>
    <w:rsid w:val="00CA14DA"/>
    <w:rsid w:val="00CA24BE"/>
    <w:rsid w:val="00CA356A"/>
    <w:rsid w:val="00CA368B"/>
    <w:rsid w:val="00CA488B"/>
    <w:rsid w:val="00CA4A0D"/>
    <w:rsid w:val="00CA6BFF"/>
    <w:rsid w:val="00CA7010"/>
    <w:rsid w:val="00CB0E5A"/>
    <w:rsid w:val="00CB11F5"/>
    <w:rsid w:val="00CB194B"/>
    <w:rsid w:val="00CB1CAB"/>
    <w:rsid w:val="00CB2148"/>
    <w:rsid w:val="00CB2D3E"/>
    <w:rsid w:val="00CB3322"/>
    <w:rsid w:val="00CB350D"/>
    <w:rsid w:val="00CB4792"/>
    <w:rsid w:val="00CB5094"/>
    <w:rsid w:val="00CB7F79"/>
    <w:rsid w:val="00CC0916"/>
    <w:rsid w:val="00CC1630"/>
    <w:rsid w:val="00CC2DBF"/>
    <w:rsid w:val="00CC4130"/>
    <w:rsid w:val="00CC58F7"/>
    <w:rsid w:val="00CC7C4B"/>
    <w:rsid w:val="00CD0D93"/>
    <w:rsid w:val="00CD2DD8"/>
    <w:rsid w:val="00CD6203"/>
    <w:rsid w:val="00CE130B"/>
    <w:rsid w:val="00CE1621"/>
    <w:rsid w:val="00CE25C1"/>
    <w:rsid w:val="00CE26AD"/>
    <w:rsid w:val="00CE5074"/>
    <w:rsid w:val="00CE68C6"/>
    <w:rsid w:val="00CE7A12"/>
    <w:rsid w:val="00CE7DD9"/>
    <w:rsid w:val="00CF3633"/>
    <w:rsid w:val="00CF492B"/>
    <w:rsid w:val="00CF4FBB"/>
    <w:rsid w:val="00CF51B4"/>
    <w:rsid w:val="00CF67FA"/>
    <w:rsid w:val="00CF6C64"/>
    <w:rsid w:val="00D00086"/>
    <w:rsid w:val="00D00349"/>
    <w:rsid w:val="00D01784"/>
    <w:rsid w:val="00D01F58"/>
    <w:rsid w:val="00D10C87"/>
    <w:rsid w:val="00D11538"/>
    <w:rsid w:val="00D14505"/>
    <w:rsid w:val="00D15265"/>
    <w:rsid w:val="00D159CD"/>
    <w:rsid w:val="00D17F0E"/>
    <w:rsid w:val="00D21993"/>
    <w:rsid w:val="00D23D22"/>
    <w:rsid w:val="00D2424A"/>
    <w:rsid w:val="00D244CF"/>
    <w:rsid w:val="00D2480B"/>
    <w:rsid w:val="00D25807"/>
    <w:rsid w:val="00D25DCF"/>
    <w:rsid w:val="00D27796"/>
    <w:rsid w:val="00D27C6B"/>
    <w:rsid w:val="00D31BDF"/>
    <w:rsid w:val="00D32B19"/>
    <w:rsid w:val="00D33423"/>
    <w:rsid w:val="00D36BC7"/>
    <w:rsid w:val="00D36E83"/>
    <w:rsid w:val="00D405D6"/>
    <w:rsid w:val="00D42E45"/>
    <w:rsid w:val="00D43E71"/>
    <w:rsid w:val="00D465CF"/>
    <w:rsid w:val="00D5058F"/>
    <w:rsid w:val="00D5177C"/>
    <w:rsid w:val="00D550F1"/>
    <w:rsid w:val="00D558C3"/>
    <w:rsid w:val="00D579EB"/>
    <w:rsid w:val="00D60CB6"/>
    <w:rsid w:val="00D617B1"/>
    <w:rsid w:val="00D63E50"/>
    <w:rsid w:val="00D65192"/>
    <w:rsid w:val="00D72401"/>
    <w:rsid w:val="00D72C73"/>
    <w:rsid w:val="00D76ABF"/>
    <w:rsid w:val="00D772AB"/>
    <w:rsid w:val="00D81156"/>
    <w:rsid w:val="00D85B6E"/>
    <w:rsid w:val="00D86C34"/>
    <w:rsid w:val="00D92E35"/>
    <w:rsid w:val="00D92E6D"/>
    <w:rsid w:val="00D94201"/>
    <w:rsid w:val="00D94C85"/>
    <w:rsid w:val="00D956C8"/>
    <w:rsid w:val="00D969EF"/>
    <w:rsid w:val="00D96F13"/>
    <w:rsid w:val="00DA10D2"/>
    <w:rsid w:val="00DA186B"/>
    <w:rsid w:val="00DA26C1"/>
    <w:rsid w:val="00DA2EE0"/>
    <w:rsid w:val="00DA36EA"/>
    <w:rsid w:val="00DB0086"/>
    <w:rsid w:val="00DB1B05"/>
    <w:rsid w:val="00DB1DC1"/>
    <w:rsid w:val="00DB308A"/>
    <w:rsid w:val="00DB3408"/>
    <w:rsid w:val="00DB62C3"/>
    <w:rsid w:val="00DB748F"/>
    <w:rsid w:val="00DB7B67"/>
    <w:rsid w:val="00DC43BF"/>
    <w:rsid w:val="00DC5603"/>
    <w:rsid w:val="00DD0B5E"/>
    <w:rsid w:val="00DD1A78"/>
    <w:rsid w:val="00DD27D2"/>
    <w:rsid w:val="00DD692A"/>
    <w:rsid w:val="00DD6F2C"/>
    <w:rsid w:val="00DE1189"/>
    <w:rsid w:val="00DE19B2"/>
    <w:rsid w:val="00DE2957"/>
    <w:rsid w:val="00DE4EB9"/>
    <w:rsid w:val="00DE5CED"/>
    <w:rsid w:val="00DE6F22"/>
    <w:rsid w:val="00DF18CA"/>
    <w:rsid w:val="00DF2102"/>
    <w:rsid w:val="00DF270C"/>
    <w:rsid w:val="00DF3541"/>
    <w:rsid w:val="00DF3689"/>
    <w:rsid w:val="00E00A2D"/>
    <w:rsid w:val="00E01134"/>
    <w:rsid w:val="00E023BB"/>
    <w:rsid w:val="00E04864"/>
    <w:rsid w:val="00E055B4"/>
    <w:rsid w:val="00E119FF"/>
    <w:rsid w:val="00E11EC4"/>
    <w:rsid w:val="00E12950"/>
    <w:rsid w:val="00E13201"/>
    <w:rsid w:val="00E20410"/>
    <w:rsid w:val="00E21D83"/>
    <w:rsid w:val="00E23769"/>
    <w:rsid w:val="00E23E8E"/>
    <w:rsid w:val="00E24670"/>
    <w:rsid w:val="00E2682E"/>
    <w:rsid w:val="00E34A46"/>
    <w:rsid w:val="00E3525D"/>
    <w:rsid w:val="00E357EE"/>
    <w:rsid w:val="00E36120"/>
    <w:rsid w:val="00E36C16"/>
    <w:rsid w:val="00E373B8"/>
    <w:rsid w:val="00E41802"/>
    <w:rsid w:val="00E41C5D"/>
    <w:rsid w:val="00E42F3A"/>
    <w:rsid w:val="00E434DC"/>
    <w:rsid w:val="00E460BA"/>
    <w:rsid w:val="00E4765E"/>
    <w:rsid w:val="00E50516"/>
    <w:rsid w:val="00E50BC1"/>
    <w:rsid w:val="00E523D1"/>
    <w:rsid w:val="00E5293B"/>
    <w:rsid w:val="00E53CA6"/>
    <w:rsid w:val="00E5503C"/>
    <w:rsid w:val="00E568B2"/>
    <w:rsid w:val="00E56FFA"/>
    <w:rsid w:val="00E6056E"/>
    <w:rsid w:val="00E605EE"/>
    <w:rsid w:val="00E617C2"/>
    <w:rsid w:val="00E6180E"/>
    <w:rsid w:val="00E630A5"/>
    <w:rsid w:val="00E66BB8"/>
    <w:rsid w:val="00E70EF3"/>
    <w:rsid w:val="00E718C0"/>
    <w:rsid w:val="00E718DA"/>
    <w:rsid w:val="00E71E5E"/>
    <w:rsid w:val="00E744A2"/>
    <w:rsid w:val="00E801B7"/>
    <w:rsid w:val="00E854B1"/>
    <w:rsid w:val="00E866AD"/>
    <w:rsid w:val="00E876E0"/>
    <w:rsid w:val="00E87F38"/>
    <w:rsid w:val="00E90815"/>
    <w:rsid w:val="00E91DC6"/>
    <w:rsid w:val="00E92208"/>
    <w:rsid w:val="00E928E7"/>
    <w:rsid w:val="00E9290D"/>
    <w:rsid w:val="00E95066"/>
    <w:rsid w:val="00EA0C62"/>
    <w:rsid w:val="00EA10FC"/>
    <w:rsid w:val="00EA197D"/>
    <w:rsid w:val="00EA234C"/>
    <w:rsid w:val="00EA2513"/>
    <w:rsid w:val="00EA3BA4"/>
    <w:rsid w:val="00EA66FC"/>
    <w:rsid w:val="00EA7F94"/>
    <w:rsid w:val="00EB03BF"/>
    <w:rsid w:val="00EB1AA7"/>
    <w:rsid w:val="00EB32F8"/>
    <w:rsid w:val="00EB4430"/>
    <w:rsid w:val="00EB4EF9"/>
    <w:rsid w:val="00EB5915"/>
    <w:rsid w:val="00EB5969"/>
    <w:rsid w:val="00EB59F9"/>
    <w:rsid w:val="00EB657D"/>
    <w:rsid w:val="00EB7BAC"/>
    <w:rsid w:val="00EC0CC2"/>
    <w:rsid w:val="00EC1E1E"/>
    <w:rsid w:val="00EC1FCF"/>
    <w:rsid w:val="00EC46AF"/>
    <w:rsid w:val="00EC4A02"/>
    <w:rsid w:val="00EC6152"/>
    <w:rsid w:val="00EC7CF8"/>
    <w:rsid w:val="00ED0845"/>
    <w:rsid w:val="00ED1069"/>
    <w:rsid w:val="00ED3EB5"/>
    <w:rsid w:val="00ED46FA"/>
    <w:rsid w:val="00ED6C36"/>
    <w:rsid w:val="00ED7407"/>
    <w:rsid w:val="00EE1092"/>
    <w:rsid w:val="00EE12A8"/>
    <w:rsid w:val="00EE150C"/>
    <w:rsid w:val="00EE2C68"/>
    <w:rsid w:val="00EE431C"/>
    <w:rsid w:val="00EE48F2"/>
    <w:rsid w:val="00EE529C"/>
    <w:rsid w:val="00EE6CA3"/>
    <w:rsid w:val="00EE795B"/>
    <w:rsid w:val="00EF0BA8"/>
    <w:rsid w:val="00EF391D"/>
    <w:rsid w:val="00EF4CD5"/>
    <w:rsid w:val="00EF573E"/>
    <w:rsid w:val="00EF6C33"/>
    <w:rsid w:val="00F01256"/>
    <w:rsid w:val="00F026EF"/>
    <w:rsid w:val="00F02933"/>
    <w:rsid w:val="00F06596"/>
    <w:rsid w:val="00F06CA1"/>
    <w:rsid w:val="00F0711E"/>
    <w:rsid w:val="00F073A4"/>
    <w:rsid w:val="00F10655"/>
    <w:rsid w:val="00F10853"/>
    <w:rsid w:val="00F10A71"/>
    <w:rsid w:val="00F126FF"/>
    <w:rsid w:val="00F14043"/>
    <w:rsid w:val="00F1528D"/>
    <w:rsid w:val="00F17206"/>
    <w:rsid w:val="00F17B21"/>
    <w:rsid w:val="00F202D4"/>
    <w:rsid w:val="00F22135"/>
    <w:rsid w:val="00F23C4C"/>
    <w:rsid w:val="00F24322"/>
    <w:rsid w:val="00F274B6"/>
    <w:rsid w:val="00F310A1"/>
    <w:rsid w:val="00F33F0C"/>
    <w:rsid w:val="00F355A1"/>
    <w:rsid w:val="00F35CEC"/>
    <w:rsid w:val="00F36453"/>
    <w:rsid w:val="00F40A4B"/>
    <w:rsid w:val="00F41B64"/>
    <w:rsid w:val="00F445B5"/>
    <w:rsid w:val="00F45373"/>
    <w:rsid w:val="00F50370"/>
    <w:rsid w:val="00F508F6"/>
    <w:rsid w:val="00F53AEA"/>
    <w:rsid w:val="00F54341"/>
    <w:rsid w:val="00F54973"/>
    <w:rsid w:val="00F550AB"/>
    <w:rsid w:val="00F5539F"/>
    <w:rsid w:val="00F566FE"/>
    <w:rsid w:val="00F60BAF"/>
    <w:rsid w:val="00F60E18"/>
    <w:rsid w:val="00F60E22"/>
    <w:rsid w:val="00F63E33"/>
    <w:rsid w:val="00F67EEE"/>
    <w:rsid w:val="00F7065C"/>
    <w:rsid w:val="00F7164D"/>
    <w:rsid w:val="00F729CA"/>
    <w:rsid w:val="00F73707"/>
    <w:rsid w:val="00F75E8D"/>
    <w:rsid w:val="00F76C9A"/>
    <w:rsid w:val="00F80AB9"/>
    <w:rsid w:val="00F810A0"/>
    <w:rsid w:val="00F81346"/>
    <w:rsid w:val="00F82162"/>
    <w:rsid w:val="00F83265"/>
    <w:rsid w:val="00F834AB"/>
    <w:rsid w:val="00F86195"/>
    <w:rsid w:val="00F86CE8"/>
    <w:rsid w:val="00F87D58"/>
    <w:rsid w:val="00FA053E"/>
    <w:rsid w:val="00FA471F"/>
    <w:rsid w:val="00FA5FB4"/>
    <w:rsid w:val="00FA6B31"/>
    <w:rsid w:val="00FA7594"/>
    <w:rsid w:val="00FA7936"/>
    <w:rsid w:val="00FB412D"/>
    <w:rsid w:val="00FB7948"/>
    <w:rsid w:val="00FC121D"/>
    <w:rsid w:val="00FC300A"/>
    <w:rsid w:val="00FC3D85"/>
    <w:rsid w:val="00FC3FF4"/>
    <w:rsid w:val="00FC47CF"/>
    <w:rsid w:val="00FC4E9B"/>
    <w:rsid w:val="00FC7993"/>
    <w:rsid w:val="00FC7CB4"/>
    <w:rsid w:val="00FD171B"/>
    <w:rsid w:val="00FD35DC"/>
    <w:rsid w:val="00FD4B20"/>
    <w:rsid w:val="00FD6E7A"/>
    <w:rsid w:val="00FE249F"/>
    <w:rsid w:val="00FF1170"/>
    <w:rsid w:val="00FF1275"/>
    <w:rsid w:val="00FF208C"/>
    <w:rsid w:val="00FF3CA4"/>
    <w:rsid w:val="00FF50C6"/>
    <w:rsid w:val="00FF6871"/>
    <w:rsid w:val="00FF6E8F"/>
    <w:rsid w:val="00FF6EC7"/>
    <w:rsid w:val="00FF73E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99"/>
    <w:lsdException w:name="footer" w:uiPriority="99"/>
    <w:lsdException w:name="index heading" w:semiHidden="1"/>
    <w:lsdException w:name="caption" w:uiPriority="35" w:qFormat="1"/>
    <w:lsdException w:name="table of figures" w:semiHidden="1" w:uiPriority="99"/>
    <w:lsdException w:name="envelope address" w:semiHidden="1"/>
    <w:lsdException w:name="envelope return" w:semiHidden="1"/>
    <w:lsdException w:name="footnote reference" w:uiPriority="99"/>
    <w:lsdException w:name="annotation reference" w:semiHidden="1"/>
    <w:lsdException w:name="line number" w:semiHidden="1"/>
    <w:lsdException w:name="table of authorities" w:semiHidden="1"/>
    <w:lsdException w:name="macro" w:semiHidden="1"/>
    <w:lsdException w:name="toa heading" w:semiHidden="1"/>
    <w:lsdException w:name="List" w:semiHidden="1"/>
    <w:lsdException w:name="List Bullet"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uiPriority="99"/>
    <w:lsdException w:name="Strong" w:uiPriority="22" w:qFormat="1"/>
    <w:lsdException w:name="Emphasis" w:uiPriority="20" w:qFormat="1"/>
    <w:lsdException w:name="Document Map" w:semiHidden="1" w:uiPriority="99"/>
    <w:lsdException w:name="Plain Text" w:semiHidden="1"/>
    <w:lsdException w:name="E-mail Signature" w:semiHidden="1"/>
    <w:lsdException w:name="Normal (Web)" w:uiPriority="99"/>
    <w:lsdException w:name="HTML Acronym" w:semiHidden="1"/>
    <w:lsdException w:name="HTML Address"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semiHidden/>
    <w:qFormat/>
    <w:rsid w:val="005C2427"/>
    <w:rPr>
      <w:rFonts w:ascii="Arial" w:hAnsi="Arial"/>
      <w:sz w:val="22"/>
      <w:szCs w:val="22"/>
      <w:lang w:val="en-US" w:eastAsia="en-US"/>
    </w:rPr>
  </w:style>
  <w:style w:type="paragraph" w:styleId="Heading1">
    <w:name w:val="heading 1"/>
    <w:basedOn w:val="Normal"/>
    <w:next w:val="Normal"/>
    <w:link w:val="Heading1Char"/>
    <w:qFormat/>
    <w:rsid w:val="005C2427"/>
    <w:pPr>
      <w:numPr>
        <w:numId w:val="48"/>
      </w:numPr>
      <w:contextualSpacing/>
      <w:outlineLvl w:val="0"/>
    </w:pPr>
    <w:rPr>
      <w:b/>
      <w:bCs/>
      <w:sz w:val="24"/>
      <w:szCs w:val="28"/>
    </w:rPr>
  </w:style>
  <w:style w:type="paragraph" w:styleId="Heading2">
    <w:name w:val="heading 2"/>
    <w:basedOn w:val="Normal"/>
    <w:next w:val="Normal"/>
    <w:link w:val="Heading2Char"/>
    <w:qFormat/>
    <w:rsid w:val="005C2427"/>
    <w:pPr>
      <w:numPr>
        <w:ilvl w:val="1"/>
        <w:numId w:val="48"/>
      </w:numPr>
      <w:outlineLvl w:val="1"/>
    </w:pPr>
    <w:rPr>
      <w:bCs/>
      <w:i/>
      <w:sz w:val="24"/>
      <w:szCs w:val="26"/>
    </w:rPr>
  </w:style>
  <w:style w:type="paragraph" w:styleId="Heading3">
    <w:name w:val="heading 3"/>
    <w:basedOn w:val="Normal"/>
    <w:next w:val="Normal"/>
    <w:link w:val="Heading3Char"/>
    <w:qFormat/>
    <w:rsid w:val="00E87F38"/>
    <w:pPr>
      <w:numPr>
        <w:ilvl w:val="2"/>
        <w:numId w:val="48"/>
      </w:numPr>
      <w:spacing w:before="200" w:line="271" w:lineRule="auto"/>
      <w:outlineLvl w:val="2"/>
    </w:pPr>
    <w:rPr>
      <w:rFonts w:ascii="Cambria" w:hAnsi="Cambria"/>
      <w:b/>
      <w:bCs/>
    </w:rPr>
  </w:style>
  <w:style w:type="paragraph" w:styleId="Heading4">
    <w:name w:val="heading 4"/>
    <w:basedOn w:val="Normal"/>
    <w:next w:val="Normal"/>
    <w:link w:val="Heading4Char"/>
    <w:qFormat/>
    <w:rsid w:val="00E87F38"/>
    <w:pPr>
      <w:numPr>
        <w:ilvl w:val="3"/>
        <w:numId w:val="48"/>
      </w:numPr>
      <w:spacing w:before="200"/>
      <w:outlineLvl w:val="3"/>
    </w:pPr>
    <w:rPr>
      <w:rFonts w:ascii="Cambria" w:hAnsi="Cambria"/>
      <w:b/>
      <w:bCs/>
      <w:i/>
      <w:iCs/>
    </w:rPr>
  </w:style>
  <w:style w:type="paragraph" w:styleId="Heading5">
    <w:name w:val="heading 5"/>
    <w:basedOn w:val="Normal"/>
    <w:next w:val="Normal"/>
    <w:link w:val="Heading5Char"/>
    <w:qFormat/>
    <w:rsid w:val="00E87F38"/>
    <w:pPr>
      <w:numPr>
        <w:ilvl w:val="4"/>
        <w:numId w:val="48"/>
      </w:numPr>
      <w:spacing w:before="200"/>
      <w:outlineLvl w:val="4"/>
    </w:pPr>
    <w:rPr>
      <w:rFonts w:ascii="Cambria" w:hAnsi="Cambria"/>
      <w:b/>
      <w:bCs/>
      <w:color w:val="7F7F7F"/>
    </w:rPr>
  </w:style>
  <w:style w:type="paragraph" w:styleId="Heading6">
    <w:name w:val="heading 6"/>
    <w:basedOn w:val="Normal"/>
    <w:next w:val="Normal"/>
    <w:link w:val="Heading6Char"/>
    <w:uiPriority w:val="9"/>
    <w:semiHidden/>
    <w:qFormat/>
    <w:rsid w:val="00E87F38"/>
    <w:pPr>
      <w:numPr>
        <w:ilvl w:val="5"/>
        <w:numId w:val="48"/>
      </w:num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qFormat/>
    <w:rsid w:val="00E87F38"/>
    <w:pPr>
      <w:numPr>
        <w:ilvl w:val="6"/>
        <w:numId w:val="48"/>
      </w:numPr>
      <w:outlineLvl w:val="6"/>
    </w:pPr>
    <w:rPr>
      <w:rFonts w:ascii="Cambria" w:hAnsi="Cambria"/>
      <w:i/>
      <w:iCs/>
    </w:rPr>
  </w:style>
  <w:style w:type="paragraph" w:styleId="Heading8">
    <w:name w:val="heading 8"/>
    <w:basedOn w:val="Normal"/>
    <w:next w:val="Normal"/>
    <w:link w:val="Heading8Char"/>
    <w:uiPriority w:val="9"/>
    <w:semiHidden/>
    <w:qFormat/>
    <w:rsid w:val="00E87F38"/>
    <w:pPr>
      <w:numPr>
        <w:ilvl w:val="7"/>
        <w:numId w:val="48"/>
      </w:numPr>
      <w:outlineLvl w:val="7"/>
    </w:pPr>
    <w:rPr>
      <w:rFonts w:ascii="Cambria" w:hAnsi="Cambria"/>
      <w:sz w:val="20"/>
      <w:szCs w:val="20"/>
    </w:rPr>
  </w:style>
  <w:style w:type="paragraph" w:styleId="Heading9">
    <w:name w:val="heading 9"/>
    <w:basedOn w:val="Normal"/>
    <w:next w:val="Normal"/>
    <w:link w:val="Heading9Char"/>
    <w:uiPriority w:val="9"/>
    <w:semiHidden/>
    <w:qFormat/>
    <w:rsid w:val="00E87F38"/>
    <w:pPr>
      <w:numPr>
        <w:ilvl w:val="8"/>
        <w:numId w:val="48"/>
      </w:num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C2427"/>
    <w:rPr>
      <w:rFonts w:ascii="Arial" w:hAnsi="Arial"/>
      <w:b/>
      <w:bCs/>
      <w:sz w:val="24"/>
      <w:szCs w:val="28"/>
      <w:lang w:val="en-US" w:eastAsia="en-US"/>
    </w:rPr>
  </w:style>
  <w:style w:type="character" w:customStyle="1" w:styleId="Heading3Char">
    <w:name w:val="Heading 3 Char"/>
    <w:link w:val="Heading3"/>
    <w:rsid w:val="006718DF"/>
    <w:rPr>
      <w:rFonts w:ascii="Cambria" w:hAnsi="Cambria"/>
      <w:b/>
      <w:bCs/>
      <w:sz w:val="22"/>
      <w:szCs w:val="22"/>
      <w:lang w:val="en-US" w:eastAsia="en-US"/>
    </w:rPr>
  </w:style>
  <w:style w:type="paragraph" w:styleId="Header">
    <w:name w:val="header"/>
    <w:basedOn w:val="Normal"/>
    <w:link w:val="HeaderChar"/>
    <w:rsid w:val="005A46FA"/>
    <w:pPr>
      <w:tabs>
        <w:tab w:val="center" w:pos="4536"/>
        <w:tab w:val="right" w:pos="9072"/>
      </w:tabs>
    </w:pPr>
  </w:style>
  <w:style w:type="paragraph" w:styleId="Footer">
    <w:name w:val="footer"/>
    <w:basedOn w:val="Normal"/>
    <w:link w:val="FooterChar"/>
    <w:uiPriority w:val="99"/>
    <w:rsid w:val="00804DB7"/>
    <w:pPr>
      <w:tabs>
        <w:tab w:val="center" w:pos="4320"/>
        <w:tab w:val="right" w:pos="8640"/>
      </w:tabs>
    </w:pPr>
  </w:style>
  <w:style w:type="paragraph" w:styleId="Salutation">
    <w:name w:val="Salutation"/>
    <w:basedOn w:val="Normal"/>
    <w:next w:val="Normal"/>
    <w:link w:val="SalutationChar"/>
    <w:semiHidden/>
    <w:rsid w:val="00804DB7"/>
  </w:style>
  <w:style w:type="paragraph" w:styleId="Signature">
    <w:name w:val="Signature"/>
    <w:basedOn w:val="Normal"/>
    <w:link w:val="SignatureChar"/>
    <w:semiHidden/>
    <w:rsid w:val="00804DB7"/>
    <w:pPr>
      <w:ind w:left="5250"/>
    </w:pPr>
  </w:style>
  <w:style w:type="paragraph" w:styleId="FootnoteText">
    <w:name w:val="footnote text"/>
    <w:basedOn w:val="Normal"/>
    <w:link w:val="FootnoteTextChar"/>
    <w:uiPriority w:val="99"/>
    <w:rsid w:val="008708FA"/>
    <w:rPr>
      <w:sz w:val="18"/>
    </w:rPr>
  </w:style>
  <w:style w:type="character" w:customStyle="1" w:styleId="FootnoteTextChar">
    <w:name w:val="Footnote Text Char"/>
    <w:link w:val="FootnoteText"/>
    <w:uiPriority w:val="99"/>
    <w:locked/>
    <w:rsid w:val="008708FA"/>
    <w:rPr>
      <w:rFonts w:ascii="Arial" w:hAnsi="Arial"/>
      <w:sz w:val="18"/>
      <w:szCs w:val="22"/>
      <w:lang w:val="en-US" w:eastAsia="en-US"/>
    </w:rPr>
  </w:style>
  <w:style w:type="paragraph" w:styleId="EndnoteText">
    <w:name w:val="endnote text"/>
    <w:basedOn w:val="Normal"/>
    <w:link w:val="EndnoteTextChar"/>
    <w:semiHidden/>
    <w:rsid w:val="00804DB7"/>
    <w:rPr>
      <w:sz w:val="18"/>
    </w:rPr>
  </w:style>
  <w:style w:type="paragraph" w:styleId="Caption">
    <w:name w:val="caption"/>
    <w:basedOn w:val="Normal"/>
    <w:next w:val="Normal"/>
    <w:uiPriority w:val="35"/>
    <w:qFormat/>
    <w:rsid w:val="00804DB7"/>
    <w:rPr>
      <w:b/>
      <w:bCs/>
      <w:sz w:val="18"/>
    </w:rPr>
  </w:style>
  <w:style w:type="paragraph" w:styleId="CommentText">
    <w:name w:val="annotation text"/>
    <w:basedOn w:val="Normal"/>
    <w:link w:val="CommentTextChar"/>
    <w:rsid w:val="00804DB7"/>
    <w:rPr>
      <w:sz w:val="18"/>
    </w:rPr>
  </w:style>
  <w:style w:type="paragraph" w:styleId="BodyText">
    <w:name w:val="Body Text"/>
    <w:basedOn w:val="Normal"/>
    <w:link w:val="BodyTextChar"/>
    <w:semiHidden/>
    <w:rsid w:val="00804DB7"/>
    <w:pPr>
      <w:spacing w:after="220"/>
    </w:pPr>
  </w:style>
  <w:style w:type="paragraph" w:customStyle="1" w:styleId="ONUMFS">
    <w:name w:val="ONUM FS"/>
    <w:basedOn w:val="BodyText"/>
    <w:semiHidden/>
    <w:rsid w:val="00804DB7"/>
    <w:pPr>
      <w:numPr>
        <w:numId w:val="2"/>
      </w:numPr>
    </w:pPr>
  </w:style>
  <w:style w:type="paragraph" w:customStyle="1" w:styleId="ONUME">
    <w:name w:val="ONUM E"/>
    <w:basedOn w:val="BodyText"/>
    <w:semiHidden/>
    <w:rsid w:val="00804DB7"/>
    <w:pPr>
      <w:numPr>
        <w:numId w:val="1"/>
      </w:numPr>
    </w:pPr>
  </w:style>
  <w:style w:type="paragraph" w:styleId="ListNumber">
    <w:name w:val="List Number"/>
    <w:basedOn w:val="Normal"/>
    <w:semiHidden/>
    <w:rsid w:val="00804DB7"/>
    <w:pPr>
      <w:numPr>
        <w:numId w:val="3"/>
      </w:numPr>
    </w:pPr>
  </w:style>
  <w:style w:type="character" w:styleId="Hyperlink">
    <w:name w:val="Hyperlink"/>
    <w:uiPriority w:val="99"/>
    <w:rsid w:val="00EB59F9"/>
    <w:rPr>
      <w:color w:val="0000FF"/>
      <w:u w:val="single"/>
    </w:rPr>
  </w:style>
  <w:style w:type="paragraph" w:customStyle="1" w:styleId="Default">
    <w:name w:val="Default"/>
    <w:rsid w:val="00C4497E"/>
    <w:pPr>
      <w:suppressAutoHyphens/>
      <w:autoSpaceDE w:val="0"/>
      <w:spacing w:after="200" w:line="360" w:lineRule="auto"/>
    </w:pPr>
    <w:rPr>
      <w:rFonts w:ascii="Adobe Garamond Pro" w:hAnsi="Adobe Garamond Pro" w:cs="Adobe Garamond Pro"/>
      <w:color w:val="000000"/>
      <w:sz w:val="24"/>
      <w:szCs w:val="24"/>
      <w:lang w:val="en-US" w:eastAsia="ar-SA"/>
    </w:rPr>
  </w:style>
  <w:style w:type="character" w:styleId="FootnoteReference">
    <w:name w:val="footnote reference"/>
    <w:uiPriority w:val="99"/>
    <w:semiHidden/>
    <w:rsid w:val="003E171E"/>
    <w:rPr>
      <w:vertAlign w:val="superscript"/>
    </w:rPr>
  </w:style>
  <w:style w:type="paragraph" w:customStyle="1" w:styleId="CarCar">
    <w:name w:val="Car Car"/>
    <w:basedOn w:val="Normal"/>
    <w:semiHidden/>
    <w:rsid w:val="008C3448"/>
    <w:pPr>
      <w:spacing w:after="160" w:line="240" w:lineRule="exact"/>
    </w:pPr>
    <w:rPr>
      <w:rFonts w:ascii="Verdana" w:hAnsi="Verdana"/>
      <w:sz w:val="20"/>
      <w:lang w:val="en-GB"/>
    </w:rPr>
  </w:style>
  <w:style w:type="table" w:styleId="TableGrid">
    <w:name w:val="Table Grid"/>
    <w:basedOn w:val="TableNormal"/>
    <w:rsid w:val="00AF7D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D92E35"/>
  </w:style>
  <w:style w:type="character" w:styleId="PageNumber">
    <w:name w:val="page number"/>
    <w:basedOn w:val="DefaultParagraphFont"/>
    <w:rsid w:val="00AF4B78"/>
  </w:style>
  <w:style w:type="character" w:styleId="Emphasis">
    <w:name w:val="Emphasis"/>
    <w:uiPriority w:val="20"/>
    <w:qFormat/>
    <w:rsid w:val="00E87F38"/>
    <w:rPr>
      <w:b/>
      <w:bCs/>
      <w:i/>
      <w:iCs/>
      <w:spacing w:val="10"/>
      <w:bdr w:val="none" w:sz="0" w:space="0" w:color="auto"/>
      <w:shd w:val="clear" w:color="auto" w:fill="auto"/>
    </w:rPr>
  </w:style>
  <w:style w:type="character" w:styleId="Strong">
    <w:name w:val="Strong"/>
    <w:uiPriority w:val="22"/>
    <w:qFormat/>
    <w:rsid w:val="00E87F38"/>
    <w:rPr>
      <w:b/>
      <w:bCs/>
    </w:rPr>
  </w:style>
  <w:style w:type="paragraph" w:styleId="BalloonText">
    <w:name w:val="Balloon Text"/>
    <w:basedOn w:val="Normal"/>
    <w:link w:val="BalloonTextChar"/>
    <w:uiPriority w:val="99"/>
    <w:rsid w:val="00180BF6"/>
    <w:rPr>
      <w:rFonts w:ascii="Tahoma" w:hAnsi="Tahoma" w:cs="Tahoma"/>
      <w:sz w:val="16"/>
      <w:szCs w:val="16"/>
    </w:rPr>
  </w:style>
  <w:style w:type="character" w:customStyle="1" w:styleId="emailaddress">
    <w:name w:val="email_address"/>
    <w:basedOn w:val="DefaultParagraphFont"/>
    <w:semiHidden/>
    <w:rsid w:val="00A21915"/>
  </w:style>
  <w:style w:type="character" w:customStyle="1" w:styleId="Caracteresdenotaalpie">
    <w:name w:val="Caracteres de nota al pie"/>
    <w:semiHidden/>
    <w:rsid w:val="00A21915"/>
    <w:rPr>
      <w:vertAlign w:val="superscript"/>
    </w:rPr>
  </w:style>
  <w:style w:type="character" w:styleId="FollowedHyperlink">
    <w:name w:val="FollowedHyperlink"/>
    <w:uiPriority w:val="99"/>
    <w:semiHidden/>
    <w:rsid w:val="00A21915"/>
    <w:rPr>
      <w:color w:val="800080"/>
      <w:u w:val="single"/>
    </w:rPr>
  </w:style>
  <w:style w:type="paragraph" w:styleId="NormalWeb">
    <w:name w:val="Normal (Web)"/>
    <w:basedOn w:val="Normal"/>
    <w:uiPriority w:val="99"/>
    <w:rsid w:val="00A21915"/>
    <w:pPr>
      <w:spacing w:before="100" w:beforeAutospacing="1" w:after="100" w:afterAutospacing="1"/>
    </w:pPr>
    <w:rPr>
      <w:rFonts w:ascii="Times New Roman" w:hAnsi="Times New Roman"/>
      <w:sz w:val="24"/>
      <w:szCs w:val="24"/>
    </w:rPr>
  </w:style>
  <w:style w:type="character" w:styleId="EndnoteReference">
    <w:name w:val="endnote reference"/>
    <w:semiHidden/>
    <w:rsid w:val="00A21915"/>
    <w:rPr>
      <w:vertAlign w:val="superscript"/>
    </w:rPr>
  </w:style>
  <w:style w:type="character" w:customStyle="1" w:styleId="themevertgauche">
    <w:name w:val="themevertgauche"/>
    <w:basedOn w:val="DefaultParagraphFont"/>
    <w:rsid w:val="00A21915"/>
  </w:style>
  <w:style w:type="character" w:customStyle="1" w:styleId="spelle">
    <w:name w:val="spelle"/>
    <w:basedOn w:val="DefaultParagraphFont"/>
    <w:rsid w:val="00A21915"/>
  </w:style>
  <w:style w:type="character" w:customStyle="1" w:styleId="grame">
    <w:name w:val="grame"/>
    <w:basedOn w:val="DefaultParagraphFont"/>
    <w:rsid w:val="00A21915"/>
  </w:style>
  <w:style w:type="character" w:styleId="HTMLCite">
    <w:name w:val="HTML Cite"/>
    <w:rsid w:val="00A21915"/>
    <w:rPr>
      <w:i/>
      <w:iCs/>
    </w:rPr>
  </w:style>
  <w:style w:type="character" w:customStyle="1" w:styleId="slug-pub-date">
    <w:name w:val="slug-pub-date"/>
    <w:basedOn w:val="DefaultParagraphFont"/>
    <w:rsid w:val="00A21915"/>
  </w:style>
  <w:style w:type="character" w:customStyle="1" w:styleId="slug-vol">
    <w:name w:val="slug-vol"/>
    <w:basedOn w:val="DefaultParagraphFont"/>
    <w:rsid w:val="00A21915"/>
  </w:style>
  <w:style w:type="character" w:customStyle="1" w:styleId="slug-issue">
    <w:name w:val="slug-issue"/>
    <w:basedOn w:val="DefaultParagraphFont"/>
    <w:rsid w:val="00A21915"/>
  </w:style>
  <w:style w:type="character" w:customStyle="1" w:styleId="slug-pages">
    <w:name w:val="slug-pages"/>
    <w:basedOn w:val="DefaultParagraphFont"/>
    <w:rsid w:val="00A21915"/>
  </w:style>
  <w:style w:type="character" w:customStyle="1" w:styleId="slug-doi-wrapper">
    <w:name w:val="slug-doi-wrapper"/>
    <w:basedOn w:val="DefaultParagraphFont"/>
    <w:semiHidden/>
    <w:rsid w:val="00A21915"/>
  </w:style>
  <w:style w:type="character" w:customStyle="1" w:styleId="slug-doi">
    <w:name w:val="slug-doi"/>
    <w:basedOn w:val="DefaultParagraphFont"/>
    <w:semiHidden/>
    <w:rsid w:val="00A21915"/>
  </w:style>
  <w:style w:type="character" w:customStyle="1" w:styleId="slug-metadata-noteahead-of-print">
    <w:name w:val="slug-metadata-note ahead-of-print"/>
    <w:basedOn w:val="DefaultParagraphFont"/>
    <w:semiHidden/>
    <w:rsid w:val="00A21915"/>
  </w:style>
  <w:style w:type="character" w:customStyle="1" w:styleId="slug-ahead-of-print-date">
    <w:name w:val="slug-ahead-of-print-date"/>
    <w:basedOn w:val="DefaultParagraphFont"/>
    <w:semiHidden/>
    <w:rsid w:val="00A21915"/>
  </w:style>
  <w:style w:type="character" w:customStyle="1" w:styleId="Heading2Char">
    <w:name w:val="Heading 2 Char"/>
    <w:link w:val="Heading2"/>
    <w:rsid w:val="005C2427"/>
    <w:rPr>
      <w:rFonts w:ascii="Arial" w:hAnsi="Arial"/>
      <w:bCs/>
      <w:i/>
      <w:sz w:val="24"/>
      <w:szCs w:val="26"/>
      <w:lang w:val="en-US" w:eastAsia="en-US"/>
    </w:rPr>
  </w:style>
  <w:style w:type="character" w:customStyle="1" w:styleId="Heading4Char">
    <w:name w:val="Heading 4 Char"/>
    <w:link w:val="Heading4"/>
    <w:rsid w:val="006718DF"/>
    <w:rPr>
      <w:rFonts w:ascii="Cambria" w:hAnsi="Cambria"/>
      <w:b/>
      <w:bCs/>
      <w:i/>
      <w:iCs/>
      <w:sz w:val="22"/>
      <w:szCs w:val="22"/>
      <w:lang w:val="en-US" w:eastAsia="en-US"/>
    </w:rPr>
  </w:style>
  <w:style w:type="character" w:customStyle="1" w:styleId="Heading5Char">
    <w:name w:val="Heading 5 Char"/>
    <w:link w:val="Heading5"/>
    <w:rsid w:val="006718DF"/>
    <w:rPr>
      <w:rFonts w:ascii="Cambria" w:hAnsi="Cambria"/>
      <w:b/>
      <w:bCs/>
      <w:color w:val="7F7F7F"/>
      <w:sz w:val="22"/>
      <w:szCs w:val="22"/>
      <w:lang w:val="en-US" w:eastAsia="en-US"/>
    </w:rPr>
  </w:style>
  <w:style w:type="character" w:customStyle="1" w:styleId="Heading6Char">
    <w:name w:val="Heading 6 Char"/>
    <w:link w:val="Heading6"/>
    <w:uiPriority w:val="9"/>
    <w:semiHidden/>
    <w:rsid w:val="006718DF"/>
    <w:rPr>
      <w:rFonts w:ascii="Cambria" w:hAnsi="Cambria"/>
      <w:b/>
      <w:bCs/>
      <w:i/>
      <w:iCs/>
      <w:color w:val="7F7F7F"/>
      <w:sz w:val="22"/>
      <w:szCs w:val="22"/>
      <w:lang w:val="en-US" w:eastAsia="en-US"/>
    </w:rPr>
  </w:style>
  <w:style w:type="character" w:customStyle="1" w:styleId="Heading7Char">
    <w:name w:val="Heading 7 Char"/>
    <w:link w:val="Heading7"/>
    <w:uiPriority w:val="9"/>
    <w:semiHidden/>
    <w:rsid w:val="006718DF"/>
    <w:rPr>
      <w:rFonts w:ascii="Cambria" w:hAnsi="Cambria"/>
      <w:i/>
      <w:iCs/>
      <w:sz w:val="22"/>
      <w:szCs w:val="22"/>
      <w:lang w:val="en-US" w:eastAsia="en-US"/>
    </w:rPr>
  </w:style>
  <w:style w:type="character" w:customStyle="1" w:styleId="Heading8Char">
    <w:name w:val="Heading 8 Char"/>
    <w:link w:val="Heading8"/>
    <w:uiPriority w:val="9"/>
    <w:semiHidden/>
    <w:rsid w:val="006718DF"/>
    <w:rPr>
      <w:rFonts w:ascii="Cambria" w:hAnsi="Cambria"/>
      <w:lang w:val="en-US" w:eastAsia="en-US"/>
    </w:rPr>
  </w:style>
  <w:style w:type="character" w:customStyle="1" w:styleId="Heading9Char">
    <w:name w:val="Heading 9 Char"/>
    <w:link w:val="Heading9"/>
    <w:uiPriority w:val="9"/>
    <w:semiHidden/>
    <w:rsid w:val="006718DF"/>
    <w:rPr>
      <w:rFonts w:ascii="Cambria" w:hAnsi="Cambria"/>
      <w:i/>
      <w:iCs/>
      <w:spacing w:val="5"/>
      <w:lang w:val="en-US" w:eastAsia="en-US"/>
    </w:rPr>
  </w:style>
  <w:style w:type="paragraph" w:styleId="Title">
    <w:name w:val="Title"/>
    <w:basedOn w:val="Normal"/>
    <w:next w:val="Normal"/>
    <w:link w:val="TitleChar"/>
    <w:uiPriority w:val="10"/>
    <w:qFormat/>
    <w:rsid w:val="00E87F38"/>
    <w:pPr>
      <w:pBdr>
        <w:bottom w:val="single" w:sz="4" w:space="1" w:color="auto"/>
      </w:pBdr>
      <w:contextualSpacing/>
    </w:pPr>
    <w:rPr>
      <w:rFonts w:ascii="Cambria" w:hAnsi="Cambria"/>
      <w:spacing w:val="5"/>
      <w:sz w:val="52"/>
      <w:szCs w:val="52"/>
    </w:rPr>
  </w:style>
  <w:style w:type="character" w:customStyle="1" w:styleId="TitleChar">
    <w:name w:val="Title Char"/>
    <w:link w:val="Title"/>
    <w:uiPriority w:val="10"/>
    <w:rsid w:val="00EB4EF9"/>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E87F38"/>
    <w:pPr>
      <w:spacing w:after="600"/>
    </w:pPr>
    <w:rPr>
      <w:rFonts w:ascii="Cambria" w:hAnsi="Cambria"/>
      <w:i/>
      <w:iCs/>
      <w:spacing w:val="13"/>
      <w:sz w:val="24"/>
      <w:szCs w:val="24"/>
    </w:rPr>
  </w:style>
  <w:style w:type="character" w:customStyle="1" w:styleId="SubtitleChar">
    <w:name w:val="Subtitle Char"/>
    <w:link w:val="Subtitle"/>
    <w:uiPriority w:val="11"/>
    <w:rsid w:val="006718DF"/>
    <w:rPr>
      <w:rFonts w:ascii="Cambria" w:eastAsia="Times New Roman" w:hAnsi="Cambria" w:cs="Times New Roman"/>
      <w:i/>
      <w:iCs/>
      <w:spacing w:val="13"/>
      <w:sz w:val="24"/>
      <w:szCs w:val="24"/>
    </w:rPr>
  </w:style>
  <w:style w:type="paragraph" w:styleId="NoSpacing">
    <w:name w:val="No Spacing"/>
    <w:basedOn w:val="Normal"/>
    <w:uiPriority w:val="1"/>
    <w:qFormat/>
    <w:rsid w:val="00E87F38"/>
  </w:style>
  <w:style w:type="paragraph" w:styleId="ListParagraph">
    <w:name w:val="List Paragraph"/>
    <w:basedOn w:val="Normal"/>
    <w:uiPriority w:val="34"/>
    <w:qFormat/>
    <w:rsid w:val="00E87F38"/>
    <w:pPr>
      <w:ind w:left="720"/>
      <w:contextualSpacing/>
    </w:pPr>
  </w:style>
  <w:style w:type="paragraph" w:styleId="Quote">
    <w:name w:val="Quote"/>
    <w:basedOn w:val="Normal"/>
    <w:next w:val="Normal"/>
    <w:link w:val="QuoteChar"/>
    <w:uiPriority w:val="29"/>
    <w:qFormat/>
    <w:rsid w:val="00E87F38"/>
    <w:pPr>
      <w:spacing w:before="200"/>
      <w:ind w:left="360" w:right="360"/>
    </w:pPr>
    <w:rPr>
      <w:i/>
      <w:iCs/>
    </w:rPr>
  </w:style>
  <w:style w:type="character" w:customStyle="1" w:styleId="QuoteChar">
    <w:name w:val="Quote Char"/>
    <w:link w:val="Quote"/>
    <w:uiPriority w:val="29"/>
    <w:rsid w:val="006718DF"/>
    <w:rPr>
      <w:i/>
      <w:iCs/>
    </w:rPr>
  </w:style>
  <w:style w:type="paragraph" w:styleId="IntenseQuote">
    <w:name w:val="Intense Quote"/>
    <w:basedOn w:val="Normal"/>
    <w:next w:val="Normal"/>
    <w:link w:val="IntenseQuoteChar"/>
    <w:uiPriority w:val="30"/>
    <w:qFormat/>
    <w:rsid w:val="00E87F38"/>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6718DF"/>
    <w:rPr>
      <w:b/>
      <w:bCs/>
      <w:i/>
      <w:iCs/>
    </w:rPr>
  </w:style>
  <w:style w:type="character" w:styleId="SubtleEmphasis">
    <w:name w:val="Subtle Emphasis"/>
    <w:uiPriority w:val="19"/>
    <w:qFormat/>
    <w:rsid w:val="00E87F38"/>
    <w:rPr>
      <w:i/>
      <w:iCs/>
    </w:rPr>
  </w:style>
  <w:style w:type="character" w:styleId="IntenseEmphasis">
    <w:name w:val="Intense Emphasis"/>
    <w:uiPriority w:val="21"/>
    <w:qFormat/>
    <w:rsid w:val="00E87F38"/>
    <w:rPr>
      <w:b/>
      <w:bCs/>
    </w:rPr>
  </w:style>
  <w:style w:type="character" w:styleId="SubtleReference">
    <w:name w:val="Subtle Reference"/>
    <w:uiPriority w:val="31"/>
    <w:qFormat/>
    <w:rsid w:val="00E87F38"/>
    <w:rPr>
      <w:smallCaps/>
    </w:rPr>
  </w:style>
  <w:style w:type="character" w:styleId="IntenseReference">
    <w:name w:val="Intense Reference"/>
    <w:uiPriority w:val="32"/>
    <w:qFormat/>
    <w:rsid w:val="00E87F38"/>
    <w:rPr>
      <w:smallCaps/>
      <w:spacing w:val="5"/>
      <w:u w:val="single"/>
    </w:rPr>
  </w:style>
  <w:style w:type="character" w:styleId="BookTitle">
    <w:name w:val="Book Title"/>
    <w:uiPriority w:val="33"/>
    <w:qFormat/>
    <w:rsid w:val="00E87F38"/>
    <w:rPr>
      <w:i/>
      <w:iCs/>
      <w:smallCaps/>
      <w:spacing w:val="5"/>
    </w:rPr>
  </w:style>
  <w:style w:type="paragraph" w:styleId="TOCHeading">
    <w:name w:val="TOC Heading"/>
    <w:basedOn w:val="Heading1"/>
    <w:next w:val="Normal"/>
    <w:uiPriority w:val="39"/>
    <w:semiHidden/>
    <w:qFormat/>
    <w:rsid w:val="00E87F38"/>
    <w:pPr>
      <w:outlineLvl w:val="9"/>
    </w:pPr>
    <w:rPr>
      <w:lang w:bidi="en-US"/>
    </w:rPr>
  </w:style>
  <w:style w:type="paragraph" w:customStyle="1" w:styleId="Text">
    <w:name w:val="Text"/>
    <w:basedOn w:val="Normal"/>
    <w:uiPriority w:val="99"/>
    <w:qFormat/>
    <w:rsid w:val="00E87F38"/>
  </w:style>
  <w:style w:type="paragraph" w:customStyle="1" w:styleId="Section">
    <w:name w:val="Section"/>
    <w:basedOn w:val="Heading1"/>
    <w:uiPriority w:val="99"/>
    <w:qFormat/>
    <w:rsid w:val="00E523D1"/>
    <w:pPr>
      <w:numPr>
        <w:numId w:val="4"/>
      </w:numPr>
    </w:pPr>
    <w:rPr>
      <w:sz w:val="22"/>
    </w:rPr>
  </w:style>
  <w:style w:type="paragraph" w:customStyle="1" w:styleId="Subsection">
    <w:name w:val="Subsection"/>
    <w:basedOn w:val="Heading2"/>
    <w:uiPriority w:val="99"/>
    <w:qFormat/>
    <w:rsid w:val="008239D2"/>
    <w:pPr>
      <w:numPr>
        <w:numId w:val="5"/>
      </w:numPr>
      <w:ind w:left="360"/>
    </w:pPr>
    <w:rPr>
      <w:sz w:val="22"/>
    </w:rPr>
  </w:style>
  <w:style w:type="paragraph" w:customStyle="1" w:styleId="Footnote">
    <w:name w:val="Footnote"/>
    <w:basedOn w:val="FootnoteText"/>
    <w:uiPriority w:val="99"/>
    <w:qFormat/>
    <w:rsid w:val="00B83D32"/>
  </w:style>
  <w:style w:type="paragraph" w:customStyle="1" w:styleId="Presection">
    <w:name w:val="Presection"/>
    <w:basedOn w:val="Heading1"/>
    <w:uiPriority w:val="99"/>
    <w:qFormat/>
    <w:rsid w:val="009408F6"/>
    <w:pPr>
      <w:ind w:left="-28"/>
    </w:pPr>
    <w:rPr>
      <w:sz w:val="22"/>
    </w:rPr>
  </w:style>
  <w:style w:type="paragraph" w:customStyle="1" w:styleId="SUBSubsection">
    <w:name w:val="SUBSubsection"/>
    <w:basedOn w:val="Heading3"/>
    <w:qFormat/>
    <w:rsid w:val="00985BDD"/>
    <w:pPr>
      <w:numPr>
        <w:numId w:val="11"/>
      </w:numPr>
      <w:spacing w:before="0" w:line="240" w:lineRule="auto"/>
      <w:ind w:left="360"/>
    </w:pPr>
    <w:rPr>
      <w:rFonts w:ascii="Arial" w:hAnsi="Arial"/>
      <w:b w:val="0"/>
      <w:i/>
      <w:szCs w:val="26"/>
    </w:rPr>
  </w:style>
  <w:style w:type="character" w:styleId="CommentReference">
    <w:name w:val="annotation reference"/>
    <w:rsid w:val="00B02BDB"/>
    <w:rPr>
      <w:sz w:val="16"/>
      <w:szCs w:val="16"/>
    </w:rPr>
  </w:style>
  <w:style w:type="character" w:customStyle="1" w:styleId="CommentTextChar">
    <w:name w:val="Comment Text Char"/>
    <w:link w:val="CommentText"/>
    <w:rsid w:val="00B02BDB"/>
    <w:rPr>
      <w:sz w:val="18"/>
      <w:szCs w:val="22"/>
    </w:rPr>
  </w:style>
  <w:style w:type="character" w:customStyle="1" w:styleId="BodyTextChar">
    <w:name w:val="Body Text Char"/>
    <w:link w:val="BodyText"/>
    <w:semiHidden/>
    <w:rsid w:val="00B02BDB"/>
    <w:rPr>
      <w:sz w:val="22"/>
      <w:szCs w:val="22"/>
    </w:rPr>
  </w:style>
  <w:style w:type="paragraph" w:customStyle="1" w:styleId="Subsectionappendix">
    <w:name w:val="Subsection_appendix"/>
    <w:basedOn w:val="Heading2"/>
    <w:qFormat/>
    <w:rsid w:val="00CF51B4"/>
    <w:rPr>
      <w:b/>
      <w:i w:val="0"/>
      <w:sz w:val="22"/>
    </w:rPr>
  </w:style>
  <w:style w:type="paragraph" w:styleId="TOC2">
    <w:name w:val="toc 2"/>
    <w:basedOn w:val="Normal"/>
    <w:next w:val="Normal"/>
    <w:autoRedefine/>
    <w:uiPriority w:val="39"/>
    <w:unhideWhenUsed/>
    <w:qFormat/>
    <w:rsid w:val="001E6DE7"/>
    <w:pPr>
      <w:tabs>
        <w:tab w:val="left" w:pos="9090"/>
        <w:tab w:val="right" w:leader="dot" w:pos="9214"/>
        <w:tab w:val="left" w:pos="9720"/>
      </w:tabs>
      <w:spacing w:line="360" w:lineRule="auto"/>
      <w:ind w:left="357" w:right="1349"/>
    </w:pPr>
    <w:rPr>
      <w:lang w:val="es-ES" w:eastAsia="es-ES"/>
    </w:rPr>
  </w:style>
  <w:style w:type="paragraph" w:styleId="TOC1">
    <w:name w:val="toc 1"/>
    <w:basedOn w:val="Normal"/>
    <w:next w:val="Normal"/>
    <w:autoRedefine/>
    <w:uiPriority w:val="39"/>
    <w:unhideWhenUsed/>
    <w:qFormat/>
    <w:rsid w:val="00426886"/>
    <w:pPr>
      <w:tabs>
        <w:tab w:val="right" w:leader="dot" w:pos="9063"/>
      </w:tabs>
      <w:spacing w:line="360" w:lineRule="auto"/>
      <w:ind w:left="360" w:right="1350"/>
    </w:pPr>
    <w:rPr>
      <w:lang w:val="es-ES" w:eastAsia="es-ES"/>
    </w:rPr>
  </w:style>
  <w:style w:type="paragraph" w:styleId="TOC3">
    <w:name w:val="toc 3"/>
    <w:basedOn w:val="Normal"/>
    <w:next w:val="Normal"/>
    <w:autoRedefine/>
    <w:uiPriority w:val="39"/>
    <w:unhideWhenUsed/>
    <w:qFormat/>
    <w:rsid w:val="004336CD"/>
    <w:pPr>
      <w:ind w:left="442"/>
    </w:pPr>
    <w:rPr>
      <w:lang w:val="es-ES" w:eastAsia="es-ES"/>
    </w:rPr>
  </w:style>
  <w:style w:type="paragraph" w:customStyle="1" w:styleId="Globaltitle">
    <w:name w:val="Global_title"/>
    <w:basedOn w:val="PlainText"/>
    <w:qFormat/>
    <w:rsid w:val="004336CD"/>
    <w:pPr>
      <w:jc w:val="center"/>
    </w:pPr>
    <w:rPr>
      <w:rFonts w:ascii="Cambria" w:hAnsi="Cambria"/>
      <w:b/>
      <w:sz w:val="40"/>
      <w:szCs w:val="40"/>
    </w:rPr>
  </w:style>
  <w:style w:type="paragraph" w:customStyle="1" w:styleId="Apendix">
    <w:name w:val="Apendix"/>
    <w:basedOn w:val="Heading1"/>
    <w:qFormat/>
    <w:rsid w:val="00CF51B4"/>
    <w:rPr>
      <w:sz w:val="22"/>
    </w:rPr>
  </w:style>
  <w:style w:type="paragraph" w:styleId="PlainText">
    <w:name w:val="Plain Text"/>
    <w:basedOn w:val="Normal"/>
    <w:link w:val="PlainTextChar"/>
    <w:semiHidden/>
    <w:rsid w:val="004336CD"/>
    <w:rPr>
      <w:rFonts w:ascii="Courier New" w:hAnsi="Courier New" w:cs="Courier New"/>
      <w:sz w:val="20"/>
      <w:szCs w:val="20"/>
    </w:rPr>
  </w:style>
  <w:style w:type="character" w:customStyle="1" w:styleId="PlainTextChar">
    <w:name w:val="Plain Text Char"/>
    <w:link w:val="PlainText"/>
    <w:semiHidden/>
    <w:rsid w:val="004336CD"/>
    <w:rPr>
      <w:rFonts w:ascii="Courier New" w:hAnsi="Courier New" w:cs="Courier New"/>
      <w:lang w:val="en-US" w:eastAsia="en-US"/>
    </w:rPr>
  </w:style>
  <w:style w:type="paragraph" w:styleId="TOC4">
    <w:name w:val="toc 4"/>
    <w:basedOn w:val="Normal"/>
    <w:next w:val="Normal"/>
    <w:autoRedefine/>
    <w:rsid w:val="004336CD"/>
    <w:pPr>
      <w:ind w:left="658"/>
    </w:pPr>
  </w:style>
  <w:style w:type="paragraph" w:customStyle="1" w:styleId="References">
    <w:name w:val="References"/>
    <w:basedOn w:val="Heading1"/>
    <w:qFormat/>
    <w:rsid w:val="00CF51B4"/>
    <w:rPr>
      <w:sz w:val="22"/>
    </w:rPr>
  </w:style>
  <w:style w:type="paragraph" w:customStyle="1" w:styleId="Box">
    <w:name w:val="Box"/>
    <w:basedOn w:val="TableofFigures"/>
    <w:qFormat/>
    <w:rsid w:val="006D4CA8"/>
    <w:rPr>
      <w:b/>
      <w:sz w:val="20"/>
      <w:szCs w:val="20"/>
    </w:rPr>
  </w:style>
  <w:style w:type="paragraph" w:customStyle="1" w:styleId="Taules">
    <w:name w:val="Taules"/>
    <w:basedOn w:val="TableofFigures"/>
    <w:qFormat/>
    <w:rsid w:val="006D4CA8"/>
    <w:rPr>
      <w:b/>
    </w:rPr>
  </w:style>
  <w:style w:type="paragraph" w:styleId="TableofFigures">
    <w:name w:val="table of figures"/>
    <w:basedOn w:val="Normal"/>
    <w:next w:val="Normal"/>
    <w:uiPriority w:val="99"/>
    <w:rsid w:val="00DB1DC1"/>
  </w:style>
  <w:style w:type="paragraph" w:customStyle="1" w:styleId="Figura">
    <w:name w:val="Figura"/>
    <w:basedOn w:val="TableofFigures"/>
    <w:qFormat/>
    <w:rsid w:val="00DB1DC1"/>
    <w:rPr>
      <w:b/>
    </w:rPr>
  </w:style>
  <w:style w:type="paragraph" w:styleId="CommentSubject">
    <w:name w:val="annotation subject"/>
    <w:basedOn w:val="CommentText"/>
    <w:next w:val="CommentText"/>
    <w:link w:val="CommentSubjectChar"/>
    <w:rsid w:val="005D768F"/>
    <w:rPr>
      <w:b/>
      <w:bCs/>
      <w:sz w:val="20"/>
      <w:szCs w:val="20"/>
    </w:rPr>
  </w:style>
  <w:style w:type="character" w:customStyle="1" w:styleId="CommentSubjectChar">
    <w:name w:val="Comment Subject Char"/>
    <w:basedOn w:val="CommentTextChar"/>
    <w:link w:val="CommentSubject"/>
    <w:rsid w:val="005D768F"/>
    <w:rPr>
      <w:b/>
      <w:bCs/>
      <w:sz w:val="18"/>
      <w:szCs w:val="22"/>
      <w:lang w:val="en-US" w:eastAsia="en-US"/>
    </w:rPr>
  </w:style>
  <w:style w:type="paragraph" w:styleId="Bibliography">
    <w:name w:val="Bibliography"/>
    <w:basedOn w:val="Normal"/>
    <w:next w:val="Normal"/>
    <w:uiPriority w:val="37"/>
    <w:semiHidden/>
    <w:rsid w:val="00F01256"/>
    <w:pPr>
      <w:ind w:left="720" w:hanging="720"/>
    </w:pPr>
    <w:rPr>
      <w:rFonts w:cs="Arial"/>
    </w:rPr>
  </w:style>
  <w:style w:type="paragraph" w:styleId="Revision">
    <w:name w:val="Revision"/>
    <w:hidden/>
    <w:uiPriority w:val="99"/>
    <w:semiHidden/>
    <w:rsid w:val="0006037E"/>
    <w:rPr>
      <w:sz w:val="22"/>
      <w:szCs w:val="22"/>
      <w:lang w:val="en-US" w:eastAsia="en-US"/>
    </w:rPr>
  </w:style>
  <w:style w:type="character" w:customStyle="1" w:styleId="highlight">
    <w:name w:val="highlight"/>
    <w:basedOn w:val="DefaultParagraphFont"/>
    <w:rsid w:val="00220D75"/>
  </w:style>
  <w:style w:type="character" w:customStyle="1" w:styleId="HeaderChar">
    <w:name w:val="Header Char"/>
    <w:basedOn w:val="DefaultParagraphFont"/>
    <w:link w:val="Header"/>
    <w:uiPriority w:val="99"/>
    <w:rsid w:val="00F508F6"/>
    <w:rPr>
      <w:sz w:val="22"/>
      <w:szCs w:val="22"/>
      <w:lang w:val="en-US" w:eastAsia="en-US"/>
    </w:rPr>
  </w:style>
  <w:style w:type="character" w:customStyle="1" w:styleId="FooterChar">
    <w:name w:val="Footer Char"/>
    <w:basedOn w:val="DefaultParagraphFont"/>
    <w:link w:val="Footer"/>
    <w:uiPriority w:val="99"/>
    <w:rsid w:val="00F508F6"/>
    <w:rPr>
      <w:sz w:val="22"/>
      <w:szCs w:val="22"/>
      <w:lang w:val="en-US" w:eastAsia="en-US"/>
    </w:rPr>
  </w:style>
  <w:style w:type="character" w:customStyle="1" w:styleId="EndnoteTextChar">
    <w:name w:val="Endnote Text Char"/>
    <w:basedOn w:val="DefaultParagraphFont"/>
    <w:link w:val="EndnoteText"/>
    <w:semiHidden/>
    <w:rsid w:val="00F508F6"/>
    <w:rPr>
      <w:sz w:val="18"/>
      <w:szCs w:val="22"/>
      <w:lang w:val="en-US" w:eastAsia="en-US"/>
    </w:rPr>
  </w:style>
  <w:style w:type="character" w:customStyle="1" w:styleId="SignatureChar">
    <w:name w:val="Signature Char"/>
    <w:basedOn w:val="DefaultParagraphFont"/>
    <w:link w:val="Signature"/>
    <w:semiHidden/>
    <w:rsid w:val="00F508F6"/>
    <w:rPr>
      <w:sz w:val="22"/>
      <w:szCs w:val="22"/>
      <w:lang w:val="en-US" w:eastAsia="en-US"/>
    </w:rPr>
  </w:style>
  <w:style w:type="character" w:customStyle="1" w:styleId="SalutationChar">
    <w:name w:val="Salutation Char"/>
    <w:basedOn w:val="DefaultParagraphFont"/>
    <w:link w:val="Salutation"/>
    <w:semiHidden/>
    <w:rsid w:val="00F508F6"/>
    <w:rPr>
      <w:sz w:val="22"/>
      <w:szCs w:val="22"/>
      <w:lang w:val="en-US" w:eastAsia="en-US"/>
    </w:rPr>
  </w:style>
  <w:style w:type="character" w:customStyle="1" w:styleId="BalloonTextChar">
    <w:name w:val="Balloon Text Char"/>
    <w:basedOn w:val="DefaultParagraphFont"/>
    <w:link w:val="BalloonText"/>
    <w:uiPriority w:val="99"/>
    <w:rsid w:val="00F508F6"/>
    <w:rPr>
      <w:rFonts w:ascii="Tahoma" w:hAnsi="Tahoma" w:cs="Tahoma"/>
      <w:sz w:val="16"/>
      <w:szCs w:val="16"/>
      <w:lang w:val="en-US" w:eastAsia="en-US"/>
    </w:rPr>
  </w:style>
  <w:style w:type="numbering" w:customStyle="1" w:styleId="NoList1">
    <w:name w:val="No List1"/>
    <w:next w:val="NoList"/>
    <w:uiPriority w:val="99"/>
    <w:semiHidden/>
    <w:unhideWhenUsed/>
    <w:rsid w:val="008708FA"/>
  </w:style>
  <w:style w:type="table" w:customStyle="1" w:styleId="TableGrid1">
    <w:name w:val="Table Grid1"/>
    <w:basedOn w:val="TableNormal"/>
    <w:next w:val="TableGrid"/>
    <w:uiPriority w:val="59"/>
    <w:rsid w:val="008708FA"/>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name">
    <w:name w:val="Table_name"/>
    <w:basedOn w:val="Normal"/>
    <w:link w:val="TablenameChar"/>
    <w:qFormat/>
    <w:rsid w:val="008708FA"/>
    <w:pPr>
      <w:spacing w:after="120"/>
    </w:pPr>
    <w:rPr>
      <w:rFonts w:ascii="Times New Roman" w:eastAsia="Cordia New" w:hAnsi="Times New Roman"/>
      <w:b/>
      <w:bCs/>
      <w:sz w:val="24"/>
      <w:szCs w:val="24"/>
      <w:lang w:bidi="th-TH"/>
    </w:rPr>
  </w:style>
  <w:style w:type="character" w:customStyle="1" w:styleId="TablenameChar">
    <w:name w:val="Table_name Char"/>
    <w:basedOn w:val="DefaultParagraphFont"/>
    <w:link w:val="Tablename"/>
    <w:rsid w:val="008708FA"/>
    <w:rPr>
      <w:rFonts w:ascii="Times New Roman" w:eastAsia="Cordia New" w:hAnsi="Times New Roman"/>
      <w:b/>
      <w:bCs/>
      <w:sz w:val="24"/>
      <w:szCs w:val="24"/>
      <w:lang w:val="en-US" w:eastAsia="en-US" w:bidi="th-TH"/>
    </w:rPr>
  </w:style>
  <w:style w:type="paragraph" w:customStyle="1" w:styleId="source">
    <w:name w:val="source"/>
    <w:basedOn w:val="Normal"/>
    <w:link w:val="sourceChar"/>
    <w:qFormat/>
    <w:rsid w:val="008708FA"/>
    <w:pPr>
      <w:spacing w:after="120"/>
    </w:pPr>
    <w:rPr>
      <w:rFonts w:ascii="Times New Roman" w:eastAsia="Cordia New" w:hAnsi="Times New Roman"/>
      <w:sz w:val="18"/>
      <w:szCs w:val="18"/>
      <w:lang w:bidi="th-TH"/>
    </w:rPr>
  </w:style>
  <w:style w:type="character" w:customStyle="1" w:styleId="sourceChar">
    <w:name w:val="source Char"/>
    <w:basedOn w:val="DefaultParagraphFont"/>
    <w:link w:val="source"/>
    <w:rsid w:val="008708FA"/>
    <w:rPr>
      <w:rFonts w:ascii="Times New Roman" w:eastAsia="Cordia New" w:hAnsi="Times New Roman"/>
      <w:sz w:val="18"/>
      <w:szCs w:val="18"/>
      <w:lang w:val="en-US" w:eastAsia="en-US" w:bidi="th-TH"/>
    </w:rPr>
  </w:style>
  <w:style w:type="paragraph" w:customStyle="1" w:styleId="formattable">
    <w:name w:val="format_table"/>
    <w:basedOn w:val="Normal"/>
    <w:qFormat/>
    <w:rsid w:val="008708FA"/>
    <w:rPr>
      <w:rFonts w:ascii="Times New Roman" w:eastAsia="Cordia New" w:hAnsi="Times New Roman"/>
      <w:sz w:val="20"/>
      <w:szCs w:val="20"/>
      <w:lang w:bidi="th-TH"/>
    </w:rPr>
  </w:style>
  <w:style w:type="paragraph" w:styleId="ListBullet">
    <w:name w:val="List Bullet"/>
    <w:basedOn w:val="Normal"/>
    <w:autoRedefine/>
    <w:rsid w:val="008708FA"/>
    <w:pPr>
      <w:tabs>
        <w:tab w:val="num" w:pos="1080"/>
      </w:tabs>
      <w:spacing w:after="120"/>
      <w:ind w:firstLine="720"/>
      <w:jc w:val="thaiDistribute"/>
    </w:pPr>
    <w:rPr>
      <w:rFonts w:ascii="Times New Roman" w:eastAsia="Cordia New" w:hAnsi="Times New Roman"/>
      <w:sz w:val="24"/>
      <w:szCs w:val="24"/>
      <w:lang w:bidi="th-TH"/>
    </w:rPr>
  </w:style>
  <w:style w:type="paragraph" w:styleId="ListNumber2">
    <w:name w:val="List Number 2"/>
    <w:basedOn w:val="Normal"/>
    <w:rsid w:val="008708FA"/>
    <w:pPr>
      <w:tabs>
        <w:tab w:val="num" w:pos="1080"/>
      </w:tabs>
      <w:spacing w:after="120"/>
      <w:ind w:firstLine="720"/>
      <w:jc w:val="thaiDistribute"/>
    </w:pPr>
    <w:rPr>
      <w:rFonts w:ascii="Times New Roman" w:eastAsia="Cordia New" w:hAnsi="Times New Roman"/>
      <w:sz w:val="24"/>
      <w:szCs w:val="24"/>
      <w:lang w:bidi="th-TH"/>
    </w:rPr>
  </w:style>
  <w:style w:type="paragraph" w:styleId="ListNumber3">
    <w:name w:val="List Number 3"/>
    <w:basedOn w:val="Normal"/>
    <w:rsid w:val="008708FA"/>
    <w:pPr>
      <w:tabs>
        <w:tab w:val="num" w:pos="1080"/>
      </w:tabs>
      <w:spacing w:after="120"/>
      <w:ind w:firstLine="720"/>
      <w:jc w:val="thaiDistribute"/>
    </w:pPr>
    <w:rPr>
      <w:rFonts w:ascii="Times New Roman" w:eastAsia="Cordia New" w:hAnsi="Times New Roman"/>
      <w:sz w:val="24"/>
      <w:szCs w:val="24"/>
      <w:lang w:bidi="th-TH"/>
    </w:rPr>
  </w:style>
  <w:style w:type="paragraph" w:styleId="ListNumber4">
    <w:name w:val="List Number 4"/>
    <w:basedOn w:val="Normal"/>
    <w:rsid w:val="008708FA"/>
    <w:pPr>
      <w:tabs>
        <w:tab w:val="num" w:pos="1080"/>
      </w:tabs>
      <w:spacing w:after="120"/>
      <w:ind w:firstLine="720"/>
      <w:jc w:val="thaiDistribute"/>
    </w:pPr>
    <w:rPr>
      <w:rFonts w:ascii="Times New Roman" w:eastAsia="Cordia New" w:hAnsi="Times New Roman"/>
      <w:sz w:val="24"/>
      <w:szCs w:val="24"/>
      <w:lang w:bidi="th-TH"/>
    </w:rPr>
  </w:style>
  <w:style w:type="paragraph" w:customStyle="1" w:styleId="Figurename">
    <w:name w:val="Figure_name"/>
    <w:basedOn w:val="Normal"/>
    <w:rsid w:val="008708FA"/>
    <w:pPr>
      <w:spacing w:after="120"/>
      <w:jc w:val="center"/>
    </w:pPr>
    <w:rPr>
      <w:rFonts w:ascii="Times New Roman" w:eastAsia="Cordia New" w:hAnsi="Times New Roman"/>
      <w:b/>
      <w:bCs/>
      <w:sz w:val="24"/>
      <w:szCs w:val="24"/>
      <w:lang w:bidi="th-TH"/>
    </w:rPr>
  </w:style>
  <w:style w:type="paragraph" w:customStyle="1" w:styleId="a">
    <w:name w:val="เชิงอัต"/>
    <w:basedOn w:val="Normal"/>
    <w:autoRedefine/>
    <w:rsid w:val="008708FA"/>
    <w:rPr>
      <w:rFonts w:ascii="Times New Roman" w:eastAsia="Cordia New" w:hAnsi="Times New Roman"/>
      <w:sz w:val="24"/>
      <w:szCs w:val="24"/>
      <w:lang w:bidi="th-TH"/>
    </w:rPr>
  </w:style>
  <w:style w:type="paragraph" w:customStyle="1" w:styleId="Styleformattable12pt">
    <w:name w:val="Style format_table + 12 pt"/>
    <w:basedOn w:val="formattable"/>
    <w:qFormat/>
    <w:rsid w:val="008708FA"/>
  </w:style>
  <w:style w:type="character" w:customStyle="1" w:styleId="hps">
    <w:name w:val="hps"/>
    <w:basedOn w:val="DefaultParagraphFont"/>
    <w:rsid w:val="008708FA"/>
  </w:style>
  <w:style w:type="character" w:customStyle="1" w:styleId="shorttext">
    <w:name w:val="short_text"/>
    <w:basedOn w:val="DefaultParagraphFont"/>
    <w:rsid w:val="008708FA"/>
  </w:style>
  <w:style w:type="character" w:customStyle="1" w:styleId="apple-converted-space">
    <w:name w:val="apple-converted-space"/>
    <w:basedOn w:val="DefaultParagraphFont"/>
    <w:rsid w:val="008708FA"/>
  </w:style>
  <w:style w:type="character" w:customStyle="1" w:styleId="Title1">
    <w:name w:val="Title1"/>
    <w:basedOn w:val="DefaultParagraphFont"/>
    <w:rsid w:val="008708FA"/>
  </w:style>
  <w:style w:type="character" w:customStyle="1" w:styleId="Title2">
    <w:name w:val="Title2"/>
    <w:basedOn w:val="DefaultParagraphFont"/>
    <w:rsid w:val="008708FA"/>
  </w:style>
  <w:style w:type="character" w:customStyle="1" w:styleId="ref">
    <w:name w:val="ref"/>
    <w:basedOn w:val="DefaultParagraphFont"/>
    <w:rsid w:val="008708FA"/>
  </w:style>
  <w:style w:type="character" w:customStyle="1" w:styleId="Title3">
    <w:name w:val="Title3"/>
    <w:basedOn w:val="DefaultParagraphFont"/>
    <w:rsid w:val="008708FA"/>
  </w:style>
  <w:style w:type="paragraph" w:customStyle="1" w:styleId="TOC51">
    <w:name w:val="TOC 51"/>
    <w:basedOn w:val="Normal"/>
    <w:next w:val="Normal"/>
    <w:autoRedefine/>
    <w:rsid w:val="008708FA"/>
    <w:pPr>
      <w:ind w:left="960" w:firstLine="720"/>
    </w:pPr>
    <w:rPr>
      <w:rFonts w:eastAsia="Cordia New"/>
      <w:sz w:val="18"/>
      <w:szCs w:val="21"/>
      <w:lang w:bidi="th-TH"/>
    </w:rPr>
  </w:style>
  <w:style w:type="paragraph" w:customStyle="1" w:styleId="TOC61">
    <w:name w:val="TOC 61"/>
    <w:basedOn w:val="Normal"/>
    <w:next w:val="Normal"/>
    <w:autoRedefine/>
    <w:rsid w:val="008708FA"/>
    <w:pPr>
      <w:ind w:left="1200" w:firstLine="720"/>
    </w:pPr>
    <w:rPr>
      <w:rFonts w:eastAsia="Cordia New"/>
      <w:sz w:val="18"/>
      <w:szCs w:val="21"/>
      <w:lang w:bidi="th-TH"/>
    </w:rPr>
  </w:style>
  <w:style w:type="paragraph" w:customStyle="1" w:styleId="TOC71">
    <w:name w:val="TOC 71"/>
    <w:basedOn w:val="Normal"/>
    <w:next w:val="Normal"/>
    <w:autoRedefine/>
    <w:rsid w:val="008708FA"/>
    <w:pPr>
      <w:ind w:left="1440" w:firstLine="720"/>
    </w:pPr>
    <w:rPr>
      <w:rFonts w:eastAsia="Cordia New"/>
      <w:sz w:val="18"/>
      <w:szCs w:val="21"/>
      <w:lang w:bidi="th-TH"/>
    </w:rPr>
  </w:style>
  <w:style w:type="paragraph" w:customStyle="1" w:styleId="TOC81">
    <w:name w:val="TOC 81"/>
    <w:basedOn w:val="Normal"/>
    <w:next w:val="Normal"/>
    <w:autoRedefine/>
    <w:rsid w:val="008708FA"/>
    <w:pPr>
      <w:ind w:left="1680" w:firstLine="720"/>
    </w:pPr>
    <w:rPr>
      <w:rFonts w:eastAsia="Cordia New"/>
      <w:sz w:val="18"/>
      <w:szCs w:val="21"/>
      <w:lang w:bidi="th-TH"/>
    </w:rPr>
  </w:style>
  <w:style w:type="paragraph" w:customStyle="1" w:styleId="TOC91">
    <w:name w:val="TOC 91"/>
    <w:basedOn w:val="Normal"/>
    <w:next w:val="Normal"/>
    <w:autoRedefine/>
    <w:rsid w:val="008708FA"/>
    <w:pPr>
      <w:ind w:left="1920" w:firstLine="720"/>
    </w:pPr>
    <w:rPr>
      <w:rFonts w:eastAsia="Cordia New"/>
      <w:sz w:val="18"/>
      <w:szCs w:val="21"/>
      <w:lang w:bidi="th-TH"/>
    </w:rPr>
  </w:style>
  <w:style w:type="paragraph" w:customStyle="1" w:styleId="Listenabsatz">
    <w:name w:val="Listenabsatz"/>
    <w:basedOn w:val="Normal"/>
    <w:uiPriority w:val="34"/>
    <w:qFormat/>
    <w:rsid w:val="008708FA"/>
    <w:pPr>
      <w:tabs>
        <w:tab w:val="left" w:pos="720"/>
      </w:tabs>
      <w:ind w:left="720"/>
      <w:jc w:val="both"/>
    </w:pPr>
    <w:rPr>
      <w:rFonts w:ascii="Times New Roman" w:hAnsi="Times New Roman"/>
      <w:szCs w:val="20"/>
      <w:lang w:val="en-GB"/>
    </w:rPr>
  </w:style>
  <w:style w:type="paragraph" w:customStyle="1" w:styleId="captionnotes">
    <w:name w:val="caption notes"/>
    <w:basedOn w:val="Normal"/>
    <w:link w:val="captionnotesChar"/>
    <w:qFormat/>
    <w:rsid w:val="008708FA"/>
    <w:rPr>
      <w:rFonts w:eastAsia="Calibri"/>
      <w:i/>
      <w:sz w:val="16"/>
    </w:rPr>
  </w:style>
  <w:style w:type="character" w:customStyle="1" w:styleId="captionnotesChar">
    <w:name w:val="caption notes Char"/>
    <w:basedOn w:val="DefaultParagraphFont"/>
    <w:link w:val="captionnotes"/>
    <w:rsid w:val="008708FA"/>
    <w:rPr>
      <w:rFonts w:ascii="Arial" w:eastAsia="Calibri" w:hAnsi="Arial"/>
      <w:i/>
      <w:sz w:val="16"/>
      <w:szCs w:val="22"/>
      <w:lang w:val="en-US" w:eastAsia="en-US"/>
    </w:rPr>
  </w:style>
  <w:style w:type="paragraph" w:styleId="DocumentMap">
    <w:name w:val="Document Map"/>
    <w:basedOn w:val="Normal"/>
    <w:link w:val="DocumentMapChar"/>
    <w:uiPriority w:val="99"/>
    <w:semiHidden/>
    <w:unhideWhenUsed/>
    <w:rsid w:val="008708FA"/>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8708FA"/>
    <w:rPr>
      <w:rFonts w:ascii="Tahoma" w:eastAsia="Calibri" w:hAnsi="Tahoma" w:cs="Tahoma"/>
      <w:sz w:val="16"/>
      <w:szCs w:val="16"/>
      <w:lang w:val="en-US" w:eastAsia="en-US"/>
    </w:rPr>
  </w:style>
  <w:style w:type="character" w:customStyle="1" w:styleId="A8">
    <w:name w:val="A8"/>
    <w:uiPriority w:val="99"/>
    <w:rsid w:val="008708FA"/>
    <w:rPr>
      <w:rFonts w:cs="Trebuchet MS"/>
      <w:color w:val="000000"/>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99"/>
    <w:lsdException w:name="footer" w:uiPriority="99"/>
    <w:lsdException w:name="index heading" w:semiHidden="1"/>
    <w:lsdException w:name="caption" w:uiPriority="35" w:qFormat="1"/>
    <w:lsdException w:name="table of figures" w:semiHidden="1" w:uiPriority="99"/>
    <w:lsdException w:name="envelope address" w:semiHidden="1"/>
    <w:lsdException w:name="envelope return" w:semiHidden="1"/>
    <w:lsdException w:name="footnote reference" w:uiPriority="99"/>
    <w:lsdException w:name="annotation reference" w:semiHidden="1"/>
    <w:lsdException w:name="line number" w:semiHidden="1"/>
    <w:lsdException w:name="table of authorities" w:semiHidden="1"/>
    <w:lsdException w:name="macro" w:semiHidden="1"/>
    <w:lsdException w:name="toa heading" w:semiHidden="1"/>
    <w:lsdException w:name="List" w:semiHidden="1"/>
    <w:lsdException w:name="List Bullet"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uiPriority="99"/>
    <w:lsdException w:name="Strong" w:uiPriority="22" w:qFormat="1"/>
    <w:lsdException w:name="Emphasis" w:uiPriority="20" w:qFormat="1"/>
    <w:lsdException w:name="Document Map" w:semiHidden="1" w:uiPriority="99"/>
    <w:lsdException w:name="Plain Text" w:semiHidden="1"/>
    <w:lsdException w:name="E-mail Signature" w:semiHidden="1"/>
    <w:lsdException w:name="Normal (Web)" w:uiPriority="99"/>
    <w:lsdException w:name="HTML Acronym" w:semiHidden="1"/>
    <w:lsdException w:name="HTML Address"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semiHidden/>
    <w:qFormat/>
    <w:rsid w:val="005C2427"/>
    <w:rPr>
      <w:rFonts w:ascii="Arial" w:hAnsi="Arial"/>
      <w:sz w:val="22"/>
      <w:szCs w:val="22"/>
      <w:lang w:val="en-US" w:eastAsia="en-US"/>
    </w:rPr>
  </w:style>
  <w:style w:type="paragraph" w:styleId="Heading1">
    <w:name w:val="heading 1"/>
    <w:basedOn w:val="Normal"/>
    <w:next w:val="Normal"/>
    <w:link w:val="Heading1Char"/>
    <w:qFormat/>
    <w:rsid w:val="005C2427"/>
    <w:pPr>
      <w:numPr>
        <w:numId w:val="48"/>
      </w:numPr>
      <w:contextualSpacing/>
      <w:outlineLvl w:val="0"/>
    </w:pPr>
    <w:rPr>
      <w:b/>
      <w:bCs/>
      <w:sz w:val="24"/>
      <w:szCs w:val="28"/>
    </w:rPr>
  </w:style>
  <w:style w:type="paragraph" w:styleId="Heading2">
    <w:name w:val="heading 2"/>
    <w:basedOn w:val="Normal"/>
    <w:next w:val="Normal"/>
    <w:link w:val="Heading2Char"/>
    <w:qFormat/>
    <w:rsid w:val="005C2427"/>
    <w:pPr>
      <w:numPr>
        <w:ilvl w:val="1"/>
        <w:numId w:val="48"/>
      </w:numPr>
      <w:outlineLvl w:val="1"/>
    </w:pPr>
    <w:rPr>
      <w:bCs/>
      <w:i/>
      <w:sz w:val="24"/>
      <w:szCs w:val="26"/>
    </w:rPr>
  </w:style>
  <w:style w:type="paragraph" w:styleId="Heading3">
    <w:name w:val="heading 3"/>
    <w:basedOn w:val="Normal"/>
    <w:next w:val="Normal"/>
    <w:link w:val="Heading3Char"/>
    <w:qFormat/>
    <w:rsid w:val="00E87F38"/>
    <w:pPr>
      <w:numPr>
        <w:ilvl w:val="2"/>
        <w:numId w:val="48"/>
      </w:numPr>
      <w:spacing w:before="200" w:line="271" w:lineRule="auto"/>
      <w:outlineLvl w:val="2"/>
    </w:pPr>
    <w:rPr>
      <w:rFonts w:ascii="Cambria" w:hAnsi="Cambria"/>
      <w:b/>
      <w:bCs/>
    </w:rPr>
  </w:style>
  <w:style w:type="paragraph" w:styleId="Heading4">
    <w:name w:val="heading 4"/>
    <w:basedOn w:val="Normal"/>
    <w:next w:val="Normal"/>
    <w:link w:val="Heading4Char"/>
    <w:qFormat/>
    <w:rsid w:val="00E87F38"/>
    <w:pPr>
      <w:numPr>
        <w:ilvl w:val="3"/>
        <w:numId w:val="48"/>
      </w:numPr>
      <w:spacing w:before="200"/>
      <w:outlineLvl w:val="3"/>
    </w:pPr>
    <w:rPr>
      <w:rFonts w:ascii="Cambria" w:hAnsi="Cambria"/>
      <w:b/>
      <w:bCs/>
      <w:i/>
      <w:iCs/>
    </w:rPr>
  </w:style>
  <w:style w:type="paragraph" w:styleId="Heading5">
    <w:name w:val="heading 5"/>
    <w:basedOn w:val="Normal"/>
    <w:next w:val="Normal"/>
    <w:link w:val="Heading5Char"/>
    <w:qFormat/>
    <w:rsid w:val="00E87F38"/>
    <w:pPr>
      <w:numPr>
        <w:ilvl w:val="4"/>
        <w:numId w:val="48"/>
      </w:numPr>
      <w:spacing w:before="200"/>
      <w:outlineLvl w:val="4"/>
    </w:pPr>
    <w:rPr>
      <w:rFonts w:ascii="Cambria" w:hAnsi="Cambria"/>
      <w:b/>
      <w:bCs/>
      <w:color w:val="7F7F7F"/>
    </w:rPr>
  </w:style>
  <w:style w:type="paragraph" w:styleId="Heading6">
    <w:name w:val="heading 6"/>
    <w:basedOn w:val="Normal"/>
    <w:next w:val="Normal"/>
    <w:link w:val="Heading6Char"/>
    <w:uiPriority w:val="9"/>
    <w:semiHidden/>
    <w:qFormat/>
    <w:rsid w:val="00E87F38"/>
    <w:pPr>
      <w:numPr>
        <w:ilvl w:val="5"/>
        <w:numId w:val="48"/>
      </w:num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qFormat/>
    <w:rsid w:val="00E87F38"/>
    <w:pPr>
      <w:numPr>
        <w:ilvl w:val="6"/>
        <w:numId w:val="48"/>
      </w:numPr>
      <w:outlineLvl w:val="6"/>
    </w:pPr>
    <w:rPr>
      <w:rFonts w:ascii="Cambria" w:hAnsi="Cambria"/>
      <w:i/>
      <w:iCs/>
    </w:rPr>
  </w:style>
  <w:style w:type="paragraph" w:styleId="Heading8">
    <w:name w:val="heading 8"/>
    <w:basedOn w:val="Normal"/>
    <w:next w:val="Normal"/>
    <w:link w:val="Heading8Char"/>
    <w:uiPriority w:val="9"/>
    <w:semiHidden/>
    <w:qFormat/>
    <w:rsid w:val="00E87F38"/>
    <w:pPr>
      <w:numPr>
        <w:ilvl w:val="7"/>
        <w:numId w:val="48"/>
      </w:numPr>
      <w:outlineLvl w:val="7"/>
    </w:pPr>
    <w:rPr>
      <w:rFonts w:ascii="Cambria" w:hAnsi="Cambria"/>
      <w:sz w:val="20"/>
      <w:szCs w:val="20"/>
    </w:rPr>
  </w:style>
  <w:style w:type="paragraph" w:styleId="Heading9">
    <w:name w:val="heading 9"/>
    <w:basedOn w:val="Normal"/>
    <w:next w:val="Normal"/>
    <w:link w:val="Heading9Char"/>
    <w:uiPriority w:val="9"/>
    <w:semiHidden/>
    <w:qFormat/>
    <w:rsid w:val="00E87F38"/>
    <w:pPr>
      <w:numPr>
        <w:ilvl w:val="8"/>
        <w:numId w:val="48"/>
      </w:num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C2427"/>
    <w:rPr>
      <w:rFonts w:ascii="Arial" w:hAnsi="Arial"/>
      <w:b/>
      <w:bCs/>
      <w:sz w:val="24"/>
      <w:szCs w:val="28"/>
      <w:lang w:val="en-US" w:eastAsia="en-US"/>
    </w:rPr>
  </w:style>
  <w:style w:type="character" w:customStyle="1" w:styleId="Heading3Char">
    <w:name w:val="Heading 3 Char"/>
    <w:link w:val="Heading3"/>
    <w:rsid w:val="006718DF"/>
    <w:rPr>
      <w:rFonts w:ascii="Cambria" w:hAnsi="Cambria"/>
      <w:b/>
      <w:bCs/>
      <w:sz w:val="22"/>
      <w:szCs w:val="22"/>
      <w:lang w:val="en-US" w:eastAsia="en-US"/>
    </w:rPr>
  </w:style>
  <w:style w:type="paragraph" w:styleId="Header">
    <w:name w:val="header"/>
    <w:basedOn w:val="Normal"/>
    <w:link w:val="HeaderChar"/>
    <w:rsid w:val="005A46FA"/>
    <w:pPr>
      <w:tabs>
        <w:tab w:val="center" w:pos="4536"/>
        <w:tab w:val="right" w:pos="9072"/>
      </w:tabs>
    </w:pPr>
  </w:style>
  <w:style w:type="paragraph" w:styleId="Footer">
    <w:name w:val="footer"/>
    <w:basedOn w:val="Normal"/>
    <w:link w:val="FooterChar"/>
    <w:uiPriority w:val="99"/>
    <w:rsid w:val="00804DB7"/>
    <w:pPr>
      <w:tabs>
        <w:tab w:val="center" w:pos="4320"/>
        <w:tab w:val="right" w:pos="8640"/>
      </w:tabs>
    </w:pPr>
  </w:style>
  <w:style w:type="paragraph" w:styleId="Salutation">
    <w:name w:val="Salutation"/>
    <w:basedOn w:val="Normal"/>
    <w:next w:val="Normal"/>
    <w:link w:val="SalutationChar"/>
    <w:semiHidden/>
    <w:rsid w:val="00804DB7"/>
  </w:style>
  <w:style w:type="paragraph" w:styleId="Signature">
    <w:name w:val="Signature"/>
    <w:basedOn w:val="Normal"/>
    <w:link w:val="SignatureChar"/>
    <w:semiHidden/>
    <w:rsid w:val="00804DB7"/>
    <w:pPr>
      <w:ind w:left="5250"/>
    </w:pPr>
  </w:style>
  <w:style w:type="paragraph" w:styleId="FootnoteText">
    <w:name w:val="footnote text"/>
    <w:basedOn w:val="Normal"/>
    <w:link w:val="FootnoteTextChar"/>
    <w:uiPriority w:val="99"/>
    <w:rsid w:val="008708FA"/>
    <w:rPr>
      <w:sz w:val="18"/>
    </w:rPr>
  </w:style>
  <w:style w:type="character" w:customStyle="1" w:styleId="FootnoteTextChar">
    <w:name w:val="Footnote Text Char"/>
    <w:link w:val="FootnoteText"/>
    <w:uiPriority w:val="99"/>
    <w:locked/>
    <w:rsid w:val="008708FA"/>
    <w:rPr>
      <w:rFonts w:ascii="Arial" w:hAnsi="Arial"/>
      <w:sz w:val="18"/>
      <w:szCs w:val="22"/>
      <w:lang w:val="en-US" w:eastAsia="en-US"/>
    </w:rPr>
  </w:style>
  <w:style w:type="paragraph" w:styleId="EndnoteText">
    <w:name w:val="endnote text"/>
    <w:basedOn w:val="Normal"/>
    <w:link w:val="EndnoteTextChar"/>
    <w:semiHidden/>
    <w:rsid w:val="00804DB7"/>
    <w:rPr>
      <w:sz w:val="18"/>
    </w:rPr>
  </w:style>
  <w:style w:type="paragraph" w:styleId="Caption">
    <w:name w:val="caption"/>
    <w:basedOn w:val="Normal"/>
    <w:next w:val="Normal"/>
    <w:uiPriority w:val="35"/>
    <w:qFormat/>
    <w:rsid w:val="00804DB7"/>
    <w:rPr>
      <w:b/>
      <w:bCs/>
      <w:sz w:val="18"/>
    </w:rPr>
  </w:style>
  <w:style w:type="paragraph" w:styleId="CommentText">
    <w:name w:val="annotation text"/>
    <w:basedOn w:val="Normal"/>
    <w:link w:val="CommentTextChar"/>
    <w:rsid w:val="00804DB7"/>
    <w:rPr>
      <w:sz w:val="18"/>
    </w:rPr>
  </w:style>
  <w:style w:type="paragraph" w:styleId="BodyText">
    <w:name w:val="Body Text"/>
    <w:basedOn w:val="Normal"/>
    <w:link w:val="BodyTextChar"/>
    <w:semiHidden/>
    <w:rsid w:val="00804DB7"/>
    <w:pPr>
      <w:spacing w:after="220"/>
    </w:pPr>
  </w:style>
  <w:style w:type="paragraph" w:customStyle="1" w:styleId="ONUMFS">
    <w:name w:val="ONUM FS"/>
    <w:basedOn w:val="BodyText"/>
    <w:semiHidden/>
    <w:rsid w:val="00804DB7"/>
    <w:pPr>
      <w:numPr>
        <w:numId w:val="2"/>
      </w:numPr>
    </w:pPr>
  </w:style>
  <w:style w:type="paragraph" w:customStyle="1" w:styleId="ONUME">
    <w:name w:val="ONUM E"/>
    <w:basedOn w:val="BodyText"/>
    <w:semiHidden/>
    <w:rsid w:val="00804DB7"/>
    <w:pPr>
      <w:numPr>
        <w:numId w:val="1"/>
      </w:numPr>
    </w:pPr>
  </w:style>
  <w:style w:type="paragraph" w:styleId="ListNumber">
    <w:name w:val="List Number"/>
    <w:basedOn w:val="Normal"/>
    <w:semiHidden/>
    <w:rsid w:val="00804DB7"/>
    <w:pPr>
      <w:numPr>
        <w:numId w:val="3"/>
      </w:numPr>
    </w:pPr>
  </w:style>
  <w:style w:type="character" w:styleId="Hyperlink">
    <w:name w:val="Hyperlink"/>
    <w:uiPriority w:val="99"/>
    <w:rsid w:val="00EB59F9"/>
    <w:rPr>
      <w:color w:val="0000FF"/>
      <w:u w:val="single"/>
    </w:rPr>
  </w:style>
  <w:style w:type="paragraph" w:customStyle="1" w:styleId="Default">
    <w:name w:val="Default"/>
    <w:rsid w:val="00C4497E"/>
    <w:pPr>
      <w:suppressAutoHyphens/>
      <w:autoSpaceDE w:val="0"/>
      <w:spacing w:after="200" w:line="360" w:lineRule="auto"/>
    </w:pPr>
    <w:rPr>
      <w:rFonts w:ascii="Adobe Garamond Pro" w:hAnsi="Adobe Garamond Pro" w:cs="Adobe Garamond Pro"/>
      <w:color w:val="000000"/>
      <w:sz w:val="24"/>
      <w:szCs w:val="24"/>
      <w:lang w:val="en-US" w:eastAsia="ar-SA"/>
    </w:rPr>
  </w:style>
  <w:style w:type="character" w:styleId="FootnoteReference">
    <w:name w:val="footnote reference"/>
    <w:uiPriority w:val="99"/>
    <w:semiHidden/>
    <w:rsid w:val="003E171E"/>
    <w:rPr>
      <w:vertAlign w:val="superscript"/>
    </w:rPr>
  </w:style>
  <w:style w:type="paragraph" w:customStyle="1" w:styleId="CarCar">
    <w:name w:val="Car Car"/>
    <w:basedOn w:val="Normal"/>
    <w:semiHidden/>
    <w:rsid w:val="008C3448"/>
    <w:pPr>
      <w:spacing w:after="160" w:line="240" w:lineRule="exact"/>
    </w:pPr>
    <w:rPr>
      <w:rFonts w:ascii="Verdana" w:hAnsi="Verdana"/>
      <w:sz w:val="20"/>
      <w:lang w:val="en-GB"/>
    </w:rPr>
  </w:style>
  <w:style w:type="table" w:styleId="TableGrid">
    <w:name w:val="Table Grid"/>
    <w:basedOn w:val="TableNormal"/>
    <w:rsid w:val="00AF7D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D92E35"/>
  </w:style>
  <w:style w:type="character" w:styleId="PageNumber">
    <w:name w:val="page number"/>
    <w:basedOn w:val="DefaultParagraphFont"/>
    <w:rsid w:val="00AF4B78"/>
  </w:style>
  <w:style w:type="character" w:styleId="Emphasis">
    <w:name w:val="Emphasis"/>
    <w:uiPriority w:val="20"/>
    <w:qFormat/>
    <w:rsid w:val="00E87F38"/>
    <w:rPr>
      <w:b/>
      <w:bCs/>
      <w:i/>
      <w:iCs/>
      <w:spacing w:val="10"/>
      <w:bdr w:val="none" w:sz="0" w:space="0" w:color="auto"/>
      <w:shd w:val="clear" w:color="auto" w:fill="auto"/>
    </w:rPr>
  </w:style>
  <w:style w:type="character" w:styleId="Strong">
    <w:name w:val="Strong"/>
    <w:uiPriority w:val="22"/>
    <w:qFormat/>
    <w:rsid w:val="00E87F38"/>
    <w:rPr>
      <w:b/>
      <w:bCs/>
    </w:rPr>
  </w:style>
  <w:style w:type="paragraph" w:styleId="BalloonText">
    <w:name w:val="Balloon Text"/>
    <w:basedOn w:val="Normal"/>
    <w:link w:val="BalloonTextChar"/>
    <w:uiPriority w:val="99"/>
    <w:rsid w:val="00180BF6"/>
    <w:rPr>
      <w:rFonts w:ascii="Tahoma" w:hAnsi="Tahoma" w:cs="Tahoma"/>
      <w:sz w:val="16"/>
      <w:szCs w:val="16"/>
    </w:rPr>
  </w:style>
  <w:style w:type="character" w:customStyle="1" w:styleId="emailaddress">
    <w:name w:val="email_address"/>
    <w:basedOn w:val="DefaultParagraphFont"/>
    <w:semiHidden/>
    <w:rsid w:val="00A21915"/>
  </w:style>
  <w:style w:type="character" w:customStyle="1" w:styleId="Caracteresdenotaalpie">
    <w:name w:val="Caracteres de nota al pie"/>
    <w:semiHidden/>
    <w:rsid w:val="00A21915"/>
    <w:rPr>
      <w:vertAlign w:val="superscript"/>
    </w:rPr>
  </w:style>
  <w:style w:type="character" w:styleId="FollowedHyperlink">
    <w:name w:val="FollowedHyperlink"/>
    <w:uiPriority w:val="99"/>
    <w:semiHidden/>
    <w:rsid w:val="00A21915"/>
    <w:rPr>
      <w:color w:val="800080"/>
      <w:u w:val="single"/>
    </w:rPr>
  </w:style>
  <w:style w:type="paragraph" w:styleId="NormalWeb">
    <w:name w:val="Normal (Web)"/>
    <w:basedOn w:val="Normal"/>
    <w:uiPriority w:val="99"/>
    <w:rsid w:val="00A21915"/>
    <w:pPr>
      <w:spacing w:before="100" w:beforeAutospacing="1" w:after="100" w:afterAutospacing="1"/>
    </w:pPr>
    <w:rPr>
      <w:rFonts w:ascii="Times New Roman" w:hAnsi="Times New Roman"/>
      <w:sz w:val="24"/>
      <w:szCs w:val="24"/>
    </w:rPr>
  </w:style>
  <w:style w:type="character" w:styleId="EndnoteReference">
    <w:name w:val="endnote reference"/>
    <w:semiHidden/>
    <w:rsid w:val="00A21915"/>
    <w:rPr>
      <w:vertAlign w:val="superscript"/>
    </w:rPr>
  </w:style>
  <w:style w:type="character" w:customStyle="1" w:styleId="themevertgauche">
    <w:name w:val="themevertgauche"/>
    <w:basedOn w:val="DefaultParagraphFont"/>
    <w:rsid w:val="00A21915"/>
  </w:style>
  <w:style w:type="character" w:customStyle="1" w:styleId="spelle">
    <w:name w:val="spelle"/>
    <w:basedOn w:val="DefaultParagraphFont"/>
    <w:rsid w:val="00A21915"/>
  </w:style>
  <w:style w:type="character" w:customStyle="1" w:styleId="grame">
    <w:name w:val="grame"/>
    <w:basedOn w:val="DefaultParagraphFont"/>
    <w:rsid w:val="00A21915"/>
  </w:style>
  <w:style w:type="character" w:styleId="HTMLCite">
    <w:name w:val="HTML Cite"/>
    <w:rsid w:val="00A21915"/>
    <w:rPr>
      <w:i/>
      <w:iCs/>
    </w:rPr>
  </w:style>
  <w:style w:type="character" w:customStyle="1" w:styleId="slug-pub-date">
    <w:name w:val="slug-pub-date"/>
    <w:basedOn w:val="DefaultParagraphFont"/>
    <w:rsid w:val="00A21915"/>
  </w:style>
  <w:style w:type="character" w:customStyle="1" w:styleId="slug-vol">
    <w:name w:val="slug-vol"/>
    <w:basedOn w:val="DefaultParagraphFont"/>
    <w:rsid w:val="00A21915"/>
  </w:style>
  <w:style w:type="character" w:customStyle="1" w:styleId="slug-issue">
    <w:name w:val="slug-issue"/>
    <w:basedOn w:val="DefaultParagraphFont"/>
    <w:rsid w:val="00A21915"/>
  </w:style>
  <w:style w:type="character" w:customStyle="1" w:styleId="slug-pages">
    <w:name w:val="slug-pages"/>
    <w:basedOn w:val="DefaultParagraphFont"/>
    <w:rsid w:val="00A21915"/>
  </w:style>
  <w:style w:type="character" w:customStyle="1" w:styleId="slug-doi-wrapper">
    <w:name w:val="slug-doi-wrapper"/>
    <w:basedOn w:val="DefaultParagraphFont"/>
    <w:semiHidden/>
    <w:rsid w:val="00A21915"/>
  </w:style>
  <w:style w:type="character" w:customStyle="1" w:styleId="slug-doi">
    <w:name w:val="slug-doi"/>
    <w:basedOn w:val="DefaultParagraphFont"/>
    <w:semiHidden/>
    <w:rsid w:val="00A21915"/>
  </w:style>
  <w:style w:type="character" w:customStyle="1" w:styleId="slug-metadata-noteahead-of-print">
    <w:name w:val="slug-metadata-note ahead-of-print"/>
    <w:basedOn w:val="DefaultParagraphFont"/>
    <w:semiHidden/>
    <w:rsid w:val="00A21915"/>
  </w:style>
  <w:style w:type="character" w:customStyle="1" w:styleId="slug-ahead-of-print-date">
    <w:name w:val="slug-ahead-of-print-date"/>
    <w:basedOn w:val="DefaultParagraphFont"/>
    <w:semiHidden/>
    <w:rsid w:val="00A21915"/>
  </w:style>
  <w:style w:type="character" w:customStyle="1" w:styleId="Heading2Char">
    <w:name w:val="Heading 2 Char"/>
    <w:link w:val="Heading2"/>
    <w:rsid w:val="005C2427"/>
    <w:rPr>
      <w:rFonts w:ascii="Arial" w:hAnsi="Arial"/>
      <w:bCs/>
      <w:i/>
      <w:sz w:val="24"/>
      <w:szCs w:val="26"/>
      <w:lang w:val="en-US" w:eastAsia="en-US"/>
    </w:rPr>
  </w:style>
  <w:style w:type="character" w:customStyle="1" w:styleId="Heading4Char">
    <w:name w:val="Heading 4 Char"/>
    <w:link w:val="Heading4"/>
    <w:rsid w:val="006718DF"/>
    <w:rPr>
      <w:rFonts w:ascii="Cambria" w:hAnsi="Cambria"/>
      <w:b/>
      <w:bCs/>
      <w:i/>
      <w:iCs/>
      <w:sz w:val="22"/>
      <w:szCs w:val="22"/>
      <w:lang w:val="en-US" w:eastAsia="en-US"/>
    </w:rPr>
  </w:style>
  <w:style w:type="character" w:customStyle="1" w:styleId="Heading5Char">
    <w:name w:val="Heading 5 Char"/>
    <w:link w:val="Heading5"/>
    <w:rsid w:val="006718DF"/>
    <w:rPr>
      <w:rFonts w:ascii="Cambria" w:hAnsi="Cambria"/>
      <w:b/>
      <w:bCs/>
      <w:color w:val="7F7F7F"/>
      <w:sz w:val="22"/>
      <w:szCs w:val="22"/>
      <w:lang w:val="en-US" w:eastAsia="en-US"/>
    </w:rPr>
  </w:style>
  <w:style w:type="character" w:customStyle="1" w:styleId="Heading6Char">
    <w:name w:val="Heading 6 Char"/>
    <w:link w:val="Heading6"/>
    <w:uiPriority w:val="9"/>
    <w:semiHidden/>
    <w:rsid w:val="006718DF"/>
    <w:rPr>
      <w:rFonts w:ascii="Cambria" w:hAnsi="Cambria"/>
      <w:b/>
      <w:bCs/>
      <w:i/>
      <w:iCs/>
      <w:color w:val="7F7F7F"/>
      <w:sz w:val="22"/>
      <w:szCs w:val="22"/>
      <w:lang w:val="en-US" w:eastAsia="en-US"/>
    </w:rPr>
  </w:style>
  <w:style w:type="character" w:customStyle="1" w:styleId="Heading7Char">
    <w:name w:val="Heading 7 Char"/>
    <w:link w:val="Heading7"/>
    <w:uiPriority w:val="9"/>
    <w:semiHidden/>
    <w:rsid w:val="006718DF"/>
    <w:rPr>
      <w:rFonts w:ascii="Cambria" w:hAnsi="Cambria"/>
      <w:i/>
      <w:iCs/>
      <w:sz w:val="22"/>
      <w:szCs w:val="22"/>
      <w:lang w:val="en-US" w:eastAsia="en-US"/>
    </w:rPr>
  </w:style>
  <w:style w:type="character" w:customStyle="1" w:styleId="Heading8Char">
    <w:name w:val="Heading 8 Char"/>
    <w:link w:val="Heading8"/>
    <w:uiPriority w:val="9"/>
    <w:semiHidden/>
    <w:rsid w:val="006718DF"/>
    <w:rPr>
      <w:rFonts w:ascii="Cambria" w:hAnsi="Cambria"/>
      <w:lang w:val="en-US" w:eastAsia="en-US"/>
    </w:rPr>
  </w:style>
  <w:style w:type="character" w:customStyle="1" w:styleId="Heading9Char">
    <w:name w:val="Heading 9 Char"/>
    <w:link w:val="Heading9"/>
    <w:uiPriority w:val="9"/>
    <w:semiHidden/>
    <w:rsid w:val="006718DF"/>
    <w:rPr>
      <w:rFonts w:ascii="Cambria" w:hAnsi="Cambria"/>
      <w:i/>
      <w:iCs/>
      <w:spacing w:val="5"/>
      <w:lang w:val="en-US" w:eastAsia="en-US"/>
    </w:rPr>
  </w:style>
  <w:style w:type="paragraph" w:styleId="Title">
    <w:name w:val="Title"/>
    <w:basedOn w:val="Normal"/>
    <w:next w:val="Normal"/>
    <w:link w:val="TitleChar"/>
    <w:uiPriority w:val="10"/>
    <w:qFormat/>
    <w:rsid w:val="00E87F38"/>
    <w:pPr>
      <w:pBdr>
        <w:bottom w:val="single" w:sz="4" w:space="1" w:color="auto"/>
      </w:pBdr>
      <w:contextualSpacing/>
    </w:pPr>
    <w:rPr>
      <w:rFonts w:ascii="Cambria" w:hAnsi="Cambria"/>
      <w:spacing w:val="5"/>
      <w:sz w:val="52"/>
      <w:szCs w:val="52"/>
    </w:rPr>
  </w:style>
  <w:style w:type="character" w:customStyle="1" w:styleId="TitleChar">
    <w:name w:val="Title Char"/>
    <w:link w:val="Title"/>
    <w:uiPriority w:val="10"/>
    <w:rsid w:val="00EB4EF9"/>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E87F38"/>
    <w:pPr>
      <w:spacing w:after="600"/>
    </w:pPr>
    <w:rPr>
      <w:rFonts w:ascii="Cambria" w:hAnsi="Cambria"/>
      <w:i/>
      <w:iCs/>
      <w:spacing w:val="13"/>
      <w:sz w:val="24"/>
      <w:szCs w:val="24"/>
    </w:rPr>
  </w:style>
  <w:style w:type="character" w:customStyle="1" w:styleId="SubtitleChar">
    <w:name w:val="Subtitle Char"/>
    <w:link w:val="Subtitle"/>
    <w:uiPriority w:val="11"/>
    <w:rsid w:val="006718DF"/>
    <w:rPr>
      <w:rFonts w:ascii="Cambria" w:eastAsia="Times New Roman" w:hAnsi="Cambria" w:cs="Times New Roman"/>
      <w:i/>
      <w:iCs/>
      <w:spacing w:val="13"/>
      <w:sz w:val="24"/>
      <w:szCs w:val="24"/>
    </w:rPr>
  </w:style>
  <w:style w:type="paragraph" w:styleId="NoSpacing">
    <w:name w:val="No Spacing"/>
    <w:basedOn w:val="Normal"/>
    <w:uiPriority w:val="1"/>
    <w:qFormat/>
    <w:rsid w:val="00E87F38"/>
  </w:style>
  <w:style w:type="paragraph" w:styleId="ListParagraph">
    <w:name w:val="List Paragraph"/>
    <w:basedOn w:val="Normal"/>
    <w:uiPriority w:val="34"/>
    <w:qFormat/>
    <w:rsid w:val="00E87F38"/>
    <w:pPr>
      <w:ind w:left="720"/>
      <w:contextualSpacing/>
    </w:pPr>
  </w:style>
  <w:style w:type="paragraph" w:styleId="Quote">
    <w:name w:val="Quote"/>
    <w:basedOn w:val="Normal"/>
    <w:next w:val="Normal"/>
    <w:link w:val="QuoteChar"/>
    <w:uiPriority w:val="29"/>
    <w:qFormat/>
    <w:rsid w:val="00E87F38"/>
    <w:pPr>
      <w:spacing w:before="200"/>
      <w:ind w:left="360" w:right="360"/>
    </w:pPr>
    <w:rPr>
      <w:i/>
      <w:iCs/>
    </w:rPr>
  </w:style>
  <w:style w:type="character" w:customStyle="1" w:styleId="QuoteChar">
    <w:name w:val="Quote Char"/>
    <w:link w:val="Quote"/>
    <w:uiPriority w:val="29"/>
    <w:rsid w:val="006718DF"/>
    <w:rPr>
      <w:i/>
      <w:iCs/>
    </w:rPr>
  </w:style>
  <w:style w:type="paragraph" w:styleId="IntenseQuote">
    <w:name w:val="Intense Quote"/>
    <w:basedOn w:val="Normal"/>
    <w:next w:val="Normal"/>
    <w:link w:val="IntenseQuoteChar"/>
    <w:uiPriority w:val="30"/>
    <w:qFormat/>
    <w:rsid w:val="00E87F38"/>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6718DF"/>
    <w:rPr>
      <w:b/>
      <w:bCs/>
      <w:i/>
      <w:iCs/>
    </w:rPr>
  </w:style>
  <w:style w:type="character" w:styleId="SubtleEmphasis">
    <w:name w:val="Subtle Emphasis"/>
    <w:uiPriority w:val="19"/>
    <w:qFormat/>
    <w:rsid w:val="00E87F38"/>
    <w:rPr>
      <w:i/>
      <w:iCs/>
    </w:rPr>
  </w:style>
  <w:style w:type="character" w:styleId="IntenseEmphasis">
    <w:name w:val="Intense Emphasis"/>
    <w:uiPriority w:val="21"/>
    <w:qFormat/>
    <w:rsid w:val="00E87F38"/>
    <w:rPr>
      <w:b/>
      <w:bCs/>
    </w:rPr>
  </w:style>
  <w:style w:type="character" w:styleId="SubtleReference">
    <w:name w:val="Subtle Reference"/>
    <w:uiPriority w:val="31"/>
    <w:qFormat/>
    <w:rsid w:val="00E87F38"/>
    <w:rPr>
      <w:smallCaps/>
    </w:rPr>
  </w:style>
  <w:style w:type="character" w:styleId="IntenseReference">
    <w:name w:val="Intense Reference"/>
    <w:uiPriority w:val="32"/>
    <w:qFormat/>
    <w:rsid w:val="00E87F38"/>
    <w:rPr>
      <w:smallCaps/>
      <w:spacing w:val="5"/>
      <w:u w:val="single"/>
    </w:rPr>
  </w:style>
  <w:style w:type="character" w:styleId="BookTitle">
    <w:name w:val="Book Title"/>
    <w:uiPriority w:val="33"/>
    <w:qFormat/>
    <w:rsid w:val="00E87F38"/>
    <w:rPr>
      <w:i/>
      <w:iCs/>
      <w:smallCaps/>
      <w:spacing w:val="5"/>
    </w:rPr>
  </w:style>
  <w:style w:type="paragraph" w:styleId="TOCHeading">
    <w:name w:val="TOC Heading"/>
    <w:basedOn w:val="Heading1"/>
    <w:next w:val="Normal"/>
    <w:uiPriority w:val="39"/>
    <w:semiHidden/>
    <w:qFormat/>
    <w:rsid w:val="00E87F38"/>
    <w:pPr>
      <w:outlineLvl w:val="9"/>
    </w:pPr>
    <w:rPr>
      <w:lang w:bidi="en-US"/>
    </w:rPr>
  </w:style>
  <w:style w:type="paragraph" w:customStyle="1" w:styleId="Text">
    <w:name w:val="Text"/>
    <w:basedOn w:val="Normal"/>
    <w:uiPriority w:val="99"/>
    <w:qFormat/>
    <w:rsid w:val="00E87F38"/>
  </w:style>
  <w:style w:type="paragraph" w:customStyle="1" w:styleId="Section">
    <w:name w:val="Section"/>
    <w:basedOn w:val="Heading1"/>
    <w:uiPriority w:val="99"/>
    <w:qFormat/>
    <w:rsid w:val="00E523D1"/>
    <w:pPr>
      <w:numPr>
        <w:numId w:val="4"/>
      </w:numPr>
    </w:pPr>
    <w:rPr>
      <w:sz w:val="22"/>
    </w:rPr>
  </w:style>
  <w:style w:type="paragraph" w:customStyle="1" w:styleId="Subsection">
    <w:name w:val="Subsection"/>
    <w:basedOn w:val="Heading2"/>
    <w:uiPriority w:val="99"/>
    <w:qFormat/>
    <w:rsid w:val="008239D2"/>
    <w:pPr>
      <w:numPr>
        <w:numId w:val="5"/>
      </w:numPr>
      <w:ind w:left="360"/>
    </w:pPr>
    <w:rPr>
      <w:sz w:val="22"/>
    </w:rPr>
  </w:style>
  <w:style w:type="paragraph" w:customStyle="1" w:styleId="Footnote">
    <w:name w:val="Footnote"/>
    <w:basedOn w:val="FootnoteText"/>
    <w:uiPriority w:val="99"/>
    <w:qFormat/>
    <w:rsid w:val="00B83D32"/>
  </w:style>
  <w:style w:type="paragraph" w:customStyle="1" w:styleId="Presection">
    <w:name w:val="Presection"/>
    <w:basedOn w:val="Heading1"/>
    <w:uiPriority w:val="99"/>
    <w:qFormat/>
    <w:rsid w:val="009408F6"/>
    <w:pPr>
      <w:ind w:left="-28"/>
    </w:pPr>
    <w:rPr>
      <w:sz w:val="22"/>
    </w:rPr>
  </w:style>
  <w:style w:type="paragraph" w:customStyle="1" w:styleId="SUBSubsection">
    <w:name w:val="SUBSubsection"/>
    <w:basedOn w:val="Heading3"/>
    <w:qFormat/>
    <w:rsid w:val="00985BDD"/>
    <w:pPr>
      <w:numPr>
        <w:numId w:val="11"/>
      </w:numPr>
      <w:spacing w:before="0" w:line="240" w:lineRule="auto"/>
      <w:ind w:left="360"/>
    </w:pPr>
    <w:rPr>
      <w:rFonts w:ascii="Arial" w:hAnsi="Arial"/>
      <w:b w:val="0"/>
      <w:i/>
      <w:szCs w:val="26"/>
    </w:rPr>
  </w:style>
  <w:style w:type="character" w:styleId="CommentReference">
    <w:name w:val="annotation reference"/>
    <w:rsid w:val="00B02BDB"/>
    <w:rPr>
      <w:sz w:val="16"/>
      <w:szCs w:val="16"/>
    </w:rPr>
  </w:style>
  <w:style w:type="character" w:customStyle="1" w:styleId="CommentTextChar">
    <w:name w:val="Comment Text Char"/>
    <w:link w:val="CommentText"/>
    <w:rsid w:val="00B02BDB"/>
    <w:rPr>
      <w:sz w:val="18"/>
      <w:szCs w:val="22"/>
    </w:rPr>
  </w:style>
  <w:style w:type="character" w:customStyle="1" w:styleId="BodyTextChar">
    <w:name w:val="Body Text Char"/>
    <w:link w:val="BodyText"/>
    <w:semiHidden/>
    <w:rsid w:val="00B02BDB"/>
    <w:rPr>
      <w:sz w:val="22"/>
      <w:szCs w:val="22"/>
    </w:rPr>
  </w:style>
  <w:style w:type="paragraph" w:customStyle="1" w:styleId="Subsectionappendix">
    <w:name w:val="Subsection_appendix"/>
    <w:basedOn w:val="Heading2"/>
    <w:qFormat/>
    <w:rsid w:val="00CF51B4"/>
    <w:rPr>
      <w:b/>
      <w:i w:val="0"/>
      <w:sz w:val="22"/>
    </w:rPr>
  </w:style>
  <w:style w:type="paragraph" w:styleId="TOC2">
    <w:name w:val="toc 2"/>
    <w:basedOn w:val="Normal"/>
    <w:next w:val="Normal"/>
    <w:autoRedefine/>
    <w:uiPriority w:val="39"/>
    <w:unhideWhenUsed/>
    <w:qFormat/>
    <w:rsid w:val="001E6DE7"/>
    <w:pPr>
      <w:tabs>
        <w:tab w:val="left" w:pos="9090"/>
        <w:tab w:val="right" w:leader="dot" w:pos="9214"/>
        <w:tab w:val="left" w:pos="9720"/>
      </w:tabs>
      <w:spacing w:line="360" w:lineRule="auto"/>
      <w:ind w:left="357" w:right="1349"/>
    </w:pPr>
    <w:rPr>
      <w:lang w:val="es-ES" w:eastAsia="es-ES"/>
    </w:rPr>
  </w:style>
  <w:style w:type="paragraph" w:styleId="TOC1">
    <w:name w:val="toc 1"/>
    <w:basedOn w:val="Normal"/>
    <w:next w:val="Normal"/>
    <w:autoRedefine/>
    <w:uiPriority w:val="39"/>
    <w:unhideWhenUsed/>
    <w:qFormat/>
    <w:rsid w:val="00426886"/>
    <w:pPr>
      <w:tabs>
        <w:tab w:val="right" w:leader="dot" w:pos="9063"/>
      </w:tabs>
      <w:spacing w:line="360" w:lineRule="auto"/>
      <w:ind w:left="360" w:right="1350"/>
    </w:pPr>
    <w:rPr>
      <w:lang w:val="es-ES" w:eastAsia="es-ES"/>
    </w:rPr>
  </w:style>
  <w:style w:type="paragraph" w:styleId="TOC3">
    <w:name w:val="toc 3"/>
    <w:basedOn w:val="Normal"/>
    <w:next w:val="Normal"/>
    <w:autoRedefine/>
    <w:uiPriority w:val="39"/>
    <w:unhideWhenUsed/>
    <w:qFormat/>
    <w:rsid w:val="004336CD"/>
    <w:pPr>
      <w:ind w:left="442"/>
    </w:pPr>
    <w:rPr>
      <w:lang w:val="es-ES" w:eastAsia="es-ES"/>
    </w:rPr>
  </w:style>
  <w:style w:type="paragraph" w:customStyle="1" w:styleId="Globaltitle">
    <w:name w:val="Global_title"/>
    <w:basedOn w:val="PlainText"/>
    <w:qFormat/>
    <w:rsid w:val="004336CD"/>
    <w:pPr>
      <w:jc w:val="center"/>
    </w:pPr>
    <w:rPr>
      <w:rFonts w:ascii="Cambria" w:hAnsi="Cambria"/>
      <w:b/>
      <w:sz w:val="40"/>
      <w:szCs w:val="40"/>
    </w:rPr>
  </w:style>
  <w:style w:type="paragraph" w:customStyle="1" w:styleId="Apendix">
    <w:name w:val="Apendix"/>
    <w:basedOn w:val="Heading1"/>
    <w:qFormat/>
    <w:rsid w:val="00CF51B4"/>
    <w:rPr>
      <w:sz w:val="22"/>
    </w:rPr>
  </w:style>
  <w:style w:type="paragraph" w:styleId="PlainText">
    <w:name w:val="Plain Text"/>
    <w:basedOn w:val="Normal"/>
    <w:link w:val="PlainTextChar"/>
    <w:semiHidden/>
    <w:rsid w:val="004336CD"/>
    <w:rPr>
      <w:rFonts w:ascii="Courier New" w:hAnsi="Courier New" w:cs="Courier New"/>
      <w:sz w:val="20"/>
      <w:szCs w:val="20"/>
    </w:rPr>
  </w:style>
  <w:style w:type="character" w:customStyle="1" w:styleId="PlainTextChar">
    <w:name w:val="Plain Text Char"/>
    <w:link w:val="PlainText"/>
    <w:semiHidden/>
    <w:rsid w:val="004336CD"/>
    <w:rPr>
      <w:rFonts w:ascii="Courier New" w:hAnsi="Courier New" w:cs="Courier New"/>
      <w:lang w:val="en-US" w:eastAsia="en-US"/>
    </w:rPr>
  </w:style>
  <w:style w:type="paragraph" w:styleId="TOC4">
    <w:name w:val="toc 4"/>
    <w:basedOn w:val="Normal"/>
    <w:next w:val="Normal"/>
    <w:autoRedefine/>
    <w:rsid w:val="004336CD"/>
    <w:pPr>
      <w:ind w:left="658"/>
    </w:pPr>
  </w:style>
  <w:style w:type="paragraph" w:customStyle="1" w:styleId="References">
    <w:name w:val="References"/>
    <w:basedOn w:val="Heading1"/>
    <w:qFormat/>
    <w:rsid w:val="00CF51B4"/>
    <w:rPr>
      <w:sz w:val="22"/>
    </w:rPr>
  </w:style>
  <w:style w:type="paragraph" w:customStyle="1" w:styleId="Box">
    <w:name w:val="Box"/>
    <w:basedOn w:val="TableofFigures"/>
    <w:qFormat/>
    <w:rsid w:val="006D4CA8"/>
    <w:rPr>
      <w:b/>
      <w:sz w:val="20"/>
      <w:szCs w:val="20"/>
    </w:rPr>
  </w:style>
  <w:style w:type="paragraph" w:customStyle="1" w:styleId="Taules">
    <w:name w:val="Taules"/>
    <w:basedOn w:val="TableofFigures"/>
    <w:qFormat/>
    <w:rsid w:val="006D4CA8"/>
    <w:rPr>
      <w:b/>
    </w:rPr>
  </w:style>
  <w:style w:type="paragraph" w:styleId="TableofFigures">
    <w:name w:val="table of figures"/>
    <w:basedOn w:val="Normal"/>
    <w:next w:val="Normal"/>
    <w:uiPriority w:val="99"/>
    <w:rsid w:val="00DB1DC1"/>
  </w:style>
  <w:style w:type="paragraph" w:customStyle="1" w:styleId="Figura">
    <w:name w:val="Figura"/>
    <w:basedOn w:val="TableofFigures"/>
    <w:qFormat/>
    <w:rsid w:val="00DB1DC1"/>
    <w:rPr>
      <w:b/>
    </w:rPr>
  </w:style>
  <w:style w:type="paragraph" w:styleId="CommentSubject">
    <w:name w:val="annotation subject"/>
    <w:basedOn w:val="CommentText"/>
    <w:next w:val="CommentText"/>
    <w:link w:val="CommentSubjectChar"/>
    <w:rsid w:val="005D768F"/>
    <w:rPr>
      <w:b/>
      <w:bCs/>
      <w:sz w:val="20"/>
      <w:szCs w:val="20"/>
    </w:rPr>
  </w:style>
  <w:style w:type="character" w:customStyle="1" w:styleId="CommentSubjectChar">
    <w:name w:val="Comment Subject Char"/>
    <w:basedOn w:val="CommentTextChar"/>
    <w:link w:val="CommentSubject"/>
    <w:rsid w:val="005D768F"/>
    <w:rPr>
      <w:b/>
      <w:bCs/>
      <w:sz w:val="18"/>
      <w:szCs w:val="22"/>
      <w:lang w:val="en-US" w:eastAsia="en-US"/>
    </w:rPr>
  </w:style>
  <w:style w:type="paragraph" w:styleId="Bibliography">
    <w:name w:val="Bibliography"/>
    <w:basedOn w:val="Normal"/>
    <w:next w:val="Normal"/>
    <w:uiPriority w:val="37"/>
    <w:semiHidden/>
    <w:rsid w:val="00F01256"/>
    <w:pPr>
      <w:ind w:left="720" w:hanging="720"/>
    </w:pPr>
    <w:rPr>
      <w:rFonts w:cs="Arial"/>
    </w:rPr>
  </w:style>
  <w:style w:type="paragraph" w:styleId="Revision">
    <w:name w:val="Revision"/>
    <w:hidden/>
    <w:uiPriority w:val="99"/>
    <w:semiHidden/>
    <w:rsid w:val="0006037E"/>
    <w:rPr>
      <w:sz w:val="22"/>
      <w:szCs w:val="22"/>
      <w:lang w:val="en-US" w:eastAsia="en-US"/>
    </w:rPr>
  </w:style>
  <w:style w:type="character" w:customStyle="1" w:styleId="highlight">
    <w:name w:val="highlight"/>
    <w:basedOn w:val="DefaultParagraphFont"/>
    <w:rsid w:val="00220D75"/>
  </w:style>
  <w:style w:type="character" w:customStyle="1" w:styleId="HeaderChar">
    <w:name w:val="Header Char"/>
    <w:basedOn w:val="DefaultParagraphFont"/>
    <w:link w:val="Header"/>
    <w:uiPriority w:val="99"/>
    <w:rsid w:val="00F508F6"/>
    <w:rPr>
      <w:sz w:val="22"/>
      <w:szCs w:val="22"/>
      <w:lang w:val="en-US" w:eastAsia="en-US"/>
    </w:rPr>
  </w:style>
  <w:style w:type="character" w:customStyle="1" w:styleId="FooterChar">
    <w:name w:val="Footer Char"/>
    <w:basedOn w:val="DefaultParagraphFont"/>
    <w:link w:val="Footer"/>
    <w:uiPriority w:val="99"/>
    <w:rsid w:val="00F508F6"/>
    <w:rPr>
      <w:sz w:val="22"/>
      <w:szCs w:val="22"/>
      <w:lang w:val="en-US" w:eastAsia="en-US"/>
    </w:rPr>
  </w:style>
  <w:style w:type="character" w:customStyle="1" w:styleId="EndnoteTextChar">
    <w:name w:val="Endnote Text Char"/>
    <w:basedOn w:val="DefaultParagraphFont"/>
    <w:link w:val="EndnoteText"/>
    <w:semiHidden/>
    <w:rsid w:val="00F508F6"/>
    <w:rPr>
      <w:sz w:val="18"/>
      <w:szCs w:val="22"/>
      <w:lang w:val="en-US" w:eastAsia="en-US"/>
    </w:rPr>
  </w:style>
  <w:style w:type="character" w:customStyle="1" w:styleId="SignatureChar">
    <w:name w:val="Signature Char"/>
    <w:basedOn w:val="DefaultParagraphFont"/>
    <w:link w:val="Signature"/>
    <w:semiHidden/>
    <w:rsid w:val="00F508F6"/>
    <w:rPr>
      <w:sz w:val="22"/>
      <w:szCs w:val="22"/>
      <w:lang w:val="en-US" w:eastAsia="en-US"/>
    </w:rPr>
  </w:style>
  <w:style w:type="character" w:customStyle="1" w:styleId="SalutationChar">
    <w:name w:val="Salutation Char"/>
    <w:basedOn w:val="DefaultParagraphFont"/>
    <w:link w:val="Salutation"/>
    <w:semiHidden/>
    <w:rsid w:val="00F508F6"/>
    <w:rPr>
      <w:sz w:val="22"/>
      <w:szCs w:val="22"/>
      <w:lang w:val="en-US" w:eastAsia="en-US"/>
    </w:rPr>
  </w:style>
  <w:style w:type="character" w:customStyle="1" w:styleId="BalloonTextChar">
    <w:name w:val="Balloon Text Char"/>
    <w:basedOn w:val="DefaultParagraphFont"/>
    <w:link w:val="BalloonText"/>
    <w:uiPriority w:val="99"/>
    <w:rsid w:val="00F508F6"/>
    <w:rPr>
      <w:rFonts w:ascii="Tahoma" w:hAnsi="Tahoma" w:cs="Tahoma"/>
      <w:sz w:val="16"/>
      <w:szCs w:val="16"/>
      <w:lang w:val="en-US" w:eastAsia="en-US"/>
    </w:rPr>
  </w:style>
  <w:style w:type="numbering" w:customStyle="1" w:styleId="NoList1">
    <w:name w:val="No List1"/>
    <w:next w:val="NoList"/>
    <w:uiPriority w:val="99"/>
    <w:semiHidden/>
    <w:unhideWhenUsed/>
    <w:rsid w:val="008708FA"/>
  </w:style>
  <w:style w:type="table" w:customStyle="1" w:styleId="TableGrid1">
    <w:name w:val="Table Grid1"/>
    <w:basedOn w:val="TableNormal"/>
    <w:next w:val="TableGrid"/>
    <w:uiPriority w:val="59"/>
    <w:rsid w:val="008708FA"/>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name">
    <w:name w:val="Table_name"/>
    <w:basedOn w:val="Normal"/>
    <w:link w:val="TablenameChar"/>
    <w:qFormat/>
    <w:rsid w:val="008708FA"/>
    <w:pPr>
      <w:spacing w:after="120"/>
    </w:pPr>
    <w:rPr>
      <w:rFonts w:ascii="Times New Roman" w:eastAsia="Cordia New" w:hAnsi="Times New Roman"/>
      <w:b/>
      <w:bCs/>
      <w:sz w:val="24"/>
      <w:szCs w:val="24"/>
      <w:lang w:bidi="th-TH"/>
    </w:rPr>
  </w:style>
  <w:style w:type="character" w:customStyle="1" w:styleId="TablenameChar">
    <w:name w:val="Table_name Char"/>
    <w:basedOn w:val="DefaultParagraphFont"/>
    <w:link w:val="Tablename"/>
    <w:rsid w:val="008708FA"/>
    <w:rPr>
      <w:rFonts w:ascii="Times New Roman" w:eastAsia="Cordia New" w:hAnsi="Times New Roman"/>
      <w:b/>
      <w:bCs/>
      <w:sz w:val="24"/>
      <w:szCs w:val="24"/>
      <w:lang w:val="en-US" w:eastAsia="en-US" w:bidi="th-TH"/>
    </w:rPr>
  </w:style>
  <w:style w:type="paragraph" w:customStyle="1" w:styleId="source">
    <w:name w:val="source"/>
    <w:basedOn w:val="Normal"/>
    <w:link w:val="sourceChar"/>
    <w:qFormat/>
    <w:rsid w:val="008708FA"/>
    <w:pPr>
      <w:spacing w:after="120"/>
    </w:pPr>
    <w:rPr>
      <w:rFonts w:ascii="Times New Roman" w:eastAsia="Cordia New" w:hAnsi="Times New Roman"/>
      <w:sz w:val="18"/>
      <w:szCs w:val="18"/>
      <w:lang w:bidi="th-TH"/>
    </w:rPr>
  </w:style>
  <w:style w:type="character" w:customStyle="1" w:styleId="sourceChar">
    <w:name w:val="source Char"/>
    <w:basedOn w:val="DefaultParagraphFont"/>
    <w:link w:val="source"/>
    <w:rsid w:val="008708FA"/>
    <w:rPr>
      <w:rFonts w:ascii="Times New Roman" w:eastAsia="Cordia New" w:hAnsi="Times New Roman"/>
      <w:sz w:val="18"/>
      <w:szCs w:val="18"/>
      <w:lang w:val="en-US" w:eastAsia="en-US" w:bidi="th-TH"/>
    </w:rPr>
  </w:style>
  <w:style w:type="paragraph" w:customStyle="1" w:styleId="formattable">
    <w:name w:val="format_table"/>
    <w:basedOn w:val="Normal"/>
    <w:qFormat/>
    <w:rsid w:val="008708FA"/>
    <w:rPr>
      <w:rFonts w:ascii="Times New Roman" w:eastAsia="Cordia New" w:hAnsi="Times New Roman"/>
      <w:sz w:val="20"/>
      <w:szCs w:val="20"/>
      <w:lang w:bidi="th-TH"/>
    </w:rPr>
  </w:style>
  <w:style w:type="paragraph" w:styleId="ListBullet">
    <w:name w:val="List Bullet"/>
    <w:basedOn w:val="Normal"/>
    <w:autoRedefine/>
    <w:rsid w:val="008708FA"/>
    <w:pPr>
      <w:tabs>
        <w:tab w:val="num" w:pos="1080"/>
      </w:tabs>
      <w:spacing w:after="120"/>
      <w:ind w:firstLine="720"/>
      <w:jc w:val="thaiDistribute"/>
    </w:pPr>
    <w:rPr>
      <w:rFonts w:ascii="Times New Roman" w:eastAsia="Cordia New" w:hAnsi="Times New Roman"/>
      <w:sz w:val="24"/>
      <w:szCs w:val="24"/>
      <w:lang w:bidi="th-TH"/>
    </w:rPr>
  </w:style>
  <w:style w:type="paragraph" w:styleId="ListNumber2">
    <w:name w:val="List Number 2"/>
    <w:basedOn w:val="Normal"/>
    <w:rsid w:val="008708FA"/>
    <w:pPr>
      <w:tabs>
        <w:tab w:val="num" w:pos="1080"/>
      </w:tabs>
      <w:spacing w:after="120"/>
      <w:ind w:firstLine="720"/>
      <w:jc w:val="thaiDistribute"/>
    </w:pPr>
    <w:rPr>
      <w:rFonts w:ascii="Times New Roman" w:eastAsia="Cordia New" w:hAnsi="Times New Roman"/>
      <w:sz w:val="24"/>
      <w:szCs w:val="24"/>
      <w:lang w:bidi="th-TH"/>
    </w:rPr>
  </w:style>
  <w:style w:type="paragraph" w:styleId="ListNumber3">
    <w:name w:val="List Number 3"/>
    <w:basedOn w:val="Normal"/>
    <w:rsid w:val="008708FA"/>
    <w:pPr>
      <w:tabs>
        <w:tab w:val="num" w:pos="1080"/>
      </w:tabs>
      <w:spacing w:after="120"/>
      <w:ind w:firstLine="720"/>
      <w:jc w:val="thaiDistribute"/>
    </w:pPr>
    <w:rPr>
      <w:rFonts w:ascii="Times New Roman" w:eastAsia="Cordia New" w:hAnsi="Times New Roman"/>
      <w:sz w:val="24"/>
      <w:szCs w:val="24"/>
      <w:lang w:bidi="th-TH"/>
    </w:rPr>
  </w:style>
  <w:style w:type="paragraph" w:styleId="ListNumber4">
    <w:name w:val="List Number 4"/>
    <w:basedOn w:val="Normal"/>
    <w:rsid w:val="008708FA"/>
    <w:pPr>
      <w:tabs>
        <w:tab w:val="num" w:pos="1080"/>
      </w:tabs>
      <w:spacing w:after="120"/>
      <w:ind w:firstLine="720"/>
      <w:jc w:val="thaiDistribute"/>
    </w:pPr>
    <w:rPr>
      <w:rFonts w:ascii="Times New Roman" w:eastAsia="Cordia New" w:hAnsi="Times New Roman"/>
      <w:sz w:val="24"/>
      <w:szCs w:val="24"/>
      <w:lang w:bidi="th-TH"/>
    </w:rPr>
  </w:style>
  <w:style w:type="paragraph" w:customStyle="1" w:styleId="Figurename">
    <w:name w:val="Figure_name"/>
    <w:basedOn w:val="Normal"/>
    <w:rsid w:val="008708FA"/>
    <w:pPr>
      <w:spacing w:after="120"/>
      <w:jc w:val="center"/>
    </w:pPr>
    <w:rPr>
      <w:rFonts w:ascii="Times New Roman" w:eastAsia="Cordia New" w:hAnsi="Times New Roman"/>
      <w:b/>
      <w:bCs/>
      <w:sz w:val="24"/>
      <w:szCs w:val="24"/>
      <w:lang w:bidi="th-TH"/>
    </w:rPr>
  </w:style>
  <w:style w:type="paragraph" w:customStyle="1" w:styleId="a">
    <w:name w:val="เชิงอัต"/>
    <w:basedOn w:val="Normal"/>
    <w:autoRedefine/>
    <w:rsid w:val="008708FA"/>
    <w:rPr>
      <w:rFonts w:ascii="Times New Roman" w:eastAsia="Cordia New" w:hAnsi="Times New Roman"/>
      <w:sz w:val="24"/>
      <w:szCs w:val="24"/>
      <w:lang w:bidi="th-TH"/>
    </w:rPr>
  </w:style>
  <w:style w:type="paragraph" w:customStyle="1" w:styleId="Styleformattable12pt">
    <w:name w:val="Style format_table + 12 pt"/>
    <w:basedOn w:val="formattable"/>
    <w:qFormat/>
    <w:rsid w:val="008708FA"/>
  </w:style>
  <w:style w:type="character" w:customStyle="1" w:styleId="hps">
    <w:name w:val="hps"/>
    <w:basedOn w:val="DefaultParagraphFont"/>
    <w:rsid w:val="008708FA"/>
  </w:style>
  <w:style w:type="character" w:customStyle="1" w:styleId="shorttext">
    <w:name w:val="short_text"/>
    <w:basedOn w:val="DefaultParagraphFont"/>
    <w:rsid w:val="008708FA"/>
  </w:style>
  <w:style w:type="character" w:customStyle="1" w:styleId="apple-converted-space">
    <w:name w:val="apple-converted-space"/>
    <w:basedOn w:val="DefaultParagraphFont"/>
    <w:rsid w:val="008708FA"/>
  </w:style>
  <w:style w:type="character" w:customStyle="1" w:styleId="Title1">
    <w:name w:val="Title1"/>
    <w:basedOn w:val="DefaultParagraphFont"/>
    <w:rsid w:val="008708FA"/>
  </w:style>
  <w:style w:type="character" w:customStyle="1" w:styleId="Title2">
    <w:name w:val="Title2"/>
    <w:basedOn w:val="DefaultParagraphFont"/>
    <w:rsid w:val="008708FA"/>
  </w:style>
  <w:style w:type="character" w:customStyle="1" w:styleId="ref">
    <w:name w:val="ref"/>
    <w:basedOn w:val="DefaultParagraphFont"/>
    <w:rsid w:val="008708FA"/>
  </w:style>
  <w:style w:type="character" w:customStyle="1" w:styleId="Title3">
    <w:name w:val="Title3"/>
    <w:basedOn w:val="DefaultParagraphFont"/>
    <w:rsid w:val="008708FA"/>
  </w:style>
  <w:style w:type="paragraph" w:customStyle="1" w:styleId="TOC51">
    <w:name w:val="TOC 51"/>
    <w:basedOn w:val="Normal"/>
    <w:next w:val="Normal"/>
    <w:autoRedefine/>
    <w:rsid w:val="008708FA"/>
    <w:pPr>
      <w:ind w:left="960" w:firstLine="720"/>
    </w:pPr>
    <w:rPr>
      <w:rFonts w:eastAsia="Cordia New"/>
      <w:sz w:val="18"/>
      <w:szCs w:val="21"/>
      <w:lang w:bidi="th-TH"/>
    </w:rPr>
  </w:style>
  <w:style w:type="paragraph" w:customStyle="1" w:styleId="TOC61">
    <w:name w:val="TOC 61"/>
    <w:basedOn w:val="Normal"/>
    <w:next w:val="Normal"/>
    <w:autoRedefine/>
    <w:rsid w:val="008708FA"/>
    <w:pPr>
      <w:ind w:left="1200" w:firstLine="720"/>
    </w:pPr>
    <w:rPr>
      <w:rFonts w:eastAsia="Cordia New"/>
      <w:sz w:val="18"/>
      <w:szCs w:val="21"/>
      <w:lang w:bidi="th-TH"/>
    </w:rPr>
  </w:style>
  <w:style w:type="paragraph" w:customStyle="1" w:styleId="TOC71">
    <w:name w:val="TOC 71"/>
    <w:basedOn w:val="Normal"/>
    <w:next w:val="Normal"/>
    <w:autoRedefine/>
    <w:rsid w:val="008708FA"/>
    <w:pPr>
      <w:ind w:left="1440" w:firstLine="720"/>
    </w:pPr>
    <w:rPr>
      <w:rFonts w:eastAsia="Cordia New"/>
      <w:sz w:val="18"/>
      <w:szCs w:val="21"/>
      <w:lang w:bidi="th-TH"/>
    </w:rPr>
  </w:style>
  <w:style w:type="paragraph" w:customStyle="1" w:styleId="TOC81">
    <w:name w:val="TOC 81"/>
    <w:basedOn w:val="Normal"/>
    <w:next w:val="Normal"/>
    <w:autoRedefine/>
    <w:rsid w:val="008708FA"/>
    <w:pPr>
      <w:ind w:left="1680" w:firstLine="720"/>
    </w:pPr>
    <w:rPr>
      <w:rFonts w:eastAsia="Cordia New"/>
      <w:sz w:val="18"/>
      <w:szCs w:val="21"/>
      <w:lang w:bidi="th-TH"/>
    </w:rPr>
  </w:style>
  <w:style w:type="paragraph" w:customStyle="1" w:styleId="TOC91">
    <w:name w:val="TOC 91"/>
    <w:basedOn w:val="Normal"/>
    <w:next w:val="Normal"/>
    <w:autoRedefine/>
    <w:rsid w:val="008708FA"/>
    <w:pPr>
      <w:ind w:left="1920" w:firstLine="720"/>
    </w:pPr>
    <w:rPr>
      <w:rFonts w:eastAsia="Cordia New"/>
      <w:sz w:val="18"/>
      <w:szCs w:val="21"/>
      <w:lang w:bidi="th-TH"/>
    </w:rPr>
  </w:style>
  <w:style w:type="paragraph" w:customStyle="1" w:styleId="Listenabsatz">
    <w:name w:val="Listenabsatz"/>
    <w:basedOn w:val="Normal"/>
    <w:uiPriority w:val="34"/>
    <w:qFormat/>
    <w:rsid w:val="008708FA"/>
    <w:pPr>
      <w:tabs>
        <w:tab w:val="left" w:pos="720"/>
      </w:tabs>
      <w:ind w:left="720"/>
      <w:jc w:val="both"/>
    </w:pPr>
    <w:rPr>
      <w:rFonts w:ascii="Times New Roman" w:hAnsi="Times New Roman"/>
      <w:szCs w:val="20"/>
      <w:lang w:val="en-GB"/>
    </w:rPr>
  </w:style>
  <w:style w:type="paragraph" w:customStyle="1" w:styleId="captionnotes">
    <w:name w:val="caption notes"/>
    <w:basedOn w:val="Normal"/>
    <w:link w:val="captionnotesChar"/>
    <w:qFormat/>
    <w:rsid w:val="008708FA"/>
    <w:rPr>
      <w:rFonts w:eastAsia="Calibri"/>
      <w:i/>
      <w:sz w:val="16"/>
    </w:rPr>
  </w:style>
  <w:style w:type="character" w:customStyle="1" w:styleId="captionnotesChar">
    <w:name w:val="caption notes Char"/>
    <w:basedOn w:val="DefaultParagraphFont"/>
    <w:link w:val="captionnotes"/>
    <w:rsid w:val="008708FA"/>
    <w:rPr>
      <w:rFonts w:ascii="Arial" w:eastAsia="Calibri" w:hAnsi="Arial"/>
      <w:i/>
      <w:sz w:val="16"/>
      <w:szCs w:val="22"/>
      <w:lang w:val="en-US" w:eastAsia="en-US"/>
    </w:rPr>
  </w:style>
  <w:style w:type="paragraph" w:styleId="DocumentMap">
    <w:name w:val="Document Map"/>
    <w:basedOn w:val="Normal"/>
    <w:link w:val="DocumentMapChar"/>
    <w:uiPriority w:val="99"/>
    <w:semiHidden/>
    <w:unhideWhenUsed/>
    <w:rsid w:val="008708FA"/>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8708FA"/>
    <w:rPr>
      <w:rFonts w:ascii="Tahoma" w:eastAsia="Calibri" w:hAnsi="Tahoma" w:cs="Tahoma"/>
      <w:sz w:val="16"/>
      <w:szCs w:val="16"/>
      <w:lang w:val="en-US" w:eastAsia="en-US"/>
    </w:rPr>
  </w:style>
  <w:style w:type="character" w:customStyle="1" w:styleId="A8">
    <w:name w:val="A8"/>
    <w:uiPriority w:val="99"/>
    <w:rsid w:val="008708FA"/>
    <w:rPr>
      <w:rFonts w:cs="Trebuchet MS"/>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51540">
      <w:bodyDiv w:val="1"/>
      <w:marLeft w:val="0"/>
      <w:marRight w:val="0"/>
      <w:marTop w:val="0"/>
      <w:marBottom w:val="0"/>
      <w:divBdr>
        <w:top w:val="none" w:sz="0" w:space="0" w:color="auto"/>
        <w:left w:val="none" w:sz="0" w:space="0" w:color="auto"/>
        <w:bottom w:val="none" w:sz="0" w:space="0" w:color="auto"/>
        <w:right w:val="none" w:sz="0" w:space="0" w:color="auto"/>
      </w:divBdr>
    </w:div>
    <w:div w:id="208298314">
      <w:bodyDiv w:val="1"/>
      <w:marLeft w:val="0"/>
      <w:marRight w:val="0"/>
      <w:marTop w:val="0"/>
      <w:marBottom w:val="0"/>
      <w:divBdr>
        <w:top w:val="none" w:sz="0" w:space="0" w:color="auto"/>
        <w:left w:val="none" w:sz="0" w:space="0" w:color="auto"/>
        <w:bottom w:val="none" w:sz="0" w:space="0" w:color="auto"/>
        <w:right w:val="none" w:sz="0" w:space="0" w:color="auto"/>
      </w:divBdr>
      <w:divsChild>
        <w:div w:id="622464536">
          <w:marLeft w:val="0"/>
          <w:marRight w:val="0"/>
          <w:marTop w:val="0"/>
          <w:marBottom w:val="0"/>
          <w:divBdr>
            <w:top w:val="none" w:sz="0" w:space="0" w:color="auto"/>
            <w:left w:val="none" w:sz="0" w:space="0" w:color="auto"/>
            <w:bottom w:val="none" w:sz="0" w:space="0" w:color="auto"/>
            <w:right w:val="none" w:sz="0" w:space="0" w:color="auto"/>
          </w:divBdr>
        </w:div>
        <w:div w:id="1200043834">
          <w:marLeft w:val="0"/>
          <w:marRight w:val="0"/>
          <w:marTop w:val="0"/>
          <w:marBottom w:val="0"/>
          <w:divBdr>
            <w:top w:val="none" w:sz="0" w:space="0" w:color="auto"/>
            <w:left w:val="none" w:sz="0" w:space="0" w:color="auto"/>
            <w:bottom w:val="none" w:sz="0" w:space="0" w:color="auto"/>
            <w:right w:val="none" w:sz="0" w:space="0" w:color="auto"/>
          </w:divBdr>
        </w:div>
        <w:div w:id="1410927310">
          <w:marLeft w:val="0"/>
          <w:marRight w:val="0"/>
          <w:marTop w:val="0"/>
          <w:marBottom w:val="0"/>
          <w:divBdr>
            <w:top w:val="none" w:sz="0" w:space="0" w:color="auto"/>
            <w:left w:val="none" w:sz="0" w:space="0" w:color="auto"/>
            <w:bottom w:val="none" w:sz="0" w:space="0" w:color="auto"/>
            <w:right w:val="none" w:sz="0" w:space="0" w:color="auto"/>
          </w:divBdr>
        </w:div>
        <w:div w:id="1905988050">
          <w:marLeft w:val="0"/>
          <w:marRight w:val="0"/>
          <w:marTop w:val="0"/>
          <w:marBottom w:val="0"/>
          <w:divBdr>
            <w:top w:val="none" w:sz="0" w:space="0" w:color="auto"/>
            <w:left w:val="none" w:sz="0" w:space="0" w:color="auto"/>
            <w:bottom w:val="none" w:sz="0" w:space="0" w:color="auto"/>
            <w:right w:val="none" w:sz="0" w:space="0" w:color="auto"/>
          </w:divBdr>
        </w:div>
      </w:divsChild>
    </w:div>
    <w:div w:id="261256362">
      <w:bodyDiv w:val="1"/>
      <w:marLeft w:val="0"/>
      <w:marRight w:val="0"/>
      <w:marTop w:val="0"/>
      <w:marBottom w:val="0"/>
      <w:divBdr>
        <w:top w:val="none" w:sz="0" w:space="0" w:color="auto"/>
        <w:left w:val="none" w:sz="0" w:space="0" w:color="auto"/>
        <w:bottom w:val="none" w:sz="0" w:space="0" w:color="auto"/>
        <w:right w:val="none" w:sz="0" w:space="0" w:color="auto"/>
      </w:divBdr>
    </w:div>
    <w:div w:id="287587554">
      <w:bodyDiv w:val="1"/>
      <w:marLeft w:val="0"/>
      <w:marRight w:val="0"/>
      <w:marTop w:val="0"/>
      <w:marBottom w:val="0"/>
      <w:divBdr>
        <w:top w:val="none" w:sz="0" w:space="0" w:color="auto"/>
        <w:left w:val="none" w:sz="0" w:space="0" w:color="auto"/>
        <w:bottom w:val="none" w:sz="0" w:space="0" w:color="auto"/>
        <w:right w:val="none" w:sz="0" w:space="0" w:color="auto"/>
      </w:divBdr>
    </w:div>
    <w:div w:id="291327190">
      <w:bodyDiv w:val="1"/>
      <w:marLeft w:val="0"/>
      <w:marRight w:val="0"/>
      <w:marTop w:val="0"/>
      <w:marBottom w:val="0"/>
      <w:divBdr>
        <w:top w:val="none" w:sz="0" w:space="0" w:color="auto"/>
        <w:left w:val="none" w:sz="0" w:space="0" w:color="auto"/>
        <w:bottom w:val="none" w:sz="0" w:space="0" w:color="auto"/>
        <w:right w:val="none" w:sz="0" w:space="0" w:color="auto"/>
      </w:divBdr>
      <w:divsChild>
        <w:div w:id="344671164">
          <w:marLeft w:val="0"/>
          <w:marRight w:val="0"/>
          <w:marTop w:val="0"/>
          <w:marBottom w:val="0"/>
          <w:divBdr>
            <w:top w:val="none" w:sz="0" w:space="0" w:color="auto"/>
            <w:left w:val="none" w:sz="0" w:space="0" w:color="auto"/>
            <w:bottom w:val="none" w:sz="0" w:space="0" w:color="auto"/>
            <w:right w:val="none" w:sz="0" w:space="0" w:color="auto"/>
          </w:divBdr>
        </w:div>
        <w:div w:id="492452298">
          <w:marLeft w:val="0"/>
          <w:marRight w:val="0"/>
          <w:marTop w:val="0"/>
          <w:marBottom w:val="0"/>
          <w:divBdr>
            <w:top w:val="none" w:sz="0" w:space="0" w:color="auto"/>
            <w:left w:val="none" w:sz="0" w:space="0" w:color="auto"/>
            <w:bottom w:val="none" w:sz="0" w:space="0" w:color="auto"/>
            <w:right w:val="none" w:sz="0" w:space="0" w:color="auto"/>
          </w:divBdr>
        </w:div>
        <w:div w:id="546113558">
          <w:marLeft w:val="0"/>
          <w:marRight w:val="0"/>
          <w:marTop w:val="0"/>
          <w:marBottom w:val="0"/>
          <w:divBdr>
            <w:top w:val="none" w:sz="0" w:space="0" w:color="auto"/>
            <w:left w:val="none" w:sz="0" w:space="0" w:color="auto"/>
            <w:bottom w:val="none" w:sz="0" w:space="0" w:color="auto"/>
            <w:right w:val="none" w:sz="0" w:space="0" w:color="auto"/>
          </w:divBdr>
        </w:div>
        <w:div w:id="1157304268">
          <w:marLeft w:val="0"/>
          <w:marRight w:val="0"/>
          <w:marTop w:val="0"/>
          <w:marBottom w:val="0"/>
          <w:divBdr>
            <w:top w:val="none" w:sz="0" w:space="0" w:color="auto"/>
            <w:left w:val="none" w:sz="0" w:space="0" w:color="auto"/>
            <w:bottom w:val="none" w:sz="0" w:space="0" w:color="auto"/>
            <w:right w:val="none" w:sz="0" w:space="0" w:color="auto"/>
          </w:divBdr>
        </w:div>
      </w:divsChild>
    </w:div>
    <w:div w:id="411969764">
      <w:bodyDiv w:val="1"/>
      <w:marLeft w:val="0"/>
      <w:marRight w:val="0"/>
      <w:marTop w:val="0"/>
      <w:marBottom w:val="0"/>
      <w:divBdr>
        <w:top w:val="none" w:sz="0" w:space="0" w:color="auto"/>
        <w:left w:val="none" w:sz="0" w:space="0" w:color="auto"/>
        <w:bottom w:val="none" w:sz="0" w:space="0" w:color="auto"/>
        <w:right w:val="none" w:sz="0" w:space="0" w:color="auto"/>
      </w:divBdr>
      <w:divsChild>
        <w:div w:id="180317750">
          <w:marLeft w:val="0"/>
          <w:marRight w:val="0"/>
          <w:marTop w:val="0"/>
          <w:marBottom w:val="0"/>
          <w:divBdr>
            <w:top w:val="none" w:sz="0" w:space="0" w:color="auto"/>
            <w:left w:val="none" w:sz="0" w:space="0" w:color="auto"/>
            <w:bottom w:val="none" w:sz="0" w:space="0" w:color="auto"/>
            <w:right w:val="none" w:sz="0" w:space="0" w:color="auto"/>
          </w:divBdr>
        </w:div>
        <w:div w:id="801850440">
          <w:marLeft w:val="0"/>
          <w:marRight w:val="0"/>
          <w:marTop w:val="0"/>
          <w:marBottom w:val="0"/>
          <w:divBdr>
            <w:top w:val="none" w:sz="0" w:space="0" w:color="auto"/>
            <w:left w:val="none" w:sz="0" w:space="0" w:color="auto"/>
            <w:bottom w:val="none" w:sz="0" w:space="0" w:color="auto"/>
            <w:right w:val="none" w:sz="0" w:space="0" w:color="auto"/>
          </w:divBdr>
        </w:div>
        <w:div w:id="939878894">
          <w:marLeft w:val="0"/>
          <w:marRight w:val="0"/>
          <w:marTop w:val="0"/>
          <w:marBottom w:val="0"/>
          <w:divBdr>
            <w:top w:val="none" w:sz="0" w:space="0" w:color="auto"/>
            <w:left w:val="none" w:sz="0" w:space="0" w:color="auto"/>
            <w:bottom w:val="none" w:sz="0" w:space="0" w:color="auto"/>
            <w:right w:val="none" w:sz="0" w:space="0" w:color="auto"/>
          </w:divBdr>
        </w:div>
        <w:div w:id="1131363052">
          <w:marLeft w:val="0"/>
          <w:marRight w:val="0"/>
          <w:marTop w:val="0"/>
          <w:marBottom w:val="0"/>
          <w:divBdr>
            <w:top w:val="none" w:sz="0" w:space="0" w:color="auto"/>
            <w:left w:val="none" w:sz="0" w:space="0" w:color="auto"/>
            <w:bottom w:val="none" w:sz="0" w:space="0" w:color="auto"/>
            <w:right w:val="none" w:sz="0" w:space="0" w:color="auto"/>
          </w:divBdr>
        </w:div>
        <w:div w:id="1153107373">
          <w:marLeft w:val="0"/>
          <w:marRight w:val="0"/>
          <w:marTop w:val="0"/>
          <w:marBottom w:val="0"/>
          <w:divBdr>
            <w:top w:val="none" w:sz="0" w:space="0" w:color="auto"/>
            <w:left w:val="none" w:sz="0" w:space="0" w:color="auto"/>
            <w:bottom w:val="none" w:sz="0" w:space="0" w:color="auto"/>
            <w:right w:val="none" w:sz="0" w:space="0" w:color="auto"/>
          </w:divBdr>
        </w:div>
        <w:div w:id="1647708586">
          <w:marLeft w:val="0"/>
          <w:marRight w:val="0"/>
          <w:marTop w:val="0"/>
          <w:marBottom w:val="0"/>
          <w:divBdr>
            <w:top w:val="none" w:sz="0" w:space="0" w:color="auto"/>
            <w:left w:val="none" w:sz="0" w:space="0" w:color="auto"/>
            <w:bottom w:val="none" w:sz="0" w:space="0" w:color="auto"/>
            <w:right w:val="none" w:sz="0" w:space="0" w:color="auto"/>
          </w:divBdr>
        </w:div>
        <w:div w:id="1682774799">
          <w:marLeft w:val="0"/>
          <w:marRight w:val="0"/>
          <w:marTop w:val="0"/>
          <w:marBottom w:val="0"/>
          <w:divBdr>
            <w:top w:val="none" w:sz="0" w:space="0" w:color="auto"/>
            <w:left w:val="none" w:sz="0" w:space="0" w:color="auto"/>
            <w:bottom w:val="none" w:sz="0" w:space="0" w:color="auto"/>
            <w:right w:val="none" w:sz="0" w:space="0" w:color="auto"/>
          </w:divBdr>
        </w:div>
      </w:divsChild>
    </w:div>
    <w:div w:id="433288676">
      <w:bodyDiv w:val="1"/>
      <w:marLeft w:val="0"/>
      <w:marRight w:val="0"/>
      <w:marTop w:val="0"/>
      <w:marBottom w:val="0"/>
      <w:divBdr>
        <w:top w:val="none" w:sz="0" w:space="0" w:color="auto"/>
        <w:left w:val="none" w:sz="0" w:space="0" w:color="auto"/>
        <w:bottom w:val="none" w:sz="0" w:space="0" w:color="auto"/>
        <w:right w:val="none" w:sz="0" w:space="0" w:color="auto"/>
      </w:divBdr>
    </w:div>
    <w:div w:id="471483059">
      <w:bodyDiv w:val="1"/>
      <w:marLeft w:val="0"/>
      <w:marRight w:val="0"/>
      <w:marTop w:val="0"/>
      <w:marBottom w:val="0"/>
      <w:divBdr>
        <w:top w:val="none" w:sz="0" w:space="0" w:color="auto"/>
        <w:left w:val="none" w:sz="0" w:space="0" w:color="auto"/>
        <w:bottom w:val="none" w:sz="0" w:space="0" w:color="auto"/>
        <w:right w:val="none" w:sz="0" w:space="0" w:color="auto"/>
      </w:divBdr>
    </w:div>
    <w:div w:id="474105049">
      <w:bodyDiv w:val="1"/>
      <w:marLeft w:val="0"/>
      <w:marRight w:val="0"/>
      <w:marTop w:val="0"/>
      <w:marBottom w:val="0"/>
      <w:divBdr>
        <w:top w:val="none" w:sz="0" w:space="0" w:color="auto"/>
        <w:left w:val="none" w:sz="0" w:space="0" w:color="auto"/>
        <w:bottom w:val="none" w:sz="0" w:space="0" w:color="auto"/>
        <w:right w:val="none" w:sz="0" w:space="0" w:color="auto"/>
      </w:divBdr>
    </w:div>
    <w:div w:id="490608429">
      <w:bodyDiv w:val="1"/>
      <w:marLeft w:val="0"/>
      <w:marRight w:val="0"/>
      <w:marTop w:val="0"/>
      <w:marBottom w:val="0"/>
      <w:divBdr>
        <w:top w:val="none" w:sz="0" w:space="0" w:color="auto"/>
        <w:left w:val="none" w:sz="0" w:space="0" w:color="auto"/>
        <w:bottom w:val="none" w:sz="0" w:space="0" w:color="auto"/>
        <w:right w:val="none" w:sz="0" w:space="0" w:color="auto"/>
      </w:divBdr>
    </w:div>
    <w:div w:id="615984281">
      <w:bodyDiv w:val="1"/>
      <w:marLeft w:val="0"/>
      <w:marRight w:val="0"/>
      <w:marTop w:val="0"/>
      <w:marBottom w:val="0"/>
      <w:divBdr>
        <w:top w:val="none" w:sz="0" w:space="0" w:color="auto"/>
        <w:left w:val="none" w:sz="0" w:space="0" w:color="auto"/>
        <w:bottom w:val="none" w:sz="0" w:space="0" w:color="auto"/>
        <w:right w:val="none" w:sz="0" w:space="0" w:color="auto"/>
      </w:divBdr>
    </w:div>
    <w:div w:id="633023413">
      <w:bodyDiv w:val="1"/>
      <w:marLeft w:val="0"/>
      <w:marRight w:val="0"/>
      <w:marTop w:val="0"/>
      <w:marBottom w:val="0"/>
      <w:divBdr>
        <w:top w:val="none" w:sz="0" w:space="0" w:color="auto"/>
        <w:left w:val="none" w:sz="0" w:space="0" w:color="auto"/>
        <w:bottom w:val="none" w:sz="0" w:space="0" w:color="auto"/>
        <w:right w:val="none" w:sz="0" w:space="0" w:color="auto"/>
      </w:divBdr>
    </w:div>
    <w:div w:id="693577805">
      <w:bodyDiv w:val="1"/>
      <w:marLeft w:val="0"/>
      <w:marRight w:val="0"/>
      <w:marTop w:val="0"/>
      <w:marBottom w:val="0"/>
      <w:divBdr>
        <w:top w:val="none" w:sz="0" w:space="0" w:color="auto"/>
        <w:left w:val="none" w:sz="0" w:space="0" w:color="auto"/>
        <w:bottom w:val="none" w:sz="0" w:space="0" w:color="auto"/>
        <w:right w:val="none" w:sz="0" w:space="0" w:color="auto"/>
      </w:divBdr>
      <w:divsChild>
        <w:div w:id="511842575">
          <w:marLeft w:val="0"/>
          <w:marRight w:val="0"/>
          <w:marTop w:val="0"/>
          <w:marBottom w:val="0"/>
          <w:divBdr>
            <w:top w:val="none" w:sz="0" w:space="0" w:color="auto"/>
            <w:left w:val="none" w:sz="0" w:space="0" w:color="auto"/>
            <w:bottom w:val="none" w:sz="0" w:space="0" w:color="auto"/>
            <w:right w:val="none" w:sz="0" w:space="0" w:color="auto"/>
          </w:divBdr>
        </w:div>
        <w:div w:id="1790393382">
          <w:marLeft w:val="0"/>
          <w:marRight w:val="0"/>
          <w:marTop w:val="0"/>
          <w:marBottom w:val="0"/>
          <w:divBdr>
            <w:top w:val="none" w:sz="0" w:space="0" w:color="auto"/>
            <w:left w:val="none" w:sz="0" w:space="0" w:color="auto"/>
            <w:bottom w:val="none" w:sz="0" w:space="0" w:color="auto"/>
            <w:right w:val="none" w:sz="0" w:space="0" w:color="auto"/>
          </w:divBdr>
        </w:div>
      </w:divsChild>
    </w:div>
    <w:div w:id="876358561">
      <w:bodyDiv w:val="1"/>
      <w:marLeft w:val="0"/>
      <w:marRight w:val="0"/>
      <w:marTop w:val="0"/>
      <w:marBottom w:val="0"/>
      <w:divBdr>
        <w:top w:val="none" w:sz="0" w:space="0" w:color="auto"/>
        <w:left w:val="none" w:sz="0" w:space="0" w:color="auto"/>
        <w:bottom w:val="none" w:sz="0" w:space="0" w:color="auto"/>
        <w:right w:val="none" w:sz="0" w:space="0" w:color="auto"/>
      </w:divBdr>
      <w:divsChild>
        <w:div w:id="10497687">
          <w:marLeft w:val="0"/>
          <w:marRight w:val="0"/>
          <w:marTop w:val="0"/>
          <w:marBottom w:val="0"/>
          <w:divBdr>
            <w:top w:val="none" w:sz="0" w:space="0" w:color="auto"/>
            <w:left w:val="none" w:sz="0" w:space="0" w:color="auto"/>
            <w:bottom w:val="none" w:sz="0" w:space="0" w:color="auto"/>
            <w:right w:val="none" w:sz="0" w:space="0" w:color="auto"/>
          </w:divBdr>
        </w:div>
        <w:div w:id="197476093">
          <w:marLeft w:val="0"/>
          <w:marRight w:val="0"/>
          <w:marTop w:val="0"/>
          <w:marBottom w:val="0"/>
          <w:divBdr>
            <w:top w:val="none" w:sz="0" w:space="0" w:color="auto"/>
            <w:left w:val="none" w:sz="0" w:space="0" w:color="auto"/>
            <w:bottom w:val="none" w:sz="0" w:space="0" w:color="auto"/>
            <w:right w:val="none" w:sz="0" w:space="0" w:color="auto"/>
          </w:divBdr>
        </w:div>
        <w:div w:id="358774574">
          <w:marLeft w:val="0"/>
          <w:marRight w:val="0"/>
          <w:marTop w:val="0"/>
          <w:marBottom w:val="0"/>
          <w:divBdr>
            <w:top w:val="none" w:sz="0" w:space="0" w:color="auto"/>
            <w:left w:val="none" w:sz="0" w:space="0" w:color="auto"/>
            <w:bottom w:val="none" w:sz="0" w:space="0" w:color="auto"/>
            <w:right w:val="none" w:sz="0" w:space="0" w:color="auto"/>
          </w:divBdr>
        </w:div>
        <w:div w:id="494802934">
          <w:marLeft w:val="0"/>
          <w:marRight w:val="0"/>
          <w:marTop w:val="0"/>
          <w:marBottom w:val="0"/>
          <w:divBdr>
            <w:top w:val="none" w:sz="0" w:space="0" w:color="auto"/>
            <w:left w:val="none" w:sz="0" w:space="0" w:color="auto"/>
            <w:bottom w:val="none" w:sz="0" w:space="0" w:color="auto"/>
            <w:right w:val="none" w:sz="0" w:space="0" w:color="auto"/>
          </w:divBdr>
        </w:div>
        <w:div w:id="976225844">
          <w:marLeft w:val="0"/>
          <w:marRight w:val="0"/>
          <w:marTop w:val="0"/>
          <w:marBottom w:val="0"/>
          <w:divBdr>
            <w:top w:val="none" w:sz="0" w:space="0" w:color="auto"/>
            <w:left w:val="none" w:sz="0" w:space="0" w:color="auto"/>
            <w:bottom w:val="none" w:sz="0" w:space="0" w:color="auto"/>
            <w:right w:val="none" w:sz="0" w:space="0" w:color="auto"/>
          </w:divBdr>
        </w:div>
        <w:div w:id="1342203486">
          <w:marLeft w:val="0"/>
          <w:marRight w:val="0"/>
          <w:marTop w:val="0"/>
          <w:marBottom w:val="0"/>
          <w:divBdr>
            <w:top w:val="none" w:sz="0" w:space="0" w:color="auto"/>
            <w:left w:val="none" w:sz="0" w:space="0" w:color="auto"/>
            <w:bottom w:val="none" w:sz="0" w:space="0" w:color="auto"/>
            <w:right w:val="none" w:sz="0" w:space="0" w:color="auto"/>
          </w:divBdr>
        </w:div>
        <w:div w:id="1557738459">
          <w:marLeft w:val="0"/>
          <w:marRight w:val="0"/>
          <w:marTop w:val="0"/>
          <w:marBottom w:val="0"/>
          <w:divBdr>
            <w:top w:val="none" w:sz="0" w:space="0" w:color="auto"/>
            <w:left w:val="none" w:sz="0" w:space="0" w:color="auto"/>
            <w:bottom w:val="none" w:sz="0" w:space="0" w:color="auto"/>
            <w:right w:val="none" w:sz="0" w:space="0" w:color="auto"/>
          </w:divBdr>
        </w:div>
        <w:div w:id="1566524098">
          <w:marLeft w:val="0"/>
          <w:marRight w:val="0"/>
          <w:marTop w:val="0"/>
          <w:marBottom w:val="0"/>
          <w:divBdr>
            <w:top w:val="none" w:sz="0" w:space="0" w:color="auto"/>
            <w:left w:val="none" w:sz="0" w:space="0" w:color="auto"/>
            <w:bottom w:val="none" w:sz="0" w:space="0" w:color="auto"/>
            <w:right w:val="none" w:sz="0" w:space="0" w:color="auto"/>
          </w:divBdr>
        </w:div>
        <w:div w:id="1921479986">
          <w:marLeft w:val="0"/>
          <w:marRight w:val="0"/>
          <w:marTop w:val="0"/>
          <w:marBottom w:val="0"/>
          <w:divBdr>
            <w:top w:val="none" w:sz="0" w:space="0" w:color="auto"/>
            <w:left w:val="none" w:sz="0" w:space="0" w:color="auto"/>
            <w:bottom w:val="none" w:sz="0" w:space="0" w:color="auto"/>
            <w:right w:val="none" w:sz="0" w:space="0" w:color="auto"/>
          </w:divBdr>
        </w:div>
        <w:div w:id="2119517458">
          <w:marLeft w:val="0"/>
          <w:marRight w:val="0"/>
          <w:marTop w:val="0"/>
          <w:marBottom w:val="0"/>
          <w:divBdr>
            <w:top w:val="none" w:sz="0" w:space="0" w:color="auto"/>
            <w:left w:val="none" w:sz="0" w:space="0" w:color="auto"/>
            <w:bottom w:val="none" w:sz="0" w:space="0" w:color="auto"/>
            <w:right w:val="none" w:sz="0" w:space="0" w:color="auto"/>
          </w:divBdr>
        </w:div>
      </w:divsChild>
    </w:div>
    <w:div w:id="1110323384">
      <w:bodyDiv w:val="1"/>
      <w:marLeft w:val="0"/>
      <w:marRight w:val="0"/>
      <w:marTop w:val="0"/>
      <w:marBottom w:val="0"/>
      <w:divBdr>
        <w:top w:val="none" w:sz="0" w:space="0" w:color="auto"/>
        <w:left w:val="none" w:sz="0" w:space="0" w:color="auto"/>
        <w:bottom w:val="none" w:sz="0" w:space="0" w:color="auto"/>
        <w:right w:val="none" w:sz="0" w:space="0" w:color="auto"/>
      </w:divBdr>
      <w:divsChild>
        <w:div w:id="7677423">
          <w:marLeft w:val="0"/>
          <w:marRight w:val="0"/>
          <w:marTop w:val="0"/>
          <w:marBottom w:val="0"/>
          <w:divBdr>
            <w:top w:val="none" w:sz="0" w:space="0" w:color="auto"/>
            <w:left w:val="none" w:sz="0" w:space="0" w:color="auto"/>
            <w:bottom w:val="none" w:sz="0" w:space="0" w:color="auto"/>
            <w:right w:val="none" w:sz="0" w:space="0" w:color="auto"/>
          </w:divBdr>
        </w:div>
        <w:div w:id="164518488">
          <w:marLeft w:val="0"/>
          <w:marRight w:val="0"/>
          <w:marTop w:val="0"/>
          <w:marBottom w:val="0"/>
          <w:divBdr>
            <w:top w:val="none" w:sz="0" w:space="0" w:color="auto"/>
            <w:left w:val="none" w:sz="0" w:space="0" w:color="auto"/>
            <w:bottom w:val="none" w:sz="0" w:space="0" w:color="auto"/>
            <w:right w:val="none" w:sz="0" w:space="0" w:color="auto"/>
          </w:divBdr>
        </w:div>
        <w:div w:id="181283119">
          <w:marLeft w:val="0"/>
          <w:marRight w:val="0"/>
          <w:marTop w:val="0"/>
          <w:marBottom w:val="0"/>
          <w:divBdr>
            <w:top w:val="none" w:sz="0" w:space="0" w:color="auto"/>
            <w:left w:val="none" w:sz="0" w:space="0" w:color="auto"/>
            <w:bottom w:val="none" w:sz="0" w:space="0" w:color="auto"/>
            <w:right w:val="none" w:sz="0" w:space="0" w:color="auto"/>
          </w:divBdr>
        </w:div>
        <w:div w:id="283343656">
          <w:marLeft w:val="0"/>
          <w:marRight w:val="0"/>
          <w:marTop w:val="0"/>
          <w:marBottom w:val="0"/>
          <w:divBdr>
            <w:top w:val="none" w:sz="0" w:space="0" w:color="auto"/>
            <w:left w:val="none" w:sz="0" w:space="0" w:color="auto"/>
            <w:bottom w:val="none" w:sz="0" w:space="0" w:color="auto"/>
            <w:right w:val="none" w:sz="0" w:space="0" w:color="auto"/>
          </w:divBdr>
        </w:div>
        <w:div w:id="297340737">
          <w:marLeft w:val="0"/>
          <w:marRight w:val="0"/>
          <w:marTop w:val="0"/>
          <w:marBottom w:val="0"/>
          <w:divBdr>
            <w:top w:val="none" w:sz="0" w:space="0" w:color="auto"/>
            <w:left w:val="none" w:sz="0" w:space="0" w:color="auto"/>
            <w:bottom w:val="none" w:sz="0" w:space="0" w:color="auto"/>
            <w:right w:val="none" w:sz="0" w:space="0" w:color="auto"/>
          </w:divBdr>
        </w:div>
        <w:div w:id="399909464">
          <w:marLeft w:val="0"/>
          <w:marRight w:val="0"/>
          <w:marTop w:val="0"/>
          <w:marBottom w:val="0"/>
          <w:divBdr>
            <w:top w:val="none" w:sz="0" w:space="0" w:color="auto"/>
            <w:left w:val="none" w:sz="0" w:space="0" w:color="auto"/>
            <w:bottom w:val="none" w:sz="0" w:space="0" w:color="auto"/>
            <w:right w:val="none" w:sz="0" w:space="0" w:color="auto"/>
          </w:divBdr>
        </w:div>
        <w:div w:id="588737159">
          <w:marLeft w:val="0"/>
          <w:marRight w:val="0"/>
          <w:marTop w:val="0"/>
          <w:marBottom w:val="0"/>
          <w:divBdr>
            <w:top w:val="none" w:sz="0" w:space="0" w:color="auto"/>
            <w:left w:val="none" w:sz="0" w:space="0" w:color="auto"/>
            <w:bottom w:val="none" w:sz="0" w:space="0" w:color="auto"/>
            <w:right w:val="none" w:sz="0" w:space="0" w:color="auto"/>
          </w:divBdr>
        </w:div>
        <w:div w:id="710497530">
          <w:marLeft w:val="0"/>
          <w:marRight w:val="0"/>
          <w:marTop w:val="0"/>
          <w:marBottom w:val="0"/>
          <w:divBdr>
            <w:top w:val="none" w:sz="0" w:space="0" w:color="auto"/>
            <w:left w:val="none" w:sz="0" w:space="0" w:color="auto"/>
            <w:bottom w:val="none" w:sz="0" w:space="0" w:color="auto"/>
            <w:right w:val="none" w:sz="0" w:space="0" w:color="auto"/>
          </w:divBdr>
        </w:div>
        <w:div w:id="780489924">
          <w:marLeft w:val="0"/>
          <w:marRight w:val="0"/>
          <w:marTop w:val="0"/>
          <w:marBottom w:val="0"/>
          <w:divBdr>
            <w:top w:val="none" w:sz="0" w:space="0" w:color="auto"/>
            <w:left w:val="none" w:sz="0" w:space="0" w:color="auto"/>
            <w:bottom w:val="none" w:sz="0" w:space="0" w:color="auto"/>
            <w:right w:val="none" w:sz="0" w:space="0" w:color="auto"/>
          </w:divBdr>
        </w:div>
        <w:div w:id="804740494">
          <w:marLeft w:val="0"/>
          <w:marRight w:val="0"/>
          <w:marTop w:val="0"/>
          <w:marBottom w:val="0"/>
          <w:divBdr>
            <w:top w:val="none" w:sz="0" w:space="0" w:color="auto"/>
            <w:left w:val="none" w:sz="0" w:space="0" w:color="auto"/>
            <w:bottom w:val="none" w:sz="0" w:space="0" w:color="auto"/>
            <w:right w:val="none" w:sz="0" w:space="0" w:color="auto"/>
          </w:divBdr>
        </w:div>
        <w:div w:id="871192475">
          <w:marLeft w:val="0"/>
          <w:marRight w:val="0"/>
          <w:marTop w:val="0"/>
          <w:marBottom w:val="0"/>
          <w:divBdr>
            <w:top w:val="none" w:sz="0" w:space="0" w:color="auto"/>
            <w:left w:val="none" w:sz="0" w:space="0" w:color="auto"/>
            <w:bottom w:val="none" w:sz="0" w:space="0" w:color="auto"/>
            <w:right w:val="none" w:sz="0" w:space="0" w:color="auto"/>
          </w:divBdr>
        </w:div>
        <w:div w:id="908073571">
          <w:marLeft w:val="0"/>
          <w:marRight w:val="0"/>
          <w:marTop w:val="0"/>
          <w:marBottom w:val="0"/>
          <w:divBdr>
            <w:top w:val="none" w:sz="0" w:space="0" w:color="auto"/>
            <w:left w:val="none" w:sz="0" w:space="0" w:color="auto"/>
            <w:bottom w:val="none" w:sz="0" w:space="0" w:color="auto"/>
            <w:right w:val="none" w:sz="0" w:space="0" w:color="auto"/>
          </w:divBdr>
        </w:div>
        <w:div w:id="911232456">
          <w:marLeft w:val="0"/>
          <w:marRight w:val="0"/>
          <w:marTop w:val="0"/>
          <w:marBottom w:val="0"/>
          <w:divBdr>
            <w:top w:val="none" w:sz="0" w:space="0" w:color="auto"/>
            <w:left w:val="none" w:sz="0" w:space="0" w:color="auto"/>
            <w:bottom w:val="none" w:sz="0" w:space="0" w:color="auto"/>
            <w:right w:val="none" w:sz="0" w:space="0" w:color="auto"/>
          </w:divBdr>
        </w:div>
        <w:div w:id="1166552425">
          <w:marLeft w:val="0"/>
          <w:marRight w:val="0"/>
          <w:marTop w:val="0"/>
          <w:marBottom w:val="0"/>
          <w:divBdr>
            <w:top w:val="none" w:sz="0" w:space="0" w:color="auto"/>
            <w:left w:val="none" w:sz="0" w:space="0" w:color="auto"/>
            <w:bottom w:val="none" w:sz="0" w:space="0" w:color="auto"/>
            <w:right w:val="none" w:sz="0" w:space="0" w:color="auto"/>
          </w:divBdr>
        </w:div>
        <w:div w:id="1308128549">
          <w:marLeft w:val="0"/>
          <w:marRight w:val="0"/>
          <w:marTop w:val="0"/>
          <w:marBottom w:val="0"/>
          <w:divBdr>
            <w:top w:val="none" w:sz="0" w:space="0" w:color="auto"/>
            <w:left w:val="none" w:sz="0" w:space="0" w:color="auto"/>
            <w:bottom w:val="none" w:sz="0" w:space="0" w:color="auto"/>
            <w:right w:val="none" w:sz="0" w:space="0" w:color="auto"/>
          </w:divBdr>
        </w:div>
        <w:div w:id="1405253662">
          <w:marLeft w:val="0"/>
          <w:marRight w:val="0"/>
          <w:marTop w:val="0"/>
          <w:marBottom w:val="0"/>
          <w:divBdr>
            <w:top w:val="none" w:sz="0" w:space="0" w:color="auto"/>
            <w:left w:val="none" w:sz="0" w:space="0" w:color="auto"/>
            <w:bottom w:val="none" w:sz="0" w:space="0" w:color="auto"/>
            <w:right w:val="none" w:sz="0" w:space="0" w:color="auto"/>
          </w:divBdr>
        </w:div>
        <w:div w:id="1431118919">
          <w:marLeft w:val="0"/>
          <w:marRight w:val="0"/>
          <w:marTop w:val="0"/>
          <w:marBottom w:val="0"/>
          <w:divBdr>
            <w:top w:val="none" w:sz="0" w:space="0" w:color="auto"/>
            <w:left w:val="none" w:sz="0" w:space="0" w:color="auto"/>
            <w:bottom w:val="none" w:sz="0" w:space="0" w:color="auto"/>
            <w:right w:val="none" w:sz="0" w:space="0" w:color="auto"/>
          </w:divBdr>
        </w:div>
        <w:div w:id="1450394501">
          <w:marLeft w:val="0"/>
          <w:marRight w:val="0"/>
          <w:marTop w:val="0"/>
          <w:marBottom w:val="0"/>
          <w:divBdr>
            <w:top w:val="none" w:sz="0" w:space="0" w:color="auto"/>
            <w:left w:val="none" w:sz="0" w:space="0" w:color="auto"/>
            <w:bottom w:val="none" w:sz="0" w:space="0" w:color="auto"/>
            <w:right w:val="none" w:sz="0" w:space="0" w:color="auto"/>
          </w:divBdr>
        </w:div>
        <w:div w:id="1455103414">
          <w:marLeft w:val="0"/>
          <w:marRight w:val="0"/>
          <w:marTop w:val="0"/>
          <w:marBottom w:val="0"/>
          <w:divBdr>
            <w:top w:val="none" w:sz="0" w:space="0" w:color="auto"/>
            <w:left w:val="none" w:sz="0" w:space="0" w:color="auto"/>
            <w:bottom w:val="none" w:sz="0" w:space="0" w:color="auto"/>
            <w:right w:val="none" w:sz="0" w:space="0" w:color="auto"/>
          </w:divBdr>
        </w:div>
        <w:div w:id="1468007422">
          <w:marLeft w:val="0"/>
          <w:marRight w:val="0"/>
          <w:marTop w:val="0"/>
          <w:marBottom w:val="0"/>
          <w:divBdr>
            <w:top w:val="none" w:sz="0" w:space="0" w:color="auto"/>
            <w:left w:val="none" w:sz="0" w:space="0" w:color="auto"/>
            <w:bottom w:val="none" w:sz="0" w:space="0" w:color="auto"/>
            <w:right w:val="none" w:sz="0" w:space="0" w:color="auto"/>
          </w:divBdr>
        </w:div>
        <w:div w:id="1676419581">
          <w:marLeft w:val="0"/>
          <w:marRight w:val="0"/>
          <w:marTop w:val="0"/>
          <w:marBottom w:val="0"/>
          <w:divBdr>
            <w:top w:val="none" w:sz="0" w:space="0" w:color="auto"/>
            <w:left w:val="none" w:sz="0" w:space="0" w:color="auto"/>
            <w:bottom w:val="none" w:sz="0" w:space="0" w:color="auto"/>
            <w:right w:val="none" w:sz="0" w:space="0" w:color="auto"/>
          </w:divBdr>
        </w:div>
        <w:div w:id="1748726016">
          <w:marLeft w:val="0"/>
          <w:marRight w:val="0"/>
          <w:marTop w:val="0"/>
          <w:marBottom w:val="0"/>
          <w:divBdr>
            <w:top w:val="none" w:sz="0" w:space="0" w:color="auto"/>
            <w:left w:val="none" w:sz="0" w:space="0" w:color="auto"/>
            <w:bottom w:val="none" w:sz="0" w:space="0" w:color="auto"/>
            <w:right w:val="none" w:sz="0" w:space="0" w:color="auto"/>
          </w:divBdr>
        </w:div>
        <w:div w:id="1800026038">
          <w:marLeft w:val="0"/>
          <w:marRight w:val="0"/>
          <w:marTop w:val="0"/>
          <w:marBottom w:val="0"/>
          <w:divBdr>
            <w:top w:val="none" w:sz="0" w:space="0" w:color="auto"/>
            <w:left w:val="none" w:sz="0" w:space="0" w:color="auto"/>
            <w:bottom w:val="none" w:sz="0" w:space="0" w:color="auto"/>
            <w:right w:val="none" w:sz="0" w:space="0" w:color="auto"/>
          </w:divBdr>
        </w:div>
        <w:div w:id="1803888951">
          <w:marLeft w:val="0"/>
          <w:marRight w:val="0"/>
          <w:marTop w:val="0"/>
          <w:marBottom w:val="0"/>
          <w:divBdr>
            <w:top w:val="none" w:sz="0" w:space="0" w:color="auto"/>
            <w:left w:val="none" w:sz="0" w:space="0" w:color="auto"/>
            <w:bottom w:val="none" w:sz="0" w:space="0" w:color="auto"/>
            <w:right w:val="none" w:sz="0" w:space="0" w:color="auto"/>
          </w:divBdr>
        </w:div>
        <w:div w:id="1997608473">
          <w:marLeft w:val="0"/>
          <w:marRight w:val="0"/>
          <w:marTop w:val="0"/>
          <w:marBottom w:val="0"/>
          <w:divBdr>
            <w:top w:val="none" w:sz="0" w:space="0" w:color="auto"/>
            <w:left w:val="none" w:sz="0" w:space="0" w:color="auto"/>
            <w:bottom w:val="none" w:sz="0" w:space="0" w:color="auto"/>
            <w:right w:val="none" w:sz="0" w:space="0" w:color="auto"/>
          </w:divBdr>
        </w:div>
        <w:div w:id="2021663149">
          <w:marLeft w:val="0"/>
          <w:marRight w:val="0"/>
          <w:marTop w:val="0"/>
          <w:marBottom w:val="0"/>
          <w:divBdr>
            <w:top w:val="none" w:sz="0" w:space="0" w:color="auto"/>
            <w:left w:val="none" w:sz="0" w:space="0" w:color="auto"/>
            <w:bottom w:val="none" w:sz="0" w:space="0" w:color="auto"/>
            <w:right w:val="none" w:sz="0" w:space="0" w:color="auto"/>
          </w:divBdr>
        </w:div>
        <w:div w:id="2108766628">
          <w:marLeft w:val="0"/>
          <w:marRight w:val="0"/>
          <w:marTop w:val="0"/>
          <w:marBottom w:val="0"/>
          <w:divBdr>
            <w:top w:val="none" w:sz="0" w:space="0" w:color="auto"/>
            <w:left w:val="none" w:sz="0" w:space="0" w:color="auto"/>
            <w:bottom w:val="none" w:sz="0" w:space="0" w:color="auto"/>
            <w:right w:val="none" w:sz="0" w:space="0" w:color="auto"/>
          </w:divBdr>
        </w:div>
      </w:divsChild>
    </w:div>
    <w:div w:id="1166365231">
      <w:bodyDiv w:val="1"/>
      <w:marLeft w:val="0"/>
      <w:marRight w:val="0"/>
      <w:marTop w:val="0"/>
      <w:marBottom w:val="0"/>
      <w:divBdr>
        <w:top w:val="none" w:sz="0" w:space="0" w:color="auto"/>
        <w:left w:val="none" w:sz="0" w:space="0" w:color="auto"/>
        <w:bottom w:val="none" w:sz="0" w:space="0" w:color="auto"/>
        <w:right w:val="none" w:sz="0" w:space="0" w:color="auto"/>
      </w:divBdr>
    </w:div>
    <w:div w:id="1201555261">
      <w:bodyDiv w:val="1"/>
      <w:marLeft w:val="0"/>
      <w:marRight w:val="0"/>
      <w:marTop w:val="0"/>
      <w:marBottom w:val="0"/>
      <w:divBdr>
        <w:top w:val="none" w:sz="0" w:space="0" w:color="auto"/>
        <w:left w:val="none" w:sz="0" w:space="0" w:color="auto"/>
        <w:bottom w:val="none" w:sz="0" w:space="0" w:color="auto"/>
        <w:right w:val="none" w:sz="0" w:space="0" w:color="auto"/>
      </w:divBdr>
    </w:div>
    <w:div w:id="1220169247">
      <w:bodyDiv w:val="1"/>
      <w:marLeft w:val="0"/>
      <w:marRight w:val="0"/>
      <w:marTop w:val="0"/>
      <w:marBottom w:val="0"/>
      <w:divBdr>
        <w:top w:val="none" w:sz="0" w:space="0" w:color="auto"/>
        <w:left w:val="none" w:sz="0" w:space="0" w:color="auto"/>
        <w:bottom w:val="none" w:sz="0" w:space="0" w:color="auto"/>
        <w:right w:val="none" w:sz="0" w:space="0" w:color="auto"/>
      </w:divBdr>
      <w:divsChild>
        <w:div w:id="198667635">
          <w:marLeft w:val="0"/>
          <w:marRight w:val="0"/>
          <w:marTop w:val="0"/>
          <w:marBottom w:val="0"/>
          <w:divBdr>
            <w:top w:val="none" w:sz="0" w:space="0" w:color="auto"/>
            <w:left w:val="none" w:sz="0" w:space="0" w:color="auto"/>
            <w:bottom w:val="none" w:sz="0" w:space="0" w:color="auto"/>
            <w:right w:val="none" w:sz="0" w:space="0" w:color="auto"/>
          </w:divBdr>
        </w:div>
        <w:div w:id="634484406">
          <w:marLeft w:val="0"/>
          <w:marRight w:val="0"/>
          <w:marTop w:val="0"/>
          <w:marBottom w:val="0"/>
          <w:divBdr>
            <w:top w:val="none" w:sz="0" w:space="0" w:color="auto"/>
            <w:left w:val="none" w:sz="0" w:space="0" w:color="auto"/>
            <w:bottom w:val="none" w:sz="0" w:space="0" w:color="auto"/>
            <w:right w:val="none" w:sz="0" w:space="0" w:color="auto"/>
          </w:divBdr>
        </w:div>
        <w:div w:id="939793905">
          <w:marLeft w:val="0"/>
          <w:marRight w:val="0"/>
          <w:marTop w:val="0"/>
          <w:marBottom w:val="0"/>
          <w:divBdr>
            <w:top w:val="none" w:sz="0" w:space="0" w:color="auto"/>
            <w:left w:val="none" w:sz="0" w:space="0" w:color="auto"/>
            <w:bottom w:val="none" w:sz="0" w:space="0" w:color="auto"/>
            <w:right w:val="none" w:sz="0" w:space="0" w:color="auto"/>
          </w:divBdr>
        </w:div>
        <w:div w:id="1145507878">
          <w:marLeft w:val="0"/>
          <w:marRight w:val="0"/>
          <w:marTop w:val="0"/>
          <w:marBottom w:val="0"/>
          <w:divBdr>
            <w:top w:val="none" w:sz="0" w:space="0" w:color="auto"/>
            <w:left w:val="none" w:sz="0" w:space="0" w:color="auto"/>
            <w:bottom w:val="none" w:sz="0" w:space="0" w:color="auto"/>
            <w:right w:val="none" w:sz="0" w:space="0" w:color="auto"/>
          </w:divBdr>
        </w:div>
        <w:div w:id="1223642926">
          <w:marLeft w:val="0"/>
          <w:marRight w:val="0"/>
          <w:marTop w:val="0"/>
          <w:marBottom w:val="0"/>
          <w:divBdr>
            <w:top w:val="none" w:sz="0" w:space="0" w:color="auto"/>
            <w:left w:val="none" w:sz="0" w:space="0" w:color="auto"/>
            <w:bottom w:val="none" w:sz="0" w:space="0" w:color="auto"/>
            <w:right w:val="none" w:sz="0" w:space="0" w:color="auto"/>
          </w:divBdr>
        </w:div>
        <w:div w:id="1429736949">
          <w:marLeft w:val="0"/>
          <w:marRight w:val="0"/>
          <w:marTop w:val="0"/>
          <w:marBottom w:val="0"/>
          <w:divBdr>
            <w:top w:val="none" w:sz="0" w:space="0" w:color="auto"/>
            <w:left w:val="none" w:sz="0" w:space="0" w:color="auto"/>
            <w:bottom w:val="none" w:sz="0" w:space="0" w:color="auto"/>
            <w:right w:val="none" w:sz="0" w:space="0" w:color="auto"/>
          </w:divBdr>
        </w:div>
        <w:div w:id="1782919764">
          <w:marLeft w:val="0"/>
          <w:marRight w:val="0"/>
          <w:marTop w:val="0"/>
          <w:marBottom w:val="0"/>
          <w:divBdr>
            <w:top w:val="none" w:sz="0" w:space="0" w:color="auto"/>
            <w:left w:val="none" w:sz="0" w:space="0" w:color="auto"/>
            <w:bottom w:val="none" w:sz="0" w:space="0" w:color="auto"/>
            <w:right w:val="none" w:sz="0" w:space="0" w:color="auto"/>
          </w:divBdr>
        </w:div>
        <w:div w:id="1820532260">
          <w:marLeft w:val="0"/>
          <w:marRight w:val="0"/>
          <w:marTop w:val="0"/>
          <w:marBottom w:val="0"/>
          <w:divBdr>
            <w:top w:val="none" w:sz="0" w:space="0" w:color="auto"/>
            <w:left w:val="none" w:sz="0" w:space="0" w:color="auto"/>
            <w:bottom w:val="none" w:sz="0" w:space="0" w:color="auto"/>
            <w:right w:val="none" w:sz="0" w:space="0" w:color="auto"/>
          </w:divBdr>
        </w:div>
        <w:div w:id="2001958402">
          <w:marLeft w:val="0"/>
          <w:marRight w:val="0"/>
          <w:marTop w:val="0"/>
          <w:marBottom w:val="0"/>
          <w:divBdr>
            <w:top w:val="none" w:sz="0" w:space="0" w:color="auto"/>
            <w:left w:val="none" w:sz="0" w:space="0" w:color="auto"/>
            <w:bottom w:val="none" w:sz="0" w:space="0" w:color="auto"/>
            <w:right w:val="none" w:sz="0" w:space="0" w:color="auto"/>
          </w:divBdr>
        </w:div>
      </w:divsChild>
    </w:div>
    <w:div w:id="1305231514">
      <w:bodyDiv w:val="1"/>
      <w:marLeft w:val="0"/>
      <w:marRight w:val="0"/>
      <w:marTop w:val="0"/>
      <w:marBottom w:val="0"/>
      <w:divBdr>
        <w:top w:val="none" w:sz="0" w:space="0" w:color="auto"/>
        <w:left w:val="none" w:sz="0" w:space="0" w:color="auto"/>
        <w:bottom w:val="none" w:sz="0" w:space="0" w:color="auto"/>
        <w:right w:val="none" w:sz="0" w:space="0" w:color="auto"/>
      </w:divBdr>
      <w:divsChild>
        <w:div w:id="1772889933">
          <w:marLeft w:val="0"/>
          <w:marRight w:val="0"/>
          <w:marTop w:val="0"/>
          <w:marBottom w:val="0"/>
          <w:divBdr>
            <w:top w:val="none" w:sz="0" w:space="0" w:color="auto"/>
            <w:left w:val="none" w:sz="0" w:space="0" w:color="auto"/>
            <w:bottom w:val="none" w:sz="0" w:space="0" w:color="auto"/>
            <w:right w:val="none" w:sz="0" w:space="0" w:color="auto"/>
          </w:divBdr>
        </w:div>
        <w:div w:id="2008433775">
          <w:marLeft w:val="0"/>
          <w:marRight w:val="0"/>
          <w:marTop w:val="0"/>
          <w:marBottom w:val="0"/>
          <w:divBdr>
            <w:top w:val="none" w:sz="0" w:space="0" w:color="auto"/>
            <w:left w:val="none" w:sz="0" w:space="0" w:color="auto"/>
            <w:bottom w:val="none" w:sz="0" w:space="0" w:color="auto"/>
            <w:right w:val="none" w:sz="0" w:space="0" w:color="auto"/>
          </w:divBdr>
        </w:div>
        <w:div w:id="2030788504">
          <w:marLeft w:val="0"/>
          <w:marRight w:val="0"/>
          <w:marTop w:val="0"/>
          <w:marBottom w:val="0"/>
          <w:divBdr>
            <w:top w:val="none" w:sz="0" w:space="0" w:color="auto"/>
            <w:left w:val="none" w:sz="0" w:space="0" w:color="auto"/>
            <w:bottom w:val="none" w:sz="0" w:space="0" w:color="auto"/>
            <w:right w:val="none" w:sz="0" w:space="0" w:color="auto"/>
          </w:divBdr>
        </w:div>
      </w:divsChild>
    </w:div>
    <w:div w:id="1305699679">
      <w:bodyDiv w:val="1"/>
      <w:marLeft w:val="0"/>
      <w:marRight w:val="0"/>
      <w:marTop w:val="0"/>
      <w:marBottom w:val="0"/>
      <w:divBdr>
        <w:top w:val="none" w:sz="0" w:space="0" w:color="auto"/>
        <w:left w:val="none" w:sz="0" w:space="0" w:color="auto"/>
        <w:bottom w:val="none" w:sz="0" w:space="0" w:color="auto"/>
        <w:right w:val="none" w:sz="0" w:space="0" w:color="auto"/>
      </w:divBdr>
    </w:div>
    <w:div w:id="1396779039">
      <w:bodyDiv w:val="1"/>
      <w:marLeft w:val="0"/>
      <w:marRight w:val="0"/>
      <w:marTop w:val="0"/>
      <w:marBottom w:val="0"/>
      <w:divBdr>
        <w:top w:val="none" w:sz="0" w:space="0" w:color="auto"/>
        <w:left w:val="none" w:sz="0" w:space="0" w:color="auto"/>
        <w:bottom w:val="none" w:sz="0" w:space="0" w:color="auto"/>
        <w:right w:val="none" w:sz="0" w:space="0" w:color="auto"/>
      </w:divBdr>
    </w:div>
    <w:div w:id="1433933701">
      <w:bodyDiv w:val="1"/>
      <w:marLeft w:val="0"/>
      <w:marRight w:val="0"/>
      <w:marTop w:val="0"/>
      <w:marBottom w:val="0"/>
      <w:divBdr>
        <w:top w:val="none" w:sz="0" w:space="0" w:color="auto"/>
        <w:left w:val="none" w:sz="0" w:space="0" w:color="auto"/>
        <w:bottom w:val="none" w:sz="0" w:space="0" w:color="auto"/>
        <w:right w:val="none" w:sz="0" w:space="0" w:color="auto"/>
      </w:divBdr>
      <w:divsChild>
        <w:div w:id="518278698">
          <w:marLeft w:val="0"/>
          <w:marRight w:val="0"/>
          <w:marTop w:val="0"/>
          <w:marBottom w:val="0"/>
          <w:divBdr>
            <w:top w:val="none" w:sz="0" w:space="0" w:color="auto"/>
            <w:left w:val="none" w:sz="0" w:space="0" w:color="auto"/>
            <w:bottom w:val="none" w:sz="0" w:space="0" w:color="auto"/>
            <w:right w:val="none" w:sz="0" w:space="0" w:color="auto"/>
          </w:divBdr>
        </w:div>
        <w:div w:id="701900805">
          <w:marLeft w:val="0"/>
          <w:marRight w:val="0"/>
          <w:marTop w:val="0"/>
          <w:marBottom w:val="0"/>
          <w:divBdr>
            <w:top w:val="none" w:sz="0" w:space="0" w:color="auto"/>
            <w:left w:val="none" w:sz="0" w:space="0" w:color="auto"/>
            <w:bottom w:val="none" w:sz="0" w:space="0" w:color="auto"/>
            <w:right w:val="none" w:sz="0" w:space="0" w:color="auto"/>
          </w:divBdr>
        </w:div>
        <w:div w:id="747924440">
          <w:marLeft w:val="0"/>
          <w:marRight w:val="0"/>
          <w:marTop w:val="0"/>
          <w:marBottom w:val="0"/>
          <w:divBdr>
            <w:top w:val="none" w:sz="0" w:space="0" w:color="auto"/>
            <w:left w:val="none" w:sz="0" w:space="0" w:color="auto"/>
            <w:bottom w:val="none" w:sz="0" w:space="0" w:color="auto"/>
            <w:right w:val="none" w:sz="0" w:space="0" w:color="auto"/>
          </w:divBdr>
        </w:div>
        <w:div w:id="1235699381">
          <w:marLeft w:val="0"/>
          <w:marRight w:val="0"/>
          <w:marTop w:val="0"/>
          <w:marBottom w:val="0"/>
          <w:divBdr>
            <w:top w:val="none" w:sz="0" w:space="0" w:color="auto"/>
            <w:left w:val="none" w:sz="0" w:space="0" w:color="auto"/>
            <w:bottom w:val="none" w:sz="0" w:space="0" w:color="auto"/>
            <w:right w:val="none" w:sz="0" w:space="0" w:color="auto"/>
          </w:divBdr>
        </w:div>
        <w:div w:id="1284775113">
          <w:marLeft w:val="0"/>
          <w:marRight w:val="0"/>
          <w:marTop w:val="0"/>
          <w:marBottom w:val="0"/>
          <w:divBdr>
            <w:top w:val="none" w:sz="0" w:space="0" w:color="auto"/>
            <w:left w:val="none" w:sz="0" w:space="0" w:color="auto"/>
            <w:bottom w:val="none" w:sz="0" w:space="0" w:color="auto"/>
            <w:right w:val="none" w:sz="0" w:space="0" w:color="auto"/>
          </w:divBdr>
        </w:div>
        <w:div w:id="1292325491">
          <w:marLeft w:val="0"/>
          <w:marRight w:val="0"/>
          <w:marTop w:val="0"/>
          <w:marBottom w:val="0"/>
          <w:divBdr>
            <w:top w:val="none" w:sz="0" w:space="0" w:color="auto"/>
            <w:left w:val="none" w:sz="0" w:space="0" w:color="auto"/>
            <w:bottom w:val="none" w:sz="0" w:space="0" w:color="auto"/>
            <w:right w:val="none" w:sz="0" w:space="0" w:color="auto"/>
          </w:divBdr>
        </w:div>
        <w:div w:id="1465390235">
          <w:marLeft w:val="0"/>
          <w:marRight w:val="0"/>
          <w:marTop w:val="0"/>
          <w:marBottom w:val="0"/>
          <w:divBdr>
            <w:top w:val="none" w:sz="0" w:space="0" w:color="auto"/>
            <w:left w:val="none" w:sz="0" w:space="0" w:color="auto"/>
            <w:bottom w:val="none" w:sz="0" w:space="0" w:color="auto"/>
            <w:right w:val="none" w:sz="0" w:space="0" w:color="auto"/>
          </w:divBdr>
        </w:div>
        <w:div w:id="2046323521">
          <w:marLeft w:val="0"/>
          <w:marRight w:val="0"/>
          <w:marTop w:val="0"/>
          <w:marBottom w:val="0"/>
          <w:divBdr>
            <w:top w:val="none" w:sz="0" w:space="0" w:color="auto"/>
            <w:left w:val="none" w:sz="0" w:space="0" w:color="auto"/>
            <w:bottom w:val="none" w:sz="0" w:space="0" w:color="auto"/>
            <w:right w:val="none" w:sz="0" w:space="0" w:color="auto"/>
          </w:divBdr>
        </w:div>
      </w:divsChild>
    </w:div>
    <w:div w:id="1447850379">
      <w:bodyDiv w:val="1"/>
      <w:marLeft w:val="0"/>
      <w:marRight w:val="0"/>
      <w:marTop w:val="0"/>
      <w:marBottom w:val="0"/>
      <w:divBdr>
        <w:top w:val="none" w:sz="0" w:space="0" w:color="auto"/>
        <w:left w:val="none" w:sz="0" w:space="0" w:color="auto"/>
        <w:bottom w:val="none" w:sz="0" w:space="0" w:color="auto"/>
        <w:right w:val="none" w:sz="0" w:space="0" w:color="auto"/>
      </w:divBdr>
    </w:div>
    <w:div w:id="1468623604">
      <w:bodyDiv w:val="1"/>
      <w:marLeft w:val="0"/>
      <w:marRight w:val="0"/>
      <w:marTop w:val="0"/>
      <w:marBottom w:val="0"/>
      <w:divBdr>
        <w:top w:val="none" w:sz="0" w:space="0" w:color="auto"/>
        <w:left w:val="none" w:sz="0" w:space="0" w:color="auto"/>
        <w:bottom w:val="none" w:sz="0" w:space="0" w:color="auto"/>
        <w:right w:val="none" w:sz="0" w:space="0" w:color="auto"/>
      </w:divBdr>
    </w:div>
    <w:div w:id="1569417011">
      <w:bodyDiv w:val="1"/>
      <w:marLeft w:val="0"/>
      <w:marRight w:val="0"/>
      <w:marTop w:val="0"/>
      <w:marBottom w:val="0"/>
      <w:divBdr>
        <w:top w:val="none" w:sz="0" w:space="0" w:color="auto"/>
        <w:left w:val="none" w:sz="0" w:space="0" w:color="auto"/>
        <w:bottom w:val="none" w:sz="0" w:space="0" w:color="auto"/>
        <w:right w:val="none" w:sz="0" w:space="0" w:color="auto"/>
      </w:divBdr>
      <w:divsChild>
        <w:div w:id="32047998">
          <w:marLeft w:val="0"/>
          <w:marRight w:val="0"/>
          <w:marTop w:val="0"/>
          <w:marBottom w:val="0"/>
          <w:divBdr>
            <w:top w:val="none" w:sz="0" w:space="0" w:color="auto"/>
            <w:left w:val="none" w:sz="0" w:space="0" w:color="auto"/>
            <w:bottom w:val="none" w:sz="0" w:space="0" w:color="auto"/>
            <w:right w:val="none" w:sz="0" w:space="0" w:color="auto"/>
          </w:divBdr>
        </w:div>
        <w:div w:id="141583713">
          <w:marLeft w:val="0"/>
          <w:marRight w:val="0"/>
          <w:marTop w:val="0"/>
          <w:marBottom w:val="0"/>
          <w:divBdr>
            <w:top w:val="none" w:sz="0" w:space="0" w:color="auto"/>
            <w:left w:val="none" w:sz="0" w:space="0" w:color="auto"/>
            <w:bottom w:val="none" w:sz="0" w:space="0" w:color="auto"/>
            <w:right w:val="none" w:sz="0" w:space="0" w:color="auto"/>
          </w:divBdr>
        </w:div>
        <w:div w:id="170729936">
          <w:marLeft w:val="0"/>
          <w:marRight w:val="0"/>
          <w:marTop w:val="0"/>
          <w:marBottom w:val="0"/>
          <w:divBdr>
            <w:top w:val="none" w:sz="0" w:space="0" w:color="auto"/>
            <w:left w:val="none" w:sz="0" w:space="0" w:color="auto"/>
            <w:bottom w:val="none" w:sz="0" w:space="0" w:color="auto"/>
            <w:right w:val="none" w:sz="0" w:space="0" w:color="auto"/>
          </w:divBdr>
        </w:div>
        <w:div w:id="397242152">
          <w:marLeft w:val="0"/>
          <w:marRight w:val="0"/>
          <w:marTop w:val="0"/>
          <w:marBottom w:val="0"/>
          <w:divBdr>
            <w:top w:val="none" w:sz="0" w:space="0" w:color="auto"/>
            <w:left w:val="none" w:sz="0" w:space="0" w:color="auto"/>
            <w:bottom w:val="none" w:sz="0" w:space="0" w:color="auto"/>
            <w:right w:val="none" w:sz="0" w:space="0" w:color="auto"/>
          </w:divBdr>
        </w:div>
        <w:div w:id="600262782">
          <w:marLeft w:val="0"/>
          <w:marRight w:val="0"/>
          <w:marTop w:val="0"/>
          <w:marBottom w:val="0"/>
          <w:divBdr>
            <w:top w:val="none" w:sz="0" w:space="0" w:color="auto"/>
            <w:left w:val="none" w:sz="0" w:space="0" w:color="auto"/>
            <w:bottom w:val="none" w:sz="0" w:space="0" w:color="auto"/>
            <w:right w:val="none" w:sz="0" w:space="0" w:color="auto"/>
          </w:divBdr>
        </w:div>
        <w:div w:id="678889248">
          <w:marLeft w:val="0"/>
          <w:marRight w:val="0"/>
          <w:marTop w:val="0"/>
          <w:marBottom w:val="0"/>
          <w:divBdr>
            <w:top w:val="none" w:sz="0" w:space="0" w:color="auto"/>
            <w:left w:val="none" w:sz="0" w:space="0" w:color="auto"/>
            <w:bottom w:val="none" w:sz="0" w:space="0" w:color="auto"/>
            <w:right w:val="none" w:sz="0" w:space="0" w:color="auto"/>
          </w:divBdr>
        </w:div>
        <w:div w:id="867566414">
          <w:marLeft w:val="0"/>
          <w:marRight w:val="0"/>
          <w:marTop w:val="0"/>
          <w:marBottom w:val="0"/>
          <w:divBdr>
            <w:top w:val="none" w:sz="0" w:space="0" w:color="auto"/>
            <w:left w:val="none" w:sz="0" w:space="0" w:color="auto"/>
            <w:bottom w:val="none" w:sz="0" w:space="0" w:color="auto"/>
            <w:right w:val="none" w:sz="0" w:space="0" w:color="auto"/>
          </w:divBdr>
        </w:div>
        <w:div w:id="1085687004">
          <w:marLeft w:val="0"/>
          <w:marRight w:val="0"/>
          <w:marTop w:val="0"/>
          <w:marBottom w:val="0"/>
          <w:divBdr>
            <w:top w:val="none" w:sz="0" w:space="0" w:color="auto"/>
            <w:left w:val="none" w:sz="0" w:space="0" w:color="auto"/>
            <w:bottom w:val="none" w:sz="0" w:space="0" w:color="auto"/>
            <w:right w:val="none" w:sz="0" w:space="0" w:color="auto"/>
          </w:divBdr>
        </w:div>
        <w:div w:id="1301112343">
          <w:marLeft w:val="0"/>
          <w:marRight w:val="0"/>
          <w:marTop w:val="0"/>
          <w:marBottom w:val="0"/>
          <w:divBdr>
            <w:top w:val="none" w:sz="0" w:space="0" w:color="auto"/>
            <w:left w:val="none" w:sz="0" w:space="0" w:color="auto"/>
            <w:bottom w:val="none" w:sz="0" w:space="0" w:color="auto"/>
            <w:right w:val="none" w:sz="0" w:space="0" w:color="auto"/>
          </w:divBdr>
        </w:div>
        <w:div w:id="1387605750">
          <w:marLeft w:val="0"/>
          <w:marRight w:val="0"/>
          <w:marTop w:val="0"/>
          <w:marBottom w:val="0"/>
          <w:divBdr>
            <w:top w:val="none" w:sz="0" w:space="0" w:color="auto"/>
            <w:left w:val="none" w:sz="0" w:space="0" w:color="auto"/>
            <w:bottom w:val="none" w:sz="0" w:space="0" w:color="auto"/>
            <w:right w:val="none" w:sz="0" w:space="0" w:color="auto"/>
          </w:divBdr>
        </w:div>
        <w:div w:id="1720742849">
          <w:marLeft w:val="0"/>
          <w:marRight w:val="0"/>
          <w:marTop w:val="0"/>
          <w:marBottom w:val="0"/>
          <w:divBdr>
            <w:top w:val="none" w:sz="0" w:space="0" w:color="auto"/>
            <w:left w:val="none" w:sz="0" w:space="0" w:color="auto"/>
            <w:bottom w:val="none" w:sz="0" w:space="0" w:color="auto"/>
            <w:right w:val="none" w:sz="0" w:space="0" w:color="auto"/>
          </w:divBdr>
        </w:div>
        <w:div w:id="1810509177">
          <w:marLeft w:val="0"/>
          <w:marRight w:val="0"/>
          <w:marTop w:val="0"/>
          <w:marBottom w:val="0"/>
          <w:divBdr>
            <w:top w:val="none" w:sz="0" w:space="0" w:color="auto"/>
            <w:left w:val="none" w:sz="0" w:space="0" w:color="auto"/>
            <w:bottom w:val="none" w:sz="0" w:space="0" w:color="auto"/>
            <w:right w:val="none" w:sz="0" w:space="0" w:color="auto"/>
          </w:divBdr>
        </w:div>
        <w:div w:id="1885753367">
          <w:marLeft w:val="0"/>
          <w:marRight w:val="0"/>
          <w:marTop w:val="0"/>
          <w:marBottom w:val="0"/>
          <w:divBdr>
            <w:top w:val="none" w:sz="0" w:space="0" w:color="auto"/>
            <w:left w:val="none" w:sz="0" w:space="0" w:color="auto"/>
            <w:bottom w:val="none" w:sz="0" w:space="0" w:color="auto"/>
            <w:right w:val="none" w:sz="0" w:space="0" w:color="auto"/>
          </w:divBdr>
        </w:div>
      </w:divsChild>
    </w:div>
    <w:div w:id="1651061632">
      <w:bodyDiv w:val="1"/>
      <w:marLeft w:val="0"/>
      <w:marRight w:val="0"/>
      <w:marTop w:val="0"/>
      <w:marBottom w:val="0"/>
      <w:divBdr>
        <w:top w:val="none" w:sz="0" w:space="0" w:color="auto"/>
        <w:left w:val="none" w:sz="0" w:space="0" w:color="auto"/>
        <w:bottom w:val="none" w:sz="0" w:space="0" w:color="auto"/>
        <w:right w:val="none" w:sz="0" w:space="0" w:color="auto"/>
      </w:divBdr>
    </w:div>
    <w:div w:id="1672755796">
      <w:bodyDiv w:val="1"/>
      <w:marLeft w:val="0"/>
      <w:marRight w:val="0"/>
      <w:marTop w:val="0"/>
      <w:marBottom w:val="0"/>
      <w:divBdr>
        <w:top w:val="none" w:sz="0" w:space="0" w:color="auto"/>
        <w:left w:val="none" w:sz="0" w:space="0" w:color="auto"/>
        <w:bottom w:val="none" w:sz="0" w:space="0" w:color="auto"/>
        <w:right w:val="none" w:sz="0" w:space="0" w:color="auto"/>
      </w:divBdr>
    </w:div>
    <w:div w:id="1717313663">
      <w:bodyDiv w:val="1"/>
      <w:marLeft w:val="0"/>
      <w:marRight w:val="0"/>
      <w:marTop w:val="0"/>
      <w:marBottom w:val="0"/>
      <w:divBdr>
        <w:top w:val="none" w:sz="0" w:space="0" w:color="auto"/>
        <w:left w:val="none" w:sz="0" w:space="0" w:color="auto"/>
        <w:bottom w:val="none" w:sz="0" w:space="0" w:color="auto"/>
        <w:right w:val="none" w:sz="0" w:space="0" w:color="auto"/>
      </w:divBdr>
    </w:div>
    <w:div w:id="1788085142">
      <w:bodyDiv w:val="1"/>
      <w:marLeft w:val="0"/>
      <w:marRight w:val="0"/>
      <w:marTop w:val="0"/>
      <w:marBottom w:val="0"/>
      <w:divBdr>
        <w:top w:val="none" w:sz="0" w:space="0" w:color="auto"/>
        <w:left w:val="none" w:sz="0" w:space="0" w:color="auto"/>
        <w:bottom w:val="none" w:sz="0" w:space="0" w:color="auto"/>
        <w:right w:val="none" w:sz="0" w:space="0" w:color="auto"/>
      </w:divBdr>
      <w:divsChild>
        <w:div w:id="18512079">
          <w:marLeft w:val="0"/>
          <w:marRight w:val="0"/>
          <w:marTop w:val="0"/>
          <w:marBottom w:val="0"/>
          <w:divBdr>
            <w:top w:val="none" w:sz="0" w:space="0" w:color="auto"/>
            <w:left w:val="none" w:sz="0" w:space="0" w:color="auto"/>
            <w:bottom w:val="none" w:sz="0" w:space="0" w:color="auto"/>
            <w:right w:val="none" w:sz="0" w:space="0" w:color="auto"/>
          </w:divBdr>
        </w:div>
        <w:div w:id="39206798">
          <w:marLeft w:val="0"/>
          <w:marRight w:val="0"/>
          <w:marTop w:val="0"/>
          <w:marBottom w:val="0"/>
          <w:divBdr>
            <w:top w:val="none" w:sz="0" w:space="0" w:color="auto"/>
            <w:left w:val="none" w:sz="0" w:space="0" w:color="auto"/>
            <w:bottom w:val="none" w:sz="0" w:space="0" w:color="auto"/>
            <w:right w:val="none" w:sz="0" w:space="0" w:color="auto"/>
          </w:divBdr>
        </w:div>
        <w:div w:id="52505960">
          <w:marLeft w:val="0"/>
          <w:marRight w:val="0"/>
          <w:marTop w:val="0"/>
          <w:marBottom w:val="0"/>
          <w:divBdr>
            <w:top w:val="none" w:sz="0" w:space="0" w:color="auto"/>
            <w:left w:val="none" w:sz="0" w:space="0" w:color="auto"/>
            <w:bottom w:val="none" w:sz="0" w:space="0" w:color="auto"/>
            <w:right w:val="none" w:sz="0" w:space="0" w:color="auto"/>
          </w:divBdr>
        </w:div>
        <w:div w:id="89619469">
          <w:marLeft w:val="0"/>
          <w:marRight w:val="0"/>
          <w:marTop w:val="0"/>
          <w:marBottom w:val="0"/>
          <w:divBdr>
            <w:top w:val="none" w:sz="0" w:space="0" w:color="auto"/>
            <w:left w:val="none" w:sz="0" w:space="0" w:color="auto"/>
            <w:bottom w:val="none" w:sz="0" w:space="0" w:color="auto"/>
            <w:right w:val="none" w:sz="0" w:space="0" w:color="auto"/>
          </w:divBdr>
        </w:div>
        <w:div w:id="106433629">
          <w:marLeft w:val="0"/>
          <w:marRight w:val="0"/>
          <w:marTop w:val="0"/>
          <w:marBottom w:val="0"/>
          <w:divBdr>
            <w:top w:val="none" w:sz="0" w:space="0" w:color="auto"/>
            <w:left w:val="none" w:sz="0" w:space="0" w:color="auto"/>
            <w:bottom w:val="none" w:sz="0" w:space="0" w:color="auto"/>
            <w:right w:val="none" w:sz="0" w:space="0" w:color="auto"/>
          </w:divBdr>
        </w:div>
        <w:div w:id="146172846">
          <w:marLeft w:val="0"/>
          <w:marRight w:val="0"/>
          <w:marTop w:val="0"/>
          <w:marBottom w:val="0"/>
          <w:divBdr>
            <w:top w:val="none" w:sz="0" w:space="0" w:color="auto"/>
            <w:left w:val="none" w:sz="0" w:space="0" w:color="auto"/>
            <w:bottom w:val="none" w:sz="0" w:space="0" w:color="auto"/>
            <w:right w:val="none" w:sz="0" w:space="0" w:color="auto"/>
          </w:divBdr>
        </w:div>
        <w:div w:id="152453600">
          <w:marLeft w:val="0"/>
          <w:marRight w:val="0"/>
          <w:marTop w:val="0"/>
          <w:marBottom w:val="0"/>
          <w:divBdr>
            <w:top w:val="none" w:sz="0" w:space="0" w:color="auto"/>
            <w:left w:val="none" w:sz="0" w:space="0" w:color="auto"/>
            <w:bottom w:val="none" w:sz="0" w:space="0" w:color="auto"/>
            <w:right w:val="none" w:sz="0" w:space="0" w:color="auto"/>
          </w:divBdr>
        </w:div>
        <w:div w:id="168717494">
          <w:marLeft w:val="0"/>
          <w:marRight w:val="0"/>
          <w:marTop w:val="0"/>
          <w:marBottom w:val="0"/>
          <w:divBdr>
            <w:top w:val="none" w:sz="0" w:space="0" w:color="auto"/>
            <w:left w:val="none" w:sz="0" w:space="0" w:color="auto"/>
            <w:bottom w:val="none" w:sz="0" w:space="0" w:color="auto"/>
            <w:right w:val="none" w:sz="0" w:space="0" w:color="auto"/>
          </w:divBdr>
        </w:div>
        <w:div w:id="357394372">
          <w:marLeft w:val="0"/>
          <w:marRight w:val="0"/>
          <w:marTop w:val="0"/>
          <w:marBottom w:val="0"/>
          <w:divBdr>
            <w:top w:val="none" w:sz="0" w:space="0" w:color="auto"/>
            <w:left w:val="none" w:sz="0" w:space="0" w:color="auto"/>
            <w:bottom w:val="none" w:sz="0" w:space="0" w:color="auto"/>
            <w:right w:val="none" w:sz="0" w:space="0" w:color="auto"/>
          </w:divBdr>
        </w:div>
        <w:div w:id="534848644">
          <w:marLeft w:val="0"/>
          <w:marRight w:val="0"/>
          <w:marTop w:val="0"/>
          <w:marBottom w:val="0"/>
          <w:divBdr>
            <w:top w:val="none" w:sz="0" w:space="0" w:color="auto"/>
            <w:left w:val="none" w:sz="0" w:space="0" w:color="auto"/>
            <w:bottom w:val="none" w:sz="0" w:space="0" w:color="auto"/>
            <w:right w:val="none" w:sz="0" w:space="0" w:color="auto"/>
          </w:divBdr>
        </w:div>
        <w:div w:id="596207535">
          <w:marLeft w:val="0"/>
          <w:marRight w:val="0"/>
          <w:marTop w:val="0"/>
          <w:marBottom w:val="0"/>
          <w:divBdr>
            <w:top w:val="none" w:sz="0" w:space="0" w:color="auto"/>
            <w:left w:val="none" w:sz="0" w:space="0" w:color="auto"/>
            <w:bottom w:val="none" w:sz="0" w:space="0" w:color="auto"/>
            <w:right w:val="none" w:sz="0" w:space="0" w:color="auto"/>
          </w:divBdr>
        </w:div>
        <w:div w:id="598833214">
          <w:marLeft w:val="0"/>
          <w:marRight w:val="0"/>
          <w:marTop w:val="0"/>
          <w:marBottom w:val="0"/>
          <w:divBdr>
            <w:top w:val="none" w:sz="0" w:space="0" w:color="auto"/>
            <w:left w:val="none" w:sz="0" w:space="0" w:color="auto"/>
            <w:bottom w:val="none" w:sz="0" w:space="0" w:color="auto"/>
            <w:right w:val="none" w:sz="0" w:space="0" w:color="auto"/>
          </w:divBdr>
        </w:div>
        <w:div w:id="601957606">
          <w:marLeft w:val="0"/>
          <w:marRight w:val="0"/>
          <w:marTop w:val="0"/>
          <w:marBottom w:val="0"/>
          <w:divBdr>
            <w:top w:val="none" w:sz="0" w:space="0" w:color="auto"/>
            <w:left w:val="none" w:sz="0" w:space="0" w:color="auto"/>
            <w:bottom w:val="none" w:sz="0" w:space="0" w:color="auto"/>
            <w:right w:val="none" w:sz="0" w:space="0" w:color="auto"/>
          </w:divBdr>
        </w:div>
        <w:div w:id="644890455">
          <w:marLeft w:val="0"/>
          <w:marRight w:val="0"/>
          <w:marTop w:val="0"/>
          <w:marBottom w:val="0"/>
          <w:divBdr>
            <w:top w:val="none" w:sz="0" w:space="0" w:color="auto"/>
            <w:left w:val="none" w:sz="0" w:space="0" w:color="auto"/>
            <w:bottom w:val="none" w:sz="0" w:space="0" w:color="auto"/>
            <w:right w:val="none" w:sz="0" w:space="0" w:color="auto"/>
          </w:divBdr>
        </w:div>
        <w:div w:id="651446183">
          <w:marLeft w:val="0"/>
          <w:marRight w:val="0"/>
          <w:marTop w:val="0"/>
          <w:marBottom w:val="0"/>
          <w:divBdr>
            <w:top w:val="none" w:sz="0" w:space="0" w:color="auto"/>
            <w:left w:val="none" w:sz="0" w:space="0" w:color="auto"/>
            <w:bottom w:val="none" w:sz="0" w:space="0" w:color="auto"/>
            <w:right w:val="none" w:sz="0" w:space="0" w:color="auto"/>
          </w:divBdr>
        </w:div>
        <w:div w:id="659818462">
          <w:marLeft w:val="0"/>
          <w:marRight w:val="0"/>
          <w:marTop w:val="0"/>
          <w:marBottom w:val="0"/>
          <w:divBdr>
            <w:top w:val="none" w:sz="0" w:space="0" w:color="auto"/>
            <w:left w:val="none" w:sz="0" w:space="0" w:color="auto"/>
            <w:bottom w:val="none" w:sz="0" w:space="0" w:color="auto"/>
            <w:right w:val="none" w:sz="0" w:space="0" w:color="auto"/>
          </w:divBdr>
        </w:div>
        <w:div w:id="732003036">
          <w:marLeft w:val="0"/>
          <w:marRight w:val="0"/>
          <w:marTop w:val="0"/>
          <w:marBottom w:val="0"/>
          <w:divBdr>
            <w:top w:val="none" w:sz="0" w:space="0" w:color="auto"/>
            <w:left w:val="none" w:sz="0" w:space="0" w:color="auto"/>
            <w:bottom w:val="none" w:sz="0" w:space="0" w:color="auto"/>
            <w:right w:val="none" w:sz="0" w:space="0" w:color="auto"/>
          </w:divBdr>
        </w:div>
        <w:div w:id="771783678">
          <w:marLeft w:val="0"/>
          <w:marRight w:val="0"/>
          <w:marTop w:val="0"/>
          <w:marBottom w:val="0"/>
          <w:divBdr>
            <w:top w:val="none" w:sz="0" w:space="0" w:color="auto"/>
            <w:left w:val="none" w:sz="0" w:space="0" w:color="auto"/>
            <w:bottom w:val="none" w:sz="0" w:space="0" w:color="auto"/>
            <w:right w:val="none" w:sz="0" w:space="0" w:color="auto"/>
          </w:divBdr>
        </w:div>
        <w:div w:id="803810719">
          <w:marLeft w:val="0"/>
          <w:marRight w:val="0"/>
          <w:marTop w:val="0"/>
          <w:marBottom w:val="0"/>
          <w:divBdr>
            <w:top w:val="none" w:sz="0" w:space="0" w:color="auto"/>
            <w:left w:val="none" w:sz="0" w:space="0" w:color="auto"/>
            <w:bottom w:val="none" w:sz="0" w:space="0" w:color="auto"/>
            <w:right w:val="none" w:sz="0" w:space="0" w:color="auto"/>
          </w:divBdr>
        </w:div>
        <w:div w:id="828524152">
          <w:marLeft w:val="0"/>
          <w:marRight w:val="0"/>
          <w:marTop w:val="0"/>
          <w:marBottom w:val="0"/>
          <w:divBdr>
            <w:top w:val="none" w:sz="0" w:space="0" w:color="auto"/>
            <w:left w:val="none" w:sz="0" w:space="0" w:color="auto"/>
            <w:bottom w:val="none" w:sz="0" w:space="0" w:color="auto"/>
            <w:right w:val="none" w:sz="0" w:space="0" w:color="auto"/>
          </w:divBdr>
        </w:div>
        <w:div w:id="831339933">
          <w:marLeft w:val="0"/>
          <w:marRight w:val="0"/>
          <w:marTop w:val="0"/>
          <w:marBottom w:val="0"/>
          <w:divBdr>
            <w:top w:val="none" w:sz="0" w:space="0" w:color="auto"/>
            <w:left w:val="none" w:sz="0" w:space="0" w:color="auto"/>
            <w:bottom w:val="none" w:sz="0" w:space="0" w:color="auto"/>
            <w:right w:val="none" w:sz="0" w:space="0" w:color="auto"/>
          </w:divBdr>
        </w:div>
        <w:div w:id="914434987">
          <w:marLeft w:val="0"/>
          <w:marRight w:val="0"/>
          <w:marTop w:val="0"/>
          <w:marBottom w:val="0"/>
          <w:divBdr>
            <w:top w:val="none" w:sz="0" w:space="0" w:color="auto"/>
            <w:left w:val="none" w:sz="0" w:space="0" w:color="auto"/>
            <w:bottom w:val="none" w:sz="0" w:space="0" w:color="auto"/>
            <w:right w:val="none" w:sz="0" w:space="0" w:color="auto"/>
          </w:divBdr>
        </w:div>
        <w:div w:id="951521062">
          <w:marLeft w:val="0"/>
          <w:marRight w:val="0"/>
          <w:marTop w:val="0"/>
          <w:marBottom w:val="0"/>
          <w:divBdr>
            <w:top w:val="none" w:sz="0" w:space="0" w:color="auto"/>
            <w:left w:val="none" w:sz="0" w:space="0" w:color="auto"/>
            <w:bottom w:val="none" w:sz="0" w:space="0" w:color="auto"/>
            <w:right w:val="none" w:sz="0" w:space="0" w:color="auto"/>
          </w:divBdr>
        </w:div>
        <w:div w:id="1042290826">
          <w:marLeft w:val="0"/>
          <w:marRight w:val="0"/>
          <w:marTop w:val="0"/>
          <w:marBottom w:val="0"/>
          <w:divBdr>
            <w:top w:val="none" w:sz="0" w:space="0" w:color="auto"/>
            <w:left w:val="none" w:sz="0" w:space="0" w:color="auto"/>
            <w:bottom w:val="none" w:sz="0" w:space="0" w:color="auto"/>
            <w:right w:val="none" w:sz="0" w:space="0" w:color="auto"/>
          </w:divBdr>
        </w:div>
        <w:div w:id="1069231363">
          <w:marLeft w:val="0"/>
          <w:marRight w:val="0"/>
          <w:marTop w:val="0"/>
          <w:marBottom w:val="0"/>
          <w:divBdr>
            <w:top w:val="none" w:sz="0" w:space="0" w:color="auto"/>
            <w:left w:val="none" w:sz="0" w:space="0" w:color="auto"/>
            <w:bottom w:val="none" w:sz="0" w:space="0" w:color="auto"/>
            <w:right w:val="none" w:sz="0" w:space="0" w:color="auto"/>
          </w:divBdr>
        </w:div>
        <w:div w:id="1119299691">
          <w:marLeft w:val="0"/>
          <w:marRight w:val="0"/>
          <w:marTop w:val="0"/>
          <w:marBottom w:val="0"/>
          <w:divBdr>
            <w:top w:val="none" w:sz="0" w:space="0" w:color="auto"/>
            <w:left w:val="none" w:sz="0" w:space="0" w:color="auto"/>
            <w:bottom w:val="none" w:sz="0" w:space="0" w:color="auto"/>
            <w:right w:val="none" w:sz="0" w:space="0" w:color="auto"/>
          </w:divBdr>
        </w:div>
        <w:div w:id="1149519977">
          <w:marLeft w:val="0"/>
          <w:marRight w:val="0"/>
          <w:marTop w:val="0"/>
          <w:marBottom w:val="0"/>
          <w:divBdr>
            <w:top w:val="none" w:sz="0" w:space="0" w:color="auto"/>
            <w:left w:val="none" w:sz="0" w:space="0" w:color="auto"/>
            <w:bottom w:val="none" w:sz="0" w:space="0" w:color="auto"/>
            <w:right w:val="none" w:sz="0" w:space="0" w:color="auto"/>
          </w:divBdr>
        </w:div>
        <w:div w:id="1179732981">
          <w:marLeft w:val="0"/>
          <w:marRight w:val="0"/>
          <w:marTop w:val="0"/>
          <w:marBottom w:val="0"/>
          <w:divBdr>
            <w:top w:val="none" w:sz="0" w:space="0" w:color="auto"/>
            <w:left w:val="none" w:sz="0" w:space="0" w:color="auto"/>
            <w:bottom w:val="none" w:sz="0" w:space="0" w:color="auto"/>
            <w:right w:val="none" w:sz="0" w:space="0" w:color="auto"/>
          </w:divBdr>
        </w:div>
        <w:div w:id="1251423561">
          <w:marLeft w:val="0"/>
          <w:marRight w:val="0"/>
          <w:marTop w:val="0"/>
          <w:marBottom w:val="0"/>
          <w:divBdr>
            <w:top w:val="none" w:sz="0" w:space="0" w:color="auto"/>
            <w:left w:val="none" w:sz="0" w:space="0" w:color="auto"/>
            <w:bottom w:val="none" w:sz="0" w:space="0" w:color="auto"/>
            <w:right w:val="none" w:sz="0" w:space="0" w:color="auto"/>
          </w:divBdr>
        </w:div>
        <w:div w:id="1289504948">
          <w:marLeft w:val="0"/>
          <w:marRight w:val="0"/>
          <w:marTop w:val="0"/>
          <w:marBottom w:val="0"/>
          <w:divBdr>
            <w:top w:val="none" w:sz="0" w:space="0" w:color="auto"/>
            <w:left w:val="none" w:sz="0" w:space="0" w:color="auto"/>
            <w:bottom w:val="none" w:sz="0" w:space="0" w:color="auto"/>
            <w:right w:val="none" w:sz="0" w:space="0" w:color="auto"/>
          </w:divBdr>
        </w:div>
        <w:div w:id="1309629094">
          <w:marLeft w:val="0"/>
          <w:marRight w:val="0"/>
          <w:marTop w:val="0"/>
          <w:marBottom w:val="0"/>
          <w:divBdr>
            <w:top w:val="none" w:sz="0" w:space="0" w:color="auto"/>
            <w:left w:val="none" w:sz="0" w:space="0" w:color="auto"/>
            <w:bottom w:val="none" w:sz="0" w:space="0" w:color="auto"/>
            <w:right w:val="none" w:sz="0" w:space="0" w:color="auto"/>
          </w:divBdr>
        </w:div>
        <w:div w:id="1391424292">
          <w:marLeft w:val="0"/>
          <w:marRight w:val="0"/>
          <w:marTop w:val="0"/>
          <w:marBottom w:val="0"/>
          <w:divBdr>
            <w:top w:val="none" w:sz="0" w:space="0" w:color="auto"/>
            <w:left w:val="none" w:sz="0" w:space="0" w:color="auto"/>
            <w:bottom w:val="none" w:sz="0" w:space="0" w:color="auto"/>
            <w:right w:val="none" w:sz="0" w:space="0" w:color="auto"/>
          </w:divBdr>
        </w:div>
        <w:div w:id="1412894124">
          <w:marLeft w:val="0"/>
          <w:marRight w:val="0"/>
          <w:marTop w:val="0"/>
          <w:marBottom w:val="0"/>
          <w:divBdr>
            <w:top w:val="none" w:sz="0" w:space="0" w:color="auto"/>
            <w:left w:val="none" w:sz="0" w:space="0" w:color="auto"/>
            <w:bottom w:val="none" w:sz="0" w:space="0" w:color="auto"/>
            <w:right w:val="none" w:sz="0" w:space="0" w:color="auto"/>
          </w:divBdr>
        </w:div>
        <w:div w:id="1452165665">
          <w:marLeft w:val="0"/>
          <w:marRight w:val="0"/>
          <w:marTop w:val="0"/>
          <w:marBottom w:val="0"/>
          <w:divBdr>
            <w:top w:val="none" w:sz="0" w:space="0" w:color="auto"/>
            <w:left w:val="none" w:sz="0" w:space="0" w:color="auto"/>
            <w:bottom w:val="none" w:sz="0" w:space="0" w:color="auto"/>
            <w:right w:val="none" w:sz="0" w:space="0" w:color="auto"/>
          </w:divBdr>
        </w:div>
        <w:div w:id="1453205343">
          <w:marLeft w:val="0"/>
          <w:marRight w:val="0"/>
          <w:marTop w:val="0"/>
          <w:marBottom w:val="0"/>
          <w:divBdr>
            <w:top w:val="none" w:sz="0" w:space="0" w:color="auto"/>
            <w:left w:val="none" w:sz="0" w:space="0" w:color="auto"/>
            <w:bottom w:val="none" w:sz="0" w:space="0" w:color="auto"/>
            <w:right w:val="none" w:sz="0" w:space="0" w:color="auto"/>
          </w:divBdr>
        </w:div>
        <w:div w:id="1456409150">
          <w:marLeft w:val="0"/>
          <w:marRight w:val="0"/>
          <w:marTop w:val="0"/>
          <w:marBottom w:val="0"/>
          <w:divBdr>
            <w:top w:val="none" w:sz="0" w:space="0" w:color="auto"/>
            <w:left w:val="none" w:sz="0" w:space="0" w:color="auto"/>
            <w:bottom w:val="none" w:sz="0" w:space="0" w:color="auto"/>
            <w:right w:val="none" w:sz="0" w:space="0" w:color="auto"/>
          </w:divBdr>
        </w:div>
        <w:div w:id="1459487946">
          <w:marLeft w:val="0"/>
          <w:marRight w:val="0"/>
          <w:marTop w:val="0"/>
          <w:marBottom w:val="0"/>
          <w:divBdr>
            <w:top w:val="none" w:sz="0" w:space="0" w:color="auto"/>
            <w:left w:val="none" w:sz="0" w:space="0" w:color="auto"/>
            <w:bottom w:val="none" w:sz="0" w:space="0" w:color="auto"/>
            <w:right w:val="none" w:sz="0" w:space="0" w:color="auto"/>
          </w:divBdr>
        </w:div>
        <w:div w:id="1512909189">
          <w:marLeft w:val="0"/>
          <w:marRight w:val="0"/>
          <w:marTop w:val="0"/>
          <w:marBottom w:val="0"/>
          <w:divBdr>
            <w:top w:val="none" w:sz="0" w:space="0" w:color="auto"/>
            <w:left w:val="none" w:sz="0" w:space="0" w:color="auto"/>
            <w:bottom w:val="none" w:sz="0" w:space="0" w:color="auto"/>
            <w:right w:val="none" w:sz="0" w:space="0" w:color="auto"/>
          </w:divBdr>
        </w:div>
        <w:div w:id="1549488083">
          <w:marLeft w:val="0"/>
          <w:marRight w:val="0"/>
          <w:marTop w:val="0"/>
          <w:marBottom w:val="0"/>
          <w:divBdr>
            <w:top w:val="none" w:sz="0" w:space="0" w:color="auto"/>
            <w:left w:val="none" w:sz="0" w:space="0" w:color="auto"/>
            <w:bottom w:val="none" w:sz="0" w:space="0" w:color="auto"/>
            <w:right w:val="none" w:sz="0" w:space="0" w:color="auto"/>
          </w:divBdr>
        </w:div>
        <w:div w:id="1554267985">
          <w:marLeft w:val="0"/>
          <w:marRight w:val="0"/>
          <w:marTop w:val="0"/>
          <w:marBottom w:val="0"/>
          <w:divBdr>
            <w:top w:val="none" w:sz="0" w:space="0" w:color="auto"/>
            <w:left w:val="none" w:sz="0" w:space="0" w:color="auto"/>
            <w:bottom w:val="none" w:sz="0" w:space="0" w:color="auto"/>
            <w:right w:val="none" w:sz="0" w:space="0" w:color="auto"/>
          </w:divBdr>
        </w:div>
        <w:div w:id="1575159021">
          <w:marLeft w:val="0"/>
          <w:marRight w:val="0"/>
          <w:marTop w:val="0"/>
          <w:marBottom w:val="0"/>
          <w:divBdr>
            <w:top w:val="none" w:sz="0" w:space="0" w:color="auto"/>
            <w:left w:val="none" w:sz="0" w:space="0" w:color="auto"/>
            <w:bottom w:val="none" w:sz="0" w:space="0" w:color="auto"/>
            <w:right w:val="none" w:sz="0" w:space="0" w:color="auto"/>
          </w:divBdr>
        </w:div>
        <w:div w:id="1687247883">
          <w:marLeft w:val="0"/>
          <w:marRight w:val="0"/>
          <w:marTop w:val="0"/>
          <w:marBottom w:val="0"/>
          <w:divBdr>
            <w:top w:val="none" w:sz="0" w:space="0" w:color="auto"/>
            <w:left w:val="none" w:sz="0" w:space="0" w:color="auto"/>
            <w:bottom w:val="none" w:sz="0" w:space="0" w:color="auto"/>
            <w:right w:val="none" w:sz="0" w:space="0" w:color="auto"/>
          </w:divBdr>
        </w:div>
        <w:div w:id="1796439885">
          <w:marLeft w:val="0"/>
          <w:marRight w:val="0"/>
          <w:marTop w:val="0"/>
          <w:marBottom w:val="0"/>
          <w:divBdr>
            <w:top w:val="none" w:sz="0" w:space="0" w:color="auto"/>
            <w:left w:val="none" w:sz="0" w:space="0" w:color="auto"/>
            <w:bottom w:val="none" w:sz="0" w:space="0" w:color="auto"/>
            <w:right w:val="none" w:sz="0" w:space="0" w:color="auto"/>
          </w:divBdr>
        </w:div>
        <w:div w:id="1812360910">
          <w:marLeft w:val="0"/>
          <w:marRight w:val="0"/>
          <w:marTop w:val="0"/>
          <w:marBottom w:val="0"/>
          <w:divBdr>
            <w:top w:val="none" w:sz="0" w:space="0" w:color="auto"/>
            <w:left w:val="none" w:sz="0" w:space="0" w:color="auto"/>
            <w:bottom w:val="none" w:sz="0" w:space="0" w:color="auto"/>
            <w:right w:val="none" w:sz="0" w:space="0" w:color="auto"/>
          </w:divBdr>
        </w:div>
        <w:div w:id="1813593532">
          <w:marLeft w:val="0"/>
          <w:marRight w:val="0"/>
          <w:marTop w:val="0"/>
          <w:marBottom w:val="0"/>
          <w:divBdr>
            <w:top w:val="none" w:sz="0" w:space="0" w:color="auto"/>
            <w:left w:val="none" w:sz="0" w:space="0" w:color="auto"/>
            <w:bottom w:val="none" w:sz="0" w:space="0" w:color="auto"/>
            <w:right w:val="none" w:sz="0" w:space="0" w:color="auto"/>
          </w:divBdr>
        </w:div>
        <w:div w:id="1895659402">
          <w:marLeft w:val="0"/>
          <w:marRight w:val="0"/>
          <w:marTop w:val="0"/>
          <w:marBottom w:val="0"/>
          <w:divBdr>
            <w:top w:val="none" w:sz="0" w:space="0" w:color="auto"/>
            <w:left w:val="none" w:sz="0" w:space="0" w:color="auto"/>
            <w:bottom w:val="none" w:sz="0" w:space="0" w:color="auto"/>
            <w:right w:val="none" w:sz="0" w:space="0" w:color="auto"/>
          </w:divBdr>
        </w:div>
        <w:div w:id="1950891165">
          <w:marLeft w:val="0"/>
          <w:marRight w:val="0"/>
          <w:marTop w:val="0"/>
          <w:marBottom w:val="0"/>
          <w:divBdr>
            <w:top w:val="none" w:sz="0" w:space="0" w:color="auto"/>
            <w:left w:val="none" w:sz="0" w:space="0" w:color="auto"/>
            <w:bottom w:val="none" w:sz="0" w:space="0" w:color="auto"/>
            <w:right w:val="none" w:sz="0" w:space="0" w:color="auto"/>
          </w:divBdr>
        </w:div>
        <w:div w:id="1951890242">
          <w:marLeft w:val="0"/>
          <w:marRight w:val="0"/>
          <w:marTop w:val="0"/>
          <w:marBottom w:val="0"/>
          <w:divBdr>
            <w:top w:val="none" w:sz="0" w:space="0" w:color="auto"/>
            <w:left w:val="none" w:sz="0" w:space="0" w:color="auto"/>
            <w:bottom w:val="none" w:sz="0" w:space="0" w:color="auto"/>
            <w:right w:val="none" w:sz="0" w:space="0" w:color="auto"/>
          </w:divBdr>
        </w:div>
        <w:div w:id="1974675431">
          <w:marLeft w:val="0"/>
          <w:marRight w:val="0"/>
          <w:marTop w:val="0"/>
          <w:marBottom w:val="0"/>
          <w:divBdr>
            <w:top w:val="none" w:sz="0" w:space="0" w:color="auto"/>
            <w:left w:val="none" w:sz="0" w:space="0" w:color="auto"/>
            <w:bottom w:val="none" w:sz="0" w:space="0" w:color="auto"/>
            <w:right w:val="none" w:sz="0" w:space="0" w:color="auto"/>
          </w:divBdr>
        </w:div>
        <w:div w:id="1992098253">
          <w:marLeft w:val="0"/>
          <w:marRight w:val="0"/>
          <w:marTop w:val="0"/>
          <w:marBottom w:val="0"/>
          <w:divBdr>
            <w:top w:val="none" w:sz="0" w:space="0" w:color="auto"/>
            <w:left w:val="none" w:sz="0" w:space="0" w:color="auto"/>
            <w:bottom w:val="none" w:sz="0" w:space="0" w:color="auto"/>
            <w:right w:val="none" w:sz="0" w:space="0" w:color="auto"/>
          </w:divBdr>
        </w:div>
        <w:div w:id="2129544698">
          <w:marLeft w:val="0"/>
          <w:marRight w:val="0"/>
          <w:marTop w:val="0"/>
          <w:marBottom w:val="0"/>
          <w:divBdr>
            <w:top w:val="none" w:sz="0" w:space="0" w:color="auto"/>
            <w:left w:val="none" w:sz="0" w:space="0" w:color="auto"/>
            <w:bottom w:val="none" w:sz="0" w:space="0" w:color="auto"/>
            <w:right w:val="none" w:sz="0" w:space="0" w:color="auto"/>
          </w:divBdr>
        </w:div>
      </w:divsChild>
    </w:div>
    <w:div w:id="1806314618">
      <w:bodyDiv w:val="1"/>
      <w:marLeft w:val="0"/>
      <w:marRight w:val="0"/>
      <w:marTop w:val="0"/>
      <w:marBottom w:val="0"/>
      <w:divBdr>
        <w:top w:val="none" w:sz="0" w:space="0" w:color="auto"/>
        <w:left w:val="none" w:sz="0" w:space="0" w:color="auto"/>
        <w:bottom w:val="none" w:sz="0" w:space="0" w:color="auto"/>
        <w:right w:val="none" w:sz="0" w:space="0" w:color="auto"/>
      </w:divBdr>
    </w:div>
    <w:div w:id="1808933047">
      <w:bodyDiv w:val="1"/>
      <w:marLeft w:val="0"/>
      <w:marRight w:val="0"/>
      <w:marTop w:val="0"/>
      <w:marBottom w:val="0"/>
      <w:divBdr>
        <w:top w:val="none" w:sz="0" w:space="0" w:color="auto"/>
        <w:left w:val="none" w:sz="0" w:space="0" w:color="auto"/>
        <w:bottom w:val="none" w:sz="0" w:space="0" w:color="auto"/>
        <w:right w:val="none" w:sz="0" w:space="0" w:color="auto"/>
      </w:divBdr>
    </w:div>
    <w:div w:id="1830897860">
      <w:bodyDiv w:val="1"/>
      <w:marLeft w:val="0"/>
      <w:marRight w:val="0"/>
      <w:marTop w:val="0"/>
      <w:marBottom w:val="0"/>
      <w:divBdr>
        <w:top w:val="none" w:sz="0" w:space="0" w:color="auto"/>
        <w:left w:val="none" w:sz="0" w:space="0" w:color="auto"/>
        <w:bottom w:val="none" w:sz="0" w:space="0" w:color="auto"/>
        <w:right w:val="none" w:sz="0" w:space="0" w:color="auto"/>
      </w:divBdr>
    </w:div>
    <w:div w:id="1917594400">
      <w:bodyDiv w:val="1"/>
      <w:marLeft w:val="0"/>
      <w:marRight w:val="0"/>
      <w:marTop w:val="0"/>
      <w:marBottom w:val="0"/>
      <w:divBdr>
        <w:top w:val="none" w:sz="0" w:space="0" w:color="auto"/>
        <w:left w:val="none" w:sz="0" w:space="0" w:color="auto"/>
        <w:bottom w:val="none" w:sz="0" w:space="0" w:color="auto"/>
        <w:right w:val="none" w:sz="0" w:space="0" w:color="auto"/>
      </w:divBdr>
    </w:div>
    <w:div w:id="1980916535">
      <w:bodyDiv w:val="1"/>
      <w:marLeft w:val="0"/>
      <w:marRight w:val="0"/>
      <w:marTop w:val="0"/>
      <w:marBottom w:val="0"/>
      <w:divBdr>
        <w:top w:val="none" w:sz="0" w:space="0" w:color="auto"/>
        <w:left w:val="none" w:sz="0" w:space="0" w:color="auto"/>
        <w:bottom w:val="none" w:sz="0" w:space="0" w:color="auto"/>
        <w:right w:val="none" w:sz="0" w:space="0" w:color="auto"/>
      </w:divBdr>
      <w:divsChild>
        <w:div w:id="82458588">
          <w:marLeft w:val="0"/>
          <w:marRight w:val="0"/>
          <w:marTop w:val="0"/>
          <w:marBottom w:val="0"/>
          <w:divBdr>
            <w:top w:val="none" w:sz="0" w:space="0" w:color="auto"/>
            <w:left w:val="none" w:sz="0" w:space="0" w:color="auto"/>
            <w:bottom w:val="none" w:sz="0" w:space="0" w:color="auto"/>
            <w:right w:val="none" w:sz="0" w:space="0" w:color="auto"/>
          </w:divBdr>
        </w:div>
        <w:div w:id="511070652">
          <w:marLeft w:val="0"/>
          <w:marRight w:val="0"/>
          <w:marTop w:val="0"/>
          <w:marBottom w:val="0"/>
          <w:divBdr>
            <w:top w:val="none" w:sz="0" w:space="0" w:color="auto"/>
            <w:left w:val="none" w:sz="0" w:space="0" w:color="auto"/>
            <w:bottom w:val="none" w:sz="0" w:space="0" w:color="auto"/>
            <w:right w:val="none" w:sz="0" w:space="0" w:color="auto"/>
          </w:divBdr>
        </w:div>
        <w:div w:id="743189478">
          <w:marLeft w:val="0"/>
          <w:marRight w:val="0"/>
          <w:marTop w:val="0"/>
          <w:marBottom w:val="0"/>
          <w:divBdr>
            <w:top w:val="none" w:sz="0" w:space="0" w:color="auto"/>
            <w:left w:val="none" w:sz="0" w:space="0" w:color="auto"/>
            <w:bottom w:val="none" w:sz="0" w:space="0" w:color="auto"/>
            <w:right w:val="none" w:sz="0" w:space="0" w:color="auto"/>
          </w:divBdr>
        </w:div>
        <w:div w:id="541946838">
          <w:marLeft w:val="0"/>
          <w:marRight w:val="0"/>
          <w:marTop w:val="0"/>
          <w:marBottom w:val="0"/>
          <w:divBdr>
            <w:top w:val="none" w:sz="0" w:space="0" w:color="auto"/>
            <w:left w:val="none" w:sz="0" w:space="0" w:color="auto"/>
            <w:bottom w:val="none" w:sz="0" w:space="0" w:color="auto"/>
            <w:right w:val="none" w:sz="0" w:space="0" w:color="auto"/>
          </w:divBdr>
        </w:div>
        <w:div w:id="2129856034">
          <w:marLeft w:val="0"/>
          <w:marRight w:val="0"/>
          <w:marTop w:val="0"/>
          <w:marBottom w:val="0"/>
          <w:divBdr>
            <w:top w:val="none" w:sz="0" w:space="0" w:color="auto"/>
            <w:left w:val="none" w:sz="0" w:space="0" w:color="auto"/>
            <w:bottom w:val="none" w:sz="0" w:space="0" w:color="auto"/>
            <w:right w:val="none" w:sz="0" w:space="0" w:color="auto"/>
          </w:divBdr>
        </w:div>
        <w:div w:id="1569458981">
          <w:marLeft w:val="0"/>
          <w:marRight w:val="0"/>
          <w:marTop w:val="0"/>
          <w:marBottom w:val="0"/>
          <w:divBdr>
            <w:top w:val="none" w:sz="0" w:space="0" w:color="auto"/>
            <w:left w:val="none" w:sz="0" w:space="0" w:color="auto"/>
            <w:bottom w:val="none" w:sz="0" w:space="0" w:color="auto"/>
            <w:right w:val="none" w:sz="0" w:space="0" w:color="auto"/>
          </w:divBdr>
        </w:div>
        <w:div w:id="101384584">
          <w:marLeft w:val="0"/>
          <w:marRight w:val="0"/>
          <w:marTop w:val="0"/>
          <w:marBottom w:val="0"/>
          <w:divBdr>
            <w:top w:val="none" w:sz="0" w:space="0" w:color="auto"/>
            <w:left w:val="none" w:sz="0" w:space="0" w:color="auto"/>
            <w:bottom w:val="none" w:sz="0" w:space="0" w:color="auto"/>
            <w:right w:val="none" w:sz="0" w:space="0" w:color="auto"/>
          </w:divBdr>
        </w:div>
        <w:div w:id="1191576119">
          <w:marLeft w:val="0"/>
          <w:marRight w:val="0"/>
          <w:marTop w:val="0"/>
          <w:marBottom w:val="0"/>
          <w:divBdr>
            <w:top w:val="none" w:sz="0" w:space="0" w:color="auto"/>
            <w:left w:val="none" w:sz="0" w:space="0" w:color="auto"/>
            <w:bottom w:val="none" w:sz="0" w:space="0" w:color="auto"/>
            <w:right w:val="none" w:sz="0" w:space="0" w:color="auto"/>
          </w:divBdr>
        </w:div>
        <w:div w:id="97911408">
          <w:marLeft w:val="0"/>
          <w:marRight w:val="0"/>
          <w:marTop w:val="0"/>
          <w:marBottom w:val="0"/>
          <w:divBdr>
            <w:top w:val="none" w:sz="0" w:space="0" w:color="auto"/>
            <w:left w:val="none" w:sz="0" w:space="0" w:color="auto"/>
            <w:bottom w:val="none" w:sz="0" w:space="0" w:color="auto"/>
            <w:right w:val="none" w:sz="0" w:space="0" w:color="auto"/>
          </w:divBdr>
        </w:div>
        <w:div w:id="461001426">
          <w:marLeft w:val="0"/>
          <w:marRight w:val="0"/>
          <w:marTop w:val="0"/>
          <w:marBottom w:val="0"/>
          <w:divBdr>
            <w:top w:val="none" w:sz="0" w:space="0" w:color="auto"/>
            <w:left w:val="none" w:sz="0" w:space="0" w:color="auto"/>
            <w:bottom w:val="none" w:sz="0" w:space="0" w:color="auto"/>
            <w:right w:val="none" w:sz="0" w:space="0" w:color="auto"/>
          </w:divBdr>
        </w:div>
      </w:divsChild>
    </w:div>
    <w:div w:id="2031563799">
      <w:bodyDiv w:val="1"/>
      <w:marLeft w:val="0"/>
      <w:marRight w:val="0"/>
      <w:marTop w:val="0"/>
      <w:marBottom w:val="0"/>
      <w:divBdr>
        <w:top w:val="none" w:sz="0" w:space="0" w:color="auto"/>
        <w:left w:val="none" w:sz="0" w:space="0" w:color="auto"/>
        <w:bottom w:val="none" w:sz="0" w:space="0" w:color="auto"/>
        <w:right w:val="none" w:sz="0" w:space="0" w:color="auto"/>
      </w:divBdr>
    </w:div>
    <w:div w:id="2066485876">
      <w:bodyDiv w:val="1"/>
      <w:marLeft w:val="0"/>
      <w:marRight w:val="0"/>
      <w:marTop w:val="0"/>
      <w:marBottom w:val="0"/>
      <w:divBdr>
        <w:top w:val="none" w:sz="0" w:space="0" w:color="auto"/>
        <w:left w:val="none" w:sz="0" w:space="0" w:color="auto"/>
        <w:bottom w:val="none" w:sz="0" w:space="0" w:color="auto"/>
        <w:right w:val="none" w:sz="0" w:space="0" w:color="auto"/>
      </w:divBdr>
    </w:div>
    <w:div w:id="2071029800">
      <w:bodyDiv w:val="1"/>
      <w:marLeft w:val="0"/>
      <w:marRight w:val="0"/>
      <w:marTop w:val="0"/>
      <w:marBottom w:val="0"/>
      <w:divBdr>
        <w:top w:val="none" w:sz="0" w:space="0" w:color="auto"/>
        <w:left w:val="none" w:sz="0" w:space="0" w:color="auto"/>
        <w:bottom w:val="none" w:sz="0" w:space="0" w:color="auto"/>
        <w:right w:val="none" w:sz="0" w:space="0" w:color="auto"/>
      </w:divBdr>
    </w:div>
    <w:div w:id="2078235439">
      <w:bodyDiv w:val="1"/>
      <w:marLeft w:val="0"/>
      <w:marRight w:val="0"/>
      <w:marTop w:val="0"/>
      <w:marBottom w:val="0"/>
      <w:divBdr>
        <w:top w:val="none" w:sz="0" w:space="0" w:color="auto"/>
        <w:left w:val="none" w:sz="0" w:space="0" w:color="auto"/>
        <w:bottom w:val="none" w:sz="0" w:space="0" w:color="auto"/>
        <w:right w:val="none" w:sz="0" w:space="0" w:color="auto"/>
      </w:divBdr>
    </w:div>
    <w:div w:id="2101944004">
      <w:bodyDiv w:val="1"/>
      <w:marLeft w:val="0"/>
      <w:marRight w:val="0"/>
      <w:marTop w:val="0"/>
      <w:marBottom w:val="0"/>
      <w:divBdr>
        <w:top w:val="none" w:sz="0" w:space="0" w:color="auto"/>
        <w:left w:val="none" w:sz="0" w:space="0" w:color="auto"/>
        <w:bottom w:val="none" w:sz="0" w:space="0" w:color="auto"/>
        <w:right w:val="none" w:sz="0" w:space="0" w:color="auto"/>
      </w:divBdr>
      <w:divsChild>
        <w:div w:id="4020865">
          <w:marLeft w:val="0"/>
          <w:marRight w:val="0"/>
          <w:marTop w:val="0"/>
          <w:marBottom w:val="0"/>
          <w:divBdr>
            <w:top w:val="none" w:sz="0" w:space="0" w:color="auto"/>
            <w:left w:val="none" w:sz="0" w:space="0" w:color="auto"/>
            <w:bottom w:val="none" w:sz="0" w:space="0" w:color="auto"/>
            <w:right w:val="none" w:sz="0" w:space="0" w:color="auto"/>
          </w:divBdr>
        </w:div>
        <w:div w:id="25184214">
          <w:marLeft w:val="0"/>
          <w:marRight w:val="0"/>
          <w:marTop w:val="0"/>
          <w:marBottom w:val="0"/>
          <w:divBdr>
            <w:top w:val="none" w:sz="0" w:space="0" w:color="auto"/>
            <w:left w:val="none" w:sz="0" w:space="0" w:color="auto"/>
            <w:bottom w:val="none" w:sz="0" w:space="0" w:color="auto"/>
            <w:right w:val="none" w:sz="0" w:space="0" w:color="auto"/>
          </w:divBdr>
        </w:div>
        <w:div w:id="360135802">
          <w:marLeft w:val="0"/>
          <w:marRight w:val="0"/>
          <w:marTop w:val="0"/>
          <w:marBottom w:val="0"/>
          <w:divBdr>
            <w:top w:val="none" w:sz="0" w:space="0" w:color="auto"/>
            <w:left w:val="none" w:sz="0" w:space="0" w:color="auto"/>
            <w:bottom w:val="none" w:sz="0" w:space="0" w:color="auto"/>
            <w:right w:val="none" w:sz="0" w:space="0" w:color="auto"/>
          </w:divBdr>
        </w:div>
        <w:div w:id="649866041">
          <w:marLeft w:val="0"/>
          <w:marRight w:val="0"/>
          <w:marTop w:val="0"/>
          <w:marBottom w:val="0"/>
          <w:divBdr>
            <w:top w:val="none" w:sz="0" w:space="0" w:color="auto"/>
            <w:left w:val="none" w:sz="0" w:space="0" w:color="auto"/>
            <w:bottom w:val="none" w:sz="0" w:space="0" w:color="auto"/>
            <w:right w:val="none" w:sz="0" w:space="0" w:color="auto"/>
          </w:divBdr>
        </w:div>
        <w:div w:id="866722518">
          <w:marLeft w:val="0"/>
          <w:marRight w:val="0"/>
          <w:marTop w:val="0"/>
          <w:marBottom w:val="0"/>
          <w:divBdr>
            <w:top w:val="none" w:sz="0" w:space="0" w:color="auto"/>
            <w:left w:val="none" w:sz="0" w:space="0" w:color="auto"/>
            <w:bottom w:val="none" w:sz="0" w:space="0" w:color="auto"/>
            <w:right w:val="none" w:sz="0" w:space="0" w:color="auto"/>
          </w:divBdr>
        </w:div>
        <w:div w:id="1016731666">
          <w:marLeft w:val="0"/>
          <w:marRight w:val="0"/>
          <w:marTop w:val="0"/>
          <w:marBottom w:val="0"/>
          <w:divBdr>
            <w:top w:val="none" w:sz="0" w:space="0" w:color="auto"/>
            <w:left w:val="none" w:sz="0" w:space="0" w:color="auto"/>
            <w:bottom w:val="none" w:sz="0" w:space="0" w:color="auto"/>
            <w:right w:val="none" w:sz="0" w:space="0" w:color="auto"/>
          </w:divBdr>
        </w:div>
        <w:div w:id="1081948224">
          <w:marLeft w:val="0"/>
          <w:marRight w:val="0"/>
          <w:marTop w:val="0"/>
          <w:marBottom w:val="0"/>
          <w:divBdr>
            <w:top w:val="none" w:sz="0" w:space="0" w:color="auto"/>
            <w:left w:val="none" w:sz="0" w:space="0" w:color="auto"/>
            <w:bottom w:val="none" w:sz="0" w:space="0" w:color="auto"/>
            <w:right w:val="none" w:sz="0" w:space="0" w:color="auto"/>
          </w:divBdr>
        </w:div>
        <w:div w:id="1829982304">
          <w:marLeft w:val="0"/>
          <w:marRight w:val="0"/>
          <w:marTop w:val="0"/>
          <w:marBottom w:val="0"/>
          <w:divBdr>
            <w:top w:val="none" w:sz="0" w:space="0" w:color="auto"/>
            <w:left w:val="none" w:sz="0" w:space="0" w:color="auto"/>
            <w:bottom w:val="none" w:sz="0" w:space="0" w:color="auto"/>
            <w:right w:val="none" w:sz="0" w:space="0" w:color="auto"/>
          </w:divBdr>
        </w:div>
        <w:div w:id="2013873832">
          <w:marLeft w:val="0"/>
          <w:marRight w:val="0"/>
          <w:marTop w:val="0"/>
          <w:marBottom w:val="0"/>
          <w:divBdr>
            <w:top w:val="none" w:sz="0" w:space="0" w:color="auto"/>
            <w:left w:val="none" w:sz="0" w:space="0" w:color="auto"/>
            <w:bottom w:val="none" w:sz="0" w:space="0" w:color="auto"/>
            <w:right w:val="none" w:sz="0" w:space="0" w:color="auto"/>
          </w:divBdr>
        </w:div>
      </w:divsChild>
    </w:div>
    <w:div w:id="2107068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13.pn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5.xml"/><Relationship Id="rId42" Type="http://schemas.openxmlformats.org/officeDocument/2006/relationships/header" Target="header10.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5.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footer" Target="footer3.xm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7.png"/><Relationship Id="rId44"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eader" Target="header5.xml"/><Relationship Id="rId43" Type="http://schemas.openxmlformats.org/officeDocument/2006/relationships/header" Target="header11.xml"/></Relationships>
</file>

<file path=word/_rels/footnotes.xml.rels><?xml version="1.0" encoding="UTF-8" standalone="yes"?>
<Relationships xmlns="http://schemas.openxmlformats.org/package/2006/relationships"><Relationship Id="rId3" Type="http://schemas.openxmlformats.org/officeDocument/2006/relationships/hyperlink" Target="http://www.uis.unesco.org" TargetMode="External"/><Relationship Id="rId2" Type="http://schemas.openxmlformats.org/officeDocument/2006/relationships/hyperlink" Target="http://www.wipo.int/ipstats/en/statistics/country_profile/countries/th.html" TargetMode="External"/><Relationship Id="rId1" Type="http://schemas.openxmlformats.org/officeDocument/2006/relationships/hyperlink" Target="http://www.wipo.int/meetings/en/doc_details.jsp?doc_id=131717" TargetMode="External"/><Relationship Id="rId4" Type="http://schemas.openxmlformats.org/officeDocument/2006/relationships/hyperlink" Target="http://www.wipo.int/ipstats/en/statistics/technology_concordance.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8131D-8769-4F4D-94E4-37FD017C6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43</Pages>
  <Words>11935</Words>
  <Characters>68978</Characters>
  <Application>Microsoft Office Word</Application>
  <DocSecurity>0</DocSecurity>
  <Lines>574</Lines>
  <Paragraphs>161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MAPPING EXERCISE - INTELLECTUAL PROPERTY AND BRAIN DRAIN (WIPO DEVELOPMENT AGENDA RECOMMENDATION 39 AND 40)</vt:lpstr>
      <vt:lpstr>MAPPING EXERCISE - INTELLECTUAL PROPERTY AND BRAIN DRAIN (WIPO DEVELOPMENT AGENDA RECOMMENDATION 39 AND 40)</vt:lpstr>
    </vt:vector>
  </TitlesOfParts>
  <Company>World Intellectual Property Organization</Company>
  <LinksUpToDate>false</LinksUpToDate>
  <CharactersWithSpaces>80752</CharactersWithSpaces>
  <SharedDoc>false</SharedDoc>
  <HLinks>
    <vt:vector size="918" baseType="variant">
      <vt:variant>
        <vt:i4>7536762</vt:i4>
      </vt:variant>
      <vt:variant>
        <vt:i4>888</vt:i4>
      </vt:variant>
      <vt:variant>
        <vt:i4>0</vt:i4>
      </vt:variant>
      <vt:variant>
        <vt:i4>5</vt:i4>
      </vt:variant>
      <vt:variant>
        <vt:lpwstr>http://siteresources.worldbank.org/INTPROSPECTS/Resources/334934-1288990760745/MigrationDevelopmentBrief19.pdf</vt:lpwstr>
      </vt:variant>
      <vt:variant>
        <vt:lpwstr/>
      </vt:variant>
      <vt:variant>
        <vt:i4>1114140</vt:i4>
      </vt:variant>
      <vt:variant>
        <vt:i4>885</vt:i4>
      </vt:variant>
      <vt:variant>
        <vt:i4>0</vt:i4>
      </vt:variant>
      <vt:variant>
        <vt:i4>5</vt:i4>
      </vt:variant>
      <vt:variant>
        <vt:lpwstr>http://www.wipo.int/ipstats/en/statistics/patents/pdf/wipo_ipc_technology.pdf</vt:lpwstr>
      </vt:variant>
      <vt:variant>
        <vt:lpwstr/>
      </vt:variant>
      <vt:variant>
        <vt:i4>6815863</vt:i4>
      </vt:variant>
      <vt:variant>
        <vt:i4>882</vt:i4>
      </vt:variant>
      <vt:variant>
        <vt:i4>0</vt:i4>
      </vt:variant>
      <vt:variant>
        <vt:i4>5</vt:i4>
      </vt:variant>
      <vt:variant>
        <vt:lpwstr>http://unstats.un.org/unsd/methods/m49/m49alpha.htm</vt:lpwstr>
      </vt:variant>
      <vt:variant>
        <vt:lpwstr/>
      </vt:variant>
      <vt:variant>
        <vt:i4>3145774</vt:i4>
      </vt:variant>
      <vt:variant>
        <vt:i4>876</vt:i4>
      </vt:variant>
      <vt:variant>
        <vt:i4>0</vt:i4>
      </vt:variant>
      <vt:variant>
        <vt:i4>5</vt:i4>
      </vt:variant>
      <vt:variant>
        <vt:lpwstr>http://www.nobelprize.org/</vt:lpwstr>
      </vt:variant>
      <vt:variant>
        <vt:lpwstr/>
      </vt:variant>
      <vt:variant>
        <vt:i4>3145774</vt:i4>
      </vt:variant>
      <vt:variant>
        <vt:i4>873</vt:i4>
      </vt:variant>
      <vt:variant>
        <vt:i4>0</vt:i4>
      </vt:variant>
      <vt:variant>
        <vt:i4>5</vt:i4>
      </vt:variant>
      <vt:variant>
        <vt:lpwstr>http://www.nobelprize.org/</vt:lpwstr>
      </vt:variant>
      <vt:variant>
        <vt:lpwstr/>
      </vt:variant>
      <vt:variant>
        <vt:i4>3145774</vt:i4>
      </vt:variant>
      <vt:variant>
        <vt:i4>870</vt:i4>
      </vt:variant>
      <vt:variant>
        <vt:i4>0</vt:i4>
      </vt:variant>
      <vt:variant>
        <vt:i4>5</vt:i4>
      </vt:variant>
      <vt:variant>
        <vt:lpwstr>http://www.nobelprize.org/</vt:lpwstr>
      </vt:variant>
      <vt:variant>
        <vt:lpwstr/>
      </vt:variant>
      <vt:variant>
        <vt:i4>1441846</vt:i4>
      </vt:variant>
      <vt:variant>
        <vt:i4>863</vt:i4>
      </vt:variant>
      <vt:variant>
        <vt:i4>0</vt:i4>
      </vt:variant>
      <vt:variant>
        <vt:i4>5</vt:i4>
      </vt:variant>
      <vt:variant>
        <vt:lpwstr/>
      </vt:variant>
      <vt:variant>
        <vt:lpwstr>_Toc365042454</vt:lpwstr>
      </vt:variant>
      <vt:variant>
        <vt:i4>1441846</vt:i4>
      </vt:variant>
      <vt:variant>
        <vt:i4>857</vt:i4>
      </vt:variant>
      <vt:variant>
        <vt:i4>0</vt:i4>
      </vt:variant>
      <vt:variant>
        <vt:i4>5</vt:i4>
      </vt:variant>
      <vt:variant>
        <vt:lpwstr/>
      </vt:variant>
      <vt:variant>
        <vt:lpwstr>_Toc365042453</vt:lpwstr>
      </vt:variant>
      <vt:variant>
        <vt:i4>1441846</vt:i4>
      </vt:variant>
      <vt:variant>
        <vt:i4>851</vt:i4>
      </vt:variant>
      <vt:variant>
        <vt:i4>0</vt:i4>
      </vt:variant>
      <vt:variant>
        <vt:i4>5</vt:i4>
      </vt:variant>
      <vt:variant>
        <vt:lpwstr/>
      </vt:variant>
      <vt:variant>
        <vt:lpwstr>_Toc365042452</vt:lpwstr>
      </vt:variant>
      <vt:variant>
        <vt:i4>1441846</vt:i4>
      </vt:variant>
      <vt:variant>
        <vt:i4>845</vt:i4>
      </vt:variant>
      <vt:variant>
        <vt:i4>0</vt:i4>
      </vt:variant>
      <vt:variant>
        <vt:i4>5</vt:i4>
      </vt:variant>
      <vt:variant>
        <vt:lpwstr/>
      </vt:variant>
      <vt:variant>
        <vt:lpwstr>_Toc365042451</vt:lpwstr>
      </vt:variant>
      <vt:variant>
        <vt:i4>1441846</vt:i4>
      </vt:variant>
      <vt:variant>
        <vt:i4>836</vt:i4>
      </vt:variant>
      <vt:variant>
        <vt:i4>0</vt:i4>
      </vt:variant>
      <vt:variant>
        <vt:i4>5</vt:i4>
      </vt:variant>
      <vt:variant>
        <vt:lpwstr/>
      </vt:variant>
      <vt:variant>
        <vt:lpwstr>_Toc365042450</vt:lpwstr>
      </vt:variant>
      <vt:variant>
        <vt:i4>1507382</vt:i4>
      </vt:variant>
      <vt:variant>
        <vt:i4>830</vt:i4>
      </vt:variant>
      <vt:variant>
        <vt:i4>0</vt:i4>
      </vt:variant>
      <vt:variant>
        <vt:i4>5</vt:i4>
      </vt:variant>
      <vt:variant>
        <vt:lpwstr/>
      </vt:variant>
      <vt:variant>
        <vt:lpwstr>_Toc365042449</vt:lpwstr>
      </vt:variant>
      <vt:variant>
        <vt:i4>1507382</vt:i4>
      </vt:variant>
      <vt:variant>
        <vt:i4>824</vt:i4>
      </vt:variant>
      <vt:variant>
        <vt:i4>0</vt:i4>
      </vt:variant>
      <vt:variant>
        <vt:i4>5</vt:i4>
      </vt:variant>
      <vt:variant>
        <vt:lpwstr/>
      </vt:variant>
      <vt:variant>
        <vt:lpwstr>_Toc365042448</vt:lpwstr>
      </vt:variant>
      <vt:variant>
        <vt:i4>1507382</vt:i4>
      </vt:variant>
      <vt:variant>
        <vt:i4>818</vt:i4>
      </vt:variant>
      <vt:variant>
        <vt:i4>0</vt:i4>
      </vt:variant>
      <vt:variant>
        <vt:i4>5</vt:i4>
      </vt:variant>
      <vt:variant>
        <vt:lpwstr/>
      </vt:variant>
      <vt:variant>
        <vt:lpwstr>_Toc365042447</vt:lpwstr>
      </vt:variant>
      <vt:variant>
        <vt:i4>1507382</vt:i4>
      </vt:variant>
      <vt:variant>
        <vt:i4>812</vt:i4>
      </vt:variant>
      <vt:variant>
        <vt:i4>0</vt:i4>
      </vt:variant>
      <vt:variant>
        <vt:i4>5</vt:i4>
      </vt:variant>
      <vt:variant>
        <vt:lpwstr/>
      </vt:variant>
      <vt:variant>
        <vt:lpwstr>_Toc365042446</vt:lpwstr>
      </vt:variant>
      <vt:variant>
        <vt:i4>1507382</vt:i4>
      </vt:variant>
      <vt:variant>
        <vt:i4>806</vt:i4>
      </vt:variant>
      <vt:variant>
        <vt:i4>0</vt:i4>
      </vt:variant>
      <vt:variant>
        <vt:i4>5</vt:i4>
      </vt:variant>
      <vt:variant>
        <vt:lpwstr/>
      </vt:variant>
      <vt:variant>
        <vt:lpwstr>_Toc365042445</vt:lpwstr>
      </vt:variant>
      <vt:variant>
        <vt:i4>1507382</vt:i4>
      </vt:variant>
      <vt:variant>
        <vt:i4>800</vt:i4>
      </vt:variant>
      <vt:variant>
        <vt:i4>0</vt:i4>
      </vt:variant>
      <vt:variant>
        <vt:i4>5</vt:i4>
      </vt:variant>
      <vt:variant>
        <vt:lpwstr/>
      </vt:variant>
      <vt:variant>
        <vt:lpwstr>_Toc365042444</vt:lpwstr>
      </vt:variant>
      <vt:variant>
        <vt:i4>1507382</vt:i4>
      </vt:variant>
      <vt:variant>
        <vt:i4>794</vt:i4>
      </vt:variant>
      <vt:variant>
        <vt:i4>0</vt:i4>
      </vt:variant>
      <vt:variant>
        <vt:i4>5</vt:i4>
      </vt:variant>
      <vt:variant>
        <vt:lpwstr/>
      </vt:variant>
      <vt:variant>
        <vt:lpwstr>_Toc365042443</vt:lpwstr>
      </vt:variant>
      <vt:variant>
        <vt:i4>1507382</vt:i4>
      </vt:variant>
      <vt:variant>
        <vt:i4>788</vt:i4>
      </vt:variant>
      <vt:variant>
        <vt:i4>0</vt:i4>
      </vt:variant>
      <vt:variant>
        <vt:i4>5</vt:i4>
      </vt:variant>
      <vt:variant>
        <vt:lpwstr/>
      </vt:variant>
      <vt:variant>
        <vt:lpwstr>_Toc365042442</vt:lpwstr>
      </vt:variant>
      <vt:variant>
        <vt:i4>1507382</vt:i4>
      </vt:variant>
      <vt:variant>
        <vt:i4>782</vt:i4>
      </vt:variant>
      <vt:variant>
        <vt:i4>0</vt:i4>
      </vt:variant>
      <vt:variant>
        <vt:i4>5</vt:i4>
      </vt:variant>
      <vt:variant>
        <vt:lpwstr/>
      </vt:variant>
      <vt:variant>
        <vt:lpwstr>_Toc365042441</vt:lpwstr>
      </vt:variant>
      <vt:variant>
        <vt:i4>1507382</vt:i4>
      </vt:variant>
      <vt:variant>
        <vt:i4>776</vt:i4>
      </vt:variant>
      <vt:variant>
        <vt:i4>0</vt:i4>
      </vt:variant>
      <vt:variant>
        <vt:i4>5</vt:i4>
      </vt:variant>
      <vt:variant>
        <vt:lpwstr/>
      </vt:variant>
      <vt:variant>
        <vt:lpwstr>_Toc365042440</vt:lpwstr>
      </vt:variant>
      <vt:variant>
        <vt:i4>1048630</vt:i4>
      </vt:variant>
      <vt:variant>
        <vt:i4>770</vt:i4>
      </vt:variant>
      <vt:variant>
        <vt:i4>0</vt:i4>
      </vt:variant>
      <vt:variant>
        <vt:i4>5</vt:i4>
      </vt:variant>
      <vt:variant>
        <vt:lpwstr/>
      </vt:variant>
      <vt:variant>
        <vt:lpwstr>_Toc365042439</vt:lpwstr>
      </vt:variant>
      <vt:variant>
        <vt:i4>1048630</vt:i4>
      </vt:variant>
      <vt:variant>
        <vt:i4>764</vt:i4>
      </vt:variant>
      <vt:variant>
        <vt:i4>0</vt:i4>
      </vt:variant>
      <vt:variant>
        <vt:i4>5</vt:i4>
      </vt:variant>
      <vt:variant>
        <vt:lpwstr/>
      </vt:variant>
      <vt:variant>
        <vt:lpwstr>_Toc365042438</vt:lpwstr>
      </vt:variant>
      <vt:variant>
        <vt:i4>1048630</vt:i4>
      </vt:variant>
      <vt:variant>
        <vt:i4>758</vt:i4>
      </vt:variant>
      <vt:variant>
        <vt:i4>0</vt:i4>
      </vt:variant>
      <vt:variant>
        <vt:i4>5</vt:i4>
      </vt:variant>
      <vt:variant>
        <vt:lpwstr/>
      </vt:variant>
      <vt:variant>
        <vt:lpwstr>_Toc365042437</vt:lpwstr>
      </vt:variant>
      <vt:variant>
        <vt:i4>1048630</vt:i4>
      </vt:variant>
      <vt:variant>
        <vt:i4>752</vt:i4>
      </vt:variant>
      <vt:variant>
        <vt:i4>0</vt:i4>
      </vt:variant>
      <vt:variant>
        <vt:i4>5</vt:i4>
      </vt:variant>
      <vt:variant>
        <vt:lpwstr/>
      </vt:variant>
      <vt:variant>
        <vt:lpwstr>_Toc365042436</vt:lpwstr>
      </vt:variant>
      <vt:variant>
        <vt:i4>1048630</vt:i4>
      </vt:variant>
      <vt:variant>
        <vt:i4>746</vt:i4>
      </vt:variant>
      <vt:variant>
        <vt:i4>0</vt:i4>
      </vt:variant>
      <vt:variant>
        <vt:i4>5</vt:i4>
      </vt:variant>
      <vt:variant>
        <vt:lpwstr/>
      </vt:variant>
      <vt:variant>
        <vt:lpwstr>_Toc365042435</vt:lpwstr>
      </vt:variant>
      <vt:variant>
        <vt:i4>1048630</vt:i4>
      </vt:variant>
      <vt:variant>
        <vt:i4>740</vt:i4>
      </vt:variant>
      <vt:variant>
        <vt:i4>0</vt:i4>
      </vt:variant>
      <vt:variant>
        <vt:i4>5</vt:i4>
      </vt:variant>
      <vt:variant>
        <vt:lpwstr/>
      </vt:variant>
      <vt:variant>
        <vt:lpwstr>_Toc365042434</vt:lpwstr>
      </vt:variant>
      <vt:variant>
        <vt:i4>1048630</vt:i4>
      </vt:variant>
      <vt:variant>
        <vt:i4>734</vt:i4>
      </vt:variant>
      <vt:variant>
        <vt:i4>0</vt:i4>
      </vt:variant>
      <vt:variant>
        <vt:i4>5</vt:i4>
      </vt:variant>
      <vt:variant>
        <vt:lpwstr/>
      </vt:variant>
      <vt:variant>
        <vt:lpwstr>_Toc365042433</vt:lpwstr>
      </vt:variant>
      <vt:variant>
        <vt:i4>1048630</vt:i4>
      </vt:variant>
      <vt:variant>
        <vt:i4>728</vt:i4>
      </vt:variant>
      <vt:variant>
        <vt:i4>0</vt:i4>
      </vt:variant>
      <vt:variant>
        <vt:i4>5</vt:i4>
      </vt:variant>
      <vt:variant>
        <vt:lpwstr/>
      </vt:variant>
      <vt:variant>
        <vt:lpwstr>_Toc365042432</vt:lpwstr>
      </vt:variant>
      <vt:variant>
        <vt:i4>1048630</vt:i4>
      </vt:variant>
      <vt:variant>
        <vt:i4>722</vt:i4>
      </vt:variant>
      <vt:variant>
        <vt:i4>0</vt:i4>
      </vt:variant>
      <vt:variant>
        <vt:i4>5</vt:i4>
      </vt:variant>
      <vt:variant>
        <vt:lpwstr/>
      </vt:variant>
      <vt:variant>
        <vt:lpwstr>_Toc365042431</vt:lpwstr>
      </vt:variant>
      <vt:variant>
        <vt:i4>1048630</vt:i4>
      </vt:variant>
      <vt:variant>
        <vt:i4>716</vt:i4>
      </vt:variant>
      <vt:variant>
        <vt:i4>0</vt:i4>
      </vt:variant>
      <vt:variant>
        <vt:i4>5</vt:i4>
      </vt:variant>
      <vt:variant>
        <vt:lpwstr/>
      </vt:variant>
      <vt:variant>
        <vt:lpwstr>_Toc365042430</vt:lpwstr>
      </vt:variant>
      <vt:variant>
        <vt:i4>1114166</vt:i4>
      </vt:variant>
      <vt:variant>
        <vt:i4>710</vt:i4>
      </vt:variant>
      <vt:variant>
        <vt:i4>0</vt:i4>
      </vt:variant>
      <vt:variant>
        <vt:i4>5</vt:i4>
      </vt:variant>
      <vt:variant>
        <vt:lpwstr/>
      </vt:variant>
      <vt:variant>
        <vt:lpwstr>_Toc365042429</vt:lpwstr>
      </vt:variant>
      <vt:variant>
        <vt:i4>1114166</vt:i4>
      </vt:variant>
      <vt:variant>
        <vt:i4>704</vt:i4>
      </vt:variant>
      <vt:variant>
        <vt:i4>0</vt:i4>
      </vt:variant>
      <vt:variant>
        <vt:i4>5</vt:i4>
      </vt:variant>
      <vt:variant>
        <vt:lpwstr/>
      </vt:variant>
      <vt:variant>
        <vt:lpwstr>_Toc365042428</vt:lpwstr>
      </vt:variant>
      <vt:variant>
        <vt:i4>1114166</vt:i4>
      </vt:variant>
      <vt:variant>
        <vt:i4>698</vt:i4>
      </vt:variant>
      <vt:variant>
        <vt:i4>0</vt:i4>
      </vt:variant>
      <vt:variant>
        <vt:i4>5</vt:i4>
      </vt:variant>
      <vt:variant>
        <vt:lpwstr/>
      </vt:variant>
      <vt:variant>
        <vt:lpwstr>_Toc365042427</vt:lpwstr>
      </vt:variant>
      <vt:variant>
        <vt:i4>1114166</vt:i4>
      </vt:variant>
      <vt:variant>
        <vt:i4>692</vt:i4>
      </vt:variant>
      <vt:variant>
        <vt:i4>0</vt:i4>
      </vt:variant>
      <vt:variant>
        <vt:i4>5</vt:i4>
      </vt:variant>
      <vt:variant>
        <vt:lpwstr/>
      </vt:variant>
      <vt:variant>
        <vt:lpwstr>_Toc365042426</vt:lpwstr>
      </vt:variant>
      <vt:variant>
        <vt:i4>1114166</vt:i4>
      </vt:variant>
      <vt:variant>
        <vt:i4>686</vt:i4>
      </vt:variant>
      <vt:variant>
        <vt:i4>0</vt:i4>
      </vt:variant>
      <vt:variant>
        <vt:i4>5</vt:i4>
      </vt:variant>
      <vt:variant>
        <vt:lpwstr/>
      </vt:variant>
      <vt:variant>
        <vt:lpwstr>_Toc365042425</vt:lpwstr>
      </vt:variant>
      <vt:variant>
        <vt:i4>1114166</vt:i4>
      </vt:variant>
      <vt:variant>
        <vt:i4>680</vt:i4>
      </vt:variant>
      <vt:variant>
        <vt:i4>0</vt:i4>
      </vt:variant>
      <vt:variant>
        <vt:i4>5</vt:i4>
      </vt:variant>
      <vt:variant>
        <vt:lpwstr/>
      </vt:variant>
      <vt:variant>
        <vt:lpwstr>_Toc365042424</vt:lpwstr>
      </vt:variant>
      <vt:variant>
        <vt:i4>1114166</vt:i4>
      </vt:variant>
      <vt:variant>
        <vt:i4>674</vt:i4>
      </vt:variant>
      <vt:variant>
        <vt:i4>0</vt:i4>
      </vt:variant>
      <vt:variant>
        <vt:i4>5</vt:i4>
      </vt:variant>
      <vt:variant>
        <vt:lpwstr/>
      </vt:variant>
      <vt:variant>
        <vt:lpwstr>_Toc365042423</vt:lpwstr>
      </vt:variant>
      <vt:variant>
        <vt:i4>1114166</vt:i4>
      </vt:variant>
      <vt:variant>
        <vt:i4>668</vt:i4>
      </vt:variant>
      <vt:variant>
        <vt:i4>0</vt:i4>
      </vt:variant>
      <vt:variant>
        <vt:i4>5</vt:i4>
      </vt:variant>
      <vt:variant>
        <vt:lpwstr/>
      </vt:variant>
      <vt:variant>
        <vt:lpwstr>_Toc365042422</vt:lpwstr>
      </vt:variant>
      <vt:variant>
        <vt:i4>1114166</vt:i4>
      </vt:variant>
      <vt:variant>
        <vt:i4>662</vt:i4>
      </vt:variant>
      <vt:variant>
        <vt:i4>0</vt:i4>
      </vt:variant>
      <vt:variant>
        <vt:i4>5</vt:i4>
      </vt:variant>
      <vt:variant>
        <vt:lpwstr/>
      </vt:variant>
      <vt:variant>
        <vt:lpwstr>_Toc365042421</vt:lpwstr>
      </vt:variant>
      <vt:variant>
        <vt:i4>1114166</vt:i4>
      </vt:variant>
      <vt:variant>
        <vt:i4>656</vt:i4>
      </vt:variant>
      <vt:variant>
        <vt:i4>0</vt:i4>
      </vt:variant>
      <vt:variant>
        <vt:i4>5</vt:i4>
      </vt:variant>
      <vt:variant>
        <vt:lpwstr/>
      </vt:variant>
      <vt:variant>
        <vt:lpwstr>_Toc365042420</vt:lpwstr>
      </vt:variant>
      <vt:variant>
        <vt:i4>1179702</vt:i4>
      </vt:variant>
      <vt:variant>
        <vt:i4>650</vt:i4>
      </vt:variant>
      <vt:variant>
        <vt:i4>0</vt:i4>
      </vt:variant>
      <vt:variant>
        <vt:i4>5</vt:i4>
      </vt:variant>
      <vt:variant>
        <vt:lpwstr/>
      </vt:variant>
      <vt:variant>
        <vt:lpwstr>_Toc365042419</vt:lpwstr>
      </vt:variant>
      <vt:variant>
        <vt:i4>1179702</vt:i4>
      </vt:variant>
      <vt:variant>
        <vt:i4>644</vt:i4>
      </vt:variant>
      <vt:variant>
        <vt:i4>0</vt:i4>
      </vt:variant>
      <vt:variant>
        <vt:i4>5</vt:i4>
      </vt:variant>
      <vt:variant>
        <vt:lpwstr/>
      </vt:variant>
      <vt:variant>
        <vt:lpwstr>_Toc365042418</vt:lpwstr>
      </vt:variant>
      <vt:variant>
        <vt:i4>1179702</vt:i4>
      </vt:variant>
      <vt:variant>
        <vt:i4>638</vt:i4>
      </vt:variant>
      <vt:variant>
        <vt:i4>0</vt:i4>
      </vt:variant>
      <vt:variant>
        <vt:i4>5</vt:i4>
      </vt:variant>
      <vt:variant>
        <vt:lpwstr/>
      </vt:variant>
      <vt:variant>
        <vt:lpwstr>_Toc365042417</vt:lpwstr>
      </vt:variant>
      <vt:variant>
        <vt:i4>1179702</vt:i4>
      </vt:variant>
      <vt:variant>
        <vt:i4>632</vt:i4>
      </vt:variant>
      <vt:variant>
        <vt:i4>0</vt:i4>
      </vt:variant>
      <vt:variant>
        <vt:i4>5</vt:i4>
      </vt:variant>
      <vt:variant>
        <vt:lpwstr/>
      </vt:variant>
      <vt:variant>
        <vt:lpwstr>_Toc365042416</vt:lpwstr>
      </vt:variant>
      <vt:variant>
        <vt:i4>1179702</vt:i4>
      </vt:variant>
      <vt:variant>
        <vt:i4>626</vt:i4>
      </vt:variant>
      <vt:variant>
        <vt:i4>0</vt:i4>
      </vt:variant>
      <vt:variant>
        <vt:i4>5</vt:i4>
      </vt:variant>
      <vt:variant>
        <vt:lpwstr/>
      </vt:variant>
      <vt:variant>
        <vt:lpwstr>_Toc365042415</vt:lpwstr>
      </vt:variant>
      <vt:variant>
        <vt:i4>1179702</vt:i4>
      </vt:variant>
      <vt:variant>
        <vt:i4>620</vt:i4>
      </vt:variant>
      <vt:variant>
        <vt:i4>0</vt:i4>
      </vt:variant>
      <vt:variant>
        <vt:i4>5</vt:i4>
      </vt:variant>
      <vt:variant>
        <vt:lpwstr/>
      </vt:variant>
      <vt:variant>
        <vt:lpwstr>_Toc365042414</vt:lpwstr>
      </vt:variant>
      <vt:variant>
        <vt:i4>1179702</vt:i4>
      </vt:variant>
      <vt:variant>
        <vt:i4>614</vt:i4>
      </vt:variant>
      <vt:variant>
        <vt:i4>0</vt:i4>
      </vt:variant>
      <vt:variant>
        <vt:i4>5</vt:i4>
      </vt:variant>
      <vt:variant>
        <vt:lpwstr/>
      </vt:variant>
      <vt:variant>
        <vt:lpwstr>_Toc365042413</vt:lpwstr>
      </vt:variant>
      <vt:variant>
        <vt:i4>1179702</vt:i4>
      </vt:variant>
      <vt:variant>
        <vt:i4>608</vt:i4>
      </vt:variant>
      <vt:variant>
        <vt:i4>0</vt:i4>
      </vt:variant>
      <vt:variant>
        <vt:i4>5</vt:i4>
      </vt:variant>
      <vt:variant>
        <vt:lpwstr/>
      </vt:variant>
      <vt:variant>
        <vt:lpwstr>_Toc365042412</vt:lpwstr>
      </vt:variant>
      <vt:variant>
        <vt:i4>1179702</vt:i4>
      </vt:variant>
      <vt:variant>
        <vt:i4>602</vt:i4>
      </vt:variant>
      <vt:variant>
        <vt:i4>0</vt:i4>
      </vt:variant>
      <vt:variant>
        <vt:i4>5</vt:i4>
      </vt:variant>
      <vt:variant>
        <vt:lpwstr/>
      </vt:variant>
      <vt:variant>
        <vt:lpwstr>_Toc365042411</vt:lpwstr>
      </vt:variant>
      <vt:variant>
        <vt:i4>1179702</vt:i4>
      </vt:variant>
      <vt:variant>
        <vt:i4>596</vt:i4>
      </vt:variant>
      <vt:variant>
        <vt:i4>0</vt:i4>
      </vt:variant>
      <vt:variant>
        <vt:i4>5</vt:i4>
      </vt:variant>
      <vt:variant>
        <vt:lpwstr/>
      </vt:variant>
      <vt:variant>
        <vt:lpwstr>_Toc365042410</vt:lpwstr>
      </vt:variant>
      <vt:variant>
        <vt:i4>1245238</vt:i4>
      </vt:variant>
      <vt:variant>
        <vt:i4>590</vt:i4>
      </vt:variant>
      <vt:variant>
        <vt:i4>0</vt:i4>
      </vt:variant>
      <vt:variant>
        <vt:i4>5</vt:i4>
      </vt:variant>
      <vt:variant>
        <vt:lpwstr/>
      </vt:variant>
      <vt:variant>
        <vt:lpwstr>_Toc365042409</vt:lpwstr>
      </vt:variant>
      <vt:variant>
        <vt:i4>1245238</vt:i4>
      </vt:variant>
      <vt:variant>
        <vt:i4>584</vt:i4>
      </vt:variant>
      <vt:variant>
        <vt:i4>0</vt:i4>
      </vt:variant>
      <vt:variant>
        <vt:i4>5</vt:i4>
      </vt:variant>
      <vt:variant>
        <vt:lpwstr/>
      </vt:variant>
      <vt:variant>
        <vt:lpwstr>_Toc365042408</vt:lpwstr>
      </vt:variant>
      <vt:variant>
        <vt:i4>1245238</vt:i4>
      </vt:variant>
      <vt:variant>
        <vt:i4>578</vt:i4>
      </vt:variant>
      <vt:variant>
        <vt:i4>0</vt:i4>
      </vt:variant>
      <vt:variant>
        <vt:i4>5</vt:i4>
      </vt:variant>
      <vt:variant>
        <vt:lpwstr/>
      </vt:variant>
      <vt:variant>
        <vt:lpwstr>_Toc365042407</vt:lpwstr>
      </vt:variant>
      <vt:variant>
        <vt:i4>1245238</vt:i4>
      </vt:variant>
      <vt:variant>
        <vt:i4>572</vt:i4>
      </vt:variant>
      <vt:variant>
        <vt:i4>0</vt:i4>
      </vt:variant>
      <vt:variant>
        <vt:i4>5</vt:i4>
      </vt:variant>
      <vt:variant>
        <vt:lpwstr/>
      </vt:variant>
      <vt:variant>
        <vt:lpwstr>_Toc365042406</vt:lpwstr>
      </vt:variant>
      <vt:variant>
        <vt:i4>1245238</vt:i4>
      </vt:variant>
      <vt:variant>
        <vt:i4>566</vt:i4>
      </vt:variant>
      <vt:variant>
        <vt:i4>0</vt:i4>
      </vt:variant>
      <vt:variant>
        <vt:i4>5</vt:i4>
      </vt:variant>
      <vt:variant>
        <vt:lpwstr/>
      </vt:variant>
      <vt:variant>
        <vt:lpwstr>_Toc365042405</vt:lpwstr>
      </vt:variant>
      <vt:variant>
        <vt:i4>1245238</vt:i4>
      </vt:variant>
      <vt:variant>
        <vt:i4>560</vt:i4>
      </vt:variant>
      <vt:variant>
        <vt:i4>0</vt:i4>
      </vt:variant>
      <vt:variant>
        <vt:i4>5</vt:i4>
      </vt:variant>
      <vt:variant>
        <vt:lpwstr/>
      </vt:variant>
      <vt:variant>
        <vt:lpwstr>_Toc365042404</vt:lpwstr>
      </vt:variant>
      <vt:variant>
        <vt:i4>1245238</vt:i4>
      </vt:variant>
      <vt:variant>
        <vt:i4>554</vt:i4>
      </vt:variant>
      <vt:variant>
        <vt:i4>0</vt:i4>
      </vt:variant>
      <vt:variant>
        <vt:i4>5</vt:i4>
      </vt:variant>
      <vt:variant>
        <vt:lpwstr/>
      </vt:variant>
      <vt:variant>
        <vt:lpwstr>_Toc365042403</vt:lpwstr>
      </vt:variant>
      <vt:variant>
        <vt:i4>1245238</vt:i4>
      </vt:variant>
      <vt:variant>
        <vt:i4>545</vt:i4>
      </vt:variant>
      <vt:variant>
        <vt:i4>0</vt:i4>
      </vt:variant>
      <vt:variant>
        <vt:i4>5</vt:i4>
      </vt:variant>
      <vt:variant>
        <vt:lpwstr/>
      </vt:variant>
      <vt:variant>
        <vt:lpwstr>_Toc365042402</vt:lpwstr>
      </vt:variant>
      <vt:variant>
        <vt:i4>1245238</vt:i4>
      </vt:variant>
      <vt:variant>
        <vt:i4>539</vt:i4>
      </vt:variant>
      <vt:variant>
        <vt:i4>0</vt:i4>
      </vt:variant>
      <vt:variant>
        <vt:i4>5</vt:i4>
      </vt:variant>
      <vt:variant>
        <vt:lpwstr/>
      </vt:variant>
      <vt:variant>
        <vt:lpwstr>_Toc365042401</vt:lpwstr>
      </vt:variant>
      <vt:variant>
        <vt:i4>1245238</vt:i4>
      </vt:variant>
      <vt:variant>
        <vt:i4>533</vt:i4>
      </vt:variant>
      <vt:variant>
        <vt:i4>0</vt:i4>
      </vt:variant>
      <vt:variant>
        <vt:i4>5</vt:i4>
      </vt:variant>
      <vt:variant>
        <vt:lpwstr/>
      </vt:variant>
      <vt:variant>
        <vt:lpwstr>_Toc365042400</vt:lpwstr>
      </vt:variant>
      <vt:variant>
        <vt:i4>1703985</vt:i4>
      </vt:variant>
      <vt:variant>
        <vt:i4>527</vt:i4>
      </vt:variant>
      <vt:variant>
        <vt:i4>0</vt:i4>
      </vt:variant>
      <vt:variant>
        <vt:i4>5</vt:i4>
      </vt:variant>
      <vt:variant>
        <vt:lpwstr/>
      </vt:variant>
      <vt:variant>
        <vt:lpwstr>_Toc365042399</vt:lpwstr>
      </vt:variant>
      <vt:variant>
        <vt:i4>1703985</vt:i4>
      </vt:variant>
      <vt:variant>
        <vt:i4>521</vt:i4>
      </vt:variant>
      <vt:variant>
        <vt:i4>0</vt:i4>
      </vt:variant>
      <vt:variant>
        <vt:i4>5</vt:i4>
      </vt:variant>
      <vt:variant>
        <vt:lpwstr/>
      </vt:variant>
      <vt:variant>
        <vt:lpwstr>_Toc365042398</vt:lpwstr>
      </vt:variant>
      <vt:variant>
        <vt:i4>1703985</vt:i4>
      </vt:variant>
      <vt:variant>
        <vt:i4>515</vt:i4>
      </vt:variant>
      <vt:variant>
        <vt:i4>0</vt:i4>
      </vt:variant>
      <vt:variant>
        <vt:i4>5</vt:i4>
      </vt:variant>
      <vt:variant>
        <vt:lpwstr/>
      </vt:variant>
      <vt:variant>
        <vt:lpwstr>_Toc365042397</vt:lpwstr>
      </vt:variant>
      <vt:variant>
        <vt:i4>1703985</vt:i4>
      </vt:variant>
      <vt:variant>
        <vt:i4>509</vt:i4>
      </vt:variant>
      <vt:variant>
        <vt:i4>0</vt:i4>
      </vt:variant>
      <vt:variant>
        <vt:i4>5</vt:i4>
      </vt:variant>
      <vt:variant>
        <vt:lpwstr/>
      </vt:variant>
      <vt:variant>
        <vt:lpwstr>_Toc365042396</vt:lpwstr>
      </vt:variant>
      <vt:variant>
        <vt:i4>1703985</vt:i4>
      </vt:variant>
      <vt:variant>
        <vt:i4>503</vt:i4>
      </vt:variant>
      <vt:variant>
        <vt:i4>0</vt:i4>
      </vt:variant>
      <vt:variant>
        <vt:i4>5</vt:i4>
      </vt:variant>
      <vt:variant>
        <vt:lpwstr/>
      </vt:variant>
      <vt:variant>
        <vt:lpwstr>_Toc365042395</vt:lpwstr>
      </vt:variant>
      <vt:variant>
        <vt:i4>1703985</vt:i4>
      </vt:variant>
      <vt:variant>
        <vt:i4>497</vt:i4>
      </vt:variant>
      <vt:variant>
        <vt:i4>0</vt:i4>
      </vt:variant>
      <vt:variant>
        <vt:i4>5</vt:i4>
      </vt:variant>
      <vt:variant>
        <vt:lpwstr/>
      </vt:variant>
      <vt:variant>
        <vt:lpwstr>_Toc365042394</vt:lpwstr>
      </vt:variant>
      <vt:variant>
        <vt:i4>1703985</vt:i4>
      </vt:variant>
      <vt:variant>
        <vt:i4>491</vt:i4>
      </vt:variant>
      <vt:variant>
        <vt:i4>0</vt:i4>
      </vt:variant>
      <vt:variant>
        <vt:i4>5</vt:i4>
      </vt:variant>
      <vt:variant>
        <vt:lpwstr/>
      </vt:variant>
      <vt:variant>
        <vt:lpwstr>_Toc365042393</vt:lpwstr>
      </vt:variant>
      <vt:variant>
        <vt:i4>1703985</vt:i4>
      </vt:variant>
      <vt:variant>
        <vt:i4>485</vt:i4>
      </vt:variant>
      <vt:variant>
        <vt:i4>0</vt:i4>
      </vt:variant>
      <vt:variant>
        <vt:i4>5</vt:i4>
      </vt:variant>
      <vt:variant>
        <vt:lpwstr/>
      </vt:variant>
      <vt:variant>
        <vt:lpwstr>_Toc365042392</vt:lpwstr>
      </vt:variant>
      <vt:variant>
        <vt:i4>1703985</vt:i4>
      </vt:variant>
      <vt:variant>
        <vt:i4>479</vt:i4>
      </vt:variant>
      <vt:variant>
        <vt:i4>0</vt:i4>
      </vt:variant>
      <vt:variant>
        <vt:i4>5</vt:i4>
      </vt:variant>
      <vt:variant>
        <vt:lpwstr/>
      </vt:variant>
      <vt:variant>
        <vt:lpwstr>_Toc365042391</vt:lpwstr>
      </vt:variant>
      <vt:variant>
        <vt:i4>1703985</vt:i4>
      </vt:variant>
      <vt:variant>
        <vt:i4>473</vt:i4>
      </vt:variant>
      <vt:variant>
        <vt:i4>0</vt:i4>
      </vt:variant>
      <vt:variant>
        <vt:i4>5</vt:i4>
      </vt:variant>
      <vt:variant>
        <vt:lpwstr/>
      </vt:variant>
      <vt:variant>
        <vt:lpwstr>_Toc365042390</vt:lpwstr>
      </vt:variant>
      <vt:variant>
        <vt:i4>1769521</vt:i4>
      </vt:variant>
      <vt:variant>
        <vt:i4>467</vt:i4>
      </vt:variant>
      <vt:variant>
        <vt:i4>0</vt:i4>
      </vt:variant>
      <vt:variant>
        <vt:i4>5</vt:i4>
      </vt:variant>
      <vt:variant>
        <vt:lpwstr/>
      </vt:variant>
      <vt:variant>
        <vt:lpwstr>_Toc365042389</vt:lpwstr>
      </vt:variant>
      <vt:variant>
        <vt:i4>1769521</vt:i4>
      </vt:variant>
      <vt:variant>
        <vt:i4>461</vt:i4>
      </vt:variant>
      <vt:variant>
        <vt:i4>0</vt:i4>
      </vt:variant>
      <vt:variant>
        <vt:i4>5</vt:i4>
      </vt:variant>
      <vt:variant>
        <vt:lpwstr/>
      </vt:variant>
      <vt:variant>
        <vt:lpwstr>_Toc365042388</vt:lpwstr>
      </vt:variant>
      <vt:variant>
        <vt:i4>1769521</vt:i4>
      </vt:variant>
      <vt:variant>
        <vt:i4>455</vt:i4>
      </vt:variant>
      <vt:variant>
        <vt:i4>0</vt:i4>
      </vt:variant>
      <vt:variant>
        <vt:i4>5</vt:i4>
      </vt:variant>
      <vt:variant>
        <vt:lpwstr/>
      </vt:variant>
      <vt:variant>
        <vt:lpwstr>_Toc365042387</vt:lpwstr>
      </vt:variant>
      <vt:variant>
        <vt:i4>1769521</vt:i4>
      </vt:variant>
      <vt:variant>
        <vt:i4>449</vt:i4>
      </vt:variant>
      <vt:variant>
        <vt:i4>0</vt:i4>
      </vt:variant>
      <vt:variant>
        <vt:i4>5</vt:i4>
      </vt:variant>
      <vt:variant>
        <vt:lpwstr/>
      </vt:variant>
      <vt:variant>
        <vt:lpwstr>_Toc365042386</vt:lpwstr>
      </vt:variant>
      <vt:variant>
        <vt:i4>1769521</vt:i4>
      </vt:variant>
      <vt:variant>
        <vt:i4>443</vt:i4>
      </vt:variant>
      <vt:variant>
        <vt:i4>0</vt:i4>
      </vt:variant>
      <vt:variant>
        <vt:i4>5</vt:i4>
      </vt:variant>
      <vt:variant>
        <vt:lpwstr/>
      </vt:variant>
      <vt:variant>
        <vt:lpwstr>_Toc365042385</vt:lpwstr>
      </vt:variant>
      <vt:variant>
        <vt:i4>1769521</vt:i4>
      </vt:variant>
      <vt:variant>
        <vt:i4>437</vt:i4>
      </vt:variant>
      <vt:variant>
        <vt:i4>0</vt:i4>
      </vt:variant>
      <vt:variant>
        <vt:i4>5</vt:i4>
      </vt:variant>
      <vt:variant>
        <vt:lpwstr/>
      </vt:variant>
      <vt:variant>
        <vt:lpwstr>_Toc365042384</vt:lpwstr>
      </vt:variant>
      <vt:variant>
        <vt:i4>1769521</vt:i4>
      </vt:variant>
      <vt:variant>
        <vt:i4>431</vt:i4>
      </vt:variant>
      <vt:variant>
        <vt:i4>0</vt:i4>
      </vt:variant>
      <vt:variant>
        <vt:i4>5</vt:i4>
      </vt:variant>
      <vt:variant>
        <vt:lpwstr/>
      </vt:variant>
      <vt:variant>
        <vt:lpwstr>_Toc365042383</vt:lpwstr>
      </vt:variant>
      <vt:variant>
        <vt:i4>1769521</vt:i4>
      </vt:variant>
      <vt:variant>
        <vt:i4>425</vt:i4>
      </vt:variant>
      <vt:variant>
        <vt:i4>0</vt:i4>
      </vt:variant>
      <vt:variant>
        <vt:i4>5</vt:i4>
      </vt:variant>
      <vt:variant>
        <vt:lpwstr/>
      </vt:variant>
      <vt:variant>
        <vt:lpwstr>_Toc365042382</vt:lpwstr>
      </vt:variant>
      <vt:variant>
        <vt:i4>1769521</vt:i4>
      </vt:variant>
      <vt:variant>
        <vt:i4>419</vt:i4>
      </vt:variant>
      <vt:variant>
        <vt:i4>0</vt:i4>
      </vt:variant>
      <vt:variant>
        <vt:i4>5</vt:i4>
      </vt:variant>
      <vt:variant>
        <vt:lpwstr/>
      </vt:variant>
      <vt:variant>
        <vt:lpwstr>_Toc365042381</vt:lpwstr>
      </vt:variant>
      <vt:variant>
        <vt:i4>1769521</vt:i4>
      </vt:variant>
      <vt:variant>
        <vt:i4>413</vt:i4>
      </vt:variant>
      <vt:variant>
        <vt:i4>0</vt:i4>
      </vt:variant>
      <vt:variant>
        <vt:i4>5</vt:i4>
      </vt:variant>
      <vt:variant>
        <vt:lpwstr/>
      </vt:variant>
      <vt:variant>
        <vt:lpwstr>_Toc365042380</vt:lpwstr>
      </vt:variant>
      <vt:variant>
        <vt:i4>1310769</vt:i4>
      </vt:variant>
      <vt:variant>
        <vt:i4>407</vt:i4>
      </vt:variant>
      <vt:variant>
        <vt:i4>0</vt:i4>
      </vt:variant>
      <vt:variant>
        <vt:i4>5</vt:i4>
      </vt:variant>
      <vt:variant>
        <vt:lpwstr/>
      </vt:variant>
      <vt:variant>
        <vt:lpwstr>_Toc365042379</vt:lpwstr>
      </vt:variant>
      <vt:variant>
        <vt:i4>1310769</vt:i4>
      </vt:variant>
      <vt:variant>
        <vt:i4>401</vt:i4>
      </vt:variant>
      <vt:variant>
        <vt:i4>0</vt:i4>
      </vt:variant>
      <vt:variant>
        <vt:i4>5</vt:i4>
      </vt:variant>
      <vt:variant>
        <vt:lpwstr/>
      </vt:variant>
      <vt:variant>
        <vt:lpwstr>_Toc365042378</vt:lpwstr>
      </vt:variant>
      <vt:variant>
        <vt:i4>1310769</vt:i4>
      </vt:variant>
      <vt:variant>
        <vt:i4>395</vt:i4>
      </vt:variant>
      <vt:variant>
        <vt:i4>0</vt:i4>
      </vt:variant>
      <vt:variant>
        <vt:i4>5</vt:i4>
      </vt:variant>
      <vt:variant>
        <vt:lpwstr/>
      </vt:variant>
      <vt:variant>
        <vt:lpwstr>_Toc365042377</vt:lpwstr>
      </vt:variant>
      <vt:variant>
        <vt:i4>1310769</vt:i4>
      </vt:variant>
      <vt:variant>
        <vt:i4>389</vt:i4>
      </vt:variant>
      <vt:variant>
        <vt:i4>0</vt:i4>
      </vt:variant>
      <vt:variant>
        <vt:i4>5</vt:i4>
      </vt:variant>
      <vt:variant>
        <vt:lpwstr/>
      </vt:variant>
      <vt:variant>
        <vt:lpwstr>_Toc365042376</vt:lpwstr>
      </vt:variant>
      <vt:variant>
        <vt:i4>1310769</vt:i4>
      </vt:variant>
      <vt:variant>
        <vt:i4>383</vt:i4>
      </vt:variant>
      <vt:variant>
        <vt:i4>0</vt:i4>
      </vt:variant>
      <vt:variant>
        <vt:i4>5</vt:i4>
      </vt:variant>
      <vt:variant>
        <vt:lpwstr/>
      </vt:variant>
      <vt:variant>
        <vt:lpwstr>_Toc365042375</vt:lpwstr>
      </vt:variant>
      <vt:variant>
        <vt:i4>1310769</vt:i4>
      </vt:variant>
      <vt:variant>
        <vt:i4>377</vt:i4>
      </vt:variant>
      <vt:variant>
        <vt:i4>0</vt:i4>
      </vt:variant>
      <vt:variant>
        <vt:i4>5</vt:i4>
      </vt:variant>
      <vt:variant>
        <vt:lpwstr/>
      </vt:variant>
      <vt:variant>
        <vt:lpwstr>_Toc365042374</vt:lpwstr>
      </vt:variant>
      <vt:variant>
        <vt:i4>1310769</vt:i4>
      </vt:variant>
      <vt:variant>
        <vt:i4>371</vt:i4>
      </vt:variant>
      <vt:variant>
        <vt:i4>0</vt:i4>
      </vt:variant>
      <vt:variant>
        <vt:i4>5</vt:i4>
      </vt:variant>
      <vt:variant>
        <vt:lpwstr/>
      </vt:variant>
      <vt:variant>
        <vt:lpwstr>_Toc365042373</vt:lpwstr>
      </vt:variant>
      <vt:variant>
        <vt:i4>1310769</vt:i4>
      </vt:variant>
      <vt:variant>
        <vt:i4>365</vt:i4>
      </vt:variant>
      <vt:variant>
        <vt:i4>0</vt:i4>
      </vt:variant>
      <vt:variant>
        <vt:i4>5</vt:i4>
      </vt:variant>
      <vt:variant>
        <vt:lpwstr/>
      </vt:variant>
      <vt:variant>
        <vt:lpwstr>_Toc365042372</vt:lpwstr>
      </vt:variant>
      <vt:variant>
        <vt:i4>1310769</vt:i4>
      </vt:variant>
      <vt:variant>
        <vt:i4>359</vt:i4>
      </vt:variant>
      <vt:variant>
        <vt:i4>0</vt:i4>
      </vt:variant>
      <vt:variant>
        <vt:i4>5</vt:i4>
      </vt:variant>
      <vt:variant>
        <vt:lpwstr/>
      </vt:variant>
      <vt:variant>
        <vt:lpwstr>_Toc365042371</vt:lpwstr>
      </vt:variant>
      <vt:variant>
        <vt:i4>1310769</vt:i4>
      </vt:variant>
      <vt:variant>
        <vt:i4>353</vt:i4>
      </vt:variant>
      <vt:variant>
        <vt:i4>0</vt:i4>
      </vt:variant>
      <vt:variant>
        <vt:i4>5</vt:i4>
      </vt:variant>
      <vt:variant>
        <vt:lpwstr/>
      </vt:variant>
      <vt:variant>
        <vt:lpwstr>_Toc365042370</vt:lpwstr>
      </vt:variant>
      <vt:variant>
        <vt:i4>1376305</vt:i4>
      </vt:variant>
      <vt:variant>
        <vt:i4>347</vt:i4>
      </vt:variant>
      <vt:variant>
        <vt:i4>0</vt:i4>
      </vt:variant>
      <vt:variant>
        <vt:i4>5</vt:i4>
      </vt:variant>
      <vt:variant>
        <vt:lpwstr/>
      </vt:variant>
      <vt:variant>
        <vt:lpwstr>_Toc365042369</vt:lpwstr>
      </vt:variant>
      <vt:variant>
        <vt:i4>1376305</vt:i4>
      </vt:variant>
      <vt:variant>
        <vt:i4>341</vt:i4>
      </vt:variant>
      <vt:variant>
        <vt:i4>0</vt:i4>
      </vt:variant>
      <vt:variant>
        <vt:i4>5</vt:i4>
      </vt:variant>
      <vt:variant>
        <vt:lpwstr/>
      </vt:variant>
      <vt:variant>
        <vt:lpwstr>_Toc365042368</vt:lpwstr>
      </vt:variant>
      <vt:variant>
        <vt:i4>1376305</vt:i4>
      </vt:variant>
      <vt:variant>
        <vt:i4>335</vt:i4>
      </vt:variant>
      <vt:variant>
        <vt:i4>0</vt:i4>
      </vt:variant>
      <vt:variant>
        <vt:i4>5</vt:i4>
      </vt:variant>
      <vt:variant>
        <vt:lpwstr/>
      </vt:variant>
      <vt:variant>
        <vt:lpwstr>_Toc365042367</vt:lpwstr>
      </vt:variant>
      <vt:variant>
        <vt:i4>1376305</vt:i4>
      </vt:variant>
      <vt:variant>
        <vt:i4>329</vt:i4>
      </vt:variant>
      <vt:variant>
        <vt:i4>0</vt:i4>
      </vt:variant>
      <vt:variant>
        <vt:i4>5</vt:i4>
      </vt:variant>
      <vt:variant>
        <vt:lpwstr/>
      </vt:variant>
      <vt:variant>
        <vt:lpwstr>_Toc365042366</vt:lpwstr>
      </vt:variant>
      <vt:variant>
        <vt:i4>1376305</vt:i4>
      </vt:variant>
      <vt:variant>
        <vt:i4>323</vt:i4>
      </vt:variant>
      <vt:variant>
        <vt:i4>0</vt:i4>
      </vt:variant>
      <vt:variant>
        <vt:i4>5</vt:i4>
      </vt:variant>
      <vt:variant>
        <vt:lpwstr/>
      </vt:variant>
      <vt:variant>
        <vt:lpwstr>_Toc365042365</vt:lpwstr>
      </vt:variant>
      <vt:variant>
        <vt:i4>1376305</vt:i4>
      </vt:variant>
      <vt:variant>
        <vt:i4>317</vt:i4>
      </vt:variant>
      <vt:variant>
        <vt:i4>0</vt:i4>
      </vt:variant>
      <vt:variant>
        <vt:i4>5</vt:i4>
      </vt:variant>
      <vt:variant>
        <vt:lpwstr/>
      </vt:variant>
      <vt:variant>
        <vt:lpwstr>_Toc365042364</vt:lpwstr>
      </vt:variant>
      <vt:variant>
        <vt:i4>1376305</vt:i4>
      </vt:variant>
      <vt:variant>
        <vt:i4>311</vt:i4>
      </vt:variant>
      <vt:variant>
        <vt:i4>0</vt:i4>
      </vt:variant>
      <vt:variant>
        <vt:i4>5</vt:i4>
      </vt:variant>
      <vt:variant>
        <vt:lpwstr/>
      </vt:variant>
      <vt:variant>
        <vt:lpwstr>_Toc365042363</vt:lpwstr>
      </vt:variant>
      <vt:variant>
        <vt:i4>1376305</vt:i4>
      </vt:variant>
      <vt:variant>
        <vt:i4>305</vt:i4>
      </vt:variant>
      <vt:variant>
        <vt:i4>0</vt:i4>
      </vt:variant>
      <vt:variant>
        <vt:i4>5</vt:i4>
      </vt:variant>
      <vt:variant>
        <vt:lpwstr/>
      </vt:variant>
      <vt:variant>
        <vt:lpwstr>_Toc365042362</vt:lpwstr>
      </vt:variant>
      <vt:variant>
        <vt:i4>1376305</vt:i4>
      </vt:variant>
      <vt:variant>
        <vt:i4>299</vt:i4>
      </vt:variant>
      <vt:variant>
        <vt:i4>0</vt:i4>
      </vt:variant>
      <vt:variant>
        <vt:i4>5</vt:i4>
      </vt:variant>
      <vt:variant>
        <vt:lpwstr/>
      </vt:variant>
      <vt:variant>
        <vt:lpwstr>_Toc365042361</vt:lpwstr>
      </vt:variant>
      <vt:variant>
        <vt:i4>1376305</vt:i4>
      </vt:variant>
      <vt:variant>
        <vt:i4>293</vt:i4>
      </vt:variant>
      <vt:variant>
        <vt:i4>0</vt:i4>
      </vt:variant>
      <vt:variant>
        <vt:i4>5</vt:i4>
      </vt:variant>
      <vt:variant>
        <vt:lpwstr/>
      </vt:variant>
      <vt:variant>
        <vt:lpwstr>_Toc365042360</vt:lpwstr>
      </vt:variant>
      <vt:variant>
        <vt:i4>1441841</vt:i4>
      </vt:variant>
      <vt:variant>
        <vt:i4>287</vt:i4>
      </vt:variant>
      <vt:variant>
        <vt:i4>0</vt:i4>
      </vt:variant>
      <vt:variant>
        <vt:i4>5</vt:i4>
      </vt:variant>
      <vt:variant>
        <vt:lpwstr/>
      </vt:variant>
      <vt:variant>
        <vt:lpwstr>_Toc365042359</vt:lpwstr>
      </vt:variant>
      <vt:variant>
        <vt:i4>1441841</vt:i4>
      </vt:variant>
      <vt:variant>
        <vt:i4>281</vt:i4>
      </vt:variant>
      <vt:variant>
        <vt:i4>0</vt:i4>
      </vt:variant>
      <vt:variant>
        <vt:i4>5</vt:i4>
      </vt:variant>
      <vt:variant>
        <vt:lpwstr/>
      </vt:variant>
      <vt:variant>
        <vt:lpwstr>_Toc365042358</vt:lpwstr>
      </vt:variant>
      <vt:variant>
        <vt:i4>1441841</vt:i4>
      </vt:variant>
      <vt:variant>
        <vt:i4>275</vt:i4>
      </vt:variant>
      <vt:variant>
        <vt:i4>0</vt:i4>
      </vt:variant>
      <vt:variant>
        <vt:i4>5</vt:i4>
      </vt:variant>
      <vt:variant>
        <vt:lpwstr/>
      </vt:variant>
      <vt:variant>
        <vt:lpwstr>_Toc365042357</vt:lpwstr>
      </vt:variant>
      <vt:variant>
        <vt:i4>1441841</vt:i4>
      </vt:variant>
      <vt:variant>
        <vt:i4>269</vt:i4>
      </vt:variant>
      <vt:variant>
        <vt:i4>0</vt:i4>
      </vt:variant>
      <vt:variant>
        <vt:i4>5</vt:i4>
      </vt:variant>
      <vt:variant>
        <vt:lpwstr/>
      </vt:variant>
      <vt:variant>
        <vt:lpwstr>_Toc365042356</vt:lpwstr>
      </vt:variant>
      <vt:variant>
        <vt:i4>1441841</vt:i4>
      </vt:variant>
      <vt:variant>
        <vt:i4>263</vt:i4>
      </vt:variant>
      <vt:variant>
        <vt:i4>0</vt:i4>
      </vt:variant>
      <vt:variant>
        <vt:i4>5</vt:i4>
      </vt:variant>
      <vt:variant>
        <vt:lpwstr/>
      </vt:variant>
      <vt:variant>
        <vt:lpwstr>_Toc365042355</vt:lpwstr>
      </vt:variant>
      <vt:variant>
        <vt:i4>1441841</vt:i4>
      </vt:variant>
      <vt:variant>
        <vt:i4>257</vt:i4>
      </vt:variant>
      <vt:variant>
        <vt:i4>0</vt:i4>
      </vt:variant>
      <vt:variant>
        <vt:i4>5</vt:i4>
      </vt:variant>
      <vt:variant>
        <vt:lpwstr/>
      </vt:variant>
      <vt:variant>
        <vt:lpwstr>_Toc365042354</vt:lpwstr>
      </vt:variant>
      <vt:variant>
        <vt:i4>1441841</vt:i4>
      </vt:variant>
      <vt:variant>
        <vt:i4>251</vt:i4>
      </vt:variant>
      <vt:variant>
        <vt:i4>0</vt:i4>
      </vt:variant>
      <vt:variant>
        <vt:i4>5</vt:i4>
      </vt:variant>
      <vt:variant>
        <vt:lpwstr/>
      </vt:variant>
      <vt:variant>
        <vt:lpwstr>_Toc365042353</vt:lpwstr>
      </vt:variant>
      <vt:variant>
        <vt:i4>1441841</vt:i4>
      </vt:variant>
      <vt:variant>
        <vt:i4>245</vt:i4>
      </vt:variant>
      <vt:variant>
        <vt:i4>0</vt:i4>
      </vt:variant>
      <vt:variant>
        <vt:i4>5</vt:i4>
      </vt:variant>
      <vt:variant>
        <vt:lpwstr/>
      </vt:variant>
      <vt:variant>
        <vt:lpwstr>_Toc365042352</vt:lpwstr>
      </vt:variant>
      <vt:variant>
        <vt:i4>1769524</vt:i4>
      </vt:variant>
      <vt:variant>
        <vt:i4>236</vt:i4>
      </vt:variant>
      <vt:variant>
        <vt:i4>0</vt:i4>
      </vt:variant>
      <vt:variant>
        <vt:i4>5</vt:i4>
      </vt:variant>
      <vt:variant>
        <vt:lpwstr/>
      </vt:variant>
      <vt:variant>
        <vt:lpwstr>_Toc365039137</vt:lpwstr>
      </vt:variant>
      <vt:variant>
        <vt:i4>1769524</vt:i4>
      </vt:variant>
      <vt:variant>
        <vt:i4>230</vt:i4>
      </vt:variant>
      <vt:variant>
        <vt:i4>0</vt:i4>
      </vt:variant>
      <vt:variant>
        <vt:i4>5</vt:i4>
      </vt:variant>
      <vt:variant>
        <vt:lpwstr/>
      </vt:variant>
      <vt:variant>
        <vt:lpwstr>_Toc365039136</vt:lpwstr>
      </vt:variant>
      <vt:variant>
        <vt:i4>1769524</vt:i4>
      </vt:variant>
      <vt:variant>
        <vt:i4>224</vt:i4>
      </vt:variant>
      <vt:variant>
        <vt:i4>0</vt:i4>
      </vt:variant>
      <vt:variant>
        <vt:i4>5</vt:i4>
      </vt:variant>
      <vt:variant>
        <vt:lpwstr/>
      </vt:variant>
      <vt:variant>
        <vt:lpwstr>_Toc365039135</vt:lpwstr>
      </vt:variant>
      <vt:variant>
        <vt:i4>1769524</vt:i4>
      </vt:variant>
      <vt:variant>
        <vt:i4>218</vt:i4>
      </vt:variant>
      <vt:variant>
        <vt:i4>0</vt:i4>
      </vt:variant>
      <vt:variant>
        <vt:i4>5</vt:i4>
      </vt:variant>
      <vt:variant>
        <vt:lpwstr/>
      </vt:variant>
      <vt:variant>
        <vt:lpwstr>_Toc365039134</vt:lpwstr>
      </vt:variant>
      <vt:variant>
        <vt:i4>1769524</vt:i4>
      </vt:variant>
      <vt:variant>
        <vt:i4>212</vt:i4>
      </vt:variant>
      <vt:variant>
        <vt:i4>0</vt:i4>
      </vt:variant>
      <vt:variant>
        <vt:i4>5</vt:i4>
      </vt:variant>
      <vt:variant>
        <vt:lpwstr/>
      </vt:variant>
      <vt:variant>
        <vt:lpwstr>_Toc365039133</vt:lpwstr>
      </vt:variant>
      <vt:variant>
        <vt:i4>1769524</vt:i4>
      </vt:variant>
      <vt:variant>
        <vt:i4>206</vt:i4>
      </vt:variant>
      <vt:variant>
        <vt:i4>0</vt:i4>
      </vt:variant>
      <vt:variant>
        <vt:i4>5</vt:i4>
      </vt:variant>
      <vt:variant>
        <vt:lpwstr/>
      </vt:variant>
      <vt:variant>
        <vt:lpwstr>_Toc365039132</vt:lpwstr>
      </vt:variant>
      <vt:variant>
        <vt:i4>1769524</vt:i4>
      </vt:variant>
      <vt:variant>
        <vt:i4>200</vt:i4>
      </vt:variant>
      <vt:variant>
        <vt:i4>0</vt:i4>
      </vt:variant>
      <vt:variant>
        <vt:i4>5</vt:i4>
      </vt:variant>
      <vt:variant>
        <vt:lpwstr/>
      </vt:variant>
      <vt:variant>
        <vt:lpwstr>_Toc365039131</vt:lpwstr>
      </vt:variant>
      <vt:variant>
        <vt:i4>1769524</vt:i4>
      </vt:variant>
      <vt:variant>
        <vt:i4>194</vt:i4>
      </vt:variant>
      <vt:variant>
        <vt:i4>0</vt:i4>
      </vt:variant>
      <vt:variant>
        <vt:i4>5</vt:i4>
      </vt:variant>
      <vt:variant>
        <vt:lpwstr/>
      </vt:variant>
      <vt:variant>
        <vt:lpwstr>_Toc365039130</vt:lpwstr>
      </vt:variant>
      <vt:variant>
        <vt:i4>1703988</vt:i4>
      </vt:variant>
      <vt:variant>
        <vt:i4>188</vt:i4>
      </vt:variant>
      <vt:variant>
        <vt:i4>0</vt:i4>
      </vt:variant>
      <vt:variant>
        <vt:i4>5</vt:i4>
      </vt:variant>
      <vt:variant>
        <vt:lpwstr/>
      </vt:variant>
      <vt:variant>
        <vt:lpwstr>_Toc365039129</vt:lpwstr>
      </vt:variant>
      <vt:variant>
        <vt:i4>1703988</vt:i4>
      </vt:variant>
      <vt:variant>
        <vt:i4>182</vt:i4>
      </vt:variant>
      <vt:variant>
        <vt:i4>0</vt:i4>
      </vt:variant>
      <vt:variant>
        <vt:i4>5</vt:i4>
      </vt:variant>
      <vt:variant>
        <vt:lpwstr/>
      </vt:variant>
      <vt:variant>
        <vt:lpwstr>_Toc365039128</vt:lpwstr>
      </vt:variant>
      <vt:variant>
        <vt:i4>1703988</vt:i4>
      </vt:variant>
      <vt:variant>
        <vt:i4>176</vt:i4>
      </vt:variant>
      <vt:variant>
        <vt:i4>0</vt:i4>
      </vt:variant>
      <vt:variant>
        <vt:i4>5</vt:i4>
      </vt:variant>
      <vt:variant>
        <vt:lpwstr/>
      </vt:variant>
      <vt:variant>
        <vt:lpwstr>_Toc365039127</vt:lpwstr>
      </vt:variant>
      <vt:variant>
        <vt:i4>1703988</vt:i4>
      </vt:variant>
      <vt:variant>
        <vt:i4>170</vt:i4>
      </vt:variant>
      <vt:variant>
        <vt:i4>0</vt:i4>
      </vt:variant>
      <vt:variant>
        <vt:i4>5</vt:i4>
      </vt:variant>
      <vt:variant>
        <vt:lpwstr/>
      </vt:variant>
      <vt:variant>
        <vt:lpwstr>_Toc365039126</vt:lpwstr>
      </vt:variant>
      <vt:variant>
        <vt:i4>1703988</vt:i4>
      </vt:variant>
      <vt:variant>
        <vt:i4>164</vt:i4>
      </vt:variant>
      <vt:variant>
        <vt:i4>0</vt:i4>
      </vt:variant>
      <vt:variant>
        <vt:i4>5</vt:i4>
      </vt:variant>
      <vt:variant>
        <vt:lpwstr/>
      </vt:variant>
      <vt:variant>
        <vt:lpwstr>_Toc365039125</vt:lpwstr>
      </vt:variant>
      <vt:variant>
        <vt:i4>1703988</vt:i4>
      </vt:variant>
      <vt:variant>
        <vt:i4>158</vt:i4>
      </vt:variant>
      <vt:variant>
        <vt:i4>0</vt:i4>
      </vt:variant>
      <vt:variant>
        <vt:i4>5</vt:i4>
      </vt:variant>
      <vt:variant>
        <vt:lpwstr/>
      </vt:variant>
      <vt:variant>
        <vt:lpwstr>_Toc365039124</vt:lpwstr>
      </vt:variant>
      <vt:variant>
        <vt:i4>1703988</vt:i4>
      </vt:variant>
      <vt:variant>
        <vt:i4>152</vt:i4>
      </vt:variant>
      <vt:variant>
        <vt:i4>0</vt:i4>
      </vt:variant>
      <vt:variant>
        <vt:i4>5</vt:i4>
      </vt:variant>
      <vt:variant>
        <vt:lpwstr/>
      </vt:variant>
      <vt:variant>
        <vt:lpwstr>_Toc365039123</vt:lpwstr>
      </vt:variant>
      <vt:variant>
        <vt:i4>1703988</vt:i4>
      </vt:variant>
      <vt:variant>
        <vt:i4>146</vt:i4>
      </vt:variant>
      <vt:variant>
        <vt:i4>0</vt:i4>
      </vt:variant>
      <vt:variant>
        <vt:i4>5</vt:i4>
      </vt:variant>
      <vt:variant>
        <vt:lpwstr/>
      </vt:variant>
      <vt:variant>
        <vt:lpwstr>_Toc365039122</vt:lpwstr>
      </vt:variant>
      <vt:variant>
        <vt:i4>1703988</vt:i4>
      </vt:variant>
      <vt:variant>
        <vt:i4>140</vt:i4>
      </vt:variant>
      <vt:variant>
        <vt:i4>0</vt:i4>
      </vt:variant>
      <vt:variant>
        <vt:i4>5</vt:i4>
      </vt:variant>
      <vt:variant>
        <vt:lpwstr/>
      </vt:variant>
      <vt:variant>
        <vt:lpwstr>_Toc365039121</vt:lpwstr>
      </vt:variant>
      <vt:variant>
        <vt:i4>1703988</vt:i4>
      </vt:variant>
      <vt:variant>
        <vt:i4>134</vt:i4>
      </vt:variant>
      <vt:variant>
        <vt:i4>0</vt:i4>
      </vt:variant>
      <vt:variant>
        <vt:i4>5</vt:i4>
      </vt:variant>
      <vt:variant>
        <vt:lpwstr/>
      </vt:variant>
      <vt:variant>
        <vt:lpwstr>_Toc365039120</vt:lpwstr>
      </vt:variant>
      <vt:variant>
        <vt:i4>1638452</vt:i4>
      </vt:variant>
      <vt:variant>
        <vt:i4>128</vt:i4>
      </vt:variant>
      <vt:variant>
        <vt:i4>0</vt:i4>
      </vt:variant>
      <vt:variant>
        <vt:i4>5</vt:i4>
      </vt:variant>
      <vt:variant>
        <vt:lpwstr/>
      </vt:variant>
      <vt:variant>
        <vt:lpwstr>_Toc365039119</vt:lpwstr>
      </vt:variant>
      <vt:variant>
        <vt:i4>1638452</vt:i4>
      </vt:variant>
      <vt:variant>
        <vt:i4>122</vt:i4>
      </vt:variant>
      <vt:variant>
        <vt:i4>0</vt:i4>
      </vt:variant>
      <vt:variant>
        <vt:i4>5</vt:i4>
      </vt:variant>
      <vt:variant>
        <vt:lpwstr/>
      </vt:variant>
      <vt:variant>
        <vt:lpwstr>_Toc365039118</vt:lpwstr>
      </vt:variant>
      <vt:variant>
        <vt:i4>1638452</vt:i4>
      </vt:variant>
      <vt:variant>
        <vt:i4>116</vt:i4>
      </vt:variant>
      <vt:variant>
        <vt:i4>0</vt:i4>
      </vt:variant>
      <vt:variant>
        <vt:i4>5</vt:i4>
      </vt:variant>
      <vt:variant>
        <vt:lpwstr/>
      </vt:variant>
      <vt:variant>
        <vt:lpwstr>_Toc365039117</vt:lpwstr>
      </vt:variant>
      <vt:variant>
        <vt:i4>1638452</vt:i4>
      </vt:variant>
      <vt:variant>
        <vt:i4>110</vt:i4>
      </vt:variant>
      <vt:variant>
        <vt:i4>0</vt:i4>
      </vt:variant>
      <vt:variant>
        <vt:i4>5</vt:i4>
      </vt:variant>
      <vt:variant>
        <vt:lpwstr/>
      </vt:variant>
      <vt:variant>
        <vt:lpwstr>_Toc365039116</vt:lpwstr>
      </vt:variant>
      <vt:variant>
        <vt:i4>1638452</vt:i4>
      </vt:variant>
      <vt:variant>
        <vt:i4>104</vt:i4>
      </vt:variant>
      <vt:variant>
        <vt:i4>0</vt:i4>
      </vt:variant>
      <vt:variant>
        <vt:i4>5</vt:i4>
      </vt:variant>
      <vt:variant>
        <vt:lpwstr/>
      </vt:variant>
      <vt:variant>
        <vt:lpwstr>_Toc365039115</vt:lpwstr>
      </vt:variant>
      <vt:variant>
        <vt:i4>1638452</vt:i4>
      </vt:variant>
      <vt:variant>
        <vt:i4>98</vt:i4>
      </vt:variant>
      <vt:variant>
        <vt:i4>0</vt:i4>
      </vt:variant>
      <vt:variant>
        <vt:i4>5</vt:i4>
      </vt:variant>
      <vt:variant>
        <vt:lpwstr/>
      </vt:variant>
      <vt:variant>
        <vt:lpwstr>_Toc365039114</vt:lpwstr>
      </vt:variant>
      <vt:variant>
        <vt:i4>1638452</vt:i4>
      </vt:variant>
      <vt:variant>
        <vt:i4>92</vt:i4>
      </vt:variant>
      <vt:variant>
        <vt:i4>0</vt:i4>
      </vt:variant>
      <vt:variant>
        <vt:i4>5</vt:i4>
      </vt:variant>
      <vt:variant>
        <vt:lpwstr/>
      </vt:variant>
      <vt:variant>
        <vt:lpwstr>_Toc365039113</vt:lpwstr>
      </vt:variant>
      <vt:variant>
        <vt:i4>1638452</vt:i4>
      </vt:variant>
      <vt:variant>
        <vt:i4>86</vt:i4>
      </vt:variant>
      <vt:variant>
        <vt:i4>0</vt:i4>
      </vt:variant>
      <vt:variant>
        <vt:i4>5</vt:i4>
      </vt:variant>
      <vt:variant>
        <vt:lpwstr/>
      </vt:variant>
      <vt:variant>
        <vt:lpwstr>_Toc365039112</vt:lpwstr>
      </vt:variant>
      <vt:variant>
        <vt:i4>1638452</vt:i4>
      </vt:variant>
      <vt:variant>
        <vt:i4>80</vt:i4>
      </vt:variant>
      <vt:variant>
        <vt:i4>0</vt:i4>
      </vt:variant>
      <vt:variant>
        <vt:i4>5</vt:i4>
      </vt:variant>
      <vt:variant>
        <vt:lpwstr/>
      </vt:variant>
      <vt:variant>
        <vt:lpwstr>_Toc365039111</vt:lpwstr>
      </vt:variant>
      <vt:variant>
        <vt:i4>1638452</vt:i4>
      </vt:variant>
      <vt:variant>
        <vt:i4>74</vt:i4>
      </vt:variant>
      <vt:variant>
        <vt:i4>0</vt:i4>
      </vt:variant>
      <vt:variant>
        <vt:i4>5</vt:i4>
      </vt:variant>
      <vt:variant>
        <vt:lpwstr/>
      </vt:variant>
      <vt:variant>
        <vt:lpwstr>_Toc365039110</vt:lpwstr>
      </vt:variant>
      <vt:variant>
        <vt:i4>1572916</vt:i4>
      </vt:variant>
      <vt:variant>
        <vt:i4>68</vt:i4>
      </vt:variant>
      <vt:variant>
        <vt:i4>0</vt:i4>
      </vt:variant>
      <vt:variant>
        <vt:i4>5</vt:i4>
      </vt:variant>
      <vt:variant>
        <vt:lpwstr/>
      </vt:variant>
      <vt:variant>
        <vt:lpwstr>_Toc365039109</vt:lpwstr>
      </vt:variant>
      <vt:variant>
        <vt:i4>1572916</vt:i4>
      </vt:variant>
      <vt:variant>
        <vt:i4>62</vt:i4>
      </vt:variant>
      <vt:variant>
        <vt:i4>0</vt:i4>
      </vt:variant>
      <vt:variant>
        <vt:i4>5</vt:i4>
      </vt:variant>
      <vt:variant>
        <vt:lpwstr/>
      </vt:variant>
      <vt:variant>
        <vt:lpwstr>_Toc365039107</vt:lpwstr>
      </vt:variant>
      <vt:variant>
        <vt:i4>1572916</vt:i4>
      </vt:variant>
      <vt:variant>
        <vt:i4>56</vt:i4>
      </vt:variant>
      <vt:variant>
        <vt:i4>0</vt:i4>
      </vt:variant>
      <vt:variant>
        <vt:i4>5</vt:i4>
      </vt:variant>
      <vt:variant>
        <vt:lpwstr/>
      </vt:variant>
      <vt:variant>
        <vt:lpwstr>_Toc365039106</vt:lpwstr>
      </vt:variant>
      <vt:variant>
        <vt:i4>1572916</vt:i4>
      </vt:variant>
      <vt:variant>
        <vt:i4>50</vt:i4>
      </vt:variant>
      <vt:variant>
        <vt:i4>0</vt:i4>
      </vt:variant>
      <vt:variant>
        <vt:i4>5</vt:i4>
      </vt:variant>
      <vt:variant>
        <vt:lpwstr/>
      </vt:variant>
      <vt:variant>
        <vt:lpwstr>_Toc365039105</vt:lpwstr>
      </vt:variant>
      <vt:variant>
        <vt:i4>1572916</vt:i4>
      </vt:variant>
      <vt:variant>
        <vt:i4>44</vt:i4>
      </vt:variant>
      <vt:variant>
        <vt:i4>0</vt:i4>
      </vt:variant>
      <vt:variant>
        <vt:i4>5</vt:i4>
      </vt:variant>
      <vt:variant>
        <vt:lpwstr/>
      </vt:variant>
      <vt:variant>
        <vt:lpwstr>_Toc365039104</vt:lpwstr>
      </vt:variant>
      <vt:variant>
        <vt:i4>1572916</vt:i4>
      </vt:variant>
      <vt:variant>
        <vt:i4>38</vt:i4>
      </vt:variant>
      <vt:variant>
        <vt:i4>0</vt:i4>
      </vt:variant>
      <vt:variant>
        <vt:i4>5</vt:i4>
      </vt:variant>
      <vt:variant>
        <vt:lpwstr/>
      </vt:variant>
      <vt:variant>
        <vt:lpwstr>_Toc365039101</vt:lpwstr>
      </vt:variant>
      <vt:variant>
        <vt:i4>1572916</vt:i4>
      </vt:variant>
      <vt:variant>
        <vt:i4>32</vt:i4>
      </vt:variant>
      <vt:variant>
        <vt:i4>0</vt:i4>
      </vt:variant>
      <vt:variant>
        <vt:i4>5</vt:i4>
      </vt:variant>
      <vt:variant>
        <vt:lpwstr/>
      </vt:variant>
      <vt:variant>
        <vt:lpwstr>_Toc365039100</vt:lpwstr>
      </vt:variant>
      <vt:variant>
        <vt:i4>1114165</vt:i4>
      </vt:variant>
      <vt:variant>
        <vt:i4>26</vt:i4>
      </vt:variant>
      <vt:variant>
        <vt:i4>0</vt:i4>
      </vt:variant>
      <vt:variant>
        <vt:i4>5</vt:i4>
      </vt:variant>
      <vt:variant>
        <vt:lpwstr/>
      </vt:variant>
      <vt:variant>
        <vt:lpwstr>_Toc365039099</vt:lpwstr>
      </vt:variant>
      <vt:variant>
        <vt:i4>1114165</vt:i4>
      </vt:variant>
      <vt:variant>
        <vt:i4>20</vt:i4>
      </vt:variant>
      <vt:variant>
        <vt:i4>0</vt:i4>
      </vt:variant>
      <vt:variant>
        <vt:i4>5</vt:i4>
      </vt:variant>
      <vt:variant>
        <vt:lpwstr/>
      </vt:variant>
      <vt:variant>
        <vt:lpwstr>_Toc365039098</vt:lpwstr>
      </vt:variant>
      <vt:variant>
        <vt:i4>1114165</vt:i4>
      </vt:variant>
      <vt:variant>
        <vt:i4>14</vt:i4>
      </vt:variant>
      <vt:variant>
        <vt:i4>0</vt:i4>
      </vt:variant>
      <vt:variant>
        <vt:i4>5</vt:i4>
      </vt:variant>
      <vt:variant>
        <vt:lpwstr/>
      </vt:variant>
      <vt:variant>
        <vt:lpwstr>_Toc365039097</vt:lpwstr>
      </vt:variant>
      <vt:variant>
        <vt:i4>1114165</vt:i4>
      </vt:variant>
      <vt:variant>
        <vt:i4>8</vt:i4>
      </vt:variant>
      <vt:variant>
        <vt:i4>0</vt:i4>
      </vt:variant>
      <vt:variant>
        <vt:i4>5</vt:i4>
      </vt:variant>
      <vt:variant>
        <vt:lpwstr/>
      </vt:variant>
      <vt:variant>
        <vt:lpwstr>_Toc365039096</vt:lpwstr>
      </vt:variant>
      <vt:variant>
        <vt:i4>1114165</vt:i4>
      </vt:variant>
      <vt:variant>
        <vt:i4>2</vt:i4>
      </vt:variant>
      <vt:variant>
        <vt:i4>0</vt:i4>
      </vt:variant>
      <vt:variant>
        <vt:i4>5</vt:i4>
      </vt:variant>
      <vt:variant>
        <vt:lpwstr/>
      </vt:variant>
      <vt:variant>
        <vt:lpwstr>_Toc365039095</vt:lpwstr>
      </vt:variant>
      <vt:variant>
        <vt:i4>6815863</vt:i4>
      </vt:variant>
      <vt:variant>
        <vt:i4>9</vt:i4>
      </vt:variant>
      <vt:variant>
        <vt:i4>0</vt:i4>
      </vt:variant>
      <vt:variant>
        <vt:i4>5</vt:i4>
      </vt:variant>
      <vt:variant>
        <vt:lpwstr>http://unstats.un.org/unsd/methods/m49/m49alpha.htm</vt:lpwstr>
      </vt:variant>
      <vt:variant>
        <vt:lpwstr/>
      </vt:variant>
      <vt:variant>
        <vt:i4>7209070</vt:i4>
      </vt:variant>
      <vt:variant>
        <vt:i4>6</vt:i4>
      </vt:variant>
      <vt:variant>
        <vt:i4>0</vt:i4>
      </vt:variant>
      <vt:variant>
        <vt:i4>5</vt:i4>
      </vt:variant>
      <vt:variant>
        <vt:lpwstr>https://mail.wipo.int/owa/redir.aspx?C=N4vaUb9bb0m66I7PuZlYWh3wBBsaINAI277kzSrguF2fAO7bh10-T-zrzCXLgwomT7mUIOwSEr4.&amp;URL=http%3a%2f%2fwww.wipo.int%2fpct%2fen%2fpct_contracting_states.html</vt:lpwstr>
      </vt:variant>
      <vt:variant>
        <vt:lpwstr/>
      </vt:variant>
      <vt:variant>
        <vt:i4>7012456</vt:i4>
      </vt:variant>
      <vt:variant>
        <vt:i4>3</vt:i4>
      </vt:variant>
      <vt:variant>
        <vt:i4>0</vt:i4>
      </vt:variant>
      <vt:variant>
        <vt:i4>5</vt:i4>
      </vt:variant>
      <vt:variant>
        <vt:lpwstr>http://www.oecd.org/migration/dioc/extended</vt:lpwstr>
      </vt:variant>
      <vt:variant>
        <vt:lpwstr/>
      </vt:variant>
      <vt:variant>
        <vt:i4>7602229</vt:i4>
      </vt:variant>
      <vt:variant>
        <vt:i4>0</vt:i4>
      </vt:variant>
      <vt:variant>
        <vt:i4>0</vt:i4>
      </vt:variant>
      <vt:variant>
        <vt:i4>5</vt:i4>
      </vt:variant>
      <vt:variant>
        <vt:lpwstr>http://perso.uclouvain.be/frederic.docquier/oxlight.htm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MAPPING EXERCISE - INTELLECTUAL PROPERTY AND BRAIN DRAIN (WIPO DEVELOPMENT AGENDA RECOMMENDATION 39 AND 40)</dc:title>
  <dc:subject>Wipo Templates</dc:subject>
  <dc:creator>Miguelez</dc:creator>
  <cp:lastModifiedBy>KRASNANOVA Martina</cp:lastModifiedBy>
  <cp:revision>42</cp:revision>
  <cp:lastPrinted>2013-11-12T13:39:00Z</cp:lastPrinted>
  <dcterms:created xsi:type="dcterms:W3CDTF">2013-10-23T16:51:00Z</dcterms:created>
  <dcterms:modified xsi:type="dcterms:W3CDTF">2013-11-12T14:10:00Z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zotero-version="4.0.12"&gt;&lt;session id="9N28PAkL"/&gt;&lt;style id="http://www.zotero.org/styles/chicago-author-date" hasBibliography="1" bibliographyStyleHasBeenSet="1"/&gt;&lt;prefs&gt;&lt;pref name="fieldType" value="Field"/&gt;&lt;pref name="storeReferenc</vt:lpwstr>
  </property>
  <property fmtid="{D5CDD505-2E9C-101B-9397-08002B2CF9AE}" pid="3" name="ZOTERO_PREF_2">
    <vt:lpwstr>es" value="true"/&gt;&lt;pref name="automaticJournalAbbreviations" value="false"/&gt;&lt;pref name="noteType" value="0"/&gt;&lt;/prefs&gt;&lt;/data&gt;</vt:lpwstr>
  </property>
</Properties>
</file>