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28285A" w:rsidTr="00C11E09">
        <w:tc>
          <w:tcPr>
            <w:tcW w:w="4628" w:type="dxa"/>
          </w:tcPr>
          <w:p w:rsidR="0028285A" w:rsidRDefault="0028285A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443" w:type="dxa"/>
          </w:tcPr>
          <w:p w:rsidR="0028285A" w:rsidRDefault="0028285A" w:rsidP="001667B6">
            <w:pPr>
              <w:bidi/>
            </w:pPr>
          </w:p>
        </w:tc>
        <w:tc>
          <w:tcPr>
            <w:tcW w:w="507" w:type="dxa"/>
          </w:tcPr>
          <w:p w:rsidR="0028285A" w:rsidRDefault="0028285A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C11E09" w:rsidTr="00C11E09">
        <w:trPr>
          <w:trHeight w:val="1508"/>
        </w:trPr>
        <w:tc>
          <w:tcPr>
            <w:tcW w:w="4628" w:type="dxa"/>
            <w:vAlign w:val="bottom"/>
          </w:tcPr>
          <w:p w:rsidR="00C11E09" w:rsidRDefault="00C11E09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</w:tcPr>
          <w:p w:rsidR="00C11E09" w:rsidRPr="0028285A" w:rsidRDefault="00305AF0" w:rsidP="0028285A">
            <w:pPr>
              <w:bidi/>
              <w:rPr>
                <w:sz w:val="40"/>
                <w:szCs w:val="40"/>
                <w:rtl/>
              </w:rPr>
            </w:pPr>
            <w:r>
              <w:rPr>
                <w:noProof/>
              </w:rPr>
              <w:drawing>
                <wp:inline distT="0" distB="0" distL="0" distR="0" wp14:anchorId="55CF5185" wp14:editId="0D773276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B6" w:rsidTr="0028285A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8285A" w:rsidP="000438A8">
            <w:pPr>
              <w:pStyle w:val="DocumentCodeAR"/>
              <w:bidi/>
            </w:pPr>
            <w:r>
              <w:t>WIPO</w:t>
            </w:r>
            <w:r w:rsidR="00B6101C" w:rsidRPr="00B6101C">
              <w:t>/</w:t>
            </w:r>
            <w:r w:rsidR="004029D9">
              <w:t>IP/ITAI/GE/18/INF 1 PROV.</w:t>
            </w:r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4029D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029D9">
              <w:rPr>
                <w:rFonts w:hint="cs"/>
                <w:rtl/>
              </w:rPr>
              <w:t>بالإنكليزية</w:t>
            </w:r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4029D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029D9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r w:rsidR="004029D9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775D0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F27305" w:rsidRDefault="004029D9" w:rsidP="0028285A">
      <w:pPr>
        <w:pStyle w:val="MeetingTitleAR"/>
        <w:bidi/>
      </w:pPr>
      <w:r>
        <w:rPr>
          <w:rFonts w:hint="cs"/>
          <w:rtl/>
        </w:rPr>
        <w:t>اجتماع مكاتب الملكية الفكرية بشأن استراتيجيات تكنولوجيا المعلومات والاتصالات والذكاء الاصطناعي لأغراض إدارة الملكية الفكرية</w:t>
      </w:r>
      <w:r w:rsidR="00775D0C">
        <w:rPr>
          <w:rFonts w:hint="cs"/>
          <w:rtl/>
        </w:rPr>
        <w:t xml:space="preserve"> 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28285A" w:rsidRDefault="00305AF0" w:rsidP="00305AF0">
      <w:pPr>
        <w:pStyle w:val="NormalParaAR"/>
        <w:spacing w:after="0"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تنظّمه</w:t>
      </w:r>
    </w:p>
    <w:p w:rsidR="0028285A" w:rsidRPr="0028285A" w:rsidRDefault="004029D9" w:rsidP="0028285A">
      <w:pPr>
        <w:pStyle w:val="NormalParaAR"/>
        <w:spacing w:after="0" w:line="400" w:lineRule="exac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المنظمة العالمية للملكية </w:t>
      </w:r>
      <w:r w:rsidR="00775D0C">
        <w:rPr>
          <w:rFonts w:hint="cs"/>
          <w:sz w:val="40"/>
          <w:szCs w:val="40"/>
          <w:rtl/>
        </w:rPr>
        <w:t>الفكرية</w:t>
      </w:r>
      <w:r>
        <w:rPr>
          <w:rFonts w:hint="cs"/>
          <w:sz w:val="40"/>
          <w:szCs w:val="40"/>
          <w:rtl/>
        </w:rPr>
        <w:t xml:space="preserve"> (الويبو)</w:t>
      </w:r>
    </w:p>
    <w:p w:rsidR="0028285A" w:rsidRPr="0028285A" w:rsidRDefault="0028285A" w:rsidP="0028285A">
      <w:pPr>
        <w:pStyle w:val="NormalParaAR"/>
        <w:spacing w:line="400" w:lineRule="exact"/>
        <w:rPr>
          <w:sz w:val="40"/>
          <w:szCs w:val="40"/>
        </w:rPr>
      </w:pPr>
    </w:p>
    <w:p w:rsidR="0028285A" w:rsidRDefault="00775D0C" w:rsidP="00775D0C">
      <w:pPr>
        <w:pStyle w:val="MeetingDatesAR"/>
        <w:bidi/>
        <w:spacing w:before="240" w:after="240"/>
        <w:rPr>
          <w:rtl/>
        </w:rPr>
      </w:pPr>
      <w:r>
        <w:rPr>
          <w:rFonts w:hint="cs"/>
          <w:rtl/>
        </w:rPr>
        <w:t>جنيف</w:t>
      </w:r>
      <w:r w:rsidR="0028285A">
        <w:rPr>
          <w:rFonts w:hint="cs"/>
          <w:rtl/>
        </w:rPr>
        <w:t xml:space="preserve">، </w:t>
      </w:r>
      <w:r>
        <w:rPr>
          <w:rFonts w:hint="cs"/>
          <w:rtl/>
        </w:rPr>
        <w:t>من 23 إلى 25 مايو</w:t>
      </w:r>
      <w:r w:rsidR="0028285A">
        <w:rPr>
          <w:rFonts w:hint="cs"/>
          <w:rtl/>
        </w:rPr>
        <w:t xml:space="preserve"> </w:t>
      </w:r>
      <w:r>
        <w:rPr>
          <w:rFonts w:hint="cs"/>
          <w:rtl/>
        </w:rPr>
        <w:t>2018</w:t>
      </w:r>
    </w:p>
    <w:p w:rsidR="00D61541" w:rsidRPr="00D61541" w:rsidRDefault="004029D9" w:rsidP="0028285A">
      <w:pPr>
        <w:pStyle w:val="DocumentTitleAR"/>
        <w:bidi/>
        <w:spacing w:before="360"/>
        <w:rPr>
          <w:rtl/>
        </w:rPr>
      </w:pPr>
      <w:r>
        <w:rPr>
          <w:rFonts w:hint="cs"/>
          <w:rtl/>
        </w:rPr>
        <w:t>البرنامج المؤقت</w:t>
      </w:r>
    </w:p>
    <w:p w:rsidR="00D61541" w:rsidRPr="00D61541" w:rsidRDefault="00D61541" w:rsidP="00FB7EC9">
      <w:pPr>
        <w:pStyle w:val="PreparedbyAR"/>
        <w:bidi/>
        <w:rPr>
          <w:rtl/>
        </w:rPr>
      </w:pPr>
      <w:r w:rsidRPr="00D61541">
        <w:rPr>
          <w:rFonts w:hint="cs"/>
          <w:rtl/>
        </w:rPr>
        <w:t>من إعداد</w:t>
      </w:r>
      <w:r w:rsidR="004029D9">
        <w:rPr>
          <w:rFonts w:hint="cs"/>
          <w:rtl/>
        </w:rPr>
        <w:t xml:space="preserve"> المكتب الدولي للويبو</w:t>
      </w:r>
    </w:p>
    <w:p w:rsidR="004029D9" w:rsidRDefault="004029D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tbl>
      <w:tblPr>
        <w:bidiVisual/>
        <w:tblW w:w="159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7655"/>
        <w:gridCol w:w="6057"/>
      </w:tblGrid>
      <w:tr w:rsidR="00056895" w:rsidTr="00410FF0">
        <w:trPr>
          <w:trHeight w:val="192"/>
        </w:trPr>
        <w:tc>
          <w:tcPr>
            <w:tcW w:w="9922" w:type="dxa"/>
            <w:gridSpan w:val="2"/>
          </w:tcPr>
          <w:p w:rsidR="00056895" w:rsidRP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  <w:lastRenderedPageBreak/>
              <w:br w:type="page"/>
            </w:r>
            <w:r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  <w:br w:type="page"/>
            </w:r>
            <w:r w:rsidR="00410FF0">
              <w:rPr>
                <w:rFonts w:ascii="Arabic Typesetting" w:eastAsia="SimSun" w:hAnsi="Arabic Typesetting" w:cs="Arabic Typesetting" w:hint="cs"/>
                <w:sz w:val="36"/>
                <w:szCs w:val="36"/>
                <w:u w:val="single"/>
                <w:rtl/>
                <w:lang w:eastAsia="zh-CN"/>
              </w:rPr>
              <w:t>الأربعاء</w:t>
            </w:r>
            <w:r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 xml:space="preserve">، 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u w:val="single"/>
                <w:rtl/>
                <w:lang w:eastAsia="zh-CN"/>
              </w:rPr>
              <w:t>23</w:t>
            </w:r>
            <w:r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 xml:space="preserve"> 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u w:val="single"/>
                <w:rtl/>
                <w:lang w:eastAsia="zh-CN"/>
              </w:rPr>
              <w:t>مايو</w:t>
            </w:r>
            <w:r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 xml:space="preserve"> 2018</w:t>
            </w:r>
          </w:p>
        </w:tc>
        <w:tc>
          <w:tcPr>
            <w:tcW w:w="6057" w:type="dxa"/>
            <w:vMerge w:val="restart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410FF0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  <w:hideMark/>
          </w:tcPr>
          <w:p w:rsidR="00056895" w:rsidRDefault="00410FF0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10:00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13:00</w:t>
            </w:r>
          </w:p>
        </w:tc>
        <w:tc>
          <w:tcPr>
            <w:tcW w:w="7655" w:type="dxa"/>
            <w:hideMark/>
          </w:tcPr>
          <w:p w:rsidR="00056895" w:rsidRPr="004029D9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bCs/>
                <w:snapToGrid w:val="0"/>
                <w:sz w:val="36"/>
                <w:szCs w:val="36"/>
                <w:u w:val="single"/>
                <w:lang w:eastAsia="zh-CN"/>
              </w:rPr>
            </w:pPr>
            <w:r w:rsidRPr="004029D9">
              <w:rPr>
                <w:rFonts w:ascii="Arabic Typesetting" w:eastAsia="SimSun" w:hAnsi="Arabic Typesetting" w:cs="Arabic Typesetting"/>
                <w:bCs/>
                <w:snapToGrid w:val="0"/>
                <w:sz w:val="36"/>
                <w:szCs w:val="36"/>
                <w:u w:val="single"/>
                <w:rtl/>
                <w:lang w:eastAsia="zh-CN"/>
              </w:rPr>
              <w:t>الموضوع 1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Cs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استراتيجية مكاتب الملكية الفكرية في مجال تكنولوجيا المعلومات والاتصالات لأغ</w:t>
            </w:r>
            <w:r w:rsidR="006835FC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راض الإدارة الفعالة</w:t>
            </w:r>
            <w:r w:rsidR="00C92E30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 xml:space="preserve"> ل</w:t>
            </w:r>
            <w:r w:rsidR="006835FC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تلك المكاتب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البند 1:</w:t>
            </w:r>
            <w:r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افتتاح الدورة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73"/>
        </w:trPr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604CD3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البند 2:</w:t>
            </w:r>
            <w:r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 xml:space="preserve">عروض تقدمها 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 xml:space="preserve">مجموعة مختارة من </w:t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 xml:space="preserve">مكاتب 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</w:t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 xml:space="preserve">ملكية 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</w:t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فكرية عن استراتيجياتها في مجال تكنولوجيا المعلومات والاتصالات، مع التركيز على خططها الرامية إلى تعزيز الكفاءة وجودة الخدمات.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73"/>
        </w:trPr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البند 3:</w:t>
            </w:r>
            <w:r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مناقشات عامة حول استراتيجيات تكنولوجيا المعلومات والاتصالات</w:t>
            </w:r>
            <w:r w:rsidR="0080077A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73"/>
        </w:trPr>
        <w:tc>
          <w:tcPr>
            <w:tcW w:w="2267" w:type="dxa"/>
          </w:tcPr>
          <w:p w:rsidR="00056895" w:rsidRDefault="00410FF0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15:00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18:00</w:t>
            </w:r>
          </w:p>
        </w:tc>
        <w:tc>
          <w:tcPr>
            <w:tcW w:w="7655" w:type="dxa"/>
          </w:tcPr>
          <w:p w:rsidR="00056895" w:rsidRDefault="00410FF0" w:rsidP="0084562F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البند 4:</w:t>
            </w:r>
            <w:r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مناقشات حول قضايا معينة حدّدها المكتب الدولي (مثل جودة بيانات الملكية الفكرية، والأمن، وضمان المستوى الأمثل لتدفق العمل، والتكنولوجيا السحابية، وتعميم معلومات الملكية الفكرية، وت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وفير الخدمات للمودعين، وغير ذلك</w:t>
            </w:r>
            <w:r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)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sz w:val="36"/>
                <w:szCs w:val="36"/>
                <w:rtl/>
                <w:lang w:eastAsia="zh-CN"/>
              </w:rPr>
              <w:t>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194"/>
        </w:trPr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bCs/>
                <w:snapToGrid w:val="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Cs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Pr="0084562F" w:rsidRDefault="009A6DFC" w:rsidP="009A6DFC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u w:val="single"/>
                <w:lang w:eastAsia="zh-CN"/>
              </w:rPr>
            </w:pPr>
            <w:r w:rsidRP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t>الخميس، 24 مايو 2018</w:t>
            </w: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</w:tr>
      <w:tr w:rsidR="00410FF0" w:rsidTr="00410FF0">
        <w:tc>
          <w:tcPr>
            <w:tcW w:w="2267" w:type="dxa"/>
          </w:tcPr>
          <w:p w:rsidR="00410FF0" w:rsidRDefault="00410FF0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410FF0" w:rsidRDefault="00410FF0" w:rsidP="0084562F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410FF0" w:rsidRDefault="00410FF0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  <w:hideMark/>
          </w:tcPr>
          <w:p w:rsidR="00056895" w:rsidRDefault="00410FF0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9:30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12:</w:t>
            </w:r>
            <w:r w:rsidR="0084562F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30</w:t>
            </w:r>
          </w:p>
        </w:tc>
        <w:tc>
          <w:tcPr>
            <w:tcW w:w="7655" w:type="dxa"/>
            <w:hideMark/>
          </w:tcPr>
          <w:p w:rsidR="00056895" w:rsidRPr="0084562F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bCs/>
                <w:snapToGrid w:val="0"/>
                <w:color w:val="000000"/>
                <w:sz w:val="36"/>
                <w:szCs w:val="36"/>
                <w:u w:val="single"/>
                <w:lang w:eastAsia="zh-CN"/>
              </w:rPr>
            </w:pPr>
            <w:r w:rsidRPr="0084562F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 xml:space="preserve">الموضوع </w:t>
            </w:r>
            <w:r w:rsidR="00410FF0" w:rsidRPr="0084562F"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u w:val="single"/>
                <w:rtl/>
                <w:lang w:eastAsia="zh-CN"/>
              </w:rPr>
              <w:t>2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Cs/>
                <w:snapToGrid w:val="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84562F" w:rsidP="007D4C56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الاستراتيجية الدولية في مجال تكنولوجيا المعلومات والاتصالات لأغراض حماية الملكية الفكرية على</w:t>
            </w:r>
            <w:r w:rsidR="007D4C56">
              <w:rPr>
                <w:rFonts w:ascii="Arabic Typesetting" w:eastAsia="SimSun" w:hAnsi="Arabic Typesetting" w:cs="Arabic Typesetting" w:hint="eastAsia"/>
                <w:snapToGrid w:val="0"/>
                <w:color w:val="000000"/>
                <w:sz w:val="36"/>
                <w:szCs w:val="36"/>
                <w:rtl/>
                <w:lang w:eastAsia="zh-CN"/>
              </w:rPr>
              <w:t> 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الصعيد العالمي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7D4C56" w:rsidRDefault="007D4C56" w:rsidP="009A6DFC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5: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 w:rsidRPr="007D4C56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مناقشات حول قضايا معينة حدّدها المكتب الدولي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(مثل هيكل بيانات الملكية الفكرية والنسق الملائم لتبادل البيانات، ومنها بيانات الملكية الفكرية، بين الآلات على الصعيد الدولي</w:t>
            </w:r>
            <w:r w:rsid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في أنظمة معاهدة التعاون بشأن البراءات ومدريد ولاهاي، وواجهات برمجة التطبيقات (</w:t>
            </w:r>
            <w:r w:rsidR="009A6DFC" w:rsidRPr="009A6DFC"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  <w:t>APIs</w:t>
            </w:r>
            <w:r w:rsid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)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، والأمن، وغير ذلك</w:t>
            </w:r>
            <w:r w:rsid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)</w:t>
            </w:r>
            <w:r w:rsidR="00F4124F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.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Pr="009A6DFC" w:rsidRDefault="009A6DFC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14:30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17:30</w:t>
            </w:r>
          </w:p>
        </w:tc>
        <w:tc>
          <w:tcPr>
            <w:tcW w:w="7655" w:type="dxa"/>
          </w:tcPr>
          <w:p w:rsidR="00056895" w:rsidRDefault="009A6DFC" w:rsidP="009A6DFC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6: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 w:rsidRP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مناقشات حول قضايا معينة حدّدها المكتب الدولي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(تابع).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9A6DFC">
        <w:tc>
          <w:tcPr>
            <w:tcW w:w="2267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keepNext/>
              <w:tabs>
                <w:tab w:val="left" w:pos="5812"/>
              </w:tabs>
              <w:bidi/>
              <w:snapToGrid w:val="0"/>
              <w:spacing w:after="240" w:line="360" w:lineRule="exact"/>
              <w:outlineLvl w:val="6"/>
              <w:rPr>
                <w:rFonts w:ascii="Arabic Typesetting" w:hAnsi="Arabic Typesetting" w:cs="Arabic Typesetting"/>
                <w:bCs/>
                <w:color w:val="000000"/>
                <w:sz w:val="36"/>
                <w:szCs w:val="36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RPr="009A6DFC" w:rsidTr="00410FF0">
        <w:tc>
          <w:tcPr>
            <w:tcW w:w="2267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9A6DFC" w:rsidRDefault="00056895" w:rsidP="009A6DFC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9A6DFC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275"/>
        </w:trPr>
        <w:tc>
          <w:tcPr>
            <w:tcW w:w="2267" w:type="dxa"/>
            <w:hideMark/>
          </w:tcPr>
          <w:p w:rsidR="00056895" w:rsidRDefault="009A6DFC" w:rsidP="009A6DFC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lastRenderedPageBreak/>
              <w:t>الجمعة</w:t>
            </w:r>
            <w:r w:rsidRP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t xml:space="preserve">، 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t>25</w:t>
            </w:r>
            <w:r w:rsidRPr="009A6DFC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t xml:space="preserve"> مايو 2018</w:t>
            </w:r>
          </w:p>
        </w:tc>
        <w:tc>
          <w:tcPr>
            <w:tcW w:w="7655" w:type="dxa"/>
            <w:hideMark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Cs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rPr>
          <w:trHeight w:val="275"/>
        </w:trPr>
        <w:tc>
          <w:tcPr>
            <w:tcW w:w="2267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9A6DFC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9:30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12:30</w:t>
            </w:r>
          </w:p>
        </w:tc>
        <w:tc>
          <w:tcPr>
            <w:tcW w:w="7655" w:type="dxa"/>
          </w:tcPr>
          <w:p w:rsidR="00056895" w:rsidRPr="009A6DFC" w:rsidRDefault="009A6DFC" w:rsidP="0084562F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b/>
                <w:bCs/>
                <w:snapToGrid w:val="0"/>
                <w:color w:val="000000"/>
                <w:sz w:val="36"/>
                <w:szCs w:val="36"/>
                <w:u w:val="single"/>
                <w:lang w:eastAsia="zh-CN"/>
              </w:rPr>
            </w:pPr>
            <w:r w:rsidRPr="009A6DFC">
              <w:rPr>
                <w:rFonts w:ascii="Arabic Typesetting" w:eastAsia="SimSun" w:hAnsi="Arabic Typesetting" w:cs="Arabic Typesetting" w:hint="cs"/>
                <w:b/>
                <w:bCs/>
                <w:snapToGrid w:val="0"/>
                <w:color w:val="000000"/>
                <w:sz w:val="36"/>
                <w:szCs w:val="36"/>
                <w:u w:val="single"/>
                <w:rtl/>
                <w:lang w:eastAsia="zh-CN"/>
              </w:rPr>
              <w:t>الموضوع 3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9A6DFC" w:rsidP="009A6DFC">
            <w:pPr>
              <w:tabs>
                <w:tab w:val="left" w:pos="5812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تطبيقات </w:t>
            </w:r>
            <w:r w:rsidR="00F4124F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الذكاء الاصطناعي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وغير ذلك من التكنولوجيات المتقدمة على إدارة مكاتب الملكية الفكرية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9A6DFC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9A6DFC" w:rsidRDefault="009A6DFC" w:rsidP="009A6DFC">
            <w:pPr>
              <w:bidi/>
              <w:spacing w:after="240" w:line="360" w:lineRule="exact"/>
              <w:ind w:left="1168" w:hanging="1134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7: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عرض المكتب الدولي وتحليله لمجموعة من الردود على </w:t>
            </w:r>
            <w:r w:rsidR="00F4124F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تعميم الويبو بشأن تطبيقات الذكاء الاصطناعي على إدارة مكاتب الملكية الفكرية.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/>
                <w:bCs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F4124F" w:rsidP="0080077A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8: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عروض تقدمها مجموعة مختارة من مكاتب الملكية الفكرية 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عن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تطبيقاتها للذكاء الاصطناعي وغير ذلك من التكنولوجيات المتقدمة (</w:t>
            </w:r>
            <w:r w:rsidR="0080077A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مثل 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الترجمة الآلية، والتخصيص الآلي لرموز التصنيف، والبحث في حالة التقنية الصناعية السابقة، وتحليل البيانات الضخمة، والبحث في الصور، والتعرّف على الكلام، والختم</w:t>
            </w:r>
            <w:r w:rsidR="0080077A">
              <w:rPr>
                <w:rFonts w:ascii="Arabic Typesetting" w:eastAsia="SimSun" w:hAnsi="Arabic Typesetting" w:cs="Arabic Typesetting" w:hint="eastAsia"/>
                <w:snapToGrid w:val="0"/>
                <w:color w:val="000000"/>
                <w:sz w:val="36"/>
                <w:szCs w:val="36"/>
                <w:rtl/>
                <w:lang w:eastAsia="zh-CN"/>
              </w:rPr>
              <w:t> 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الزمني</w:t>
            </w:r>
            <w:r w:rsidR="00604CD3"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، وغير ذلك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).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Pr="00604CD3" w:rsidRDefault="00604CD3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9: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عروض يقدمها خبراء والمكتب الدولي عن تطبيقات الذكاء الاصطناعي.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Default="00604CD3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14:30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17:00</w:t>
            </w:r>
          </w:p>
        </w:tc>
        <w:tc>
          <w:tcPr>
            <w:tcW w:w="7655" w:type="dxa"/>
          </w:tcPr>
          <w:p w:rsidR="00056895" w:rsidRDefault="00604CD3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10: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مناقشات حول تطبيقات الذكاء الاصطناعي وغير ذلك من التكنولوجيات المتقدمة على إدارة مكاتب الملكية الصناعية.</w:t>
            </w: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9A6DFC">
        <w:tc>
          <w:tcPr>
            <w:tcW w:w="2267" w:type="dxa"/>
          </w:tcPr>
          <w:p w:rsidR="00056895" w:rsidRDefault="00604CD3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17:00 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 xml:space="preserve"> 17:30</w:t>
            </w:r>
          </w:p>
        </w:tc>
        <w:tc>
          <w:tcPr>
            <w:tcW w:w="7655" w:type="dxa"/>
          </w:tcPr>
          <w:p w:rsidR="00056895" w:rsidRPr="00604CD3" w:rsidRDefault="00604CD3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البند 11:</w:t>
            </w:r>
            <w:r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rtl/>
                <w:lang w:eastAsia="zh-CN"/>
              </w:rPr>
              <w:tab/>
            </w:r>
            <w:r>
              <w:rPr>
                <w:rFonts w:ascii="Arabic Typesetting" w:eastAsia="SimSun" w:hAnsi="Arabic Typesetting" w:cs="Arabic Typesetting" w:hint="cs"/>
                <w:snapToGrid w:val="0"/>
                <w:color w:val="000000"/>
                <w:sz w:val="36"/>
                <w:szCs w:val="36"/>
                <w:rtl/>
                <w:lang w:eastAsia="zh-CN"/>
              </w:rPr>
              <w:t>اختتام الدورة.</w:t>
            </w:r>
          </w:p>
        </w:tc>
        <w:tc>
          <w:tcPr>
            <w:tcW w:w="6057" w:type="dxa"/>
            <w:vMerge/>
            <w:hideMark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b/>
                <w:bCs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  <w:tr w:rsidR="00056895" w:rsidTr="00410FF0">
        <w:tc>
          <w:tcPr>
            <w:tcW w:w="2267" w:type="dxa"/>
          </w:tcPr>
          <w:p w:rsidR="00056895" w:rsidRPr="00604CD3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7655" w:type="dxa"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6057" w:type="dxa"/>
            <w:vMerge/>
          </w:tcPr>
          <w:p w:rsidR="00056895" w:rsidRDefault="00056895" w:rsidP="0084562F">
            <w:pPr>
              <w:bidi/>
              <w:spacing w:after="240" w:line="360" w:lineRule="exact"/>
              <w:ind w:left="1452" w:hanging="1452"/>
              <w:rPr>
                <w:rFonts w:ascii="Arabic Typesetting" w:eastAsia="SimSun" w:hAnsi="Arabic Typesetting" w:cs="Arabic Typesetting"/>
                <w:snapToGrid w:val="0"/>
                <w:color w:val="000000"/>
                <w:sz w:val="36"/>
                <w:szCs w:val="36"/>
                <w:lang w:eastAsia="zh-CN"/>
              </w:rPr>
            </w:pPr>
          </w:p>
        </w:tc>
      </w:tr>
    </w:tbl>
    <w:p w:rsidR="00775D0C" w:rsidRPr="001667B6" w:rsidRDefault="00604CD3" w:rsidP="00604CD3">
      <w:pPr>
        <w:pStyle w:val="EndofDocumentAR"/>
        <w:spacing w:before="240"/>
      </w:pPr>
      <w:r>
        <w:rPr>
          <w:rFonts w:hint="cs"/>
          <w:rtl/>
        </w:rPr>
        <w:t>[نهاية الوثيقة]</w:t>
      </w:r>
    </w:p>
    <w:sectPr w:rsidR="00775D0C" w:rsidRPr="001667B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BC" w:rsidRDefault="00A443BC">
      <w:r>
        <w:separator/>
      </w:r>
    </w:p>
  </w:endnote>
  <w:endnote w:type="continuationSeparator" w:id="0">
    <w:p w:rsidR="00A443BC" w:rsidRDefault="00A4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BC" w:rsidRDefault="00A443B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443BC" w:rsidRDefault="00A443B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B" w:rsidRDefault="004029D9" w:rsidP="0028285A">
    <w:r>
      <w:t>WIPO/IP/ITAI/GE/18/INF 1 PROV.</w:t>
    </w:r>
  </w:p>
  <w:p w:rsidR="00FB28EB" w:rsidRDefault="00FB28EB" w:rsidP="00D61541">
    <w:r>
      <w:fldChar w:fldCharType="begin"/>
    </w:r>
    <w:r>
      <w:instrText xml:space="preserve"> PAGE  \* MERGEFORMAT </w:instrText>
    </w:r>
    <w:r>
      <w:fldChar w:fldCharType="separate"/>
    </w:r>
    <w:r w:rsidR="00FC196C">
      <w:rPr>
        <w:noProof/>
      </w:rPr>
      <w:t>3</w:t>
    </w:r>
    <w:r>
      <w:fldChar w:fldCharType="end"/>
    </w:r>
  </w:p>
  <w:p w:rsidR="00FB28EB" w:rsidRDefault="00FB28EB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BC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6895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5AF0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0F1"/>
    <w:rsid w:val="004029D9"/>
    <w:rsid w:val="004032D2"/>
    <w:rsid w:val="00403C4F"/>
    <w:rsid w:val="004058B4"/>
    <w:rsid w:val="00405C45"/>
    <w:rsid w:val="004062EF"/>
    <w:rsid w:val="004062F0"/>
    <w:rsid w:val="00406CB5"/>
    <w:rsid w:val="00410B8F"/>
    <w:rsid w:val="00410FF0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CD3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5FC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5D0C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C56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077A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5E8E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62F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DFC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BCB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43BC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E6A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E30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FC9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06FA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24F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196C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7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7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WIPO/IP/ITAI/GE/18/INF 1 Prov. (Arabic)</vt:lpstr>
    </vt:vector>
  </TitlesOfParts>
  <Company>WIPO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WIPO/IP/ITAI/GE/18/INF 1 Prov. (Arabic)</dc:title>
  <dc:creator>MERZOUK Fawzi</dc:creator>
  <cp:lastModifiedBy>FEDER-AGUILERA Nancy</cp:lastModifiedBy>
  <cp:revision>3</cp:revision>
  <cp:lastPrinted>2018-01-26T14:05:00Z</cp:lastPrinted>
  <dcterms:created xsi:type="dcterms:W3CDTF">2018-01-26T14:05:00Z</dcterms:created>
  <dcterms:modified xsi:type="dcterms:W3CDTF">2018-01-26T14:05:00Z</dcterms:modified>
</cp:coreProperties>
</file>