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8A059F" w:rsidP="00C742C5">
            <w:pPr>
              <w:pStyle w:val="DocumentCodeAR"/>
              <w:bidi/>
              <w:rPr>
                <w:rtl/>
              </w:rPr>
            </w:pPr>
            <w:r w:rsidRPr="008A059F">
              <w:t>LI/WG/DEV/10</w:t>
            </w:r>
            <w:r w:rsidR="00DB65A1">
              <w:t>/5</w:t>
            </w:r>
          </w:p>
        </w:tc>
      </w:tr>
      <w:tr w:rsidR="001667B6" w:rsidTr="00BF164F">
        <w:tc>
          <w:tcPr>
            <w:tcW w:w="9571" w:type="dxa"/>
            <w:gridSpan w:val="3"/>
          </w:tcPr>
          <w:p w:rsidR="001667B6" w:rsidRPr="00B6101C" w:rsidRDefault="00B6101C" w:rsidP="00DB65A1">
            <w:pPr>
              <w:pStyle w:val="DocumentLanguageAR"/>
              <w:bidi/>
              <w:rPr>
                <w:rtl/>
              </w:rPr>
            </w:pPr>
            <w:r w:rsidRPr="00B6101C">
              <w:rPr>
                <w:rFonts w:hint="cs"/>
                <w:rtl/>
              </w:rPr>
              <w:t xml:space="preserve">الأصل: </w:t>
            </w:r>
            <w:r w:rsidR="00DB65A1">
              <w:rPr>
                <w:rFonts w:hint="cs"/>
                <w:rtl/>
              </w:rPr>
              <w:t>بالإنكليزية</w:t>
            </w:r>
          </w:p>
        </w:tc>
      </w:tr>
      <w:tr w:rsidR="001667B6" w:rsidTr="00BF164F">
        <w:tc>
          <w:tcPr>
            <w:tcW w:w="9571" w:type="dxa"/>
            <w:gridSpan w:val="3"/>
          </w:tcPr>
          <w:p w:rsidR="001667B6" w:rsidRPr="00B6101C" w:rsidRDefault="00B6101C" w:rsidP="00DB65A1">
            <w:pPr>
              <w:pStyle w:val="DocumentDateAR"/>
              <w:bidi/>
              <w:rPr>
                <w:rtl/>
              </w:rPr>
            </w:pPr>
            <w:r w:rsidRPr="00B6101C">
              <w:rPr>
                <w:rFonts w:hint="cs"/>
                <w:rtl/>
              </w:rPr>
              <w:t xml:space="preserve">التاريخ: </w:t>
            </w:r>
            <w:r w:rsidR="00DB65A1">
              <w:rPr>
                <w:rFonts w:hint="cs"/>
                <w:rtl/>
              </w:rPr>
              <w:t>27</w:t>
            </w:r>
            <w:r w:rsidRPr="00B6101C">
              <w:rPr>
                <w:rFonts w:hint="cs"/>
                <w:rtl/>
              </w:rPr>
              <w:t xml:space="preserve"> </w:t>
            </w:r>
            <w:r w:rsidR="00DB65A1">
              <w:rPr>
                <w:rFonts w:hint="cs"/>
                <w:rtl/>
              </w:rPr>
              <w:t>أغسطس</w:t>
            </w:r>
            <w:r w:rsidRPr="00B6101C">
              <w:rPr>
                <w:rFonts w:hint="cs"/>
                <w:rtl/>
              </w:rPr>
              <w:t xml:space="preserve"> </w:t>
            </w:r>
            <w:r w:rsidR="00190B6D">
              <w:rPr>
                <w:rFonts w:hint="cs"/>
                <w:rtl/>
              </w:rPr>
              <w:t>201</w:t>
            </w:r>
            <w:r w:rsidR="00C742C5">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8A059F" w:rsidP="008A059F">
      <w:pPr>
        <w:pStyle w:val="MeetingTitleAR"/>
        <w:bidi/>
        <w:ind w:right="550"/>
        <w:rPr>
          <w:rtl/>
          <w:lang w:bidi="ar-EG"/>
        </w:rPr>
      </w:pPr>
      <w:r w:rsidRPr="008A059F">
        <w:rPr>
          <w:rtl/>
        </w:rPr>
        <w:t>الفريق العامل</w:t>
      </w:r>
      <w:r w:rsidRPr="008A059F">
        <w:rPr>
          <w:rFonts w:hint="cs"/>
          <w:rtl/>
        </w:rPr>
        <w:t xml:space="preserve"> </w:t>
      </w:r>
      <w:r>
        <w:rPr>
          <w:rFonts w:hint="cs"/>
          <w:rtl/>
          <w:lang w:bidi="ar-EG"/>
        </w:rPr>
        <w:t>المعني بتطوير نظام لشبونة</w:t>
      </w:r>
    </w:p>
    <w:p w:rsidR="00AB54AE" w:rsidRPr="00AB54AE" w:rsidRDefault="008A059F" w:rsidP="00AB54AE">
      <w:pPr>
        <w:pStyle w:val="MeetingTitleAR"/>
        <w:bidi/>
        <w:ind w:right="550"/>
        <w:rPr>
          <w:rtl/>
          <w:lang w:bidi="ar-EG"/>
        </w:rPr>
      </w:pPr>
      <w:r>
        <w:rPr>
          <w:rFonts w:hint="cs"/>
          <w:rtl/>
          <w:lang w:bidi="ar-EG"/>
        </w:rPr>
        <w:t>(تسميات المنشأ)</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8A059F">
      <w:pPr>
        <w:pStyle w:val="MeetingSessionAR"/>
        <w:bidi/>
        <w:rPr>
          <w:rFonts w:ascii="Cambria Math" w:hAnsi="Cambria Math"/>
          <w:rtl/>
        </w:rPr>
      </w:pPr>
      <w:r w:rsidRPr="00783D11">
        <w:rPr>
          <w:rFonts w:ascii="Cambria Math" w:hAnsi="Cambria Math"/>
          <w:rtl/>
        </w:rPr>
        <w:t xml:space="preserve">الدورة </w:t>
      </w:r>
      <w:r w:rsidR="008A059F">
        <w:rPr>
          <w:rFonts w:ascii="Cambria Math" w:hAnsi="Cambria Math" w:hint="cs"/>
          <w:rtl/>
        </w:rPr>
        <w:t>العاشرة</w:t>
      </w:r>
    </w:p>
    <w:p w:rsidR="00D61541" w:rsidRPr="00D61541" w:rsidRDefault="00D61541" w:rsidP="008A059F">
      <w:pPr>
        <w:pStyle w:val="MeetingDatesAR"/>
        <w:bidi/>
        <w:rPr>
          <w:rtl/>
        </w:rPr>
      </w:pPr>
      <w:r w:rsidRPr="00D61541">
        <w:rPr>
          <w:rFonts w:hint="cs"/>
          <w:rtl/>
        </w:rPr>
        <w:t xml:space="preserve">جنيف، من </w:t>
      </w:r>
      <w:r w:rsidR="008A059F">
        <w:rPr>
          <w:rFonts w:hint="cs"/>
          <w:rtl/>
        </w:rPr>
        <w:t>27</w:t>
      </w:r>
      <w:r w:rsidR="00C742C5">
        <w:rPr>
          <w:rFonts w:hint="cs"/>
          <w:rtl/>
        </w:rPr>
        <w:t xml:space="preserve"> إلى </w:t>
      </w:r>
      <w:r w:rsidR="008A059F">
        <w:rPr>
          <w:rFonts w:hint="cs"/>
          <w:rtl/>
        </w:rPr>
        <w:t>31</w:t>
      </w:r>
      <w:r w:rsidR="00C742C5">
        <w:rPr>
          <w:rFonts w:hint="cs"/>
          <w:rtl/>
        </w:rPr>
        <w:t xml:space="preserve"> </w:t>
      </w:r>
      <w:r w:rsidR="008A059F">
        <w:rPr>
          <w:rFonts w:hint="cs"/>
          <w:rtl/>
        </w:rPr>
        <w:t>أكتوبر</w:t>
      </w:r>
      <w:r w:rsidR="00C742C5">
        <w:rPr>
          <w:rFonts w:hint="cs"/>
          <w:rtl/>
        </w:rPr>
        <w:t xml:space="preserve">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394161" w:rsidP="0009794E">
      <w:pPr>
        <w:pStyle w:val="DocumentTitleAR"/>
        <w:bidi/>
        <w:rPr>
          <w:rtl/>
        </w:rPr>
      </w:pPr>
      <w:r>
        <w:rPr>
          <w:rFonts w:hint="cs"/>
          <w:rtl/>
        </w:rPr>
        <w:t xml:space="preserve">ملاحظات </w:t>
      </w:r>
      <w:r w:rsidR="0009794E">
        <w:rPr>
          <w:rFonts w:hint="cs"/>
          <w:rtl/>
        </w:rPr>
        <w:t>على</w:t>
      </w:r>
      <w:r>
        <w:rPr>
          <w:rFonts w:hint="cs"/>
          <w:rtl/>
        </w:rPr>
        <w:t xml:space="preserve"> مشروع اللائحة التنفيذية لمشروع اتفاق لشبونة المراجع</w:t>
      </w:r>
    </w:p>
    <w:p w:rsidR="00D61541" w:rsidRPr="00D61541" w:rsidRDefault="00394161"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2F77FC" w:rsidRDefault="0009794E" w:rsidP="0009239F">
      <w:pPr>
        <w:pStyle w:val="NormalParaAR"/>
        <w:rPr>
          <w:rtl/>
        </w:rPr>
      </w:pPr>
      <w:r>
        <w:rPr>
          <w:rFonts w:hint="cs"/>
          <w:rtl/>
        </w:rPr>
        <w:t xml:space="preserve">يتضمن مرفق هذه الوثيقة </w:t>
      </w:r>
      <w:r w:rsidRPr="0009794E">
        <w:rPr>
          <w:rtl/>
        </w:rPr>
        <w:t>ملاحظات على مشروع اللائحة التنفيذية لمشروع اتفاق لشبونة المراجع</w:t>
      </w:r>
      <w:r w:rsidR="0009239F">
        <w:rPr>
          <w:rFonts w:hint="cs"/>
          <w:rtl/>
        </w:rPr>
        <w:t xml:space="preserve"> بشأن تسميات المنشأ والبيانات الجغرافية ("مشروع اللائحة التنفيذية")، كما ورد في الوثيقة</w:t>
      </w:r>
      <w:r w:rsidR="0009239F">
        <w:rPr>
          <w:rFonts w:hint="eastAsia"/>
          <w:rtl/>
        </w:rPr>
        <w:t> </w:t>
      </w:r>
      <w:r w:rsidR="0009239F" w:rsidRPr="0009239F">
        <w:t>LI/WG/DEV/10/3</w:t>
      </w:r>
      <w:r w:rsidR="0009239F">
        <w:rPr>
          <w:rFonts w:hint="cs"/>
          <w:rtl/>
        </w:rPr>
        <w:t>. ولم تُدرج أية ملاحظة في الحالات التي بدا فيها أنّ الحكم لا يقتضي أي شرح.</w:t>
      </w:r>
    </w:p>
    <w:p w:rsidR="009D47A6" w:rsidRDefault="0009239F" w:rsidP="0009239F">
      <w:pPr>
        <w:pStyle w:val="EndofDocumentAR"/>
        <w:rPr>
          <w:rtl/>
        </w:rPr>
        <w:sectPr w:rsidR="009D47A6" w:rsidSect="00EB7752">
          <w:headerReference w:type="default" r:id="rId10"/>
          <w:pgSz w:w="11907" w:h="16840" w:code="9"/>
          <w:pgMar w:top="567" w:right="1418" w:bottom="1418" w:left="1134" w:header="510" w:footer="1021" w:gutter="0"/>
          <w:cols w:space="720"/>
          <w:titlePg/>
          <w:docGrid w:linePitch="299"/>
        </w:sectPr>
      </w:pPr>
      <w:r>
        <w:rPr>
          <w:rFonts w:hint="cs"/>
          <w:rtl/>
        </w:rPr>
        <w:t>[يلي ذلك المرفق]</w:t>
      </w:r>
    </w:p>
    <w:p w:rsidR="005462EA" w:rsidRPr="005462EA" w:rsidRDefault="005462EA" w:rsidP="00007DB7">
      <w:pPr>
        <w:pStyle w:val="NormalParaAR"/>
        <w:keepNext/>
        <w:rPr>
          <w:b/>
          <w:bCs/>
          <w:sz w:val="40"/>
          <w:szCs w:val="40"/>
          <w:rtl/>
        </w:rPr>
      </w:pPr>
      <w:r w:rsidRPr="005462EA">
        <w:rPr>
          <w:b/>
          <w:bCs/>
          <w:sz w:val="40"/>
          <w:szCs w:val="40"/>
          <w:rtl/>
        </w:rPr>
        <w:lastRenderedPageBreak/>
        <w:t>ملاحظات على مشروع اللائحة التنفيذية</w:t>
      </w:r>
    </w:p>
    <w:p w:rsidR="005462EA" w:rsidRPr="005462EA" w:rsidRDefault="005462EA" w:rsidP="00007DB7">
      <w:pPr>
        <w:pStyle w:val="NormalParaAR"/>
        <w:keepNext/>
        <w:rPr>
          <w:sz w:val="40"/>
          <w:szCs w:val="40"/>
          <w:rtl/>
        </w:rPr>
      </w:pPr>
      <w:r w:rsidRPr="005462EA">
        <w:rPr>
          <w:rFonts w:hint="cs"/>
          <w:sz w:val="40"/>
          <w:szCs w:val="40"/>
          <w:rtl/>
        </w:rPr>
        <w:t>المحتويات</w:t>
      </w:r>
    </w:p>
    <w:p w:rsidR="005462EA" w:rsidRPr="00082F9F" w:rsidRDefault="005462EA" w:rsidP="00007DB7">
      <w:pPr>
        <w:pStyle w:val="NormalParaAR"/>
        <w:keepNext/>
        <w:rPr>
          <w:u w:val="single"/>
          <w:rtl/>
        </w:rPr>
      </w:pPr>
      <w:r w:rsidRPr="00082F9F">
        <w:rPr>
          <w:rFonts w:hint="cs"/>
          <w:u w:val="single"/>
          <w:rtl/>
        </w:rPr>
        <w:t>قائمة القواعد</w:t>
      </w:r>
    </w:p>
    <w:p w:rsidR="005462EA" w:rsidRDefault="005462EA" w:rsidP="009F7D49">
      <w:pPr>
        <w:pStyle w:val="NormalParaAR"/>
        <w:keepNext/>
        <w:rPr>
          <w:i/>
          <w:iCs/>
          <w:rtl/>
        </w:rPr>
      </w:pPr>
      <w:r>
        <w:rPr>
          <w:rFonts w:hint="cs"/>
          <w:i/>
          <w:iCs/>
          <w:rtl/>
        </w:rPr>
        <w:t>الفصل الأول:</w:t>
      </w:r>
      <w:r w:rsidRPr="00082F9F">
        <w:rPr>
          <w:rFonts w:hint="cs"/>
          <w:i/>
          <w:iCs/>
          <w:rtl/>
        </w:rPr>
        <w:t xml:space="preserve"> أحكام تمهيدية وعامة</w:t>
      </w:r>
    </w:p>
    <w:p w:rsidR="005462EA" w:rsidRDefault="005462EA" w:rsidP="005462EA">
      <w:pPr>
        <w:pStyle w:val="NormalParaAR"/>
        <w:spacing w:after="0"/>
        <w:rPr>
          <w:rtl/>
        </w:rPr>
      </w:pPr>
      <w:r>
        <w:rPr>
          <w:rFonts w:hint="cs"/>
          <w:rtl/>
        </w:rPr>
        <w:t>ملاحظات على القاعدة 1:</w:t>
      </w:r>
      <w:r>
        <w:rPr>
          <w:rtl/>
        </w:rPr>
        <w:tab/>
      </w:r>
      <w:r>
        <w:rPr>
          <w:rFonts w:hint="cs"/>
          <w:rtl/>
        </w:rPr>
        <w:t>تعابير مختصرة</w:t>
      </w:r>
    </w:p>
    <w:p w:rsidR="005462EA" w:rsidRDefault="005462EA" w:rsidP="005462EA">
      <w:pPr>
        <w:pStyle w:val="NormalParaAR"/>
        <w:spacing w:after="0"/>
        <w:rPr>
          <w:rtl/>
        </w:rPr>
      </w:pPr>
      <w:r>
        <w:rPr>
          <w:rFonts w:hint="cs"/>
          <w:rtl/>
        </w:rPr>
        <w:t>ملاحظات على القاعدة 2:</w:t>
      </w:r>
      <w:r>
        <w:rPr>
          <w:rtl/>
        </w:rPr>
        <w:tab/>
      </w:r>
      <w:r>
        <w:rPr>
          <w:rFonts w:hint="cs"/>
          <w:rtl/>
        </w:rPr>
        <w:t>حساب المهل</w:t>
      </w:r>
    </w:p>
    <w:p w:rsidR="005462EA" w:rsidRDefault="005462EA" w:rsidP="005462EA">
      <w:pPr>
        <w:pStyle w:val="NormalParaAR"/>
        <w:spacing w:after="0"/>
        <w:rPr>
          <w:rtl/>
        </w:rPr>
      </w:pPr>
      <w:r>
        <w:rPr>
          <w:rFonts w:hint="cs"/>
          <w:rtl/>
        </w:rPr>
        <w:t>ملاحظات على القاعدة 3:</w:t>
      </w:r>
      <w:r>
        <w:rPr>
          <w:rtl/>
        </w:rPr>
        <w:tab/>
      </w:r>
      <w:r>
        <w:rPr>
          <w:rFonts w:hint="cs"/>
          <w:rtl/>
        </w:rPr>
        <w:t>لغات العمل</w:t>
      </w:r>
    </w:p>
    <w:p w:rsidR="005462EA" w:rsidRDefault="005462EA" w:rsidP="005462EA">
      <w:pPr>
        <w:pStyle w:val="NormalParaAR"/>
        <w:rPr>
          <w:rtl/>
        </w:rPr>
      </w:pPr>
      <w:r>
        <w:rPr>
          <w:rFonts w:hint="cs"/>
          <w:rtl/>
        </w:rPr>
        <w:t>ملاحظات على القاعدة 4:</w:t>
      </w:r>
      <w:r>
        <w:rPr>
          <w:rtl/>
        </w:rPr>
        <w:tab/>
      </w:r>
      <w:r>
        <w:rPr>
          <w:rFonts w:hint="cs"/>
          <w:rtl/>
        </w:rPr>
        <w:t>الإدارة المختصة</w:t>
      </w:r>
    </w:p>
    <w:p w:rsidR="005462EA" w:rsidRPr="004555AA" w:rsidRDefault="005462EA" w:rsidP="00BB0D27">
      <w:pPr>
        <w:pStyle w:val="NormalParaAR"/>
        <w:keepNext/>
        <w:rPr>
          <w:i/>
          <w:iCs/>
          <w:rtl/>
        </w:rPr>
      </w:pPr>
      <w:r w:rsidRPr="00082F9F">
        <w:rPr>
          <w:rFonts w:hint="cs"/>
          <w:i/>
          <w:iCs/>
          <w:rtl/>
        </w:rPr>
        <w:t xml:space="preserve">الفصل </w:t>
      </w:r>
      <w:r>
        <w:rPr>
          <w:rFonts w:hint="cs"/>
          <w:i/>
          <w:iCs/>
          <w:rtl/>
        </w:rPr>
        <w:t>الثاني: الطلب والتسجيل الدولي</w:t>
      </w:r>
    </w:p>
    <w:p w:rsidR="005462EA" w:rsidRDefault="005462EA" w:rsidP="005462EA">
      <w:pPr>
        <w:pStyle w:val="NormalParaAR"/>
        <w:spacing w:after="0"/>
        <w:rPr>
          <w:rtl/>
        </w:rPr>
      </w:pPr>
      <w:r>
        <w:rPr>
          <w:rFonts w:hint="cs"/>
          <w:rtl/>
        </w:rPr>
        <w:t>ملاحظات على القاعدة 5:</w:t>
      </w:r>
      <w:r>
        <w:rPr>
          <w:rtl/>
        </w:rPr>
        <w:tab/>
      </w:r>
      <w:r>
        <w:rPr>
          <w:rFonts w:hint="cs"/>
          <w:rtl/>
        </w:rPr>
        <w:t>الشروط المتعلقة بالطلب</w:t>
      </w:r>
    </w:p>
    <w:p w:rsidR="005462EA" w:rsidRDefault="005462EA" w:rsidP="005462EA">
      <w:pPr>
        <w:pStyle w:val="NormalParaAR"/>
        <w:spacing w:after="0"/>
        <w:rPr>
          <w:rtl/>
        </w:rPr>
      </w:pPr>
      <w:r>
        <w:rPr>
          <w:rFonts w:hint="cs"/>
          <w:rtl/>
        </w:rPr>
        <w:t>ملاحظات على القاعدة 6:</w:t>
      </w:r>
      <w:r>
        <w:rPr>
          <w:rtl/>
        </w:rPr>
        <w:tab/>
      </w:r>
      <w:r>
        <w:rPr>
          <w:rFonts w:hint="cs"/>
          <w:rtl/>
        </w:rPr>
        <w:t>الطلبات المخالفة للأصول</w:t>
      </w:r>
    </w:p>
    <w:p w:rsidR="005462EA" w:rsidRDefault="005462EA" w:rsidP="005462EA">
      <w:pPr>
        <w:pStyle w:val="NormalParaAR"/>
        <w:spacing w:after="0"/>
        <w:rPr>
          <w:rtl/>
        </w:rPr>
      </w:pPr>
      <w:r>
        <w:rPr>
          <w:rFonts w:hint="cs"/>
          <w:rtl/>
        </w:rPr>
        <w:t>ملاحظات على القاعدة 7:</w:t>
      </w:r>
      <w:r>
        <w:rPr>
          <w:rtl/>
        </w:rPr>
        <w:tab/>
      </w:r>
      <w:r>
        <w:rPr>
          <w:rFonts w:hint="cs"/>
          <w:rtl/>
        </w:rPr>
        <w:t>التدوين في السجل الدولي</w:t>
      </w:r>
    </w:p>
    <w:p w:rsidR="005462EA" w:rsidRDefault="005462EA" w:rsidP="005462EA">
      <w:pPr>
        <w:pStyle w:val="NormalParaAR"/>
        <w:rPr>
          <w:rtl/>
        </w:rPr>
      </w:pPr>
      <w:r>
        <w:rPr>
          <w:rFonts w:hint="cs"/>
          <w:rtl/>
        </w:rPr>
        <w:t>ملاحظات على القاعدة 8:</w:t>
      </w:r>
      <w:r>
        <w:rPr>
          <w:rtl/>
        </w:rPr>
        <w:tab/>
      </w:r>
      <w:r>
        <w:rPr>
          <w:rFonts w:hint="cs"/>
          <w:rtl/>
        </w:rPr>
        <w:t>الرسوم</w:t>
      </w:r>
    </w:p>
    <w:p w:rsidR="005462EA" w:rsidRPr="004555AA" w:rsidRDefault="005462EA" w:rsidP="00BB0D27">
      <w:pPr>
        <w:pStyle w:val="NormalParaAR"/>
        <w:keepNext/>
        <w:rPr>
          <w:i/>
          <w:iCs/>
          <w:rtl/>
        </w:rPr>
      </w:pPr>
      <w:r w:rsidRPr="00082F9F">
        <w:rPr>
          <w:rFonts w:hint="cs"/>
          <w:i/>
          <w:iCs/>
          <w:rtl/>
        </w:rPr>
        <w:t xml:space="preserve">الفصل </w:t>
      </w:r>
      <w:r>
        <w:rPr>
          <w:rFonts w:hint="cs"/>
          <w:i/>
          <w:iCs/>
          <w:rtl/>
        </w:rPr>
        <w:t>الثالث: إعلان الرفض والإجراءات الأخرى المتعلقة بالتسجيل الدولي</w:t>
      </w:r>
    </w:p>
    <w:p w:rsidR="005462EA" w:rsidRDefault="005462EA" w:rsidP="005462EA">
      <w:pPr>
        <w:pStyle w:val="NormalParaAR"/>
        <w:spacing w:after="0"/>
        <w:rPr>
          <w:rtl/>
        </w:rPr>
      </w:pPr>
      <w:r>
        <w:rPr>
          <w:rFonts w:hint="cs"/>
          <w:rtl/>
        </w:rPr>
        <w:t>ملاحظات على القاعدة 9:</w:t>
      </w:r>
      <w:r>
        <w:rPr>
          <w:rtl/>
        </w:rPr>
        <w:tab/>
      </w:r>
      <w:r>
        <w:rPr>
          <w:rFonts w:hint="cs"/>
          <w:rtl/>
        </w:rPr>
        <w:t>إعلان الرفض</w:t>
      </w:r>
    </w:p>
    <w:p w:rsidR="005462EA" w:rsidRDefault="005462EA" w:rsidP="005462EA">
      <w:pPr>
        <w:pStyle w:val="NormalParaAR"/>
        <w:spacing w:after="0"/>
        <w:rPr>
          <w:rtl/>
        </w:rPr>
      </w:pPr>
      <w:r>
        <w:rPr>
          <w:rFonts w:hint="cs"/>
          <w:rtl/>
        </w:rPr>
        <w:t>ملاحظات على القاعدة 10:</w:t>
      </w:r>
      <w:r>
        <w:rPr>
          <w:rtl/>
        </w:rPr>
        <w:tab/>
      </w:r>
      <w:r>
        <w:rPr>
          <w:rFonts w:hint="cs"/>
          <w:rtl/>
        </w:rPr>
        <w:t>إعلان الرفض المخالف للأصول</w:t>
      </w:r>
    </w:p>
    <w:p w:rsidR="005462EA" w:rsidRDefault="005462EA" w:rsidP="005462EA">
      <w:pPr>
        <w:pStyle w:val="NormalParaAR"/>
        <w:spacing w:after="0"/>
        <w:rPr>
          <w:rtl/>
        </w:rPr>
      </w:pPr>
      <w:r>
        <w:rPr>
          <w:rFonts w:hint="cs"/>
          <w:rtl/>
        </w:rPr>
        <w:t>ملاحظات على القاعدة 11:</w:t>
      </w:r>
      <w:r>
        <w:rPr>
          <w:rtl/>
        </w:rPr>
        <w:tab/>
      </w:r>
      <w:r>
        <w:rPr>
          <w:rFonts w:hint="cs"/>
          <w:rtl/>
        </w:rPr>
        <w:t>سحب إعلان الرفض</w:t>
      </w:r>
    </w:p>
    <w:p w:rsidR="005462EA" w:rsidRDefault="005462EA" w:rsidP="005462EA">
      <w:pPr>
        <w:pStyle w:val="NormalParaAR"/>
        <w:spacing w:after="0"/>
        <w:rPr>
          <w:rtl/>
        </w:rPr>
      </w:pPr>
      <w:r>
        <w:rPr>
          <w:rFonts w:hint="cs"/>
          <w:rtl/>
        </w:rPr>
        <w:t>ملاحظات على القاعدة 12:</w:t>
      </w:r>
      <w:r>
        <w:rPr>
          <w:rtl/>
        </w:rPr>
        <w:tab/>
      </w:r>
      <w:r>
        <w:rPr>
          <w:rFonts w:hint="cs"/>
          <w:rtl/>
        </w:rPr>
        <w:t>الإعلان بمنح الحماية</w:t>
      </w:r>
    </w:p>
    <w:p w:rsidR="005462EA" w:rsidRDefault="005462EA" w:rsidP="005462EA">
      <w:pPr>
        <w:pStyle w:val="NormalParaAR"/>
        <w:spacing w:after="0"/>
        <w:rPr>
          <w:rtl/>
        </w:rPr>
      </w:pPr>
      <w:r>
        <w:rPr>
          <w:rFonts w:hint="cs"/>
          <w:rtl/>
        </w:rPr>
        <w:t>ملاحظات على القاعدة 13:</w:t>
      </w:r>
      <w:r>
        <w:rPr>
          <w:rtl/>
        </w:rPr>
        <w:tab/>
      </w:r>
      <w:r>
        <w:rPr>
          <w:rFonts w:hint="cs"/>
          <w:rtl/>
        </w:rPr>
        <w:t>الإخطار بإبطال آثار تسجيل دولي في طرف متعاقد</w:t>
      </w:r>
    </w:p>
    <w:p w:rsidR="005462EA" w:rsidRDefault="00EB0564" w:rsidP="005462EA">
      <w:pPr>
        <w:pStyle w:val="NormalParaAR"/>
        <w:spacing w:after="0"/>
        <w:rPr>
          <w:rtl/>
        </w:rPr>
      </w:pPr>
      <w:r>
        <w:rPr>
          <w:rFonts w:hint="cs"/>
          <w:rtl/>
        </w:rPr>
        <w:t xml:space="preserve">ملاحظات على </w:t>
      </w:r>
      <w:r w:rsidR="005462EA">
        <w:rPr>
          <w:rFonts w:hint="cs"/>
          <w:rtl/>
        </w:rPr>
        <w:t>القاعدة 14:</w:t>
      </w:r>
      <w:r w:rsidR="005462EA">
        <w:rPr>
          <w:rtl/>
        </w:rPr>
        <w:tab/>
      </w:r>
      <w:r w:rsidR="005462EA">
        <w:rPr>
          <w:rFonts w:hint="cs"/>
          <w:rtl/>
        </w:rPr>
        <w:t>الإخطار بالمهلة الانتقالية الممنوحة للغير</w:t>
      </w:r>
    </w:p>
    <w:p w:rsidR="005462EA" w:rsidRDefault="00EB0564" w:rsidP="005462EA">
      <w:pPr>
        <w:pStyle w:val="NormalParaAR"/>
        <w:spacing w:after="0"/>
        <w:rPr>
          <w:rtl/>
        </w:rPr>
      </w:pPr>
      <w:r>
        <w:rPr>
          <w:rFonts w:hint="cs"/>
          <w:rtl/>
        </w:rPr>
        <w:t xml:space="preserve">ملاحظات على </w:t>
      </w:r>
      <w:r w:rsidR="005462EA">
        <w:rPr>
          <w:rFonts w:hint="cs"/>
          <w:rtl/>
        </w:rPr>
        <w:t>القاعدة 15:</w:t>
      </w:r>
      <w:r w:rsidR="005462EA">
        <w:rPr>
          <w:rtl/>
        </w:rPr>
        <w:tab/>
      </w:r>
      <w:r w:rsidR="005462EA">
        <w:rPr>
          <w:rFonts w:hint="cs"/>
          <w:rtl/>
        </w:rPr>
        <w:t>التعديلات</w:t>
      </w:r>
    </w:p>
    <w:p w:rsidR="005462EA" w:rsidRDefault="00EB0564" w:rsidP="005462EA">
      <w:pPr>
        <w:pStyle w:val="NormalParaAR"/>
        <w:spacing w:after="0"/>
        <w:rPr>
          <w:rtl/>
        </w:rPr>
      </w:pPr>
      <w:r>
        <w:rPr>
          <w:rFonts w:hint="cs"/>
          <w:rtl/>
        </w:rPr>
        <w:t xml:space="preserve">ملاحظات على </w:t>
      </w:r>
      <w:r w:rsidR="005462EA">
        <w:rPr>
          <w:rFonts w:hint="cs"/>
          <w:rtl/>
        </w:rPr>
        <w:t>القاعدة 16:</w:t>
      </w:r>
      <w:r w:rsidR="005462EA">
        <w:rPr>
          <w:rtl/>
        </w:rPr>
        <w:tab/>
      </w:r>
      <w:r w:rsidR="005462EA">
        <w:rPr>
          <w:rFonts w:hint="cs"/>
          <w:rtl/>
        </w:rPr>
        <w:t>التخلي عن الحماية</w:t>
      </w:r>
    </w:p>
    <w:p w:rsidR="005462EA" w:rsidRDefault="00EB0564" w:rsidP="005462EA">
      <w:pPr>
        <w:pStyle w:val="NormalParaAR"/>
        <w:spacing w:after="0"/>
        <w:rPr>
          <w:rtl/>
        </w:rPr>
      </w:pPr>
      <w:r>
        <w:rPr>
          <w:rFonts w:hint="cs"/>
          <w:rtl/>
        </w:rPr>
        <w:t xml:space="preserve">ملاحظات على </w:t>
      </w:r>
      <w:r w:rsidR="005462EA">
        <w:rPr>
          <w:rFonts w:hint="cs"/>
          <w:rtl/>
        </w:rPr>
        <w:t>القاعدة 17:</w:t>
      </w:r>
      <w:r w:rsidR="005462EA">
        <w:rPr>
          <w:rtl/>
        </w:rPr>
        <w:tab/>
      </w:r>
      <w:r w:rsidR="005462EA">
        <w:rPr>
          <w:rFonts w:hint="cs"/>
          <w:rtl/>
        </w:rPr>
        <w:t>شطب التسجيل الدولي</w:t>
      </w:r>
    </w:p>
    <w:p w:rsidR="005462EA" w:rsidRPr="00082F9F" w:rsidRDefault="00EB0564" w:rsidP="005462EA">
      <w:pPr>
        <w:pStyle w:val="NormalParaAR"/>
        <w:rPr>
          <w:rtl/>
        </w:rPr>
      </w:pPr>
      <w:r>
        <w:rPr>
          <w:rFonts w:hint="cs"/>
          <w:rtl/>
        </w:rPr>
        <w:t xml:space="preserve">ملاحظات على </w:t>
      </w:r>
      <w:r w:rsidR="005462EA">
        <w:rPr>
          <w:rFonts w:hint="cs"/>
          <w:rtl/>
        </w:rPr>
        <w:t>القاعدة 18:</w:t>
      </w:r>
      <w:r w:rsidR="005462EA">
        <w:rPr>
          <w:rtl/>
        </w:rPr>
        <w:tab/>
      </w:r>
      <w:r w:rsidR="005462EA">
        <w:rPr>
          <w:rFonts w:hint="cs"/>
          <w:rtl/>
        </w:rPr>
        <w:t>التصويبات في السجل الدولي</w:t>
      </w:r>
    </w:p>
    <w:p w:rsidR="005462EA" w:rsidRPr="003137E0" w:rsidRDefault="005462EA" w:rsidP="00BB0D27">
      <w:pPr>
        <w:pStyle w:val="NormalParaAR"/>
        <w:keepNext/>
        <w:rPr>
          <w:i/>
          <w:iCs/>
          <w:rtl/>
        </w:rPr>
      </w:pPr>
      <w:r w:rsidRPr="00082F9F">
        <w:rPr>
          <w:rFonts w:hint="cs"/>
          <w:i/>
          <w:iCs/>
          <w:rtl/>
        </w:rPr>
        <w:t xml:space="preserve">الفصل </w:t>
      </w:r>
      <w:r>
        <w:rPr>
          <w:rFonts w:hint="cs"/>
          <w:i/>
          <w:iCs/>
          <w:rtl/>
        </w:rPr>
        <w:t>الرابع: أحكام متنوعة</w:t>
      </w:r>
    </w:p>
    <w:p w:rsidR="005462EA" w:rsidRDefault="00EB0564" w:rsidP="005462EA">
      <w:pPr>
        <w:pStyle w:val="NormalParaAR"/>
        <w:spacing w:after="0"/>
        <w:rPr>
          <w:rtl/>
        </w:rPr>
      </w:pPr>
      <w:r>
        <w:rPr>
          <w:rFonts w:hint="cs"/>
          <w:rtl/>
        </w:rPr>
        <w:t xml:space="preserve">ملاحظات على </w:t>
      </w:r>
      <w:r w:rsidR="005462EA">
        <w:rPr>
          <w:rFonts w:hint="cs"/>
          <w:rtl/>
        </w:rPr>
        <w:t>القاعدة 19:</w:t>
      </w:r>
      <w:r w:rsidR="005462EA">
        <w:rPr>
          <w:rtl/>
        </w:rPr>
        <w:tab/>
      </w:r>
      <w:r w:rsidR="005462EA">
        <w:rPr>
          <w:rFonts w:hint="cs"/>
          <w:rtl/>
        </w:rPr>
        <w:t>النشر</w:t>
      </w:r>
    </w:p>
    <w:p w:rsidR="005462EA" w:rsidRDefault="00EB0564" w:rsidP="005462EA">
      <w:pPr>
        <w:pStyle w:val="NormalParaAR"/>
        <w:spacing w:after="0"/>
        <w:rPr>
          <w:rtl/>
        </w:rPr>
      </w:pPr>
      <w:r>
        <w:rPr>
          <w:rFonts w:hint="cs"/>
          <w:rtl/>
        </w:rPr>
        <w:t xml:space="preserve">ملاحظات على </w:t>
      </w:r>
      <w:r w:rsidR="005462EA">
        <w:rPr>
          <w:rFonts w:hint="cs"/>
          <w:rtl/>
        </w:rPr>
        <w:t>القاعدة 20:</w:t>
      </w:r>
      <w:r w:rsidR="005462EA">
        <w:rPr>
          <w:rtl/>
        </w:rPr>
        <w:tab/>
      </w:r>
      <w:r w:rsidR="005462EA">
        <w:rPr>
          <w:rFonts w:hint="cs"/>
          <w:rtl/>
        </w:rPr>
        <w:t>مستخرجات السجل الدولي والمعلومات الأخرى التي يقدمها المكتب الدولي</w:t>
      </w:r>
    </w:p>
    <w:p w:rsidR="005462EA" w:rsidRDefault="00EB0564" w:rsidP="005462EA">
      <w:pPr>
        <w:pStyle w:val="NormalParaAR"/>
        <w:spacing w:after="0"/>
        <w:rPr>
          <w:rtl/>
        </w:rPr>
      </w:pPr>
      <w:r>
        <w:rPr>
          <w:rFonts w:hint="cs"/>
          <w:rtl/>
        </w:rPr>
        <w:t xml:space="preserve">ملاحظات على </w:t>
      </w:r>
      <w:r w:rsidR="005462EA">
        <w:rPr>
          <w:rFonts w:hint="cs"/>
          <w:rtl/>
        </w:rPr>
        <w:t>القاعدة 21:</w:t>
      </w:r>
      <w:r w:rsidR="005462EA">
        <w:rPr>
          <w:rtl/>
        </w:rPr>
        <w:tab/>
      </w:r>
      <w:r w:rsidR="005462EA">
        <w:rPr>
          <w:rFonts w:hint="cs"/>
          <w:rtl/>
        </w:rPr>
        <w:t>التوقيع</w:t>
      </w:r>
    </w:p>
    <w:p w:rsidR="005462EA" w:rsidRDefault="00EB0564" w:rsidP="005462EA">
      <w:pPr>
        <w:pStyle w:val="NormalParaAR"/>
        <w:spacing w:after="0"/>
        <w:rPr>
          <w:rtl/>
        </w:rPr>
      </w:pPr>
      <w:r>
        <w:rPr>
          <w:rFonts w:hint="cs"/>
          <w:rtl/>
        </w:rPr>
        <w:t xml:space="preserve">ملاحظات على </w:t>
      </w:r>
      <w:r w:rsidR="005462EA">
        <w:rPr>
          <w:rFonts w:hint="cs"/>
          <w:rtl/>
        </w:rPr>
        <w:t>القاعدة 22:</w:t>
      </w:r>
      <w:r w:rsidR="005462EA">
        <w:rPr>
          <w:rtl/>
        </w:rPr>
        <w:tab/>
      </w:r>
      <w:r w:rsidR="005462EA">
        <w:rPr>
          <w:rFonts w:hint="cs"/>
          <w:rtl/>
        </w:rPr>
        <w:t>تاريخ إرسال التبليغات المتنوعة</w:t>
      </w:r>
    </w:p>
    <w:p w:rsidR="005462EA" w:rsidRDefault="00EB0564" w:rsidP="005462EA">
      <w:pPr>
        <w:pStyle w:val="NormalParaAR"/>
        <w:spacing w:after="0"/>
        <w:rPr>
          <w:rtl/>
        </w:rPr>
      </w:pPr>
      <w:r>
        <w:rPr>
          <w:rFonts w:hint="cs"/>
          <w:rtl/>
        </w:rPr>
        <w:t xml:space="preserve">ملاحظات على </w:t>
      </w:r>
      <w:r w:rsidR="005462EA">
        <w:rPr>
          <w:rFonts w:hint="cs"/>
          <w:rtl/>
        </w:rPr>
        <w:t>القاعدة 23:</w:t>
      </w:r>
      <w:r w:rsidR="005462EA">
        <w:rPr>
          <w:rtl/>
        </w:rPr>
        <w:tab/>
      </w:r>
      <w:r w:rsidR="005462EA">
        <w:rPr>
          <w:rFonts w:hint="cs"/>
          <w:rtl/>
        </w:rPr>
        <w:t>طرق الإخطار من قبل المكتب الدولي</w:t>
      </w:r>
    </w:p>
    <w:p w:rsidR="005462EA" w:rsidRDefault="00EB0564" w:rsidP="005462EA">
      <w:pPr>
        <w:pStyle w:val="NormalParaAR"/>
        <w:spacing w:after="0"/>
        <w:rPr>
          <w:rtl/>
        </w:rPr>
      </w:pPr>
      <w:r>
        <w:rPr>
          <w:rFonts w:hint="cs"/>
          <w:rtl/>
        </w:rPr>
        <w:t xml:space="preserve">ملاحظات على </w:t>
      </w:r>
      <w:r w:rsidR="005462EA">
        <w:rPr>
          <w:rFonts w:hint="cs"/>
          <w:rtl/>
        </w:rPr>
        <w:t>القاعدة 24:</w:t>
      </w:r>
      <w:r w:rsidR="005462EA">
        <w:rPr>
          <w:rtl/>
        </w:rPr>
        <w:tab/>
      </w:r>
      <w:r w:rsidR="005462EA">
        <w:rPr>
          <w:rFonts w:hint="cs"/>
          <w:rtl/>
        </w:rPr>
        <w:t>التعليمات الإدارية</w:t>
      </w:r>
    </w:p>
    <w:p w:rsidR="00EB0564" w:rsidRDefault="00EB0564">
      <w:pPr>
        <w:rPr>
          <w:rFonts w:ascii="Arabic Typesetting" w:hAnsi="Arabic Typesetting" w:cs="Arabic Typesetting"/>
          <w:sz w:val="36"/>
          <w:szCs w:val="36"/>
          <w:rtl/>
        </w:rPr>
      </w:pPr>
      <w:r>
        <w:rPr>
          <w:rtl/>
        </w:rPr>
        <w:br w:type="page"/>
      </w:r>
    </w:p>
    <w:p w:rsidR="0009239F" w:rsidRPr="00391747" w:rsidRDefault="00391747" w:rsidP="00007DB7">
      <w:pPr>
        <w:pStyle w:val="NormalParaAR"/>
        <w:keepNext/>
        <w:rPr>
          <w:b/>
          <w:bCs/>
          <w:rtl/>
        </w:rPr>
      </w:pPr>
      <w:r w:rsidRPr="00391747">
        <w:rPr>
          <w:b/>
          <w:bCs/>
          <w:rtl/>
        </w:rPr>
        <w:lastRenderedPageBreak/>
        <w:t>ملاحظات على القاعدة 1:</w:t>
      </w:r>
      <w:r w:rsidRPr="00391747">
        <w:rPr>
          <w:rFonts w:hint="cs"/>
          <w:b/>
          <w:bCs/>
          <w:rtl/>
        </w:rPr>
        <w:t xml:space="preserve">  </w:t>
      </w:r>
      <w:r w:rsidRPr="00391747">
        <w:rPr>
          <w:b/>
          <w:bCs/>
          <w:rtl/>
        </w:rPr>
        <w:t>تعابير مختصرة</w:t>
      </w:r>
    </w:p>
    <w:p w:rsidR="00391747" w:rsidRDefault="00391747" w:rsidP="00ED39E5">
      <w:pPr>
        <w:pStyle w:val="NormalParaAR"/>
        <w:rPr>
          <w:rtl/>
        </w:rPr>
      </w:pPr>
      <w:r>
        <w:rPr>
          <w:rFonts w:hint="cs"/>
          <w:rtl/>
        </w:rPr>
        <w:t>ق1-01</w:t>
      </w:r>
      <w:r>
        <w:rPr>
          <w:rtl/>
        </w:rPr>
        <w:tab/>
      </w:r>
      <w:r>
        <w:rPr>
          <w:rFonts w:hint="cs"/>
          <w:rtl/>
        </w:rPr>
        <w:t>تمثّل القاعدة</w:t>
      </w:r>
      <w:r>
        <w:rPr>
          <w:rFonts w:hint="eastAsia"/>
          <w:rtl/>
        </w:rPr>
        <w:t> </w:t>
      </w:r>
      <w:r>
        <w:rPr>
          <w:rFonts w:hint="cs"/>
          <w:rtl/>
        </w:rPr>
        <w:t>1 نسخة مكيّفة م</w:t>
      </w:r>
      <w:r w:rsidR="00F23D65">
        <w:rPr>
          <w:rFonts w:hint="cs"/>
          <w:rtl/>
        </w:rPr>
        <w:t>ُ</w:t>
      </w:r>
      <w:r>
        <w:rPr>
          <w:rFonts w:hint="cs"/>
          <w:rtl/>
        </w:rPr>
        <w:t xml:space="preserve">ستلهمة من </w:t>
      </w:r>
      <w:r w:rsidR="00E856D2">
        <w:rPr>
          <w:rFonts w:hint="cs"/>
          <w:rtl/>
        </w:rPr>
        <w:t>نسق</w:t>
      </w:r>
      <w:r>
        <w:rPr>
          <w:rFonts w:hint="cs"/>
          <w:rtl/>
        </w:rPr>
        <w:t xml:space="preserve"> القاعدة</w:t>
      </w:r>
      <w:r>
        <w:rPr>
          <w:rFonts w:hint="eastAsia"/>
          <w:rtl/>
        </w:rPr>
        <w:t> </w:t>
      </w:r>
      <w:r>
        <w:rPr>
          <w:rFonts w:hint="cs"/>
          <w:rtl/>
        </w:rPr>
        <w:t>1 من اللائحة التنفيذية لمعاهدة سنغافورة بشأن قانون العلامات التجارية لعام 2006. وبخصوص جوهر الموضوع، تستند القاعدة</w:t>
      </w:r>
      <w:r w:rsidR="00F235C5">
        <w:rPr>
          <w:rFonts w:hint="eastAsia"/>
          <w:rtl/>
        </w:rPr>
        <w:t> </w:t>
      </w:r>
      <w:r>
        <w:rPr>
          <w:rFonts w:hint="cs"/>
          <w:rtl/>
        </w:rPr>
        <w:t xml:space="preserve">1 إلى </w:t>
      </w:r>
      <w:r w:rsidR="00263EB3">
        <w:rPr>
          <w:rFonts w:hint="cs"/>
          <w:rtl/>
        </w:rPr>
        <w:t>ال</w:t>
      </w:r>
      <w:r>
        <w:rPr>
          <w:rFonts w:hint="cs"/>
          <w:rtl/>
        </w:rPr>
        <w:t>لائحة</w:t>
      </w:r>
      <w:r w:rsidR="00263EB3">
        <w:rPr>
          <w:rFonts w:hint="cs"/>
          <w:rtl/>
        </w:rPr>
        <w:t xml:space="preserve"> التنفيذية الراهنة لاتفاق لشبونة</w:t>
      </w:r>
      <w:r>
        <w:rPr>
          <w:rFonts w:hint="cs"/>
          <w:rtl/>
        </w:rPr>
        <w:t xml:space="preserve">، </w:t>
      </w:r>
      <w:r w:rsidR="00ED39E5">
        <w:rPr>
          <w:rFonts w:hint="cs"/>
          <w:rtl/>
        </w:rPr>
        <w:t>وقد كُيّفت</w:t>
      </w:r>
      <w:r>
        <w:rPr>
          <w:rFonts w:hint="cs"/>
          <w:rtl/>
        </w:rPr>
        <w:t xml:space="preserve"> وفقا لأحكام مشروع اتفاق لشبونة المراجع.</w:t>
      </w:r>
    </w:p>
    <w:p w:rsidR="00391747" w:rsidRPr="00391747" w:rsidRDefault="00391747" w:rsidP="00007DB7">
      <w:pPr>
        <w:pStyle w:val="NormalParaAR"/>
        <w:keepNext/>
        <w:rPr>
          <w:b/>
          <w:bCs/>
          <w:rtl/>
        </w:rPr>
      </w:pPr>
      <w:r w:rsidRPr="00391747">
        <w:rPr>
          <w:b/>
          <w:bCs/>
          <w:rtl/>
        </w:rPr>
        <w:t>ملاحظات على القاعدة 2:</w:t>
      </w:r>
      <w:r w:rsidRPr="00391747">
        <w:rPr>
          <w:b/>
          <w:bCs/>
          <w:rtl/>
        </w:rPr>
        <w:tab/>
        <w:t>حساب المهل</w:t>
      </w:r>
    </w:p>
    <w:p w:rsidR="00391747" w:rsidRDefault="00391747" w:rsidP="00F235C5">
      <w:pPr>
        <w:pStyle w:val="NormalParaAR"/>
        <w:rPr>
          <w:rtl/>
        </w:rPr>
      </w:pPr>
      <w:r>
        <w:rPr>
          <w:rFonts w:hint="cs"/>
          <w:rtl/>
        </w:rPr>
        <w:t>ق2-01</w:t>
      </w:r>
      <w:r>
        <w:rPr>
          <w:rtl/>
        </w:rPr>
        <w:tab/>
      </w:r>
      <w:r>
        <w:rPr>
          <w:rFonts w:hint="cs"/>
          <w:rtl/>
        </w:rPr>
        <w:t xml:space="preserve">تستند أحكام </w:t>
      </w:r>
      <w:r w:rsidR="00263EB3">
        <w:rPr>
          <w:rFonts w:hint="cs"/>
          <w:rtl/>
        </w:rPr>
        <w:t>هذه القاعدة إلى الأحكام المتضمنة في القاعدة</w:t>
      </w:r>
      <w:r w:rsidR="00F235C5">
        <w:rPr>
          <w:rFonts w:hint="eastAsia"/>
          <w:rtl/>
        </w:rPr>
        <w:t> </w:t>
      </w:r>
      <w:r w:rsidR="00263EB3">
        <w:rPr>
          <w:rFonts w:hint="cs"/>
          <w:rtl/>
        </w:rPr>
        <w:t>2 من اللائحة التنفيذية الراهنة لاتفاق لشبونة.</w:t>
      </w:r>
    </w:p>
    <w:p w:rsidR="00263EB3" w:rsidRPr="00263EB3" w:rsidRDefault="00263EB3" w:rsidP="00007DB7">
      <w:pPr>
        <w:pStyle w:val="NormalParaAR"/>
        <w:keepNext/>
        <w:rPr>
          <w:b/>
          <w:bCs/>
          <w:rtl/>
        </w:rPr>
      </w:pPr>
      <w:r w:rsidRPr="00263EB3">
        <w:rPr>
          <w:b/>
          <w:bCs/>
          <w:rtl/>
        </w:rPr>
        <w:t>ملاحظات على القاعدة 3:</w:t>
      </w:r>
      <w:r w:rsidRPr="00263EB3">
        <w:rPr>
          <w:b/>
          <w:bCs/>
          <w:rtl/>
        </w:rPr>
        <w:tab/>
        <w:t>لغات العمل</w:t>
      </w:r>
    </w:p>
    <w:p w:rsidR="00263EB3" w:rsidRDefault="00F235C5" w:rsidP="00ED39E5">
      <w:pPr>
        <w:pStyle w:val="NormalParaAR"/>
        <w:rPr>
          <w:rtl/>
        </w:rPr>
      </w:pPr>
      <w:r>
        <w:rPr>
          <w:rFonts w:hint="cs"/>
          <w:rtl/>
        </w:rPr>
        <w:t>ق3-01</w:t>
      </w:r>
      <w:r>
        <w:rPr>
          <w:rtl/>
        </w:rPr>
        <w:tab/>
      </w:r>
      <w:r>
        <w:rPr>
          <w:rFonts w:hint="cs"/>
          <w:rtl/>
        </w:rPr>
        <w:t>أحكام هذه القاعدة مُستلهمة إلى حد كبير من الأحكام المتضمنة في القاعدة</w:t>
      </w:r>
      <w:r>
        <w:rPr>
          <w:rFonts w:hint="eastAsia"/>
          <w:rtl/>
        </w:rPr>
        <w:t> </w:t>
      </w:r>
      <w:r>
        <w:rPr>
          <w:rFonts w:hint="cs"/>
          <w:rtl/>
        </w:rPr>
        <w:t xml:space="preserve">3 من اللائحة التنفيذية الراهنة لاتفاق لشبونة، </w:t>
      </w:r>
      <w:r w:rsidR="00ED39E5">
        <w:rPr>
          <w:rFonts w:hint="cs"/>
          <w:rtl/>
        </w:rPr>
        <w:t xml:space="preserve">وقد كُيّفت </w:t>
      </w:r>
      <w:r>
        <w:rPr>
          <w:rFonts w:hint="cs"/>
          <w:rtl/>
        </w:rPr>
        <w:t>وفقا لأحكام مشروع اتفاق لشبونة المراجع.</w:t>
      </w:r>
    </w:p>
    <w:p w:rsidR="00F235C5" w:rsidRPr="008570DC" w:rsidRDefault="008570DC" w:rsidP="00007DB7">
      <w:pPr>
        <w:pStyle w:val="NormalParaAR"/>
        <w:keepNext/>
        <w:rPr>
          <w:b/>
          <w:bCs/>
          <w:rtl/>
        </w:rPr>
      </w:pPr>
      <w:r w:rsidRPr="008570DC">
        <w:rPr>
          <w:b/>
          <w:bCs/>
          <w:rtl/>
        </w:rPr>
        <w:t>ملاحظات على القاعدة 4:</w:t>
      </w:r>
      <w:r w:rsidRPr="008570DC">
        <w:rPr>
          <w:b/>
          <w:bCs/>
          <w:rtl/>
        </w:rPr>
        <w:tab/>
        <w:t>الإدارة المختصة</w:t>
      </w:r>
    </w:p>
    <w:p w:rsidR="008570DC" w:rsidRDefault="008570DC" w:rsidP="00982284">
      <w:pPr>
        <w:pStyle w:val="NormalParaAR"/>
        <w:rPr>
          <w:rtl/>
        </w:rPr>
      </w:pPr>
      <w:r>
        <w:rPr>
          <w:rFonts w:hint="cs"/>
          <w:rtl/>
        </w:rPr>
        <w:t>ق4-01</w:t>
      </w:r>
      <w:r>
        <w:rPr>
          <w:rtl/>
        </w:rPr>
        <w:tab/>
      </w:r>
      <w:r>
        <w:rPr>
          <w:rFonts w:hint="cs"/>
          <w:rtl/>
        </w:rPr>
        <w:t>صيغت هذه القاعدة وفقا لل</w:t>
      </w:r>
      <w:r w:rsidR="00982284">
        <w:rPr>
          <w:rFonts w:hint="cs"/>
          <w:rtl/>
        </w:rPr>
        <w:t>ممارسة التي وُضعت بموجب القاعدة</w:t>
      </w:r>
      <w:r w:rsidR="00982284">
        <w:rPr>
          <w:rFonts w:hint="eastAsia"/>
          <w:rtl/>
        </w:rPr>
        <w:t> </w:t>
      </w:r>
      <w:r w:rsidR="00982284">
        <w:rPr>
          <w:rFonts w:hint="cs"/>
          <w:rtl/>
        </w:rPr>
        <w:t>4 من اللائحة التنفيذية الراهنة لاتفاق لشبونة.</w:t>
      </w:r>
    </w:p>
    <w:p w:rsidR="00982284" w:rsidRDefault="00982284" w:rsidP="00F23D65">
      <w:pPr>
        <w:pStyle w:val="NormalParaAR"/>
        <w:rPr>
          <w:rtl/>
        </w:rPr>
      </w:pPr>
      <w:r>
        <w:rPr>
          <w:rFonts w:hint="cs"/>
          <w:rtl/>
        </w:rPr>
        <w:t>ق4-02</w:t>
      </w:r>
      <w:r>
        <w:rPr>
          <w:rtl/>
        </w:rPr>
        <w:tab/>
      </w:r>
      <w:r w:rsidR="00AF7837">
        <w:rPr>
          <w:rFonts w:hint="cs"/>
          <w:rtl/>
        </w:rPr>
        <w:t xml:space="preserve">وفيما يخص مسؤوليات الإدارة المختصة، </w:t>
      </w:r>
      <w:r w:rsidR="00F23D65">
        <w:rPr>
          <w:rFonts w:hint="cs"/>
          <w:rtl/>
        </w:rPr>
        <w:t>يُشار</w:t>
      </w:r>
      <w:r w:rsidR="00AF7837">
        <w:rPr>
          <w:rFonts w:hint="cs"/>
          <w:rtl/>
        </w:rPr>
        <w:t xml:space="preserve"> </w:t>
      </w:r>
      <w:r w:rsidR="00554CCA">
        <w:rPr>
          <w:rFonts w:hint="cs"/>
          <w:rtl/>
        </w:rPr>
        <w:t xml:space="preserve">إلى </w:t>
      </w:r>
      <w:r w:rsidR="00AF7837">
        <w:rPr>
          <w:rFonts w:hint="cs"/>
          <w:rtl/>
        </w:rPr>
        <w:t>المادة</w:t>
      </w:r>
      <w:r w:rsidR="00554CCA">
        <w:rPr>
          <w:rFonts w:hint="eastAsia"/>
          <w:rtl/>
        </w:rPr>
        <w:t> </w:t>
      </w:r>
      <w:r w:rsidR="00AF7837">
        <w:rPr>
          <w:rFonts w:hint="cs"/>
          <w:rtl/>
        </w:rPr>
        <w:t>3 من اتفاق لشبونة المراجع. وبالإضافة إلى ذلك، توضّح القاعدة</w:t>
      </w:r>
      <w:r w:rsidR="00F23D65">
        <w:rPr>
          <w:rFonts w:hint="eastAsia"/>
          <w:rtl/>
        </w:rPr>
        <w:t> </w:t>
      </w:r>
      <w:r w:rsidR="00AF7837">
        <w:rPr>
          <w:rFonts w:hint="cs"/>
          <w:rtl/>
        </w:rPr>
        <w:t>4(1) لزوم الإخطار، فور الانضمام، ب</w:t>
      </w:r>
      <w:r w:rsidR="00AF7837" w:rsidRPr="00E63B71">
        <w:rPr>
          <w:rFonts w:hint="cs"/>
          <w:rtl/>
        </w:rPr>
        <w:t xml:space="preserve">اسم </w:t>
      </w:r>
      <w:r w:rsidR="00AF7837">
        <w:rPr>
          <w:rFonts w:hint="cs"/>
          <w:rtl/>
        </w:rPr>
        <w:t>الإدارة المختصة وتفاصيل الاتصال الخاصة بتلك الإدارة.</w:t>
      </w:r>
    </w:p>
    <w:p w:rsidR="00AF7837" w:rsidRDefault="00AF7837" w:rsidP="00F23D65">
      <w:pPr>
        <w:pStyle w:val="NormalParaAR"/>
        <w:rPr>
          <w:rtl/>
        </w:rPr>
      </w:pPr>
      <w:r>
        <w:rPr>
          <w:rFonts w:hint="cs"/>
          <w:rtl/>
        </w:rPr>
        <w:t>ق4-03</w:t>
      </w:r>
      <w:r>
        <w:rPr>
          <w:rtl/>
        </w:rPr>
        <w:tab/>
      </w:r>
      <w:r w:rsidR="00F23D65">
        <w:rPr>
          <w:rFonts w:hint="cs"/>
          <w:rtl/>
        </w:rPr>
        <w:t>و</w:t>
      </w:r>
      <w:r w:rsidR="00554CCA">
        <w:rPr>
          <w:rFonts w:hint="cs"/>
          <w:rtl/>
        </w:rPr>
        <w:t>ينبغي النظر إلى الفقرة</w:t>
      </w:r>
      <w:r w:rsidR="00F23D65">
        <w:rPr>
          <w:rFonts w:hint="eastAsia"/>
          <w:rtl/>
        </w:rPr>
        <w:t> </w:t>
      </w:r>
      <w:r w:rsidR="00554CCA">
        <w:rPr>
          <w:rFonts w:hint="cs"/>
          <w:rtl/>
        </w:rPr>
        <w:t xml:space="preserve">(2) مع مراعاة </w:t>
      </w:r>
      <w:r w:rsidR="00511BE7">
        <w:rPr>
          <w:rFonts w:hint="cs"/>
          <w:rtl/>
        </w:rPr>
        <w:t>احتمال أن يكون هناك، على خلاف ما يوجد في مجالات الملكية الصناعية الأخرى، أكثر من إدارة واحدة في طرف متعاقد تكون مسؤولة عن منح الحماية فيما يخص تسمية المنشأ. فيمك</w:t>
      </w:r>
      <w:r w:rsidR="00F23D65">
        <w:rPr>
          <w:rFonts w:hint="cs"/>
          <w:rtl/>
        </w:rPr>
        <w:t>ن</w:t>
      </w:r>
      <w:r w:rsidR="00511BE7">
        <w:rPr>
          <w:rFonts w:hint="cs"/>
          <w:rtl/>
        </w:rPr>
        <w:t>، على سبيل المثال، أن تنطبق أنظمة حماية مختلفة في طرف متعاقد فيما يتعلق بتسميات المنشأ و/أو البيانات الجغرافية، وقد تكون إدارات مختلفة مُخوّلة لتنفيذ أنظمة الحماية المختلفة المذكورة. وعلاوة على ذلك وكما أشير إليه في الدورة الثامنة للفريق العامل، قد تكون بعض اختصاصات الإدارة المختصة فُوّضت، بموجب التشريع الإقليمي لمنظمة حكومية دولية، لإدارات أخرى، مثل الإدارة المختصة لدولة عضو في منظمة حكومية دولية (الفقرة</w:t>
      </w:r>
      <w:r w:rsidR="00511BE7">
        <w:rPr>
          <w:rFonts w:hint="eastAsia"/>
          <w:rtl/>
        </w:rPr>
        <w:t> </w:t>
      </w:r>
      <w:r w:rsidR="00511BE7">
        <w:rPr>
          <w:rFonts w:hint="cs"/>
          <w:rtl/>
        </w:rPr>
        <w:t>41 من الوثيقة</w:t>
      </w:r>
      <w:r w:rsidR="00511BE7">
        <w:rPr>
          <w:rFonts w:hint="eastAsia"/>
          <w:rtl/>
        </w:rPr>
        <w:t> </w:t>
      </w:r>
      <w:r w:rsidR="00511BE7" w:rsidRPr="00511BE7">
        <w:t>LI/WG/DEV/8/7 Prov</w:t>
      </w:r>
      <w:r w:rsidR="00511BE7">
        <w:t>.</w:t>
      </w:r>
      <w:r w:rsidR="00511BE7">
        <w:rPr>
          <w:rFonts w:hint="cs"/>
          <w:rtl/>
        </w:rPr>
        <w:t>).</w:t>
      </w:r>
    </w:p>
    <w:p w:rsidR="00511BE7" w:rsidRDefault="00511BE7" w:rsidP="00511BE7">
      <w:pPr>
        <w:pStyle w:val="NormalParaAR"/>
        <w:rPr>
          <w:rtl/>
        </w:rPr>
      </w:pPr>
      <w:r>
        <w:rPr>
          <w:rFonts w:hint="cs"/>
          <w:rtl/>
        </w:rPr>
        <w:t>ق4-04</w:t>
      </w:r>
      <w:r>
        <w:rPr>
          <w:rtl/>
        </w:rPr>
        <w:tab/>
      </w:r>
      <w:r w:rsidR="00E205A5">
        <w:rPr>
          <w:rFonts w:hint="cs"/>
          <w:rtl/>
        </w:rPr>
        <w:t>وصيغت الفقرة (3) على أساس التجربة العملية للمكتب الدولي فيما يخص التغييرات التي تطرأ على اسم الإدارة المختصة وتفاصيل الاتصال الخاصة بها.</w:t>
      </w:r>
    </w:p>
    <w:p w:rsidR="00E205A5" w:rsidRPr="00E205A5" w:rsidRDefault="00E205A5" w:rsidP="00007DB7">
      <w:pPr>
        <w:pStyle w:val="NormalParaAR"/>
        <w:keepNext/>
        <w:rPr>
          <w:b/>
          <w:bCs/>
          <w:rtl/>
        </w:rPr>
      </w:pPr>
      <w:r w:rsidRPr="00E205A5">
        <w:rPr>
          <w:b/>
          <w:bCs/>
          <w:rtl/>
        </w:rPr>
        <w:t>ملاحظات على القاعدة 5:</w:t>
      </w:r>
      <w:r w:rsidRPr="00E205A5">
        <w:rPr>
          <w:b/>
          <w:bCs/>
          <w:rtl/>
        </w:rPr>
        <w:tab/>
        <w:t>الشروط المتعلقة بالطلب</w:t>
      </w:r>
    </w:p>
    <w:p w:rsidR="00E205A5" w:rsidRDefault="007E61B4" w:rsidP="00ED39E5">
      <w:pPr>
        <w:pStyle w:val="NormalParaAR"/>
        <w:rPr>
          <w:rtl/>
        </w:rPr>
      </w:pPr>
      <w:r>
        <w:rPr>
          <w:rFonts w:hint="cs"/>
          <w:rtl/>
        </w:rPr>
        <w:t>ق5-01</w:t>
      </w:r>
      <w:r>
        <w:rPr>
          <w:rtl/>
        </w:rPr>
        <w:tab/>
      </w:r>
      <w:r w:rsidR="001B798B">
        <w:rPr>
          <w:rFonts w:hint="cs"/>
          <w:rtl/>
        </w:rPr>
        <w:t>تتوافق الفقرة</w:t>
      </w:r>
      <w:r w:rsidR="001B798B">
        <w:rPr>
          <w:rFonts w:hint="eastAsia"/>
          <w:rtl/>
        </w:rPr>
        <w:t> </w:t>
      </w:r>
      <w:r w:rsidR="001B798B">
        <w:rPr>
          <w:rFonts w:hint="cs"/>
          <w:rtl/>
        </w:rPr>
        <w:t>(1) مع القاعدة</w:t>
      </w:r>
      <w:r w:rsidR="001B798B">
        <w:rPr>
          <w:rFonts w:hint="eastAsia"/>
          <w:rtl/>
        </w:rPr>
        <w:t> </w:t>
      </w:r>
      <w:r w:rsidR="001B798B">
        <w:rPr>
          <w:rFonts w:hint="cs"/>
          <w:rtl/>
        </w:rPr>
        <w:t xml:space="preserve">5(1) من اللائحة التنفيذية الراهنة لاتفاق لشبونة، </w:t>
      </w:r>
      <w:r w:rsidR="00ED39E5">
        <w:rPr>
          <w:rFonts w:hint="cs"/>
          <w:rtl/>
        </w:rPr>
        <w:t xml:space="preserve">وقد كُيّفت </w:t>
      </w:r>
      <w:r w:rsidR="001B798B">
        <w:rPr>
          <w:rFonts w:hint="cs"/>
          <w:rtl/>
        </w:rPr>
        <w:t>وفقا لأحكام مشروع اتفاق لشبونة المراجع.</w:t>
      </w:r>
    </w:p>
    <w:p w:rsidR="001B798B" w:rsidRDefault="001B798B" w:rsidP="00F434F4">
      <w:pPr>
        <w:pStyle w:val="NormalParaAR"/>
        <w:rPr>
          <w:rtl/>
        </w:rPr>
      </w:pPr>
      <w:r>
        <w:rPr>
          <w:rFonts w:hint="cs"/>
          <w:rtl/>
        </w:rPr>
        <w:t>ق5-02</w:t>
      </w:r>
      <w:r>
        <w:rPr>
          <w:rtl/>
        </w:rPr>
        <w:tab/>
      </w:r>
      <w:r>
        <w:rPr>
          <w:rFonts w:hint="cs"/>
          <w:rtl/>
        </w:rPr>
        <w:t>وتتوافق أحكام الفقرتين</w:t>
      </w:r>
      <w:r>
        <w:rPr>
          <w:rFonts w:hint="eastAsia"/>
          <w:rtl/>
        </w:rPr>
        <w:t> </w:t>
      </w:r>
      <w:r>
        <w:rPr>
          <w:rFonts w:hint="cs"/>
          <w:rtl/>
        </w:rPr>
        <w:t>(2) و(5) مع أحكام الفقرتين</w:t>
      </w:r>
      <w:r>
        <w:rPr>
          <w:rFonts w:hint="eastAsia"/>
          <w:rtl/>
        </w:rPr>
        <w:t> </w:t>
      </w:r>
      <w:r>
        <w:rPr>
          <w:rFonts w:hint="cs"/>
          <w:rtl/>
        </w:rPr>
        <w:t>(2) و(3) من القاعدة</w:t>
      </w:r>
      <w:r>
        <w:rPr>
          <w:rFonts w:hint="eastAsia"/>
          <w:rtl/>
        </w:rPr>
        <w:t> </w:t>
      </w:r>
      <w:r>
        <w:rPr>
          <w:rFonts w:hint="cs"/>
          <w:rtl/>
        </w:rPr>
        <w:t xml:space="preserve">5 من اللائحة التنفيذية الراهنة لاتفاق لشبونة، </w:t>
      </w:r>
      <w:r w:rsidR="00F434F4">
        <w:rPr>
          <w:rFonts w:hint="cs"/>
          <w:rtl/>
        </w:rPr>
        <w:t xml:space="preserve">وقد كُيّفت </w:t>
      </w:r>
      <w:r>
        <w:rPr>
          <w:rFonts w:hint="cs"/>
          <w:rtl/>
        </w:rPr>
        <w:t>وفقا لأحكام المادة</w:t>
      </w:r>
      <w:r>
        <w:rPr>
          <w:rFonts w:hint="eastAsia"/>
          <w:rtl/>
        </w:rPr>
        <w:t> </w:t>
      </w:r>
      <w:r>
        <w:rPr>
          <w:rFonts w:hint="cs"/>
          <w:rtl/>
        </w:rPr>
        <w:t>5 من مشروع اتفاق لشبونة المراجع. وبموجب البند "7" من الفقرة</w:t>
      </w:r>
      <w:r w:rsidR="00EF77F3">
        <w:rPr>
          <w:rFonts w:hint="eastAsia"/>
          <w:rtl/>
        </w:rPr>
        <w:t> </w:t>
      </w:r>
      <w:r>
        <w:rPr>
          <w:rFonts w:hint="cs"/>
          <w:rtl/>
        </w:rPr>
        <w:t>(2)</w:t>
      </w:r>
      <w:r w:rsidR="00EF77F3">
        <w:rPr>
          <w:rFonts w:hint="cs"/>
          <w:rtl/>
        </w:rPr>
        <w:t>(أ)، عندما ينص بلد المنشأ على تسجيل تسميات</w:t>
      </w:r>
      <w:r w:rsidR="000F2D6C">
        <w:rPr>
          <w:rFonts w:hint="cs"/>
          <w:rtl/>
        </w:rPr>
        <w:t xml:space="preserve"> المنشأ أو البيانات الجغرافية، </w:t>
      </w:r>
      <w:r w:rsidR="00EF77F3">
        <w:rPr>
          <w:rFonts w:hint="cs"/>
          <w:rtl/>
        </w:rPr>
        <w:t xml:space="preserve">ينبغي أن يبيّن الطلب تاريخ ورقم التسجيل الذي تتمتع تسمية المنشأ أو يتمتع البيان الجغرافي بموجبه بالحماية في بلد المنشأ. وعندما يمنح طرف متعاقد الحماية بموجب طرق أخرى، مثل المراسيم </w:t>
      </w:r>
      <w:r w:rsidR="000F2D6C">
        <w:rPr>
          <w:rFonts w:hint="cs"/>
          <w:rtl/>
        </w:rPr>
        <w:t xml:space="preserve">الوزارية أو القرارات القضائية، </w:t>
      </w:r>
      <w:r w:rsidR="00EF77F3">
        <w:rPr>
          <w:rFonts w:hint="cs"/>
          <w:rtl/>
        </w:rPr>
        <w:t>ينبغي أن يبيّن الطلب عنوان وتاريخ ذلك المرسوم أو القرار.</w:t>
      </w:r>
    </w:p>
    <w:p w:rsidR="00D22065" w:rsidRDefault="00D22065" w:rsidP="001A2C19">
      <w:pPr>
        <w:pStyle w:val="NormalParaAR"/>
        <w:rPr>
          <w:rtl/>
        </w:rPr>
      </w:pPr>
      <w:r>
        <w:rPr>
          <w:rFonts w:hint="cs"/>
          <w:rtl/>
        </w:rPr>
        <w:lastRenderedPageBreak/>
        <w:t>ق5-03</w:t>
      </w:r>
      <w:r>
        <w:rPr>
          <w:rtl/>
        </w:rPr>
        <w:tab/>
      </w:r>
      <w:r w:rsidR="005F0B59">
        <w:rPr>
          <w:rFonts w:hint="cs"/>
          <w:rtl/>
        </w:rPr>
        <w:t xml:space="preserve">ونتيجة المناقشات التي </w:t>
      </w:r>
      <w:r w:rsidR="001A2C19">
        <w:rPr>
          <w:rFonts w:hint="cs"/>
          <w:rtl/>
        </w:rPr>
        <w:t>جرت</w:t>
      </w:r>
      <w:r w:rsidR="005F0B59">
        <w:rPr>
          <w:rFonts w:hint="cs"/>
          <w:rtl/>
        </w:rPr>
        <w:t xml:space="preserve"> في الدورة التاسعة للفريق العامل، </w:t>
      </w:r>
      <w:r w:rsidR="00F4310D">
        <w:rPr>
          <w:rFonts w:hint="cs"/>
          <w:rtl/>
        </w:rPr>
        <w:t>لم تعد القاعدة</w:t>
      </w:r>
      <w:r w:rsidR="00F4310D">
        <w:rPr>
          <w:rFonts w:hint="eastAsia"/>
          <w:rtl/>
        </w:rPr>
        <w:t> </w:t>
      </w:r>
      <w:r w:rsidR="00F4310D">
        <w:rPr>
          <w:rFonts w:hint="cs"/>
          <w:rtl/>
        </w:rPr>
        <w:t xml:space="preserve">5(5) تنص على إمكانية إدراج ترجمات تسمية </w:t>
      </w:r>
      <w:r w:rsidR="00E70A11">
        <w:rPr>
          <w:rFonts w:hint="cs"/>
          <w:rtl/>
        </w:rPr>
        <w:t xml:space="preserve">المنشأ أو </w:t>
      </w:r>
      <w:r w:rsidR="00F328A5">
        <w:rPr>
          <w:rFonts w:hint="cs"/>
          <w:rtl/>
        </w:rPr>
        <w:t xml:space="preserve">البيان الجغرافي </w:t>
      </w:r>
      <w:r w:rsidR="00F238A3">
        <w:rPr>
          <w:rFonts w:hint="cs"/>
          <w:rtl/>
        </w:rPr>
        <w:t>في الطلب من غير ما هو مطلوب بموجب القاعدة</w:t>
      </w:r>
      <w:r w:rsidR="00F238A3">
        <w:rPr>
          <w:rFonts w:hint="eastAsia"/>
          <w:rtl/>
        </w:rPr>
        <w:t> </w:t>
      </w:r>
      <w:r w:rsidR="00F238A3">
        <w:rPr>
          <w:rFonts w:hint="cs"/>
          <w:rtl/>
        </w:rPr>
        <w:t xml:space="preserve">5(2)(أ)"4". </w:t>
      </w:r>
      <w:r w:rsidR="001A2C19">
        <w:rPr>
          <w:rFonts w:hint="cs"/>
          <w:rtl/>
        </w:rPr>
        <w:t>ولكن</w:t>
      </w:r>
      <w:r w:rsidR="00F238A3">
        <w:rPr>
          <w:rFonts w:hint="cs"/>
          <w:rtl/>
        </w:rPr>
        <w:t xml:space="preserve"> ينبغي الإشارة إلى أنّه بمقتضى المادة</w:t>
      </w:r>
      <w:r w:rsidR="00F238A3">
        <w:rPr>
          <w:rFonts w:hint="eastAsia"/>
          <w:rtl/>
        </w:rPr>
        <w:t> </w:t>
      </w:r>
      <w:r w:rsidR="00F238A3">
        <w:rPr>
          <w:rFonts w:hint="cs"/>
          <w:rtl/>
        </w:rPr>
        <w:t xml:space="preserve">11 من اتفاق لشبونة المراجع </w:t>
      </w:r>
      <w:r w:rsidR="00F238A3">
        <w:rPr>
          <w:rtl/>
        </w:rPr>
        <w:t>–</w:t>
      </w:r>
      <w:r w:rsidR="00F238A3">
        <w:rPr>
          <w:rFonts w:hint="cs"/>
          <w:rtl/>
        </w:rPr>
        <w:t xml:space="preserve"> وبمقتضى المادة</w:t>
      </w:r>
      <w:r w:rsidR="00F238A3">
        <w:rPr>
          <w:rFonts w:hint="eastAsia"/>
          <w:rtl/>
        </w:rPr>
        <w:t> </w:t>
      </w:r>
      <w:r w:rsidR="00F238A3">
        <w:rPr>
          <w:rFonts w:hint="cs"/>
          <w:rtl/>
        </w:rPr>
        <w:t xml:space="preserve">3 من اتفاق لشبونة الراهن </w:t>
      </w:r>
      <w:r w:rsidR="00F238A3">
        <w:rPr>
          <w:rtl/>
        </w:rPr>
        <w:t>–</w:t>
      </w:r>
      <w:r w:rsidR="00F238A3">
        <w:rPr>
          <w:rFonts w:hint="cs"/>
          <w:rtl/>
        </w:rPr>
        <w:t xml:space="preserve"> يجب حماية تسميات المنشأ والبيانات الجغرافية من عدة أمور منها استخدامها في شكل ترجمة.</w:t>
      </w:r>
    </w:p>
    <w:p w:rsidR="00F238A3" w:rsidRDefault="00F238A3" w:rsidP="00D055F2">
      <w:pPr>
        <w:pStyle w:val="NormalParaAR"/>
        <w:rPr>
          <w:rtl/>
        </w:rPr>
      </w:pPr>
      <w:r>
        <w:rPr>
          <w:rFonts w:hint="cs"/>
          <w:rtl/>
        </w:rPr>
        <w:t>ق5-04</w:t>
      </w:r>
      <w:r>
        <w:rPr>
          <w:rtl/>
        </w:rPr>
        <w:tab/>
      </w:r>
      <w:r>
        <w:rPr>
          <w:rFonts w:hint="cs"/>
          <w:rtl/>
        </w:rPr>
        <w:t xml:space="preserve">وأضيفت </w:t>
      </w:r>
      <w:r w:rsidR="00236341">
        <w:rPr>
          <w:rFonts w:hint="cs"/>
          <w:rtl/>
        </w:rPr>
        <w:t xml:space="preserve">الكلمتان </w:t>
      </w:r>
      <w:r>
        <w:rPr>
          <w:rFonts w:hint="cs"/>
          <w:rtl/>
        </w:rPr>
        <w:t>الواردتان بين قوسين مرب</w:t>
      </w:r>
      <w:r w:rsidR="00D055F2">
        <w:rPr>
          <w:rFonts w:hint="cs"/>
          <w:rtl/>
        </w:rPr>
        <w:t>ّ</w:t>
      </w:r>
      <w:r>
        <w:rPr>
          <w:rFonts w:hint="cs"/>
          <w:rtl/>
        </w:rPr>
        <w:t xml:space="preserve">عين </w:t>
      </w:r>
      <w:r w:rsidR="00236341">
        <w:rPr>
          <w:rFonts w:hint="cs"/>
          <w:rtl/>
        </w:rPr>
        <w:t>في القاعدة</w:t>
      </w:r>
      <w:r w:rsidR="00236341">
        <w:rPr>
          <w:rFonts w:hint="eastAsia"/>
          <w:rtl/>
        </w:rPr>
        <w:t> </w:t>
      </w:r>
      <w:r w:rsidR="00236341">
        <w:rPr>
          <w:rFonts w:hint="cs"/>
          <w:rtl/>
        </w:rPr>
        <w:t xml:space="preserve">5(3) وهما "[يمكن]" و"[يجوز]" نتيجة المناقشات التي </w:t>
      </w:r>
      <w:r w:rsidR="00D055F2">
        <w:rPr>
          <w:rFonts w:hint="cs"/>
          <w:rtl/>
        </w:rPr>
        <w:t>جرت</w:t>
      </w:r>
      <w:r w:rsidR="00236341">
        <w:rPr>
          <w:rFonts w:hint="cs"/>
          <w:rtl/>
        </w:rPr>
        <w:t xml:space="preserve"> في الدورة الثامنة للفريق العامل، ممّا أدى إلى الجمع بين أحكام الخيارين ألف وباء فيما يخص القاعدة</w:t>
      </w:r>
      <w:r w:rsidR="00236341">
        <w:rPr>
          <w:rFonts w:hint="eastAsia"/>
          <w:rtl/>
        </w:rPr>
        <w:t> </w:t>
      </w:r>
      <w:r w:rsidR="00236341">
        <w:rPr>
          <w:rFonts w:hint="cs"/>
          <w:rtl/>
        </w:rPr>
        <w:t>5، بالصيغة الواردة في النسخ السابقة لمشروع اللائحة التنفيذية. ويستند الحكم إلى القاعدة</w:t>
      </w:r>
      <w:r w:rsidR="00236341">
        <w:rPr>
          <w:rFonts w:hint="eastAsia"/>
          <w:rtl/>
        </w:rPr>
        <w:t> </w:t>
      </w:r>
      <w:r w:rsidR="00236341">
        <w:rPr>
          <w:rFonts w:hint="cs"/>
          <w:rtl/>
        </w:rPr>
        <w:t xml:space="preserve">5(3)"6" من </w:t>
      </w:r>
      <w:r w:rsidR="00B5384F">
        <w:rPr>
          <w:rFonts w:hint="cs"/>
          <w:rtl/>
        </w:rPr>
        <w:t>اللائحة التنفيذية الراهنة لاتفاق لشبونة، وهي بمثابة الحكم الخياري الذي اعتمدته جمعية ات</w:t>
      </w:r>
      <w:r w:rsidR="00D055F2">
        <w:rPr>
          <w:rFonts w:hint="cs"/>
          <w:rtl/>
        </w:rPr>
        <w:t>حاد لشبونة في سبتمبر 2011 و</w:t>
      </w:r>
      <w:r w:rsidR="00B5384F">
        <w:rPr>
          <w:rFonts w:hint="cs"/>
          <w:rtl/>
        </w:rPr>
        <w:t>لم يدخل حيّز النفاذ إلاّ منذ 1</w:t>
      </w:r>
      <w:r w:rsidR="00B5384F">
        <w:rPr>
          <w:rFonts w:hint="eastAsia"/>
          <w:rtl/>
        </w:rPr>
        <w:t> </w:t>
      </w:r>
      <w:r w:rsidR="00B5384F">
        <w:rPr>
          <w:rFonts w:hint="cs"/>
          <w:rtl/>
        </w:rPr>
        <w:t>يناير</w:t>
      </w:r>
      <w:r w:rsidR="00D055F2">
        <w:rPr>
          <w:rFonts w:hint="eastAsia"/>
          <w:rtl/>
        </w:rPr>
        <w:t> </w:t>
      </w:r>
      <w:r w:rsidR="00B5384F">
        <w:rPr>
          <w:rFonts w:hint="cs"/>
          <w:rtl/>
        </w:rPr>
        <w:t>2012. وبالنظ</w:t>
      </w:r>
      <w:r w:rsidR="00D055F2">
        <w:rPr>
          <w:rFonts w:hint="cs"/>
          <w:rtl/>
        </w:rPr>
        <w:t>ر إلى الطبيعة الجوهرية للمعلومات</w:t>
      </w:r>
      <w:r w:rsidR="00B5384F">
        <w:rPr>
          <w:rFonts w:hint="cs"/>
          <w:rtl/>
        </w:rPr>
        <w:t xml:space="preserve"> المعنية بموجب التشريعات الوطنية والإقليمية لعدد من الوفود، اقترحت تلك الوفود أن يكون ذلك الحكم إلزاميا. ورأت وفود أخرى أنّ المعلومات ليست مطلوبة بموجب تشريعات العديد من البلدان الأخرى وبالتالي ينبغي أن يظلّ الحكم خياريا. واُشير، في الدورتين الثامنة والتاسعة للفريق العامل، إلى </w:t>
      </w:r>
      <w:r w:rsidR="00885AFD">
        <w:rPr>
          <w:rFonts w:hint="cs"/>
          <w:rtl/>
        </w:rPr>
        <w:t>القاعدة</w:t>
      </w:r>
      <w:r w:rsidR="00885AFD">
        <w:rPr>
          <w:rFonts w:hint="eastAsia"/>
          <w:rtl/>
        </w:rPr>
        <w:t> </w:t>
      </w:r>
      <w:r w:rsidR="00885AFD">
        <w:rPr>
          <w:rFonts w:hint="cs"/>
          <w:rtl/>
        </w:rPr>
        <w:t xml:space="preserve">7(2) من اللائحة التنفيذية المشتركة بين اتفاق مدريد وبروتوكوله باعتبارها نموذجا يُقتدى به في هذا الصدد. ويمكن الجمع بين ذلك الاقتراح وبين </w:t>
      </w:r>
      <w:r w:rsidR="00E856D2">
        <w:rPr>
          <w:rFonts w:hint="cs"/>
          <w:rtl/>
        </w:rPr>
        <w:t>نسق</w:t>
      </w:r>
      <w:r w:rsidR="00885AFD">
        <w:rPr>
          <w:rFonts w:hint="cs"/>
          <w:rtl/>
        </w:rPr>
        <w:t xml:space="preserve"> المادة</w:t>
      </w:r>
      <w:r w:rsidR="00885AFD">
        <w:rPr>
          <w:rFonts w:hint="eastAsia"/>
          <w:rtl/>
        </w:rPr>
        <w:t> </w:t>
      </w:r>
      <w:r w:rsidR="00885AFD">
        <w:rPr>
          <w:rFonts w:hint="cs"/>
          <w:rtl/>
        </w:rPr>
        <w:t>7(5) من مشروع اتفاق لشبونة المراجع. وبالتالي يمكن لطرف متعاقد إرسال إعلان إلى المدير العام يفيد فيه بأنّ المعلومات المنصوص عليها في الفقرة</w:t>
      </w:r>
      <w:r w:rsidR="00885AFD">
        <w:rPr>
          <w:rFonts w:hint="eastAsia"/>
          <w:rtl/>
        </w:rPr>
        <w:t> </w:t>
      </w:r>
      <w:r w:rsidR="00885AFD">
        <w:rPr>
          <w:rFonts w:hint="cs"/>
          <w:rtl/>
        </w:rPr>
        <w:t>(3) مطلوبة بموجب تشريعاته وينبغي إخطاره بها عند إخطاره بالتسجيل الدولي.</w:t>
      </w:r>
      <w:r w:rsidR="00F33614">
        <w:rPr>
          <w:rFonts w:hint="cs"/>
          <w:rtl/>
        </w:rPr>
        <w:t xml:space="preserve"> وسيكون عدم توفير المعلومات بمثابة تخلٍ عن الحماية بموجب القاعدة</w:t>
      </w:r>
      <w:r w:rsidR="00F33614">
        <w:rPr>
          <w:rFonts w:hint="eastAsia"/>
          <w:rtl/>
        </w:rPr>
        <w:t> </w:t>
      </w:r>
      <w:r w:rsidR="00F33614">
        <w:rPr>
          <w:rFonts w:hint="cs"/>
          <w:rtl/>
        </w:rPr>
        <w:t>16. وبالإضافة إلى ذلك، يمكن أن تنص الفقرة</w:t>
      </w:r>
      <w:r w:rsidR="00F33614">
        <w:rPr>
          <w:rFonts w:hint="eastAsia"/>
          <w:rtl/>
        </w:rPr>
        <w:t> </w:t>
      </w:r>
      <w:r w:rsidR="00F33614">
        <w:rPr>
          <w:rFonts w:hint="cs"/>
          <w:rtl/>
        </w:rPr>
        <w:t>(3) على إمكانية توفير المعلومات لاحقا، في سياق سحب إعلان التخلي عن الحماية بموجب القاعدة</w:t>
      </w:r>
      <w:r w:rsidR="00F33614">
        <w:rPr>
          <w:rFonts w:hint="eastAsia"/>
          <w:rtl/>
        </w:rPr>
        <w:t> </w:t>
      </w:r>
      <w:r w:rsidR="00F33614">
        <w:rPr>
          <w:rFonts w:hint="cs"/>
          <w:rtl/>
        </w:rPr>
        <w:t>16(2).</w:t>
      </w:r>
    </w:p>
    <w:p w:rsidR="00A46B9D" w:rsidRDefault="00082439" w:rsidP="00F9355F">
      <w:pPr>
        <w:pStyle w:val="NormalParaAR"/>
        <w:rPr>
          <w:rtl/>
        </w:rPr>
      </w:pPr>
      <w:r>
        <w:rPr>
          <w:rFonts w:hint="cs"/>
          <w:rtl/>
        </w:rPr>
        <w:t>ق5-5</w:t>
      </w:r>
      <w:r>
        <w:rPr>
          <w:rtl/>
        </w:rPr>
        <w:tab/>
      </w:r>
      <w:r w:rsidR="00862233">
        <w:rPr>
          <w:rFonts w:hint="cs"/>
          <w:rtl/>
        </w:rPr>
        <w:t>و</w:t>
      </w:r>
      <w:r w:rsidR="007A234B">
        <w:rPr>
          <w:rFonts w:hint="cs"/>
          <w:rtl/>
        </w:rPr>
        <w:t>تسعى القاعدة</w:t>
      </w:r>
      <w:r w:rsidR="007A234B">
        <w:rPr>
          <w:rFonts w:hint="eastAsia"/>
          <w:rtl/>
        </w:rPr>
        <w:t> </w:t>
      </w:r>
      <w:r w:rsidR="007A234B">
        <w:rPr>
          <w:rFonts w:hint="cs"/>
          <w:rtl/>
        </w:rPr>
        <w:t>5(4) إلى ال</w:t>
      </w:r>
      <w:r w:rsidR="00F9355F">
        <w:rPr>
          <w:rFonts w:hint="cs"/>
          <w:rtl/>
        </w:rPr>
        <w:t>ت</w:t>
      </w:r>
      <w:r w:rsidR="007A234B">
        <w:rPr>
          <w:rFonts w:hint="cs"/>
          <w:rtl/>
        </w:rPr>
        <w:t xml:space="preserve">كيّف مع البلدان التي تكون فيها حماية تسميات المنشأ أو البيانات الجغرافية المُسجلة خاضعة لاشتراط من اشتراطات الاستخدام. ويُشار في هذا الصدد إلى المناقشات التي </w:t>
      </w:r>
      <w:r w:rsidR="00F9355F">
        <w:rPr>
          <w:rFonts w:hint="cs"/>
          <w:rtl/>
        </w:rPr>
        <w:t>جرت</w:t>
      </w:r>
      <w:r w:rsidR="007A234B">
        <w:rPr>
          <w:rFonts w:hint="cs"/>
          <w:rtl/>
        </w:rPr>
        <w:t xml:space="preserve"> في الدورة الثامنة للفريق العامل. وفي </w:t>
      </w:r>
      <w:r w:rsidR="009F28CE">
        <w:rPr>
          <w:rFonts w:hint="cs"/>
          <w:rtl/>
        </w:rPr>
        <w:t xml:space="preserve">السياق نفسه </w:t>
      </w:r>
      <w:r w:rsidR="007A234B">
        <w:rPr>
          <w:rFonts w:hint="cs"/>
          <w:rtl/>
        </w:rPr>
        <w:t xml:space="preserve">وعقب الشاغل الذي أثير في الدورة التاسعة للفريق العامل، </w:t>
      </w:r>
      <w:r w:rsidR="009F28CE">
        <w:rPr>
          <w:rFonts w:hint="cs"/>
          <w:rtl/>
        </w:rPr>
        <w:t>تسمح</w:t>
      </w:r>
      <w:r w:rsidR="007A234B">
        <w:rPr>
          <w:rFonts w:hint="cs"/>
          <w:rtl/>
        </w:rPr>
        <w:t xml:space="preserve"> القاعدة</w:t>
      </w:r>
      <w:r w:rsidR="007A234B">
        <w:rPr>
          <w:rFonts w:hint="eastAsia"/>
          <w:rtl/>
        </w:rPr>
        <w:t> </w:t>
      </w:r>
      <w:r w:rsidR="007A234B">
        <w:rPr>
          <w:rFonts w:hint="cs"/>
          <w:rtl/>
        </w:rPr>
        <w:t xml:space="preserve">5(4) للأطراف المتعاقدة التي تشترط أن يكون الطلب </w:t>
      </w:r>
      <w:r w:rsidR="007A234B" w:rsidRPr="007A234B">
        <w:rPr>
          <w:rFonts w:hint="cs"/>
          <w:rtl/>
        </w:rPr>
        <w:t>موقّعا من مالك تسمية المنشأ أو البيان الجغرافي، أو من يحق له استخدام أي منهما</w:t>
      </w:r>
      <w:r w:rsidR="007A234B">
        <w:rPr>
          <w:rFonts w:hint="cs"/>
          <w:rtl/>
        </w:rPr>
        <w:t xml:space="preserve">، </w:t>
      </w:r>
      <w:r w:rsidR="009F28CE">
        <w:rPr>
          <w:rFonts w:hint="cs"/>
          <w:rtl/>
        </w:rPr>
        <w:t>ب</w:t>
      </w:r>
      <w:r w:rsidR="009F28CE" w:rsidRPr="009F28CE">
        <w:rPr>
          <w:rFonts w:hint="cs"/>
          <w:rtl/>
        </w:rPr>
        <w:t>إخطار المدير العام بذلك الاشتراط</w:t>
      </w:r>
      <w:r w:rsidR="009F28CE">
        <w:rPr>
          <w:rFonts w:hint="cs"/>
          <w:rtl/>
        </w:rPr>
        <w:t>. وبالتالي يجوز، فيما يخص علامات التصديق مثلا، أن تكون هيئة التصديق هي المالك الذي يوقّع على الطلب وأن تعلن، في الوقت ذاته، أنّه يُزمع استخدام العلامة بحسن نية من قبل أشخاص مصرّح لهم من قبل تلك الهيئة. وفيما يخص بلد منشأ تكون فيه تسميات المنشأ أو البيانات الجغرافية ملكاً للدولة، أثير تساؤل حول ما إذا يحقّ للإدارة المختصة التوقيع على الطلب باسم الدولة، من أجل استيفاء اشتراط التوقيع في طرف متعاقد آخر.</w:t>
      </w:r>
    </w:p>
    <w:p w:rsidR="009F28CE" w:rsidRDefault="009F28CE" w:rsidP="00F9355F">
      <w:pPr>
        <w:pStyle w:val="NormalParaAR"/>
        <w:rPr>
          <w:rtl/>
        </w:rPr>
      </w:pPr>
      <w:r>
        <w:rPr>
          <w:rFonts w:hint="cs"/>
          <w:rtl/>
        </w:rPr>
        <w:t>ق5-06</w:t>
      </w:r>
      <w:r>
        <w:rPr>
          <w:rtl/>
        </w:rPr>
        <w:tab/>
      </w:r>
      <w:r w:rsidR="00862233">
        <w:rPr>
          <w:rFonts w:hint="cs"/>
          <w:rtl/>
        </w:rPr>
        <w:t>و</w:t>
      </w:r>
      <w:r>
        <w:rPr>
          <w:rFonts w:hint="cs"/>
          <w:rtl/>
        </w:rPr>
        <w:t>تمثّل القاعدة</w:t>
      </w:r>
      <w:r>
        <w:rPr>
          <w:rFonts w:hint="eastAsia"/>
          <w:rtl/>
        </w:rPr>
        <w:t> </w:t>
      </w:r>
      <w:r>
        <w:rPr>
          <w:rFonts w:hint="cs"/>
          <w:rtl/>
        </w:rPr>
        <w:t>5(5)"2" مسألة غير محسومة،</w:t>
      </w:r>
      <w:r w:rsidR="00F9355F">
        <w:rPr>
          <w:rFonts w:hint="cs"/>
          <w:rtl/>
        </w:rPr>
        <w:t xml:space="preserve"> إذ يُحتمل وجود حالات ينبغي أن ي</w:t>
      </w:r>
      <w:r>
        <w:rPr>
          <w:rFonts w:hint="cs"/>
          <w:rtl/>
        </w:rPr>
        <w:t xml:space="preserve">كون فيها </w:t>
      </w:r>
      <w:r w:rsidR="00F9355F">
        <w:rPr>
          <w:rFonts w:hint="cs"/>
          <w:rtl/>
        </w:rPr>
        <w:t>ذلك</w:t>
      </w:r>
      <w:r>
        <w:rPr>
          <w:rFonts w:hint="cs"/>
          <w:rtl/>
        </w:rPr>
        <w:t xml:space="preserve"> </w:t>
      </w:r>
      <w:r w:rsidR="00F9355F">
        <w:rPr>
          <w:rFonts w:hint="cs"/>
          <w:rtl/>
        </w:rPr>
        <w:t>البيان إلزاميا</w:t>
      </w:r>
      <w:r>
        <w:rPr>
          <w:rFonts w:hint="cs"/>
          <w:rtl/>
        </w:rPr>
        <w:t>، مثل الحالة المشار إليها في الحاشية</w:t>
      </w:r>
      <w:r>
        <w:rPr>
          <w:rFonts w:hint="eastAsia"/>
          <w:rtl/>
        </w:rPr>
        <w:t> </w:t>
      </w:r>
      <w:r>
        <w:rPr>
          <w:rFonts w:hint="cs"/>
          <w:rtl/>
        </w:rPr>
        <w:t>5 المتعلقة بالمادة</w:t>
      </w:r>
      <w:r>
        <w:rPr>
          <w:rFonts w:hint="eastAsia"/>
          <w:rtl/>
        </w:rPr>
        <w:t> </w:t>
      </w:r>
      <w:r>
        <w:rPr>
          <w:rFonts w:hint="cs"/>
          <w:rtl/>
        </w:rPr>
        <w:t xml:space="preserve">11. وكما نوقش في الدورة التاسعة للفريق العامل لن يتمكّن المكتب الدولي، مع ذلك، من التحقّق مما إذا كان ينبغي أن يحتوي الطلب على </w:t>
      </w:r>
      <w:r w:rsidR="00F9355F">
        <w:rPr>
          <w:rFonts w:hint="cs"/>
          <w:rtl/>
        </w:rPr>
        <w:t>بيان</w:t>
      </w:r>
      <w:r>
        <w:rPr>
          <w:rFonts w:hint="cs"/>
          <w:rtl/>
        </w:rPr>
        <w:t xml:space="preserve"> من هذا القبيل.</w:t>
      </w:r>
    </w:p>
    <w:p w:rsidR="00537FAB" w:rsidRPr="00537FAB" w:rsidRDefault="00537FAB" w:rsidP="00007DB7">
      <w:pPr>
        <w:pStyle w:val="NormalParaAR"/>
        <w:keepNext/>
        <w:rPr>
          <w:b/>
          <w:bCs/>
          <w:rtl/>
        </w:rPr>
      </w:pPr>
      <w:r w:rsidRPr="00537FAB">
        <w:rPr>
          <w:b/>
          <w:bCs/>
          <w:rtl/>
        </w:rPr>
        <w:t>ملاحظات على القاعدة 6:</w:t>
      </w:r>
      <w:r w:rsidRPr="00537FAB">
        <w:rPr>
          <w:b/>
          <w:bCs/>
          <w:rtl/>
        </w:rPr>
        <w:tab/>
        <w:t>الطلبات المخالفة للأصول</w:t>
      </w:r>
    </w:p>
    <w:p w:rsidR="00537FAB" w:rsidRDefault="00537FAB" w:rsidP="00F434F4">
      <w:pPr>
        <w:pStyle w:val="NormalParaAR"/>
        <w:rPr>
          <w:rtl/>
        </w:rPr>
      </w:pPr>
      <w:r>
        <w:rPr>
          <w:rFonts w:hint="cs"/>
          <w:rtl/>
        </w:rPr>
        <w:t>ق6-01</w:t>
      </w:r>
      <w:r>
        <w:rPr>
          <w:rtl/>
        </w:rPr>
        <w:tab/>
      </w:r>
      <w:r w:rsidRPr="00537FAB">
        <w:rPr>
          <w:rFonts w:hint="cs"/>
          <w:rtl/>
        </w:rPr>
        <w:t>أحكام هذه القاعدة مُستلهمة إلى حد كبير من الأحكام المتضمنة في القاعدة</w:t>
      </w:r>
      <w:r w:rsidRPr="00537FAB">
        <w:rPr>
          <w:rFonts w:hint="eastAsia"/>
          <w:rtl/>
        </w:rPr>
        <w:t> </w:t>
      </w:r>
      <w:r>
        <w:rPr>
          <w:rFonts w:hint="cs"/>
          <w:rtl/>
        </w:rPr>
        <w:t>6</w:t>
      </w:r>
      <w:r w:rsidRPr="00537FAB">
        <w:rPr>
          <w:rFonts w:hint="cs"/>
          <w:rtl/>
        </w:rPr>
        <w:t xml:space="preserve"> من اللائحة التنفيذية الراهنة لاتفاق لشبونة، </w:t>
      </w:r>
      <w:r w:rsidR="00F434F4">
        <w:rPr>
          <w:rFonts w:hint="cs"/>
          <w:rtl/>
        </w:rPr>
        <w:t>وقد كُيّفت</w:t>
      </w:r>
      <w:r w:rsidRPr="00537FAB">
        <w:rPr>
          <w:rFonts w:hint="cs"/>
          <w:rtl/>
        </w:rPr>
        <w:t xml:space="preserve"> وفقا لأحكام مشروع اتفاق لشبونة المراجع.</w:t>
      </w:r>
    </w:p>
    <w:p w:rsidR="00537FAB" w:rsidRPr="00537FAB" w:rsidRDefault="00537FAB" w:rsidP="00007DB7">
      <w:pPr>
        <w:pStyle w:val="NormalParaAR"/>
        <w:keepNext/>
        <w:rPr>
          <w:b/>
          <w:bCs/>
          <w:rtl/>
        </w:rPr>
      </w:pPr>
      <w:r w:rsidRPr="00537FAB">
        <w:rPr>
          <w:b/>
          <w:bCs/>
          <w:rtl/>
        </w:rPr>
        <w:t>ملاحظات على القاعدة 7:</w:t>
      </w:r>
      <w:r w:rsidRPr="00537FAB">
        <w:rPr>
          <w:b/>
          <w:bCs/>
          <w:rtl/>
        </w:rPr>
        <w:tab/>
        <w:t>التدوين في السجل الدولي</w:t>
      </w:r>
    </w:p>
    <w:p w:rsidR="00537FAB" w:rsidRDefault="00537FAB" w:rsidP="005F7EBF">
      <w:pPr>
        <w:pStyle w:val="NormalParaAR"/>
        <w:rPr>
          <w:rtl/>
        </w:rPr>
      </w:pPr>
      <w:r>
        <w:rPr>
          <w:rFonts w:hint="cs"/>
          <w:rtl/>
        </w:rPr>
        <w:t>ق7-01</w:t>
      </w:r>
      <w:r>
        <w:rPr>
          <w:rtl/>
        </w:rPr>
        <w:tab/>
      </w:r>
      <w:r w:rsidR="00B3373B">
        <w:rPr>
          <w:rFonts w:hint="cs"/>
          <w:rtl/>
        </w:rPr>
        <w:t>صيغت الفقرة</w:t>
      </w:r>
      <w:r w:rsidR="00B3373B">
        <w:rPr>
          <w:rFonts w:hint="eastAsia"/>
          <w:rtl/>
        </w:rPr>
        <w:t> </w:t>
      </w:r>
      <w:r w:rsidR="00B3373B">
        <w:rPr>
          <w:rFonts w:hint="cs"/>
          <w:rtl/>
        </w:rPr>
        <w:t xml:space="preserve">(1) على نسق </w:t>
      </w:r>
      <w:r w:rsidR="00854340">
        <w:rPr>
          <w:rFonts w:hint="cs"/>
          <w:rtl/>
        </w:rPr>
        <w:t>القاعدة</w:t>
      </w:r>
      <w:r w:rsidR="00854340">
        <w:rPr>
          <w:rFonts w:hint="eastAsia"/>
          <w:rtl/>
        </w:rPr>
        <w:t> </w:t>
      </w:r>
      <w:r w:rsidR="00854340">
        <w:rPr>
          <w:rFonts w:hint="cs"/>
          <w:rtl/>
        </w:rPr>
        <w:t>7(1) من اللائحة التنفيذي لاتفاق لشبونة ولكنّها كُيّفت لبلورة أنّ السجل الدولي سيتضمن التسجيلات السارية بموجب اتفاق لشبونة ووثيقة</w:t>
      </w:r>
      <w:r w:rsidR="00DE62C7">
        <w:rPr>
          <w:rFonts w:hint="eastAsia"/>
          <w:rtl/>
        </w:rPr>
        <w:t> </w:t>
      </w:r>
      <w:r w:rsidR="00854340">
        <w:rPr>
          <w:rFonts w:hint="cs"/>
          <w:rtl/>
        </w:rPr>
        <w:t xml:space="preserve">1967 وبموجب مشروع اتفاق لشبونة المراجع </w:t>
      </w:r>
      <w:r w:rsidR="00854340">
        <w:rPr>
          <w:rFonts w:hint="cs"/>
          <w:rtl/>
        </w:rPr>
        <w:lastRenderedPageBreak/>
        <w:t>على حد سواء (انظر الملاحظة</w:t>
      </w:r>
      <w:r w:rsidR="00854340">
        <w:rPr>
          <w:rFonts w:hint="eastAsia"/>
          <w:rtl/>
        </w:rPr>
        <w:t> </w:t>
      </w:r>
      <w:r w:rsidR="00854340">
        <w:rPr>
          <w:rFonts w:hint="cs"/>
          <w:rtl/>
        </w:rPr>
        <w:t>4-01 بخصوص مشروع اتفاق لشبونة المراجع، الوثيقة</w:t>
      </w:r>
      <w:r w:rsidR="00854340">
        <w:rPr>
          <w:rFonts w:hint="eastAsia"/>
          <w:rtl/>
        </w:rPr>
        <w:t> </w:t>
      </w:r>
      <w:r w:rsidR="00854340" w:rsidRPr="00854340">
        <w:t>LI/WG/DEV/7/4</w:t>
      </w:r>
      <w:r w:rsidR="00854340">
        <w:rPr>
          <w:rFonts w:hint="cs"/>
          <w:rtl/>
        </w:rPr>
        <w:t xml:space="preserve">). </w:t>
      </w:r>
      <w:r w:rsidR="00DE62C7">
        <w:rPr>
          <w:rFonts w:hint="cs"/>
          <w:rtl/>
        </w:rPr>
        <w:t>وطالما لم تنضم جميع الدول الأطراف في اتفاق لشبونة أو وثيقة</w:t>
      </w:r>
      <w:r w:rsidR="00DE62C7">
        <w:rPr>
          <w:rFonts w:hint="eastAsia"/>
          <w:rtl/>
        </w:rPr>
        <w:t> </w:t>
      </w:r>
      <w:r w:rsidR="00DE62C7">
        <w:rPr>
          <w:rFonts w:hint="cs"/>
          <w:rtl/>
        </w:rPr>
        <w:t>1967 إلى اتفاق لشبونة المراجع، فإنّ السجل الدولي ينبغي أن يبيّن الدول التي يخضع بخصوصها تسجيل ما لاتفاق لشبونة ووثيقة</w:t>
      </w:r>
      <w:r w:rsidR="005F7EBF">
        <w:rPr>
          <w:rFonts w:hint="eastAsia"/>
          <w:rtl/>
        </w:rPr>
        <w:t> </w:t>
      </w:r>
      <w:r w:rsidR="00DE62C7">
        <w:rPr>
          <w:rFonts w:hint="cs"/>
          <w:rtl/>
        </w:rPr>
        <w:t>1967 أو لاتفاق لشبونة المراجع. وبالطبع إذا كان طلب صادر في طرف متعاقد يُعد طرفا في كل من اتفاق لشبونة ووثيقة</w:t>
      </w:r>
      <w:r w:rsidR="005F7EBF">
        <w:rPr>
          <w:rFonts w:hint="eastAsia"/>
          <w:rtl/>
        </w:rPr>
        <w:t> </w:t>
      </w:r>
      <w:r w:rsidR="00DE62C7">
        <w:rPr>
          <w:rFonts w:hint="cs"/>
          <w:rtl/>
        </w:rPr>
        <w:t xml:space="preserve">1967 واتفاق لشبونة المراجع، </w:t>
      </w:r>
      <w:r w:rsidR="005F7EBF">
        <w:rPr>
          <w:rFonts w:hint="cs"/>
          <w:rtl/>
        </w:rPr>
        <w:t>فإنّ على المكتب الدولي فحص الطلب ليس على أساس متطلبات اتفاق لشبونة المراجع فحسب، بل كذلك على أساس المتطلبات المنطبقة بموجب اتفاق لشبونة ووثيقة</w:t>
      </w:r>
      <w:r w:rsidR="005F7EBF">
        <w:rPr>
          <w:rFonts w:hint="eastAsia"/>
          <w:rtl/>
        </w:rPr>
        <w:t> </w:t>
      </w:r>
      <w:r w:rsidR="005F7EBF">
        <w:rPr>
          <w:rFonts w:hint="cs"/>
          <w:rtl/>
        </w:rPr>
        <w:t>1967.</w:t>
      </w:r>
    </w:p>
    <w:p w:rsidR="005F7EBF" w:rsidRDefault="005F7EBF" w:rsidP="00E85A48">
      <w:pPr>
        <w:pStyle w:val="NormalParaAR"/>
        <w:rPr>
          <w:rtl/>
        </w:rPr>
      </w:pPr>
      <w:r>
        <w:rPr>
          <w:rFonts w:hint="cs"/>
          <w:rtl/>
        </w:rPr>
        <w:t>ق7-02</w:t>
      </w:r>
      <w:r>
        <w:rPr>
          <w:rtl/>
        </w:rPr>
        <w:tab/>
      </w:r>
      <w:r w:rsidR="00862233">
        <w:rPr>
          <w:rFonts w:hint="cs"/>
          <w:rtl/>
        </w:rPr>
        <w:t>وأحكام الفقرتين</w:t>
      </w:r>
      <w:r w:rsidR="00862233">
        <w:rPr>
          <w:rFonts w:hint="eastAsia"/>
          <w:rtl/>
        </w:rPr>
        <w:t> </w:t>
      </w:r>
      <w:r w:rsidR="00862233">
        <w:rPr>
          <w:rFonts w:hint="cs"/>
          <w:rtl/>
        </w:rPr>
        <w:t>(2) و(3) من هذه القاعدة مُستلهمة إلى حد كبير من الأحكام المتضمنة في القاعدة</w:t>
      </w:r>
      <w:r w:rsidR="00E85A48">
        <w:rPr>
          <w:rFonts w:hint="eastAsia"/>
          <w:rtl/>
        </w:rPr>
        <w:t> </w:t>
      </w:r>
      <w:r w:rsidR="00862233">
        <w:rPr>
          <w:rFonts w:hint="cs"/>
          <w:rtl/>
        </w:rPr>
        <w:t xml:space="preserve">7 من اللائحة التنفيذية لاتفاق لشبونة فيما يخص محتويات التسجيلات وشهادة التسجيل والإخطار بالتسجيلات الجديدة، </w:t>
      </w:r>
      <w:r w:rsidR="00F434F4">
        <w:rPr>
          <w:rFonts w:hint="cs"/>
          <w:rtl/>
        </w:rPr>
        <w:t>وقد كُيّفت</w:t>
      </w:r>
      <w:r w:rsidR="00862233" w:rsidRPr="00537FAB">
        <w:rPr>
          <w:rFonts w:hint="cs"/>
          <w:rtl/>
        </w:rPr>
        <w:t xml:space="preserve"> وفقا لأحكام مشروع اتفاق لشبونة المراجع.</w:t>
      </w:r>
    </w:p>
    <w:p w:rsidR="00862233" w:rsidRDefault="00862233" w:rsidP="006B5305">
      <w:pPr>
        <w:pStyle w:val="NormalParaAR"/>
        <w:rPr>
          <w:rtl/>
        </w:rPr>
      </w:pPr>
      <w:r>
        <w:rPr>
          <w:rFonts w:hint="cs"/>
          <w:rtl/>
        </w:rPr>
        <w:t>ق7-03</w:t>
      </w:r>
      <w:r>
        <w:rPr>
          <w:rtl/>
        </w:rPr>
        <w:tab/>
      </w:r>
      <w:r>
        <w:rPr>
          <w:rFonts w:hint="cs"/>
          <w:rtl/>
        </w:rPr>
        <w:t>وتتناول الفقرة</w:t>
      </w:r>
      <w:r>
        <w:rPr>
          <w:rFonts w:hint="eastAsia"/>
          <w:rtl/>
        </w:rPr>
        <w:t> </w:t>
      </w:r>
      <w:r>
        <w:rPr>
          <w:rFonts w:hint="cs"/>
          <w:rtl/>
        </w:rPr>
        <w:t>(4) حالة التسجيلات الدولية لتسميات المنشأ المُدوّنة فعلا بموجب اتفاق لشبونة أو</w:t>
      </w:r>
      <w:r w:rsidR="006B5305">
        <w:rPr>
          <w:rFonts w:hint="eastAsia"/>
          <w:rtl/>
        </w:rPr>
        <w:t> </w:t>
      </w:r>
      <w:r>
        <w:rPr>
          <w:rFonts w:hint="cs"/>
          <w:rtl/>
        </w:rPr>
        <w:t>وثيقة</w:t>
      </w:r>
      <w:r>
        <w:rPr>
          <w:rFonts w:hint="eastAsia"/>
          <w:rtl/>
        </w:rPr>
        <w:t> </w:t>
      </w:r>
      <w:r>
        <w:rPr>
          <w:rFonts w:hint="cs"/>
          <w:rtl/>
        </w:rPr>
        <w:t>1967، بعدما تصبح العلاقات المتبادلة بين دولتين خاضعة لأحكام المادة</w:t>
      </w:r>
      <w:r>
        <w:rPr>
          <w:rFonts w:hint="eastAsia"/>
          <w:rtl/>
        </w:rPr>
        <w:t> </w:t>
      </w:r>
      <w:r>
        <w:rPr>
          <w:rFonts w:hint="cs"/>
          <w:rtl/>
        </w:rPr>
        <w:t>31(1) من مشروع اتفاق لشبونة المراجع.</w:t>
      </w:r>
    </w:p>
    <w:p w:rsidR="006B5305" w:rsidRPr="006B5305" w:rsidRDefault="006B5305" w:rsidP="00007DB7">
      <w:pPr>
        <w:pStyle w:val="NormalParaAR"/>
        <w:keepNext/>
        <w:rPr>
          <w:b/>
          <w:bCs/>
          <w:rtl/>
        </w:rPr>
      </w:pPr>
      <w:r w:rsidRPr="006B5305">
        <w:rPr>
          <w:b/>
          <w:bCs/>
          <w:rtl/>
        </w:rPr>
        <w:t>ملاحظات على القاعدة 8:</w:t>
      </w:r>
      <w:r w:rsidRPr="006B5305">
        <w:rPr>
          <w:b/>
          <w:bCs/>
          <w:rtl/>
        </w:rPr>
        <w:tab/>
        <w:t>الرسوم</w:t>
      </w:r>
    </w:p>
    <w:p w:rsidR="006B5305" w:rsidRDefault="00254778" w:rsidP="00E85A48">
      <w:pPr>
        <w:pStyle w:val="NormalParaAR"/>
        <w:rPr>
          <w:rtl/>
        </w:rPr>
      </w:pPr>
      <w:r>
        <w:rPr>
          <w:rFonts w:hint="cs"/>
          <w:rtl/>
        </w:rPr>
        <w:t>ق8-01</w:t>
      </w:r>
      <w:r>
        <w:rPr>
          <w:rtl/>
        </w:rPr>
        <w:tab/>
      </w:r>
      <w:r w:rsidR="00EF0E36">
        <w:rPr>
          <w:rFonts w:hint="cs"/>
          <w:rtl/>
        </w:rPr>
        <w:t>صيغت أحكام القاعدة</w:t>
      </w:r>
      <w:r w:rsidR="00EF0E36">
        <w:rPr>
          <w:rFonts w:hint="eastAsia"/>
          <w:rtl/>
        </w:rPr>
        <w:t> </w:t>
      </w:r>
      <w:r w:rsidR="00EF0E36">
        <w:rPr>
          <w:rFonts w:hint="cs"/>
          <w:rtl/>
        </w:rPr>
        <w:t>8(1) على نسق الأحكام المتضمنة في القاعدة</w:t>
      </w:r>
      <w:r w:rsidR="00EF0E36">
        <w:rPr>
          <w:rFonts w:hint="eastAsia"/>
          <w:rtl/>
        </w:rPr>
        <w:t> </w:t>
      </w:r>
      <w:r w:rsidR="00EF0E36">
        <w:rPr>
          <w:rFonts w:hint="cs"/>
          <w:rtl/>
        </w:rPr>
        <w:t xml:space="preserve">23 من اللائحة التنفيذية الراهنة لاتفاق لشبونة. ولكن نظرا إلى المناقشات التي </w:t>
      </w:r>
      <w:r w:rsidR="00E85A48">
        <w:rPr>
          <w:rFonts w:hint="cs"/>
          <w:rtl/>
        </w:rPr>
        <w:t>جرت</w:t>
      </w:r>
      <w:r w:rsidR="00EF0E36">
        <w:rPr>
          <w:rFonts w:hint="cs"/>
          <w:rtl/>
        </w:rPr>
        <w:t xml:space="preserve"> في الدورة الثامنة للفريق العامل، وُضعت المبالغ بين أقواس مربّعة. وللأسباب المبيّنة في الملاحظات على المادة</w:t>
      </w:r>
      <w:r w:rsidR="00E85A48">
        <w:rPr>
          <w:rFonts w:hint="eastAsia"/>
          <w:rtl/>
        </w:rPr>
        <w:t> </w:t>
      </w:r>
      <w:r w:rsidR="00EF0E36">
        <w:rPr>
          <w:rFonts w:hint="cs"/>
          <w:rtl/>
        </w:rPr>
        <w:t>7، ولا سيما الملاحظة 7-02، من غير المرجّح إطلاقا أن تكون الإيرادات المتأتية من رسوم التسجيل كافية لتغطية تكاليف العمليات بناء على نظام لشبونة. وكما هو مبيّن في الجدول</w:t>
      </w:r>
      <w:r w:rsidR="00EF0E36">
        <w:rPr>
          <w:rFonts w:hint="eastAsia"/>
          <w:rtl/>
        </w:rPr>
        <w:t> </w:t>
      </w:r>
      <w:r w:rsidR="00EF0E36">
        <w:rPr>
          <w:rFonts w:hint="cs"/>
          <w:rtl/>
        </w:rPr>
        <w:t>12 من المرفق الثالث لوثيقة البرنامج والميزانية</w:t>
      </w:r>
      <w:r w:rsidR="00EF0E36">
        <w:rPr>
          <w:rFonts w:hint="eastAsia"/>
          <w:rtl/>
        </w:rPr>
        <w:t> </w:t>
      </w:r>
      <w:r w:rsidR="00EF0E36">
        <w:rPr>
          <w:rFonts w:hint="cs"/>
          <w:rtl/>
        </w:rPr>
        <w:t>2014/15، تتأتى 98</w:t>
      </w:r>
      <w:r w:rsidR="00E85A48">
        <w:rPr>
          <w:rFonts w:hint="eastAsia"/>
          <w:rtl/>
        </w:rPr>
        <w:t> </w:t>
      </w:r>
      <w:r w:rsidR="00EF0E36">
        <w:rPr>
          <w:rFonts w:hint="cs"/>
          <w:rtl/>
        </w:rPr>
        <w:t xml:space="preserve">بالمائة من إيرادات اتحاد لشبونة من مصادر أخرى غير الرسوم </w:t>
      </w:r>
      <w:r w:rsidR="00EF0E36">
        <w:rPr>
          <w:rtl/>
        </w:rPr>
        <w:t>–</w:t>
      </w:r>
      <w:r w:rsidR="00EF0E36">
        <w:rPr>
          <w:rFonts w:hint="cs"/>
          <w:rtl/>
        </w:rPr>
        <w:t xml:space="preserve"> أي، كما يبيّنه الجدول نفسه، من حصته من إيرادات الويبو العامة </w:t>
      </w:r>
      <w:r w:rsidR="008069E1">
        <w:rPr>
          <w:rtl/>
        </w:rPr>
        <w:t>–</w:t>
      </w:r>
      <w:r w:rsidR="00EF0E36">
        <w:rPr>
          <w:rFonts w:hint="cs"/>
          <w:rtl/>
        </w:rPr>
        <w:t xml:space="preserve"> </w:t>
      </w:r>
      <w:r w:rsidR="008069E1">
        <w:rPr>
          <w:rFonts w:hint="cs"/>
          <w:rtl/>
        </w:rPr>
        <w:t>وتبلغ الإيرادات المقدرة لاتحاد لشبونة نحو 000</w:t>
      </w:r>
      <w:r w:rsidR="008069E1">
        <w:rPr>
          <w:rFonts w:hint="eastAsia"/>
          <w:rtl/>
        </w:rPr>
        <w:t> </w:t>
      </w:r>
      <w:r w:rsidR="008069E1">
        <w:rPr>
          <w:rFonts w:hint="cs"/>
          <w:rtl/>
        </w:rPr>
        <w:t xml:space="preserve">700 فرنك سويسري. </w:t>
      </w:r>
      <w:r w:rsidR="005F735A">
        <w:rPr>
          <w:rFonts w:hint="cs"/>
          <w:rtl/>
        </w:rPr>
        <w:t xml:space="preserve">وعلى الرغم من أنّ ذلك المبلغ لا يكفي لتغطية تكاليف الموظفين الراهنة لسجل لشبونة، ينبغي عدم إغفال أنّ قدرا كبيرا من الأنشطة الرئيسية لسجل لشبونة يتمثّل في الخدمات التي يقدمها فيما يخص مراجعة </w:t>
      </w:r>
      <w:r w:rsidR="008771AA">
        <w:rPr>
          <w:rFonts w:hint="cs"/>
          <w:rtl/>
        </w:rPr>
        <w:t>نظام لشبونة وأنشطة الترويج ذات الصلة. وبالإضافة إلى ذلك، يشارك سجل لشبونة في مشروع يرمي إلى أتمتة عملياته المندرجة ضمن إجراءات التسجيل والإخطار بأكبر درجة ممكنة.</w:t>
      </w:r>
    </w:p>
    <w:p w:rsidR="008771AA" w:rsidRDefault="008771AA" w:rsidP="002D2483">
      <w:pPr>
        <w:pStyle w:val="NormalParaAR"/>
        <w:rPr>
          <w:rtl/>
        </w:rPr>
      </w:pPr>
      <w:r>
        <w:rPr>
          <w:rFonts w:hint="cs"/>
          <w:rtl/>
        </w:rPr>
        <w:t>ق8-02</w:t>
      </w:r>
      <w:r>
        <w:rPr>
          <w:rtl/>
        </w:rPr>
        <w:tab/>
      </w:r>
      <w:r w:rsidR="002D2483">
        <w:rPr>
          <w:rFonts w:hint="cs"/>
          <w:rtl/>
        </w:rPr>
        <w:t>و</w:t>
      </w:r>
      <w:r>
        <w:rPr>
          <w:rFonts w:hint="cs"/>
          <w:rtl/>
        </w:rPr>
        <w:t xml:space="preserve">تنفّذ </w:t>
      </w:r>
      <w:r w:rsidR="00880CC7">
        <w:rPr>
          <w:rFonts w:hint="cs"/>
          <w:rtl/>
        </w:rPr>
        <w:t>الفقرات</w:t>
      </w:r>
      <w:r w:rsidR="00880CC7">
        <w:rPr>
          <w:rFonts w:hint="eastAsia"/>
          <w:rtl/>
        </w:rPr>
        <w:t> </w:t>
      </w:r>
      <w:r>
        <w:rPr>
          <w:rFonts w:hint="cs"/>
          <w:rtl/>
        </w:rPr>
        <w:t xml:space="preserve">(1)"5" و(2) و(3) </w:t>
      </w:r>
      <w:r w:rsidR="00880CC7">
        <w:rPr>
          <w:rFonts w:hint="cs"/>
          <w:rtl/>
        </w:rPr>
        <w:t>من القاعدة</w:t>
      </w:r>
      <w:r w:rsidR="00880CC7">
        <w:rPr>
          <w:rFonts w:hint="eastAsia"/>
          <w:rtl/>
        </w:rPr>
        <w:t> </w:t>
      </w:r>
      <w:r w:rsidR="00880CC7">
        <w:rPr>
          <w:rFonts w:hint="cs"/>
          <w:rtl/>
        </w:rPr>
        <w:t>8 الفقرتين</w:t>
      </w:r>
      <w:r w:rsidR="00880CC7">
        <w:rPr>
          <w:rFonts w:hint="eastAsia"/>
          <w:rtl/>
        </w:rPr>
        <w:t> </w:t>
      </w:r>
      <w:r w:rsidR="00880CC7">
        <w:rPr>
          <w:rFonts w:hint="cs"/>
          <w:rtl/>
        </w:rPr>
        <w:t>(5) و(6) من المادة</w:t>
      </w:r>
      <w:r w:rsidR="00880CC7">
        <w:rPr>
          <w:rFonts w:hint="eastAsia"/>
          <w:rtl/>
        </w:rPr>
        <w:t> </w:t>
      </w:r>
      <w:r w:rsidR="00880CC7">
        <w:rPr>
          <w:rFonts w:hint="cs"/>
          <w:rtl/>
        </w:rPr>
        <w:t xml:space="preserve">7 </w:t>
      </w:r>
      <w:r>
        <w:rPr>
          <w:rFonts w:hint="cs"/>
          <w:rtl/>
        </w:rPr>
        <w:t xml:space="preserve">التي أضيفت إلى اتفاق لشبونة المراجع لبلورة الرأي الذي أبداه في الدورة الثامنة للفريق العامل عدد من الوفود الممثّلة لبلدان غير </w:t>
      </w:r>
      <w:r w:rsidR="00880CC7">
        <w:rPr>
          <w:rFonts w:hint="cs"/>
          <w:rtl/>
        </w:rPr>
        <w:t>أطراف في اتفاق لشبونة وأفاد فيه بأنّه ينبغي أن يكون للأطراف المتعاقدة خيار اشتراط أن يُسدّد لها رسم لتغطية ما تقوم به من فحص موضوعي للتسجيلات الدولية التي تُخطر بها. وصيغت الفقرتان</w:t>
      </w:r>
      <w:r w:rsidR="00880CC7">
        <w:rPr>
          <w:rFonts w:hint="eastAsia"/>
          <w:rtl/>
        </w:rPr>
        <w:t> </w:t>
      </w:r>
      <w:r w:rsidR="00880CC7">
        <w:rPr>
          <w:rFonts w:hint="cs"/>
          <w:rtl/>
        </w:rPr>
        <w:t>(2) و(3) من القاعدة</w:t>
      </w:r>
      <w:r w:rsidR="00880CC7">
        <w:rPr>
          <w:rFonts w:hint="eastAsia"/>
          <w:rtl/>
        </w:rPr>
        <w:t> </w:t>
      </w:r>
      <w:r w:rsidR="00880CC7">
        <w:rPr>
          <w:rFonts w:hint="cs"/>
          <w:rtl/>
        </w:rPr>
        <w:t xml:space="preserve">8 على نسق الأحكام </w:t>
      </w:r>
      <w:r w:rsidR="002D2483">
        <w:rPr>
          <w:rFonts w:hint="cs"/>
          <w:rtl/>
        </w:rPr>
        <w:t>المعادلة</w:t>
      </w:r>
      <w:r w:rsidR="00880CC7">
        <w:rPr>
          <w:rFonts w:hint="cs"/>
          <w:rtl/>
        </w:rPr>
        <w:t xml:space="preserve"> في اللائحة التنفيذية المشتركة المنطبقة في سياق نظامي مدريد ولاهاي.</w:t>
      </w:r>
    </w:p>
    <w:p w:rsidR="00880CC7" w:rsidRDefault="00880CC7" w:rsidP="002D2483">
      <w:pPr>
        <w:pStyle w:val="NormalParaAR"/>
        <w:rPr>
          <w:rtl/>
        </w:rPr>
      </w:pPr>
      <w:r>
        <w:rPr>
          <w:rFonts w:hint="cs"/>
          <w:rtl/>
        </w:rPr>
        <w:t>ق8-03</w:t>
      </w:r>
      <w:r>
        <w:rPr>
          <w:rtl/>
        </w:rPr>
        <w:tab/>
      </w:r>
      <w:r w:rsidR="002D2483">
        <w:rPr>
          <w:rFonts w:hint="cs"/>
          <w:rtl/>
        </w:rPr>
        <w:t>و</w:t>
      </w:r>
      <w:r w:rsidR="00F915E4">
        <w:rPr>
          <w:rFonts w:hint="cs"/>
          <w:rtl/>
        </w:rPr>
        <w:t>صيغت الفقرات من</w:t>
      </w:r>
      <w:r w:rsidR="00F915E4">
        <w:rPr>
          <w:rFonts w:hint="eastAsia"/>
          <w:rtl/>
        </w:rPr>
        <w:t> </w:t>
      </w:r>
      <w:r w:rsidR="00F915E4">
        <w:rPr>
          <w:rFonts w:hint="cs"/>
          <w:rtl/>
        </w:rPr>
        <w:t>(4) إلى</w:t>
      </w:r>
      <w:r w:rsidR="00F915E4">
        <w:rPr>
          <w:rFonts w:hint="eastAsia"/>
          <w:rtl/>
        </w:rPr>
        <w:t> </w:t>
      </w:r>
      <w:r w:rsidR="00F915E4">
        <w:rPr>
          <w:rFonts w:hint="cs"/>
          <w:rtl/>
        </w:rPr>
        <w:t>(9) من القاعدة</w:t>
      </w:r>
      <w:r w:rsidR="00F915E4">
        <w:rPr>
          <w:rFonts w:hint="eastAsia"/>
          <w:rtl/>
        </w:rPr>
        <w:t> </w:t>
      </w:r>
      <w:r w:rsidR="00F915E4">
        <w:rPr>
          <w:rFonts w:hint="cs"/>
          <w:rtl/>
        </w:rPr>
        <w:t xml:space="preserve">8 كذلك على نسق الأحكام </w:t>
      </w:r>
      <w:r w:rsidR="002D2483">
        <w:rPr>
          <w:rFonts w:hint="cs"/>
          <w:rtl/>
        </w:rPr>
        <w:t>المعادلة</w:t>
      </w:r>
      <w:r w:rsidR="00F915E4">
        <w:rPr>
          <w:rFonts w:hint="cs"/>
          <w:rtl/>
        </w:rPr>
        <w:t xml:space="preserve"> المنطبقة في سياق نظامي مدريد ولاهاي. </w:t>
      </w:r>
      <w:r w:rsidR="00BC6495">
        <w:rPr>
          <w:rFonts w:hint="cs"/>
          <w:rtl/>
        </w:rPr>
        <w:t>وهي تبلور الممارسة المنطبقة أيضا بموجب نظام لشبونة الراهن.</w:t>
      </w:r>
    </w:p>
    <w:p w:rsidR="00BC6495" w:rsidRPr="00310F6C" w:rsidRDefault="00310F6C" w:rsidP="00007DB7">
      <w:pPr>
        <w:pStyle w:val="NormalParaAR"/>
        <w:keepNext/>
        <w:rPr>
          <w:b/>
          <w:bCs/>
          <w:rtl/>
        </w:rPr>
      </w:pPr>
      <w:r w:rsidRPr="00310F6C">
        <w:rPr>
          <w:b/>
          <w:bCs/>
          <w:rtl/>
        </w:rPr>
        <w:t>ملاحظات على القاعدة 9:</w:t>
      </w:r>
      <w:r w:rsidRPr="00310F6C">
        <w:rPr>
          <w:b/>
          <w:bCs/>
          <w:rtl/>
        </w:rPr>
        <w:tab/>
        <w:t>إعلان الرفض</w:t>
      </w:r>
    </w:p>
    <w:p w:rsidR="00310F6C" w:rsidRDefault="006B21B9" w:rsidP="00F434F4">
      <w:pPr>
        <w:pStyle w:val="NormalParaAR"/>
        <w:rPr>
          <w:rtl/>
        </w:rPr>
      </w:pPr>
      <w:r>
        <w:rPr>
          <w:rFonts w:hint="cs"/>
          <w:rtl/>
        </w:rPr>
        <w:t>ق9-01</w:t>
      </w:r>
      <w:r>
        <w:rPr>
          <w:rtl/>
        </w:rPr>
        <w:tab/>
      </w:r>
      <w:r w:rsidR="005853CA" w:rsidRPr="00537FAB">
        <w:rPr>
          <w:rFonts w:hint="cs"/>
          <w:rtl/>
        </w:rPr>
        <w:t>أحكام هذه القاعدة مُستلهمة إلى حد كبير من الأحكام المتضمنة في القاعدة</w:t>
      </w:r>
      <w:r w:rsidR="005853CA" w:rsidRPr="00537FAB">
        <w:rPr>
          <w:rFonts w:hint="eastAsia"/>
          <w:rtl/>
        </w:rPr>
        <w:t> </w:t>
      </w:r>
      <w:r w:rsidR="005853CA">
        <w:rPr>
          <w:rFonts w:hint="cs"/>
          <w:rtl/>
        </w:rPr>
        <w:t>9</w:t>
      </w:r>
      <w:r w:rsidR="005853CA" w:rsidRPr="00537FAB">
        <w:rPr>
          <w:rFonts w:hint="cs"/>
          <w:rtl/>
        </w:rPr>
        <w:t xml:space="preserve"> من اللائحة التنفيذية الراهنة لاتفاق لشبونة، </w:t>
      </w:r>
      <w:r w:rsidR="00F434F4">
        <w:rPr>
          <w:rFonts w:hint="cs"/>
          <w:rtl/>
        </w:rPr>
        <w:t>وقد كُيّفت</w:t>
      </w:r>
      <w:r w:rsidR="005853CA" w:rsidRPr="00537FAB">
        <w:rPr>
          <w:rFonts w:hint="cs"/>
          <w:rtl/>
        </w:rPr>
        <w:t xml:space="preserve"> وفقا لأحكام مشروع اتفاق لشبونة المراجع.</w:t>
      </w:r>
    </w:p>
    <w:p w:rsidR="005853CA" w:rsidRDefault="005853CA" w:rsidP="002D2483">
      <w:pPr>
        <w:pStyle w:val="NormalParaAR"/>
        <w:rPr>
          <w:rtl/>
        </w:rPr>
      </w:pPr>
      <w:r>
        <w:rPr>
          <w:rFonts w:hint="cs"/>
          <w:rtl/>
        </w:rPr>
        <w:t>ق9-02</w:t>
      </w:r>
      <w:r>
        <w:rPr>
          <w:rtl/>
        </w:rPr>
        <w:tab/>
      </w:r>
      <w:r>
        <w:rPr>
          <w:rFonts w:hint="cs"/>
          <w:rtl/>
        </w:rPr>
        <w:t xml:space="preserve">وعقب المناقشات التي </w:t>
      </w:r>
      <w:r w:rsidR="002D2483">
        <w:rPr>
          <w:rFonts w:hint="cs"/>
          <w:rtl/>
        </w:rPr>
        <w:t>جرت</w:t>
      </w:r>
      <w:r>
        <w:rPr>
          <w:rFonts w:hint="cs"/>
          <w:rtl/>
        </w:rPr>
        <w:t xml:space="preserve"> في الدورة السابعة للفريق العامل، تظهر مهلة "السنة" بين قوسين مربّعين.</w:t>
      </w:r>
    </w:p>
    <w:p w:rsidR="005853CA" w:rsidRDefault="005853CA" w:rsidP="00441290">
      <w:pPr>
        <w:pStyle w:val="NormalParaAR"/>
        <w:rPr>
          <w:rtl/>
        </w:rPr>
      </w:pPr>
      <w:r>
        <w:rPr>
          <w:rFonts w:hint="cs"/>
          <w:rtl/>
        </w:rPr>
        <w:lastRenderedPageBreak/>
        <w:t>ق9-03</w:t>
      </w:r>
      <w:r>
        <w:rPr>
          <w:rtl/>
        </w:rPr>
        <w:tab/>
      </w:r>
      <w:r w:rsidR="005A1DF6">
        <w:rPr>
          <w:rFonts w:hint="cs"/>
          <w:rtl/>
        </w:rPr>
        <w:t xml:space="preserve">وعلاوة على ذلك، </w:t>
      </w:r>
      <w:r w:rsidR="00A66E40">
        <w:rPr>
          <w:rFonts w:hint="cs"/>
          <w:rtl/>
        </w:rPr>
        <w:t>تُقترح</w:t>
      </w:r>
      <w:r w:rsidR="005A1DF6">
        <w:rPr>
          <w:rFonts w:hint="cs"/>
          <w:rtl/>
        </w:rPr>
        <w:t xml:space="preserve"> القاعدة 9(2)"5" من أجل معالجة الحالة الخاصة التي تُرفض فيها تسجيلات دولية جزئيا من قبل طرف متعاقد بسبب الوجود المحتمل لحق سابق بمقتضى تشريعات ذلك الطرف المتعاقد، لا سيما </w:t>
      </w:r>
      <w:r w:rsidR="00A80268">
        <w:rPr>
          <w:rFonts w:hint="cs"/>
          <w:rtl/>
        </w:rPr>
        <w:t xml:space="preserve">وجود </w:t>
      </w:r>
      <w:r w:rsidR="00441290">
        <w:rPr>
          <w:rFonts w:hint="cs"/>
          <w:rtl/>
        </w:rPr>
        <w:t>تشابه</w:t>
      </w:r>
      <w:r w:rsidR="00A80268">
        <w:rPr>
          <w:rFonts w:hint="cs"/>
          <w:rtl/>
        </w:rPr>
        <w:t xml:space="preserve"> في </w:t>
      </w:r>
      <w:r w:rsidR="00441290">
        <w:rPr>
          <w:rFonts w:hint="cs"/>
          <w:rtl/>
        </w:rPr>
        <w:t>اللفظ</w:t>
      </w:r>
      <w:r w:rsidR="00A80268">
        <w:rPr>
          <w:rFonts w:hint="cs"/>
          <w:rtl/>
        </w:rPr>
        <w:t xml:space="preserve"> مع بيان جغرافي قائم أو تسمية منشأ قائمة. ويُشار في هذا الصدد، مثلا، إلى الفقرة</w:t>
      </w:r>
      <w:r w:rsidR="00A80268">
        <w:rPr>
          <w:rFonts w:hint="eastAsia"/>
          <w:rtl/>
        </w:rPr>
        <w:t> </w:t>
      </w:r>
      <w:r w:rsidR="00A80268">
        <w:rPr>
          <w:rFonts w:hint="cs"/>
          <w:rtl/>
        </w:rPr>
        <w:t>135 من تقرير الدورة الرابعة للفريق العامل (الوثيقة</w:t>
      </w:r>
      <w:r w:rsidR="00A80268">
        <w:rPr>
          <w:rFonts w:hint="eastAsia"/>
          <w:rtl/>
        </w:rPr>
        <w:t> </w:t>
      </w:r>
      <w:r w:rsidR="00A80268" w:rsidRPr="00A80268">
        <w:t>LI/WG/DEV/4/7</w:t>
      </w:r>
      <w:r w:rsidR="00A80268">
        <w:rPr>
          <w:rFonts w:hint="cs"/>
          <w:rtl/>
        </w:rPr>
        <w:t>).</w:t>
      </w:r>
    </w:p>
    <w:p w:rsidR="00A80268" w:rsidRDefault="00A80268" w:rsidP="00A80268">
      <w:pPr>
        <w:pStyle w:val="NormalParaAR"/>
        <w:rPr>
          <w:rtl/>
        </w:rPr>
      </w:pPr>
      <w:r>
        <w:rPr>
          <w:rFonts w:hint="cs"/>
          <w:rtl/>
        </w:rPr>
        <w:t>ق9-04</w:t>
      </w:r>
      <w:r>
        <w:rPr>
          <w:rtl/>
        </w:rPr>
        <w:tab/>
      </w:r>
      <w:r>
        <w:rPr>
          <w:rFonts w:hint="cs"/>
          <w:rtl/>
        </w:rPr>
        <w:t>وكما نوقش في الدورة التاسعة للفريق العامل، لن تُنشئ الفقرتان 2"5" و2"6" من القاعدة</w:t>
      </w:r>
      <w:r>
        <w:rPr>
          <w:rFonts w:hint="eastAsia"/>
          <w:rtl/>
        </w:rPr>
        <w:t> </w:t>
      </w:r>
      <w:r>
        <w:rPr>
          <w:rFonts w:hint="cs"/>
          <w:rtl/>
        </w:rPr>
        <w:t>9، بالنسبة إلى الطرف المتعاقد، أي التزام بالنص على إمكانية الرفض الجزئي. ولا تنطبق هذه الأحكام سوى في الحالات التي يكون فيها الطرف المتعاقد في وضع يمكّنه، بموجب تشريعاته الخاصة، من إصدار رفض جزئي.</w:t>
      </w:r>
    </w:p>
    <w:p w:rsidR="00A80268" w:rsidRPr="00951903" w:rsidRDefault="00951903" w:rsidP="00007DB7">
      <w:pPr>
        <w:pStyle w:val="NormalParaAR"/>
        <w:keepNext/>
        <w:rPr>
          <w:b/>
          <w:bCs/>
          <w:rtl/>
        </w:rPr>
      </w:pPr>
      <w:r w:rsidRPr="00951903">
        <w:rPr>
          <w:b/>
          <w:bCs/>
          <w:rtl/>
        </w:rPr>
        <w:t>ملاحظات على القاعدة 10:</w:t>
      </w:r>
      <w:r w:rsidRPr="00951903">
        <w:rPr>
          <w:b/>
          <w:bCs/>
          <w:rtl/>
        </w:rPr>
        <w:tab/>
        <w:t>إعلان الرفض المخالف للأصول</w:t>
      </w:r>
    </w:p>
    <w:p w:rsidR="00951903" w:rsidRDefault="00A66E40" w:rsidP="00F434F4">
      <w:pPr>
        <w:pStyle w:val="NormalParaAR"/>
        <w:rPr>
          <w:rtl/>
        </w:rPr>
      </w:pPr>
      <w:r>
        <w:rPr>
          <w:rFonts w:hint="cs"/>
          <w:rtl/>
        </w:rPr>
        <w:t>ق10-01</w:t>
      </w:r>
      <w:r>
        <w:rPr>
          <w:rFonts w:hint="cs"/>
          <w:rtl/>
        </w:rPr>
        <w:tab/>
      </w:r>
      <w:r w:rsidRPr="00537FAB">
        <w:rPr>
          <w:rFonts w:hint="cs"/>
          <w:rtl/>
        </w:rPr>
        <w:t>أحكام هذه القاعدة مُستلهمة من الأحكام المتضمنة في القاعدة</w:t>
      </w:r>
      <w:r w:rsidRPr="00537FAB">
        <w:rPr>
          <w:rFonts w:hint="eastAsia"/>
          <w:rtl/>
        </w:rPr>
        <w:t> </w:t>
      </w:r>
      <w:r>
        <w:rPr>
          <w:rFonts w:hint="cs"/>
          <w:rtl/>
        </w:rPr>
        <w:t>10</w:t>
      </w:r>
      <w:r w:rsidRPr="00537FAB">
        <w:rPr>
          <w:rFonts w:hint="cs"/>
          <w:rtl/>
        </w:rPr>
        <w:t xml:space="preserve"> من اللائحة التنفيذية الراهنة لاتفاق لشبونة، </w:t>
      </w:r>
      <w:r w:rsidR="00F434F4">
        <w:rPr>
          <w:rFonts w:hint="cs"/>
          <w:rtl/>
        </w:rPr>
        <w:t>وقد كُيّفت</w:t>
      </w:r>
      <w:r w:rsidRPr="00537FAB">
        <w:rPr>
          <w:rFonts w:hint="cs"/>
          <w:rtl/>
        </w:rPr>
        <w:t xml:space="preserve"> وفقا لأحكام مشروع اتفاق لشبونة المراجع.</w:t>
      </w:r>
    </w:p>
    <w:p w:rsidR="00A66E40" w:rsidRPr="00A66E40" w:rsidRDefault="00A66E40" w:rsidP="00007DB7">
      <w:pPr>
        <w:pStyle w:val="NormalParaAR"/>
        <w:keepNext/>
        <w:rPr>
          <w:b/>
          <w:bCs/>
          <w:rtl/>
        </w:rPr>
      </w:pPr>
      <w:r w:rsidRPr="00A66E40">
        <w:rPr>
          <w:b/>
          <w:bCs/>
          <w:rtl/>
        </w:rPr>
        <w:t>ملاحظات على القاعدة 11:</w:t>
      </w:r>
      <w:r w:rsidRPr="00A66E40">
        <w:rPr>
          <w:b/>
          <w:bCs/>
          <w:rtl/>
        </w:rPr>
        <w:tab/>
        <w:t>سحب إعلان الرفض</w:t>
      </w:r>
    </w:p>
    <w:p w:rsidR="00A66E40" w:rsidRDefault="00A66E40" w:rsidP="00F434F4">
      <w:pPr>
        <w:pStyle w:val="NormalParaAR"/>
        <w:rPr>
          <w:rtl/>
        </w:rPr>
      </w:pPr>
      <w:r>
        <w:rPr>
          <w:rFonts w:hint="cs"/>
          <w:rtl/>
        </w:rPr>
        <w:t>ق11-01</w:t>
      </w:r>
      <w:r>
        <w:rPr>
          <w:rtl/>
        </w:rPr>
        <w:tab/>
      </w:r>
      <w:r w:rsidRPr="00537FAB">
        <w:rPr>
          <w:rFonts w:hint="cs"/>
          <w:rtl/>
        </w:rPr>
        <w:t>أحكام هذه القاعدة مُستلهمة من الأحكام المتضمنة في القاعدة</w:t>
      </w:r>
      <w:r w:rsidRPr="00537FAB">
        <w:rPr>
          <w:rFonts w:hint="eastAsia"/>
          <w:rtl/>
        </w:rPr>
        <w:t> </w:t>
      </w:r>
      <w:r>
        <w:rPr>
          <w:rFonts w:hint="cs"/>
          <w:rtl/>
        </w:rPr>
        <w:t>11</w:t>
      </w:r>
      <w:r w:rsidRPr="00537FAB">
        <w:rPr>
          <w:rFonts w:hint="cs"/>
          <w:rtl/>
        </w:rPr>
        <w:t xml:space="preserve"> من اللائحة التنفيذية الراهنة لاتفاق لشبونة، </w:t>
      </w:r>
      <w:r w:rsidR="00F434F4">
        <w:rPr>
          <w:rFonts w:hint="cs"/>
          <w:rtl/>
        </w:rPr>
        <w:t>وقد كُيّفت</w:t>
      </w:r>
      <w:r w:rsidRPr="00537FAB">
        <w:rPr>
          <w:rFonts w:hint="cs"/>
          <w:rtl/>
        </w:rPr>
        <w:t xml:space="preserve"> وفقا لأحكام مشروع اتفاق لشبونة المراجع.</w:t>
      </w:r>
    </w:p>
    <w:p w:rsidR="00A66E40" w:rsidRDefault="00A66E40" w:rsidP="00084C1A">
      <w:pPr>
        <w:pStyle w:val="NormalParaAR"/>
        <w:rPr>
          <w:rtl/>
        </w:rPr>
      </w:pPr>
      <w:r>
        <w:rPr>
          <w:rFonts w:hint="cs"/>
          <w:rtl/>
        </w:rPr>
        <w:t>ق11-02</w:t>
      </w:r>
      <w:r>
        <w:rPr>
          <w:rtl/>
        </w:rPr>
        <w:tab/>
      </w:r>
      <w:r w:rsidR="004F053C">
        <w:rPr>
          <w:rFonts w:hint="cs"/>
          <w:rtl/>
        </w:rPr>
        <w:t>و</w:t>
      </w:r>
      <w:r>
        <w:rPr>
          <w:rFonts w:hint="cs"/>
          <w:rtl/>
        </w:rPr>
        <w:t>مقارنة بأحكام القاعدة</w:t>
      </w:r>
      <w:r>
        <w:rPr>
          <w:rFonts w:hint="eastAsia"/>
          <w:rtl/>
        </w:rPr>
        <w:t> </w:t>
      </w:r>
      <w:r>
        <w:rPr>
          <w:rFonts w:hint="cs"/>
          <w:rtl/>
        </w:rPr>
        <w:t>11 من اللائحة التنفيذية الراهنة لاتفاق لشبونة، يُقترح حكم جديد (الفقرة</w:t>
      </w:r>
      <w:r>
        <w:rPr>
          <w:rFonts w:hint="eastAsia"/>
          <w:rtl/>
        </w:rPr>
        <w:t> </w:t>
      </w:r>
      <w:r>
        <w:rPr>
          <w:rFonts w:hint="cs"/>
          <w:rtl/>
        </w:rPr>
        <w:t>(2)"2") يشترط ذكر سبب السحب في الإعلان، لا سيما في حال</w:t>
      </w:r>
      <w:r w:rsidR="00084C1A">
        <w:rPr>
          <w:rFonts w:hint="cs"/>
          <w:rtl/>
        </w:rPr>
        <w:t>ات</w:t>
      </w:r>
      <w:r>
        <w:rPr>
          <w:rFonts w:hint="cs"/>
          <w:rtl/>
        </w:rPr>
        <w:t xml:space="preserve"> السحب الجزئي </w:t>
      </w:r>
      <w:r w:rsidR="00084C1A">
        <w:rPr>
          <w:rFonts w:hint="cs"/>
          <w:rtl/>
        </w:rPr>
        <w:t>المعادلة</w:t>
      </w:r>
      <w:r>
        <w:rPr>
          <w:rFonts w:hint="cs"/>
          <w:rtl/>
        </w:rPr>
        <w:t xml:space="preserve"> </w:t>
      </w:r>
      <w:r w:rsidR="00084C1A">
        <w:rPr>
          <w:rFonts w:hint="cs"/>
          <w:rtl/>
        </w:rPr>
        <w:t>لحالات ال</w:t>
      </w:r>
      <w:r>
        <w:rPr>
          <w:rFonts w:hint="cs"/>
          <w:rtl/>
        </w:rPr>
        <w:t xml:space="preserve">رفض </w:t>
      </w:r>
      <w:r w:rsidR="00084C1A">
        <w:rPr>
          <w:rFonts w:hint="cs"/>
          <w:rtl/>
        </w:rPr>
        <w:t>الجزئي</w:t>
      </w:r>
      <w:r>
        <w:rPr>
          <w:rFonts w:hint="cs"/>
          <w:rtl/>
        </w:rPr>
        <w:t>، على النحو المشار إليه في القاعدة</w:t>
      </w:r>
      <w:r>
        <w:rPr>
          <w:rFonts w:hint="eastAsia"/>
          <w:rtl/>
        </w:rPr>
        <w:t> </w:t>
      </w:r>
      <w:r>
        <w:rPr>
          <w:rFonts w:hint="cs"/>
          <w:rtl/>
        </w:rPr>
        <w:t xml:space="preserve">9(2)"5" أو "6" من مشروع </w:t>
      </w:r>
      <w:r w:rsidR="006E2E98">
        <w:rPr>
          <w:rFonts w:hint="cs"/>
          <w:rtl/>
        </w:rPr>
        <w:t xml:space="preserve">هذه </w:t>
      </w:r>
      <w:r>
        <w:rPr>
          <w:rFonts w:hint="cs"/>
          <w:rtl/>
        </w:rPr>
        <w:t>اللائحة التنفيذية.</w:t>
      </w:r>
    </w:p>
    <w:p w:rsidR="00CC7232" w:rsidRPr="00CC7232" w:rsidRDefault="00CC7232" w:rsidP="00007DB7">
      <w:pPr>
        <w:pStyle w:val="NormalParaAR"/>
        <w:keepNext/>
        <w:rPr>
          <w:b/>
          <w:bCs/>
          <w:rtl/>
        </w:rPr>
      </w:pPr>
      <w:r w:rsidRPr="00CC7232">
        <w:rPr>
          <w:b/>
          <w:bCs/>
          <w:rtl/>
        </w:rPr>
        <w:t>ملاحظات على القاعدة 12:</w:t>
      </w:r>
      <w:r w:rsidRPr="00CC7232">
        <w:rPr>
          <w:b/>
          <w:bCs/>
          <w:rtl/>
        </w:rPr>
        <w:tab/>
        <w:t>الإعلان بمنح الحماية</w:t>
      </w:r>
    </w:p>
    <w:p w:rsidR="00CC7232" w:rsidRDefault="00D4277B" w:rsidP="00756E88">
      <w:pPr>
        <w:pStyle w:val="NormalParaAR"/>
        <w:rPr>
          <w:rtl/>
        </w:rPr>
      </w:pPr>
      <w:r>
        <w:rPr>
          <w:rFonts w:hint="cs"/>
          <w:rtl/>
        </w:rPr>
        <w:t>ق12-01</w:t>
      </w:r>
      <w:r>
        <w:rPr>
          <w:rtl/>
        </w:rPr>
        <w:tab/>
      </w:r>
      <w:r w:rsidR="004F053C" w:rsidRPr="00537FAB">
        <w:rPr>
          <w:rFonts w:hint="cs"/>
          <w:rtl/>
        </w:rPr>
        <w:t>أحكام هذه القاعدة مُستلهمة من الأحكام المتضمنة في القاعدة</w:t>
      </w:r>
      <w:r w:rsidR="004F053C" w:rsidRPr="00537FAB">
        <w:rPr>
          <w:rFonts w:hint="eastAsia"/>
          <w:rtl/>
        </w:rPr>
        <w:t> </w:t>
      </w:r>
      <w:r w:rsidR="004F053C">
        <w:rPr>
          <w:rFonts w:hint="cs"/>
          <w:rtl/>
        </w:rPr>
        <w:t xml:space="preserve">11(ثانيا) </w:t>
      </w:r>
      <w:r w:rsidR="004F053C" w:rsidRPr="00537FAB">
        <w:rPr>
          <w:rFonts w:hint="cs"/>
          <w:rtl/>
        </w:rPr>
        <w:t xml:space="preserve">من اللائحة التنفيذية الراهنة لاتفاق لشبونة، </w:t>
      </w:r>
      <w:r w:rsidR="00756E88">
        <w:rPr>
          <w:rFonts w:hint="cs"/>
          <w:rtl/>
        </w:rPr>
        <w:t>وقد كُيّفت</w:t>
      </w:r>
      <w:r w:rsidR="004F053C" w:rsidRPr="00537FAB">
        <w:rPr>
          <w:rFonts w:hint="cs"/>
          <w:rtl/>
        </w:rPr>
        <w:t xml:space="preserve"> وفقا لأحكام مشروع اتفاق لشبونة المراجع.</w:t>
      </w:r>
    </w:p>
    <w:p w:rsidR="004F053C" w:rsidRDefault="004F053C" w:rsidP="00084C1A">
      <w:pPr>
        <w:pStyle w:val="NormalParaAR"/>
        <w:rPr>
          <w:rtl/>
        </w:rPr>
      </w:pPr>
      <w:r>
        <w:rPr>
          <w:rFonts w:hint="cs"/>
          <w:rtl/>
        </w:rPr>
        <w:t>ق12-02</w:t>
      </w:r>
      <w:r>
        <w:rPr>
          <w:rtl/>
        </w:rPr>
        <w:tab/>
      </w:r>
      <w:r w:rsidRPr="004F053C">
        <w:rPr>
          <w:rFonts w:hint="cs"/>
          <w:rtl/>
        </w:rPr>
        <w:t>ومقارنة بأحكام القاعدة</w:t>
      </w:r>
      <w:r w:rsidRPr="004F053C">
        <w:rPr>
          <w:rFonts w:hint="eastAsia"/>
          <w:rtl/>
        </w:rPr>
        <w:t> </w:t>
      </w:r>
      <w:r>
        <w:rPr>
          <w:rFonts w:hint="cs"/>
          <w:rtl/>
        </w:rPr>
        <w:t xml:space="preserve">11(ثانيا) </w:t>
      </w:r>
      <w:r w:rsidRPr="004F053C">
        <w:rPr>
          <w:rFonts w:hint="cs"/>
          <w:rtl/>
        </w:rPr>
        <w:t>من اللائحة التنفيذية الراهنة لاتفاق لشبونة، يُقترح حكم جديد (الفقرة</w:t>
      </w:r>
      <w:r w:rsidRPr="004F053C">
        <w:rPr>
          <w:rFonts w:hint="eastAsia"/>
          <w:rtl/>
        </w:rPr>
        <w:t> </w:t>
      </w:r>
      <w:r w:rsidRPr="004F053C">
        <w:rPr>
          <w:rFonts w:hint="cs"/>
          <w:rtl/>
        </w:rPr>
        <w:t>(2)</w:t>
      </w:r>
      <w:r>
        <w:rPr>
          <w:rFonts w:hint="cs"/>
          <w:rtl/>
        </w:rPr>
        <w:t>(ب)</w:t>
      </w:r>
      <w:r w:rsidRPr="004F053C">
        <w:rPr>
          <w:rFonts w:hint="cs"/>
          <w:rtl/>
        </w:rPr>
        <w:t>"</w:t>
      </w:r>
      <w:r>
        <w:rPr>
          <w:rFonts w:hint="cs"/>
          <w:rtl/>
        </w:rPr>
        <w:t>3</w:t>
      </w:r>
      <w:r w:rsidRPr="004F053C">
        <w:rPr>
          <w:rFonts w:hint="cs"/>
          <w:rtl/>
        </w:rPr>
        <w:t>") يشترط ذكر سبب السحب في الإعلان، لا سيما في حال</w:t>
      </w:r>
      <w:r w:rsidR="00084C1A">
        <w:rPr>
          <w:rFonts w:hint="cs"/>
          <w:rtl/>
        </w:rPr>
        <w:t>ة إعلانات</w:t>
      </w:r>
      <w:r w:rsidRPr="004F053C">
        <w:rPr>
          <w:rFonts w:hint="cs"/>
          <w:rtl/>
        </w:rPr>
        <w:t xml:space="preserve"> </w:t>
      </w:r>
      <w:r w:rsidR="00084C1A">
        <w:rPr>
          <w:rFonts w:hint="cs"/>
          <w:rtl/>
        </w:rPr>
        <w:t xml:space="preserve">المنح </w:t>
      </w:r>
      <w:r w:rsidRPr="004F053C">
        <w:rPr>
          <w:rFonts w:hint="cs"/>
          <w:rtl/>
        </w:rPr>
        <w:t xml:space="preserve">الجزئي </w:t>
      </w:r>
      <w:r w:rsidR="00084C1A">
        <w:rPr>
          <w:rFonts w:hint="cs"/>
          <w:rtl/>
        </w:rPr>
        <w:t xml:space="preserve">للحماية </w:t>
      </w:r>
      <w:r>
        <w:rPr>
          <w:rFonts w:hint="cs"/>
          <w:rtl/>
        </w:rPr>
        <w:t>المعادلة</w:t>
      </w:r>
      <w:r w:rsidRPr="004F053C">
        <w:rPr>
          <w:rFonts w:hint="cs"/>
          <w:rtl/>
        </w:rPr>
        <w:t xml:space="preserve"> لحالات الرفض الجزئي، على النحو المشار إليه في القاعدة</w:t>
      </w:r>
      <w:r w:rsidRPr="004F053C">
        <w:rPr>
          <w:rFonts w:hint="eastAsia"/>
          <w:rtl/>
        </w:rPr>
        <w:t> </w:t>
      </w:r>
      <w:r w:rsidRPr="004F053C">
        <w:rPr>
          <w:rFonts w:hint="cs"/>
          <w:rtl/>
        </w:rPr>
        <w:t xml:space="preserve">9(2)"5" أو "6" من مشروع </w:t>
      </w:r>
      <w:r w:rsidR="006E2E98">
        <w:rPr>
          <w:rFonts w:hint="cs"/>
          <w:rtl/>
        </w:rPr>
        <w:t xml:space="preserve">هذه </w:t>
      </w:r>
      <w:r w:rsidRPr="004F053C">
        <w:rPr>
          <w:rFonts w:hint="cs"/>
          <w:rtl/>
        </w:rPr>
        <w:t>اللائحة التنفيذية.</w:t>
      </w:r>
    </w:p>
    <w:p w:rsidR="00084C1A" w:rsidRPr="00084C1A" w:rsidRDefault="00084C1A" w:rsidP="00007DB7">
      <w:pPr>
        <w:pStyle w:val="NormalParaAR"/>
        <w:keepNext/>
        <w:rPr>
          <w:b/>
          <w:bCs/>
          <w:rtl/>
        </w:rPr>
      </w:pPr>
      <w:r w:rsidRPr="00084C1A">
        <w:rPr>
          <w:rFonts w:hint="cs"/>
          <w:b/>
          <w:bCs/>
          <w:rtl/>
        </w:rPr>
        <w:t>ملاحظات على القاعدة 13:</w:t>
      </w:r>
      <w:r w:rsidRPr="00084C1A">
        <w:rPr>
          <w:b/>
          <w:bCs/>
          <w:rtl/>
        </w:rPr>
        <w:tab/>
      </w:r>
      <w:r w:rsidRPr="00084C1A">
        <w:rPr>
          <w:rFonts w:hint="cs"/>
          <w:b/>
          <w:bCs/>
          <w:rtl/>
        </w:rPr>
        <w:t>الإخطار بإبطال آثار تسجيل دولي في طرف متعاقد</w:t>
      </w:r>
    </w:p>
    <w:p w:rsidR="00084C1A" w:rsidRDefault="00022D09" w:rsidP="00756E88">
      <w:pPr>
        <w:pStyle w:val="NormalParaAR"/>
        <w:rPr>
          <w:rtl/>
        </w:rPr>
      </w:pPr>
      <w:r>
        <w:rPr>
          <w:rFonts w:hint="cs"/>
          <w:rtl/>
        </w:rPr>
        <w:t>ق13-01</w:t>
      </w:r>
      <w:r>
        <w:rPr>
          <w:rtl/>
        </w:rPr>
        <w:tab/>
      </w:r>
      <w:r w:rsidR="006E2E98" w:rsidRPr="00537FAB">
        <w:rPr>
          <w:rFonts w:hint="cs"/>
          <w:rtl/>
        </w:rPr>
        <w:t>أحكام هذه القاعدة مُستلهمة من الأحكام المتضمنة في القاعدة</w:t>
      </w:r>
      <w:r w:rsidR="006E2E98" w:rsidRPr="00537FAB">
        <w:rPr>
          <w:rFonts w:hint="eastAsia"/>
          <w:rtl/>
        </w:rPr>
        <w:t> </w:t>
      </w:r>
      <w:r w:rsidR="006E2E98">
        <w:rPr>
          <w:rFonts w:hint="cs"/>
          <w:rtl/>
        </w:rPr>
        <w:t xml:space="preserve">16 </w:t>
      </w:r>
      <w:r w:rsidR="006E2E98" w:rsidRPr="00537FAB">
        <w:rPr>
          <w:rFonts w:hint="cs"/>
          <w:rtl/>
        </w:rPr>
        <w:t xml:space="preserve">من اللائحة التنفيذية الراهنة لاتفاق لشبونة، </w:t>
      </w:r>
      <w:r w:rsidR="006E2E98">
        <w:rPr>
          <w:rFonts w:hint="cs"/>
          <w:rtl/>
        </w:rPr>
        <w:t>بما في ذلك التعديل الذي اعتمدته الجمعية في سبتمبر</w:t>
      </w:r>
      <w:r w:rsidR="006E2E98">
        <w:rPr>
          <w:rFonts w:hint="eastAsia"/>
          <w:rtl/>
        </w:rPr>
        <w:t> </w:t>
      </w:r>
      <w:r w:rsidR="006E2E98">
        <w:rPr>
          <w:rFonts w:hint="cs"/>
          <w:rtl/>
        </w:rPr>
        <w:t xml:space="preserve">2011، </w:t>
      </w:r>
      <w:r w:rsidR="00756E88">
        <w:rPr>
          <w:rFonts w:hint="cs"/>
          <w:rtl/>
        </w:rPr>
        <w:t>وقد كُيّفت</w:t>
      </w:r>
      <w:r w:rsidR="006E2E98" w:rsidRPr="00537FAB">
        <w:rPr>
          <w:rFonts w:hint="cs"/>
          <w:rtl/>
        </w:rPr>
        <w:t xml:space="preserve"> وفقا لأحكام مشروع اتفاق لشبونة المراجع.</w:t>
      </w:r>
    </w:p>
    <w:p w:rsidR="006E2E98" w:rsidRDefault="006E2E98" w:rsidP="006E2E98">
      <w:pPr>
        <w:pStyle w:val="NormalParaAR"/>
        <w:rPr>
          <w:rtl/>
        </w:rPr>
      </w:pPr>
      <w:r>
        <w:rPr>
          <w:rFonts w:hint="cs"/>
          <w:rtl/>
        </w:rPr>
        <w:t>ق13-02</w:t>
      </w:r>
      <w:r>
        <w:rPr>
          <w:rtl/>
        </w:rPr>
        <w:tab/>
      </w:r>
      <w:r w:rsidRPr="004F053C">
        <w:rPr>
          <w:rFonts w:hint="cs"/>
          <w:rtl/>
        </w:rPr>
        <w:t>ومقارنة بأحكام القاعدة</w:t>
      </w:r>
      <w:r w:rsidRPr="004F053C">
        <w:rPr>
          <w:rFonts w:hint="eastAsia"/>
          <w:rtl/>
        </w:rPr>
        <w:t> </w:t>
      </w:r>
      <w:r>
        <w:rPr>
          <w:rFonts w:hint="cs"/>
          <w:rtl/>
        </w:rPr>
        <w:t xml:space="preserve">16(1) </w:t>
      </w:r>
      <w:r w:rsidRPr="004F053C">
        <w:rPr>
          <w:rFonts w:hint="cs"/>
          <w:rtl/>
        </w:rPr>
        <w:t>من اللائحة التنفيذية الراهنة لاتفاق لشبونة، يُقترح</w:t>
      </w:r>
      <w:r>
        <w:rPr>
          <w:rFonts w:hint="cs"/>
          <w:rtl/>
        </w:rPr>
        <w:t xml:space="preserve"> أن لا تُبلور في البند</w:t>
      </w:r>
      <w:r>
        <w:rPr>
          <w:rFonts w:hint="eastAsia"/>
          <w:rtl/>
        </w:rPr>
        <w:t> </w:t>
      </w:r>
      <w:r>
        <w:rPr>
          <w:rFonts w:hint="cs"/>
          <w:rtl/>
        </w:rPr>
        <w:t>"4" من الفقرة</w:t>
      </w:r>
      <w:r>
        <w:rPr>
          <w:rFonts w:hint="eastAsia"/>
          <w:rtl/>
        </w:rPr>
        <w:t> </w:t>
      </w:r>
      <w:r>
        <w:rPr>
          <w:rFonts w:hint="cs"/>
          <w:rtl/>
        </w:rPr>
        <w:t>(1) الحالات المشمولة بالقاعدة 9(2)"6" من مشروع هذه اللائحة التنفيذية فحسب، بل كذلك الحالة الخاصة المتعلقة بالبيانا</w:t>
      </w:r>
      <w:r w:rsidR="00441290">
        <w:rPr>
          <w:rFonts w:hint="cs"/>
          <w:rtl/>
        </w:rPr>
        <w:t>ت الجغرافية وتسميات المنشأ ال</w:t>
      </w:r>
      <w:r w:rsidR="00C879D0">
        <w:rPr>
          <w:rFonts w:hint="cs"/>
          <w:rtl/>
        </w:rPr>
        <w:t>متشابهة لفظيا، كما هو مشمول بالقاعدة 9(2)"5".</w:t>
      </w:r>
    </w:p>
    <w:p w:rsidR="00C879D0" w:rsidRPr="00C879D0" w:rsidRDefault="00C879D0" w:rsidP="00007DB7">
      <w:pPr>
        <w:pStyle w:val="NormalParaAR"/>
        <w:keepNext/>
        <w:rPr>
          <w:b/>
          <w:bCs/>
          <w:rtl/>
        </w:rPr>
      </w:pPr>
      <w:r w:rsidRPr="00C879D0">
        <w:rPr>
          <w:rFonts w:hint="cs"/>
          <w:b/>
          <w:bCs/>
          <w:rtl/>
        </w:rPr>
        <w:lastRenderedPageBreak/>
        <w:t>ملاحظات على القاعدة 14:</w:t>
      </w:r>
      <w:r w:rsidRPr="00C879D0">
        <w:rPr>
          <w:b/>
          <w:bCs/>
          <w:rtl/>
        </w:rPr>
        <w:tab/>
      </w:r>
      <w:r w:rsidRPr="00C879D0">
        <w:rPr>
          <w:rFonts w:hint="cs"/>
          <w:b/>
          <w:bCs/>
          <w:rtl/>
        </w:rPr>
        <w:t>الإخطار بالمهلة الانتقالية الممنوحة للغير</w:t>
      </w:r>
    </w:p>
    <w:p w:rsidR="00C879D0" w:rsidRDefault="002C78AD" w:rsidP="002D2483">
      <w:pPr>
        <w:pStyle w:val="NormalParaAR"/>
        <w:rPr>
          <w:rtl/>
        </w:rPr>
      </w:pPr>
      <w:r>
        <w:rPr>
          <w:rFonts w:hint="cs"/>
          <w:rtl/>
        </w:rPr>
        <w:t>ق14-01</w:t>
      </w:r>
      <w:r>
        <w:rPr>
          <w:rtl/>
        </w:rPr>
        <w:tab/>
      </w:r>
      <w:r w:rsidRPr="00537FAB">
        <w:rPr>
          <w:rFonts w:hint="cs"/>
          <w:rtl/>
        </w:rPr>
        <w:t>أحكام هذه القاعدة مُستلهمة من الأحكام المتضمنة في القاعدة</w:t>
      </w:r>
      <w:r w:rsidRPr="00537FAB">
        <w:rPr>
          <w:rFonts w:hint="eastAsia"/>
          <w:rtl/>
        </w:rPr>
        <w:t> </w:t>
      </w:r>
      <w:r>
        <w:rPr>
          <w:rFonts w:hint="cs"/>
          <w:rtl/>
        </w:rPr>
        <w:t xml:space="preserve">12 </w:t>
      </w:r>
      <w:r w:rsidRPr="00537FAB">
        <w:rPr>
          <w:rFonts w:hint="cs"/>
          <w:rtl/>
        </w:rPr>
        <w:t xml:space="preserve">من اللائحة التنفيذية الراهنة لاتفاق لشبونة، </w:t>
      </w:r>
      <w:r w:rsidR="00756E88">
        <w:rPr>
          <w:rFonts w:hint="cs"/>
          <w:rtl/>
        </w:rPr>
        <w:t>وقد كُيّفت</w:t>
      </w:r>
      <w:r w:rsidRPr="00537FAB">
        <w:rPr>
          <w:rFonts w:hint="cs"/>
          <w:rtl/>
        </w:rPr>
        <w:t xml:space="preserve"> وفقا لأحكام مشروع اتفاق لشبونة المراجع.</w:t>
      </w:r>
      <w:r>
        <w:rPr>
          <w:rFonts w:hint="cs"/>
          <w:rtl/>
        </w:rPr>
        <w:t xml:space="preserve"> وعقب المناقشات التي </w:t>
      </w:r>
      <w:r w:rsidR="002D2483">
        <w:rPr>
          <w:rFonts w:hint="cs"/>
          <w:rtl/>
        </w:rPr>
        <w:t>جرت</w:t>
      </w:r>
      <w:r>
        <w:rPr>
          <w:rFonts w:hint="cs"/>
          <w:rtl/>
        </w:rPr>
        <w:t xml:space="preserve"> في الدورة السابعة للفريق العامل، عُدّلت القاعدة 14(1)"3" بإدراج العبارة المتعلقة بتقديم بيانات عن نطاق الاستخدام أثناء المهلة الانتقالية. وأثير تساؤ</w:t>
      </w:r>
      <w:r w:rsidR="002D2483">
        <w:rPr>
          <w:rFonts w:hint="cs"/>
          <w:rtl/>
        </w:rPr>
        <w:t xml:space="preserve">ل أيضا في تلك الدورة حول ما إذا </w:t>
      </w:r>
      <w:r w:rsidR="005944A4">
        <w:rPr>
          <w:rFonts w:hint="cs"/>
          <w:rtl/>
        </w:rPr>
        <w:t xml:space="preserve">كان </w:t>
      </w:r>
      <w:r>
        <w:rPr>
          <w:rFonts w:hint="cs"/>
          <w:rtl/>
        </w:rPr>
        <w:t>ينبغي أن تكون تلك البيانات خيارية أو إلزامية.</w:t>
      </w:r>
    </w:p>
    <w:p w:rsidR="002C78AD" w:rsidRPr="000728D1" w:rsidRDefault="000728D1" w:rsidP="00007DB7">
      <w:pPr>
        <w:pStyle w:val="NormalParaAR"/>
        <w:keepNext/>
        <w:rPr>
          <w:b/>
          <w:bCs/>
          <w:rtl/>
        </w:rPr>
      </w:pPr>
      <w:r w:rsidRPr="000728D1">
        <w:rPr>
          <w:rFonts w:hint="cs"/>
          <w:b/>
          <w:bCs/>
          <w:rtl/>
        </w:rPr>
        <w:t>ملاحظات على القاعدة 15:</w:t>
      </w:r>
      <w:r w:rsidRPr="000728D1">
        <w:rPr>
          <w:b/>
          <w:bCs/>
          <w:rtl/>
        </w:rPr>
        <w:tab/>
      </w:r>
      <w:r w:rsidRPr="000728D1">
        <w:rPr>
          <w:rFonts w:hint="cs"/>
          <w:b/>
          <w:bCs/>
          <w:rtl/>
        </w:rPr>
        <w:t>التعديلات</w:t>
      </w:r>
    </w:p>
    <w:p w:rsidR="000728D1" w:rsidRDefault="00646C57" w:rsidP="00756E88">
      <w:pPr>
        <w:pStyle w:val="NormalParaAR"/>
        <w:rPr>
          <w:rtl/>
        </w:rPr>
      </w:pPr>
      <w:r>
        <w:rPr>
          <w:rFonts w:hint="cs"/>
          <w:rtl/>
        </w:rPr>
        <w:t>ق15-01</w:t>
      </w:r>
      <w:r>
        <w:rPr>
          <w:rtl/>
        </w:rPr>
        <w:tab/>
      </w:r>
      <w:r w:rsidR="00213C7C">
        <w:rPr>
          <w:rFonts w:hint="cs"/>
          <w:rtl/>
        </w:rPr>
        <w:t>صيغت أحكام هذه القاعدة على نسق الأحكام المتضمنة في القاعدة</w:t>
      </w:r>
      <w:r w:rsidR="00213C7C">
        <w:rPr>
          <w:rFonts w:hint="eastAsia"/>
          <w:rtl/>
        </w:rPr>
        <w:t> </w:t>
      </w:r>
      <w:r w:rsidR="00213C7C">
        <w:rPr>
          <w:rFonts w:hint="cs"/>
          <w:rtl/>
        </w:rPr>
        <w:t xml:space="preserve">13 من اللائحة التنفيذية الراهنة لاتفاق لشبونة، </w:t>
      </w:r>
      <w:r w:rsidR="00756E88">
        <w:rPr>
          <w:rFonts w:hint="cs"/>
          <w:rtl/>
        </w:rPr>
        <w:t>وقد كُيّفت</w:t>
      </w:r>
      <w:r w:rsidR="00412BD0" w:rsidRPr="00537FAB">
        <w:rPr>
          <w:rFonts w:hint="cs"/>
          <w:rtl/>
        </w:rPr>
        <w:t xml:space="preserve"> وفقا لأحكام مشروع اتفاق لشبونة المراجع.</w:t>
      </w:r>
    </w:p>
    <w:p w:rsidR="00412BD0" w:rsidRDefault="00792064" w:rsidP="005E7DF5">
      <w:pPr>
        <w:pStyle w:val="NormalParaAR"/>
        <w:rPr>
          <w:rtl/>
        </w:rPr>
      </w:pPr>
      <w:r>
        <w:rPr>
          <w:rFonts w:hint="cs"/>
          <w:rtl/>
        </w:rPr>
        <w:t>ق15-02</w:t>
      </w:r>
      <w:r>
        <w:rPr>
          <w:rtl/>
        </w:rPr>
        <w:tab/>
      </w:r>
      <w:r w:rsidR="005E7DF5">
        <w:rPr>
          <w:rFonts w:hint="cs"/>
          <w:rtl/>
        </w:rPr>
        <w:t>وفي القاعدة</w:t>
      </w:r>
      <w:r w:rsidR="005E7DF5">
        <w:rPr>
          <w:rFonts w:hint="eastAsia"/>
          <w:rtl/>
        </w:rPr>
        <w:t> </w:t>
      </w:r>
      <w:r w:rsidR="005E7DF5">
        <w:rPr>
          <w:rFonts w:hint="cs"/>
          <w:rtl/>
        </w:rPr>
        <w:t>15(1)، أضيف بند جديد</w:t>
      </w:r>
      <w:r w:rsidR="005E7DF5">
        <w:rPr>
          <w:rFonts w:hint="eastAsia"/>
          <w:rtl/>
        </w:rPr>
        <w:t> </w:t>
      </w:r>
      <w:r w:rsidR="005E7DF5">
        <w:rPr>
          <w:rFonts w:hint="cs"/>
          <w:rtl/>
        </w:rPr>
        <w:t>"6" من أجل مواءمة الحكم مع أحكام القاعدة</w:t>
      </w:r>
      <w:r w:rsidR="005E7DF5">
        <w:rPr>
          <w:rFonts w:hint="eastAsia"/>
          <w:rtl/>
        </w:rPr>
        <w:t> </w:t>
      </w:r>
      <w:r w:rsidR="005E7DF5">
        <w:rPr>
          <w:rFonts w:hint="cs"/>
          <w:rtl/>
        </w:rPr>
        <w:t>16.</w:t>
      </w:r>
    </w:p>
    <w:p w:rsidR="005E7DF5" w:rsidRPr="005E7DF5" w:rsidRDefault="005E7DF5" w:rsidP="00007DB7">
      <w:pPr>
        <w:pStyle w:val="NormalParaAR"/>
        <w:keepNext/>
        <w:rPr>
          <w:b/>
          <w:bCs/>
          <w:rtl/>
        </w:rPr>
      </w:pPr>
      <w:r w:rsidRPr="005E7DF5">
        <w:rPr>
          <w:rFonts w:hint="cs"/>
          <w:b/>
          <w:bCs/>
          <w:rtl/>
        </w:rPr>
        <w:t>ملاحظات على القاعدة 16:</w:t>
      </w:r>
      <w:r w:rsidRPr="005E7DF5">
        <w:rPr>
          <w:b/>
          <w:bCs/>
          <w:rtl/>
        </w:rPr>
        <w:tab/>
      </w:r>
      <w:r w:rsidRPr="005E7DF5">
        <w:rPr>
          <w:rFonts w:hint="cs"/>
          <w:b/>
          <w:bCs/>
          <w:rtl/>
        </w:rPr>
        <w:t>التخلي عن الحماية</w:t>
      </w:r>
    </w:p>
    <w:p w:rsidR="005E7DF5" w:rsidRDefault="005E7DF5" w:rsidP="00756E88">
      <w:pPr>
        <w:pStyle w:val="NormalParaAR"/>
        <w:rPr>
          <w:rtl/>
        </w:rPr>
      </w:pPr>
      <w:r>
        <w:rPr>
          <w:rFonts w:hint="cs"/>
          <w:rtl/>
        </w:rPr>
        <w:t>ق16-01</w:t>
      </w:r>
      <w:r>
        <w:rPr>
          <w:rtl/>
        </w:rPr>
        <w:tab/>
      </w:r>
      <w:r w:rsidR="001348D4">
        <w:rPr>
          <w:rFonts w:hint="cs"/>
          <w:rtl/>
        </w:rPr>
        <w:t>صيغت أحكام هذه القاعدة على نسق الأحكام المتضمنة في القاعدة</w:t>
      </w:r>
      <w:r w:rsidR="001348D4">
        <w:rPr>
          <w:rFonts w:hint="eastAsia"/>
          <w:rtl/>
        </w:rPr>
        <w:t> </w:t>
      </w:r>
      <w:r w:rsidR="001348D4">
        <w:rPr>
          <w:rFonts w:hint="cs"/>
          <w:rtl/>
        </w:rPr>
        <w:t xml:space="preserve">14 من اللائحة التنفيذية الراهنة لاتفاق لشبونة، </w:t>
      </w:r>
      <w:r w:rsidR="00756E88">
        <w:rPr>
          <w:rFonts w:hint="cs"/>
          <w:rtl/>
        </w:rPr>
        <w:t>وقد كُيّفت</w:t>
      </w:r>
      <w:r w:rsidR="001348D4" w:rsidRPr="00537FAB">
        <w:rPr>
          <w:rFonts w:hint="cs"/>
          <w:rtl/>
        </w:rPr>
        <w:t xml:space="preserve"> وفقا لأحكام مشروع اتفاق لشبونة المراجع.</w:t>
      </w:r>
    </w:p>
    <w:p w:rsidR="001348D4" w:rsidRDefault="001348D4" w:rsidP="009A7A57">
      <w:pPr>
        <w:pStyle w:val="NormalParaAR"/>
        <w:rPr>
          <w:rtl/>
        </w:rPr>
      </w:pPr>
      <w:r>
        <w:rPr>
          <w:rFonts w:hint="cs"/>
          <w:rtl/>
        </w:rPr>
        <w:t>ق16-02</w:t>
      </w:r>
      <w:r>
        <w:rPr>
          <w:rtl/>
        </w:rPr>
        <w:tab/>
      </w:r>
      <w:r w:rsidR="009A7A57">
        <w:rPr>
          <w:rFonts w:hint="cs"/>
          <w:rtl/>
        </w:rPr>
        <w:t>وفيما يخص العبارة "</w:t>
      </w:r>
      <w:r w:rsidR="009A7A57" w:rsidRPr="009A7A57">
        <w:rPr>
          <w:rFonts w:ascii="Arial" w:hAnsi="Arial" w:cs="Arial" w:hint="cs"/>
          <w:sz w:val="22"/>
          <w:szCs w:val="20"/>
          <w:rtl/>
        </w:rPr>
        <w:t xml:space="preserve"> </w:t>
      </w:r>
      <w:r w:rsidR="009A7A57" w:rsidRPr="009A7A57">
        <w:rPr>
          <w:rFonts w:hint="cs"/>
          <w:rtl/>
        </w:rPr>
        <w:t>كليا أو جزئيا</w:t>
      </w:r>
      <w:r w:rsidR="009A7A57">
        <w:rPr>
          <w:rFonts w:hint="cs"/>
          <w:rtl/>
        </w:rPr>
        <w:t>" الواردة في الفقرتين</w:t>
      </w:r>
      <w:r w:rsidR="009A7A57">
        <w:rPr>
          <w:rFonts w:hint="eastAsia"/>
          <w:rtl/>
        </w:rPr>
        <w:t> </w:t>
      </w:r>
      <w:r w:rsidR="009A7A57">
        <w:rPr>
          <w:rFonts w:hint="cs"/>
          <w:rtl/>
        </w:rPr>
        <w:t>(1) و(2) من القاعدة</w:t>
      </w:r>
      <w:r w:rsidR="009A7A57">
        <w:rPr>
          <w:rFonts w:hint="eastAsia"/>
          <w:rtl/>
        </w:rPr>
        <w:t> </w:t>
      </w:r>
      <w:r w:rsidR="009A7A57">
        <w:rPr>
          <w:rFonts w:hint="cs"/>
          <w:rtl/>
        </w:rPr>
        <w:t>16، أثير تساؤل في الدورة السابعة للفريق العامل حول ما إذا كان يمكن إصدار إعلان بالتخلي عن الحماية فيما يخص بعض المنتجات المشمولة بالتسجيل الدولي. غير أنّ الرئيس خلُص، في الدورة التاسعة للفريق العامل، إلى أنّ العبارة، كما وردت في القاعدة</w:t>
      </w:r>
      <w:r w:rsidR="009A7A57">
        <w:rPr>
          <w:rFonts w:hint="eastAsia"/>
          <w:rtl/>
        </w:rPr>
        <w:t> </w:t>
      </w:r>
      <w:r w:rsidR="009A7A57">
        <w:rPr>
          <w:rFonts w:hint="cs"/>
          <w:rtl/>
        </w:rPr>
        <w:t>16، تتعلق بعدد الأطراف المتعاقدة التي تم التخلي عن الحماية فيها.</w:t>
      </w:r>
    </w:p>
    <w:p w:rsidR="009A7A57" w:rsidRDefault="009A7A57" w:rsidP="003E673B">
      <w:pPr>
        <w:pStyle w:val="NormalParaAR"/>
        <w:rPr>
          <w:rtl/>
        </w:rPr>
      </w:pPr>
      <w:r>
        <w:rPr>
          <w:rFonts w:hint="cs"/>
          <w:rtl/>
        </w:rPr>
        <w:t>ق16-03</w:t>
      </w:r>
      <w:r>
        <w:rPr>
          <w:rtl/>
        </w:rPr>
        <w:tab/>
      </w:r>
      <w:r w:rsidR="0048612C">
        <w:rPr>
          <w:rFonts w:hint="cs"/>
          <w:rtl/>
        </w:rPr>
        <w:t>و</w:t>
      </w:r>
      <w:r>
        <w:rPr>
          <w:rFonts w:hint="cs"/>
          <w:rtl/>
        </w:rPr>
        <w:t>أضيفت الفقرتان</w:t>
      </w:r>
      <w:r w:rsidR="003E673B">
        <w:rPr>
          <w:rFonts w:hint="eastAsia"/>
          <w:rtl/>
        </w:rPr>
        <w:t> </w:t>
      </w:r>
      <w:r>
        <w:rPr>
          <w:rFonts w:hint="cs"/>
          <w:rtl/>
        </w:rPr>
        <w:t>(2) و(4) توخيا لاحتمال اختفاء سبب التخلي عن الحماية لاحقا.</w:t>
      </w:r>
      <w:r w:rsidR="003E673B">
        <w:rPr>
          <w:rFonts w:hint="cs"/>
          <w:rtl/>
        </w:rPr>
        <w:t xml:space="preserve"> وفي تلك الحالة، يمكن سحب إعلان التخلي عن الحماية، شريطة تسديد الرسم المنطبق على التعديلات.</w:t>
      </w:r>
    </w:p>
    <w:p w:rsidR="003E673B" w:rsidRDefault="003E673B" w:rsidP="003E673B">
      <w:pPr>
        <w:pStyle w:val="NormalParaAR"/>
        <w:rPr>
          <w:rtl/>
        </w:rPr>
      </w:pPr>
      <w:r>
        <w:rPr>
          <w:rFonts w:hint="cs"/>
          <w:rtl/>
        </w:rPr>
        <w:t>ق16-04</w:t>
      </w:r>
      <w:r>
        <w:rPr>
          <w:rtl/>
        </w:rPr>
        <w:tab/>
      </w:r>
      <w:r>
        <w:rPr>
          <w:rFonts w:hint="cs"/>
          <w:rtl/>
        </w:rPr>
        <w:t>وتنطبق القاعدة</w:t>
      </w:r>
      <w:r>
        <w:rPr>
          <w:rFonts w:hint="eastAsia"/>
          <w:rtl/>
        </w:rPr>
        <w:t> </w:t>
      </w:r>
      <w:r>
        <w:rPr>
          <w:rFonts w:hint="cs"/>
          <w:rtl/>
        </w:rPr>
        <w:t>16 أيضا في حالة عدم تسديد رسم فردي بموجب المادة 7(6) أو تسديد ذلك الرسم في وقت لاحق.</w:t>
      </w:r>
    </w:p>
    <w:p w:rsidR="003E673B" w:rsidRPr="003E673B" w:rsidRDefault="003E673B" w:rsidP="00007DB7">
      <w:pPr>
        <w:pStyle w:val="NormalParaAR"/>
        <w:keepNext/>
        <w:rPr>
          <w:b/>
          <w:bCs/>
          <w:rtl/>
        </w:rPr>
      </w:pPr>
      <w:r w:rsidRPr="003E673B">
        <w:rPr>
          <w:rFonts w:hint="cs"/>
          <w:b/>
          <w:bCs/>
          <w:rtl/>
        </w:rPr>
        <w:t>ملاحظات على القاعدة 17:</w:t>
      </w:r>
      <w:r w:rsidRPr="003E673B">
        <w:rPr>
          <w:b/>
          <w:bCs/>
          <w:rtl/>
        </w:rPr>
        <w:tab/>
      </w:r>
      <w:r w:rsidRPr="003E673B">
        <w:rPr>
          <w:rFonts w:hint="cs"/>
          <w:b/>
          <w:bCs/>
          <w:rtl/>
        </w:rPr>
        <w:t>شطب التسجيل الدولي</w:t>
      </w:r>
    </w:p>
    <w:p w:rsidR="003E673B" w:rsidRDefault="00F37129" w:rsidP="00756E88">
      <w:pPr>
        <w:pStyle w:val="NormalParaAR"/>
        <w:rPr>
          <w:rtl/>
        </w:rPr>
      </w:pPr>
      <w:r>
        <w:rPr>
          <w:rFonts w:hint="cs"/>
          <w:rtl/>
        </w:rPr>
        <w:t>ق17-01</w:t>
      </w:r>
      <w:r>
        <w:rPr>
          <w:rtl/>
        </w:rPr>
        <w:tab/>
      </w:r>
      <w:r w:rsidR="00CC09ED" w:rsidRPr="00537FAB">
        <w:rPr>
          <w:rFonts w:hint="cs"/>
          <w:rtl/>
        </w:rPr>
        <w:t xml:space="preserve">أحكام هذه القاعدة مُستلهمة </w:t>
      </w:r>
      <w:r w:rsidR="00CC09ED">
        <w:rPr>
          <w:rFonts w:hint="cs"/>
          <w:rtl/>
        </w:rPr>
        <w:t xml:space="preserve">إلى حد كبير </w:t>
      </w:r>
      <w:r w:rsidR="00CC09ED" w:rsidRPr="00537FAB">
        <w:rPr>
          <w:rFonts w:hint="cs"/>
          <w:rtl/>
        </w:rPr>
        <w:t>من الأحكام المتضمنة في القاعدة</w:t>
      </w:r>
      <w:r w:rsidR="00CC09ED" w:rsidRPr="00537FAB">
        <w:rPr>
          <w:rFonts w:hint="eastAsia"/>
          <w:rtl/>
        </w:rPr>
        <w:t> </w:t>
      </w:r>
      <w:r w:rsidR="00CC09ED">
        <w:rPr>
          <w:rFonts w:hint="cs"/>
          <w:rtl/>
        </w:rPr>
        <w:t xml:space="preserve">15 </w:t>
      </w:r>
      <w:r w:rsidR="00CC09ED" w:rsidRPr="00537FAB">
        <w:rPr>
          <w:rFonts w:hint="cs"/>
          <w:rtl/>
        </w:rPr>
        <w:t xml:space="preserve">من اللائحة التنفيذية الراهنة لاتفاق لشبونة، </w:t>
      </w:r>
      <w:r w:rsidR="00756E88">
        <w:rPr>
          <w:rFonts w:hint="cs"/>
          <w:rtl/>
        </w:rPr>
        <w:t>وقد كُيّفت</w:t>
      </w:r>
      <w:r w:rsidR="00CC09ED" w:rsidRPr="00537FAB">
        <w:rPr>
          <w:rFonts w:hint="cs"/>
          <w:rtl/>
        </w:rPr>
        <w:t xml:space="preserve"> وفقا لأحكام مشروع اتفاق لشبونة المراجع.</w:t>
      </w:r>
    </w:p>
    <w:p w:rsidR="00CC09ED" w:rsidRPr="00CC09ED" w:rsidRDefault="00CC09ED" w:rsidP="00007DB7">
      <w:pPr>
        <w:pStyle w:val="NormalParaAR"/>
        <w:keepNext/>
        <w:rPr>
          <w:b/>
          <w:bCs/>
          <w:rtl/>
        </w:rPr>
      </w:pPr>
      <w:r w:rsidRPr="00CC09ED">
        <w:rPr>
          <w:rFonts w:hint="cs"/>
          <w:b/>
          <w:bCs/>
          <w:rtl/>
        </w:rPr>
        <w:t>ملاحظات على القاعدة 18:</w:t>
      </w:r>
      <w:r w:rsidRPr="00CC09ED">
        <w:rPr>
          <w:b/>
          <w:bCs/>
          <w:rtl/>
        </w:rPr>
        <w:tab/>
      </w:r>
      <w:r w:rsidRPr="00CC09ED">
        <w:rPr>
          <w:rFonts w:hint="cs"/>
          <w:b/>
          <w:bCs/>
          <w:rtl/>
        </w:rPr>
        <w:t>التصويبات في السجل الدولي</w:t>
      </w:r>
    </w:p>
    <w:p w:rsidR="00CC09ED" w:rsidRDefault="00CC09ED" w:rsidP="00756E88">
      <w:pPr>
        <w:pStyle w:val="NormalParaAR"/>
        <w:rPr>
          <w:rtl/>
        </w:rPr>
      </w:pPr>
      <w:r>
        <w:rPr>
          <w:rFonts w:hint="cs"/>
          <w:rtl/>
        </w:rPr>
        <w:t>ق18-01</w:t>
      </w:r>
      <w:r>
        <w:rPr>
          <w:rtl/>
        </w:rPr>
        <w:tab/>
      </w:r>
      <w:r w:rsidRPr="00537FAB">
        <w:rPr>
          <w:rFonts w:hint="cs"/>
          <w:rtl/>
        </w:rPr>
        <w:t>أحكام هذه القاعدة مُستلهمة من الأحكام المتضمنة في القاعدة</w:t>
      </w:r>
      <w:r w:rsidRPr="00537FAB">
        <w:rPr>
          <w:rFonts w:hint="eastAsia"/>
          <w:rtl/>
        </w:rPr>
        <w:t> </w:t>
      </w:r>
      <w:r>
        <w:rPr>
          <w:rFonts w:hint="cs"/>
          <w:rtl/>
        </w:rPr>
        <w:t xml:space="preserve">17 </w:t>
      </w:r>
      <w:r w:rsidRPr="00537FAB">
        <w:rPr>
          <w:rFonts w:hint="cs"/>
          <w:rtl/>
        </w:rPr>
        <w:t xml:space="preserve">من اللائحة التنفيذية الراهنة لاتفاق لشبونة، </w:t>
      </w:r>
      <w:r w:rsidR="00756E88">
        <w:rPr>
          <w:rFonts w:hint="cs"/>
          <w:rtl/>
        </w:rPr>
        <w:t>وقد كُيّفت</w:t>
      </w:r>
      <w:r w:rsidRPr="00537FAB">
        <w:rPr>
          <w:rFonts w:hint="cs"/>
          <w:rtl/>
        </w:rPr>
        <w:t xml:space="preserve"> وفقا لأحكام مشروع اتفاق لشبونة المراجع.</w:t>
      </w:r>
    </w:p>
    <w:p w:rsidR="00CC09ED" w:rsidRPr="00801B14" w:rsidRDefault="00801B14" w:rsidP="00007DB7">
      <w:pPr>
        <w:pStyle w:val="NormalParaAR"/>
        <w:keepNext/>
        <w:rPr>
          <w:b/>
          <w:bCs/>
          <w:rtl/>
        </w:rPr>
      </w:pPr>
      <w:r w:rsidRPr="00801B14">
        <w:rPr>
          <w:rFonts w:hint="cs"/>
          <w:b/>
          <w:bCs/>
          <w:rtl/>
        </w:rPr>
        <w:t>ملاحظات على القاعدة 19:</w:t>
      </w:r>
      <w:r w:rsidRPr="00801B14">
        <w:rPr>
          <w:b/>
          <w:bCs/>
          <w:rtl/>
        </w:rPr>
        <w:tab/>
      </w:r>
      <w:r w:rsidRPr="00801B14">
        <w:rPr>
          <w:rFonts w:hint="cs"/>
          <w:b/>
          <w:bCs/>
          <w:rtl/>
        </w:rPr>
        <w:t>النشر</w:t>
      </w:r>
    </w:p>
    <w:p w:rsidR="00801B14" w:rsidRDefault="00801B14" w:rsidP="0048612C">
      <w:pPr>
        <w:pStyle w:val="NormalParaAR"/>
        <w:rPr>
          <w:rtl/>
        </w:rPr>
      </w:pPr>
      <w:r>
        <w:rPr>
          <w:rFonts w:hint="cs"/>
          <w:rtl/>
        </w:rPr>
        <w:t>ق19-01</w:t>
      </w:r>
      <w:r>
        <w:rPr>
          <w:rtl/>
        </w:rPr>
        <w:tab/>
      </w:r>
      <w:r w:rsidR="00422ADE">
        <w:rPr>
          <w:rFonts w:hint="cs"/>
          <w:rtl/>
        </w:rPr>
        <w:t>مقارنة بالقاعدة</w:t>
      </w:r>
      <w:r w:rsidR="0048612C">
        <w:rPr>
          <w:rFonts w:hint="eastAsia"/>
          <w:rtl/>
        </w:rPr>
        <w:t> </w:t>
      </w:r>
      <w:r w:rsidR="00422ADE">
        <w:rPr>
          <w:rFonts w:hint="cs"/>
          <w:rtl/>
        </w:rPr>
        <w:t xml:space="preserve">18 من </w:t>
      </w:r>
      <w:r w:rsidR="00422ADE" w:rsidRPr="00537FAB">
        <w:rPr>
          <w:rFonts w:hint="cs"/>
          <w:rtl/>
        </w:rPr>
        <w:t>اللائحة التنفيذية الراهنة لاتفاق لشبونة</w:t>
      </w:r>
      <w:r w:rsidR="00422ADE">
        <w:rPr>
          <w:rFonts w:hint="cs"/>
          <w:rtl/>
        </w:rPr>
        <w:t>، لم يُحتفظ بالإشارة إلى المجلة نظرا لاحتمال النشر على موقع الويبو الإلكتروني في المستقبل.</w:t>
      </w:r>
    </w:p>
    <w:p w:rsidR="00422ADE" w:rsidRPr="00B879CA" w:rsidRDefault="00B879CA" w:rsidP="00007DB7">
      <w:pPr>
        <w:pStyle w:val="NormalParaAR"/>
        <w:keepNext/>
        <w:rPr>
          <w:b/>
          <w:bCs/>
          <w:rtl/>
        </w:rPr>
      </w:pPr>
      <w:r w:rsidRPr="00B879CA">
        <w:rPr>
          <w:rFonts w:hint="cs"/>
          <w:b/>
          <w:bCs/>
          <w:rtl/>
        </w:rPr>
        <w:lastRenderedPageBreak/>
        <w:t>ملاحظات على القاعدة 20:</w:t>
      </w:r>
      <w:r w:rsidRPr="00B879CA">
        <w:rPr>
          <w:b/>
          <w:bCs/>
          <w:rtl/>
        </w:rPr>
        <w:tab/>
      </w:r>
      <w:r w:rsidRPr="00B879CA">
        <w:rPr>
          <w:rFonts w:hint="cs"/>
          <w:b/>
          <w:bCs/>
          <w:rtl/>
        </w:rPr>
        <w:t>مستخرجات السجل الدولي والمعلومات الأخرى التي يقدمها المكتب الدولي</w:t>
      </w:r>
    </w:p>
    <w:p w:rsidR="00B879CA" w:rsidRDefault="00B879CA" w:rsidP="00B879CA">
      <w:pPr>
        <w:pStyle w:val="NormalParaAR"/>
        <w:rPr>
          <w:rtl/>
        </w:rPr>
      </w:pPr>
      <w:r>
        <w:rPr>
          <w:rFonts w:hint="cs"/>
          <w:rtl/>
        </w:rPr>
        <w:t>ق20-01</w:t>
      </w:r>
      <w:r>
        <w:rPr>
          <w:rtl/>
        </w:rPr>
        <w:tab/>
      </w:r>
      <w:r w:rsidRPr="00537FAB">
        <w:rPr>
          <w:rFonts w:hint="cs"/>
          <w:rtl/>
        </w:rPr>
        <w:t>أحكام هذه القاعدة مُستلهمة من الأحكام المتضمنة في القاعدة</w:t>
      </w:r>
      <w:r w:rsidRPr="00537FAB">
        <w:rPr>
          <w:rFonts w:hint="eastAsia"/>
          <w:rtl/>
        </w:rPr>
        <w:t> </w:t>
      </w:r>
      <w:r>
        <w:rPr>
          <w:rFonts w:hint="cs"/>
          <w:rtl/>
        </w:rPr>
        <w:t xml:space="preserve">19 </w:t>
      </w:r>
      <w:r w:rsidRPr="00537FAB">
        <w:rPr>
          <w:rFonts w:hint="cs"/>
          <w:rtl/>
        </w:rPr>
        <w:t>من اللائحة التنفيذية الراهنة لاتفاق لشبونة.</w:t>
      </w:r>
    </w:p>
    <w:p w:rsidR="008201AD" w:rsidRPr="008201AD" w:rsidRDefault="008201AD" w:rsidP="00007DB7">
      <w:pPr>
        <w:pStyle w:val="NormalParaAR"/>
        <w:keepNext/>
        <w:rPr>
          <w:b/>
          <w:bCs/>
          <w:rtl/>
        </w:rPr>
      </w:pPr>
      <w:r w:rsidRPr="008201AD">
        <w:rPr>
          <w:rFonts w:hint="cs"/>
          <w:b/>
          <w:bCs/>
          <w:rtl/>
        </w:rPr>
        <w:t>ملاحظات على القاعدة 21:</w:t>
      </w:r>
      <w:r w:rsidRPr="008201AD">
        <w:rPr>
          <w:b/>
          <w:bCs/>
          <w:rtl/>
        </w:rPr>
        <w:tab/>
      </w:r>
      <w:r w:rsidRPr="008201AD">
        <w:rPr>
          <w:rFonts w:hint="cs"/>
          <w:b/>
          <w:bCs/>
          <w:rtl/>
        </w:rPr>
        <w:t>التوقيع</w:t>
      </w:r>
    </w:p>
    <w:p w:rsidR="008201AD" w:rsidRDefault="007917CA" w:rsidP="007917CA">
      <w:pPr>
        <w:pStyle w:val="NormalParaAR"/>
        <w:rPr>
          <w:rtl/>
        </w:rPr>
      </w:pPr>
      <w:r>
        <w:rPr>
          <w:rFonts w:hint="cs"/>
          <w:rtl/>
        </w:rPr>
        <w:t>ق21-01</w:t>
      </w:r>
      <w:r>
        <w:rPr>
          <w:rtl/>
        </w:rPr>
        <w:tab/>
      </w:r>
      <w:r w:rsidRPr="00537FAB">
        <w:rPr>
          <w:rFonts w:hint="cs"/>
          <w:rtl/>
        </w:rPr>
        <w:t>هذه القاعدة مُستلهمة من القاعدة</w:t>
      </w:r>
      <w:r w:rsidRPr="00537FAB">
        <w:rPr>
          <w:rFonts w:hint="eastAsia"/>
          <w:rtl/>
        </w:rPr>
        <w:t> </w:t>
      </w:r>
      <w:r>
        <w:rPr>
          <w:rFonts w:hint="cs"/>
          <w:rtl/>
        </w:rPr>
        <w:t xml:space="preserve">20 </w:t>
      </w:r>
      <w:r w:rsidRPr="00537FAB">
        <w:rPr>
          <w:rFonts w:hint="cs"/>
          <w:rtl/>
        </w:rPr>
        <w:t>من اللائحة التنفيذية الراهنة لاتفاق لشبونة.</w:t>
      </w:r>
    </w:p>
    <w:p w:rsidR="007917CA" w:rsidRPr="00222D7C" w:rsidRDefault="00222D7C" w:rsidP="00007DB7">
      <w:pPr>
        <w:pStyle w:val="NormalParaAR"/>
        <w:keepNext/>
        <w:rPr>
          <w:b/>
          <w:bCs/>
          <w:rtl/>
        </w:rPr>
      </w:pPr>
      <w:r w:rsidRPr="00222D7C">
        <w:rPr>
          <w:rFonts w:hint="cs"/>
          <w:b/>
          <w:bCs/>
          <w:rtl/>
        </w:rPr>
        <w:t>ملاحظات على القاعدة 22:</w:t>
      </w:r>
      <w:r w:rsidRPr="00222D7C">
        <w:rPr>
          <w:b/>
          <w:bCs/>
          <w:rtl/>
        </w:rPr>
        <w:tab/>
      </w:r>
      <w:r w:rsidRPr="00222D7C">
        <w:rPr>
          <w:rFonts w:hint="cs"/>
          <w:b/>
          <w:bCs/>
          <w:rtl/>
        </w:rPr>
        <w:t>تاريخ إرسال التبليغات المتنوعة</w:t>
      </w:r>
    </w:p>
    <w:p w:rsidR="00222D7C" w:rsidRDefault="00D12887" w:rsidP="002C18BD">
      <w:pPr>
        <w:pStyle w:val="NormalParaAR"/>
        <w:rPr>
          <w:rtl/>
        </w:rPr>
      </w:pPr>
      <w:r>
        <w:rPr>
          <w:rFonts w:hint="cs"/>
          <w:rtl/>
        </w:rPr>
        <w:t>ق22-01</w:t>
      </w:r>
      <w:r>
        <w:rPr>
          <w:rtl/>
        </w:rPr>
        <w:tab/>
      </w:r>
      <w:r w:rsidR="00C51497" w:rsidRPr="00537FAB">
        <w:rPr>
          <w:rFonts w:hint="cs"/>
          <w:rtl/>
        </w:rPr>
        <w:t xml:space="preserve">أحكام هذه القاعدة مُستلهمة </w:t>
      </w:r>
      <w:r w:rsidR="00C51497">
        <w:rPr>
          <w:rFonts w:hint="cs"/>
          <w:rtl/>
        </w:rPr>
        <w:t xml:space="preserve">إلى حد كبير </w:t>
      </w:r>
      <w:r w:rsidR="00C51497" w:rsidRPr="00537FAB">
        <w:rPr>
          <w:rFonts w:hint="cs"/>
          <w:rtl/>
        </w:rPr>
        <w:t>من الأحكام المتضمنة في القاعدة</w:t>
      </w:r>
      <w:r w:rsidR="00C51497" w:rsidRPr="00537FAB">
        <w:rPr>
          <w:rFonts w:hint="eastAsia"/>
          <w:rtl/>
        </w:rPr>
        <w:t> </w:t>
      </w:r>
      <w:r w:rsidR="00C51497">
        <w:rPr>
          <w:rFonts w:hint="cs"/>
          <w:rtl/>
        </w:rPr>
        <w:t xml:space="preserve">21 </w:t>
      </w:r>
      <w:r w:rsidR="00C51497" w:rsidRPr="00537FAB">
        <w:rPr>
          <w:rFonts w:hint="cs"/>
          <w:rtl/>
        </w:rPr>
        <w:t>من اللائحة التنفيذية الراهنة لاتفاق لشبونة.</w:t>
      </w:r>
      <w:r w:rsidR="00C51497">
        <w:rPr>
          <w:rFonts w:hint="cs"/>
          <w:rtl/>
        </w:rPr>
        <w:t xml:space="preserve"> </w:t>
      </w:r>
      <w:r w:rsidR="002C18BD">
        <w:rPr>
          <w:rFonts w:hint="cs"/>
          <w:rtl/>
        </w:rPr>
        <w:t>وفيما يخص العبارة الإضافية التي تشير إلى التعليمات الإدارية، يُشار إلى البند</w:t>
      </w:r>
      <w:r w:rsidR="002C18BD">
        <w:rPr>
          <w:rFonts w:hint="eastAsia"/>
          <w:rtl/>
        </w:rPr>
        <w:t> </w:t>
      </w:r>
      <w:r w:rsidR="002C18BD">
        <w:rPr>
          <w:rFonts w:hint="cs"/>
          <w:rtl/>
        </w:rPr>
        <w:t>9 من التعليمات الإدارية المنطبقة بموجب اتفاق لشبونة الراهن.</w:t>
      </w:r>
    </w:p>
    <w:p w:rsidR="002C18BD" w:rsidRPr="00C3463B" w:rsidRDefault="00C3463B" w:rsidP="00007DB7">
      <w:pPr>
        <w:pStyle w:val="NormalParaAR"/>
        <w:keepNext/>
        <w:rPr>
          <w:b/>
          <w:bCs/>
          <w:rtl/>
        </w:rPr>
      </w:pPr>
      <w:r w:rsidRPr="00C3463B">
        <w:rPr>
          <w:rFonts w:hint="cs"/>
          <w:b/>
          <w:bCs/>
          <w:rtl/>
        </w:rPr>
        <w:t>ملاحظات على القاعدة 23:</w:t>
      </w:r>
      <w:r w:rsidRPr="00C3463B">
        <w:rPr>
          <w:b/>
          <w:bCs/>
          <w:rtl/>
        </w:rPr>
        <w:tab/>
      </w:r>
      <w:r w:rsidRPr="00C3463B">
        <w:rPr>
          <w:rFonts w:hint="cs"/>
          <w:b/>
          <w:bCs/>
          <w:rtl/>
        </w:rPr>
        <w:t>طرق الإخطار من قبل المكتب الدولي</w:t>
      </w:r>
    </w:p>
    <w:p w:rsidR="002C18BD" w:rsidRDefault="00C3463B" w:rsidP="00C3463B">
      <w:pPr>
        <w:pStyle w:val="NormalParaAR"/>
        <w:rPr>
          <w:rtl/>
        </w:rPr>
      </w:pPr>
      <w:r>
        <w:rPr>
          <w:rFonts w:hint="cs"/>
          <w:rtl/>
        </w:rPr>
        <w:t>ق23</w:t>
      </w:r>
      <w:r>
        <w:rPr>
          <w:rtl/>
        </w:rPr>
        <w:t>—</w:t>
      </w:r>
      <w:r>
        <w:rPr>
          <w:rFonts w:hint="cs"/>
          <w:rtl/>
        </w:rPr>
        <w:t>01</w:t>
      </w:r>
      <w:r>
        <w:rPr>
          <w:rtl/>
        </w:rPr>
        <w:tab/>
      </w:r>
      <w:r>
        <w:rPr>
          <w:rFonts w:hint="cs"/>
          <w:rtl/>
        </w:rPr>
        <w:t>صيغت أحكام هذه القاعدة على نسق الأحكام المتضمنة في القاعدة</w:t>
      </w:r>
      <w:r>
        <w:rPr>
          <w:rFonts w:hint="eastAsia"/>
          <w:rtl/>
        </w:rPr>
        <w:t> </w:t>
      </w:r>
      <w:r>
        <w:rPr>
          <w:rFonts w:hint="cs"/>
          <w:rtl/>
        </w:rPr>
        <w:t>22 من اللائحة التنفيذية الراهنة لاتفاق لشبونة.</w:t>
      </w:r>
    </w:p>
    <w:p w:rsidR="00C3463B" w:rsidRPr="00C3463B" w:rsidRDefault="00C3463B" w:rsidP="00007DB7">
      <w:pPr>
        <w:pStyle w:val="NormalParaAR"/>
        <w:keepNext/>
        <w:rPr>
          <w:b/>
          <w:bCs/>
          <w:rtl/>
        </w:rPr>
      </w:pPr>
      <w:r w:rsidRPr="00C3463B">
        <w:rPr>
          <w:rFonts w:hint="cs"/>
          <w:b/>
          <w:bCs/>
          <w:rtl/>
        </w:rPr>
        <w:t>ملاحظات على القاعدة 24:</w:t>
      </w:r>
      <w:r w:rsidRPr="00C3463B">
        <w:rPr>
          <w:b/>
          <w:bCs/>
          <w:rtl/>
        </w:rPr>
        <w:tab/>
      </w:r>
      <w:r w:rsidRPr="00C3463B">
        <w:rPr>
          <w:rFonts w:hint="cs"/>
          <w:b/>
          <w:bCs/>
          <w:rtl/>
        </w:rPr>
        <w:t>التعليمات الإدارية</w:t>
      </w:r>
    </w:p>
    <w:p w:rsidR="00C3463B" w:rsidRDefault="00C3463B" w:rsidP="00C3463B">
      <w:pPr>
        <w:pStyle w:val="NormalParaAR"/>
        <w:spacing w:after="480"/>
        <w:rPr>
          <w:rtl/>
        </w:rPr>
      </w:pPr>
      <w:r>
        <w:rPr>
          <w:rFonts w:hint="cs"/>
          <w:rtl/>
        </w:rPr>
        <w:t>ق24-01</w:t>
      </w:r>
      <w:r>
        <w:rPr>
          <w:rtl/>
        </w:rPr>
        <w:tab/>
      </w:r>
      <w:r w:rsidRPr="00537FAB">
        <w:rPr>
          <w:rFonts w:hint="cs"/>
          <w:rtl/>
        </w:rPr>
        <w:t xml:space="preserve">أحكام هذه القاعدة مُستلهمة </w:t>
      </w:r>
      <w:r>
        <w:rPr>
          <w:rFonts w:hint="cs"/>
          <w:rtl/>
        </w:rPr>
        <w:t xml:space="preserve">إلى حد كبير </w:t>
      </w:r>
      <w:r w:rsidRPr="00537FAB">
        <w:rPr>
          <w:rFonts w:hint="cs"/>
          <w:rtl/>
        </w:rPr>
        <w:t>من الأحكام المتضمنة في القاعدة</w:t>
      </w:r>
      <w:r w:rsidRPr="00537FAB">
        <w:rPr>
          <w:rFonts w:hint="eastAsia"/>
          <w:rtl/>
        </w:rPr>
        <w:t> </w:t>
      </w:r>
      <w:r>
        <w:rPr>
          <w:rFonts w:hint="cs"/>
          <w:rtl/>
        </w:rPr>
        <w:t xml:space="preserve">23(ثانيا) </w:t>
      </w:r>
      <w:r w:rsidRPr="00537FAB">
        <w:rPr>
          <w:rFonts w:hint="cs"/>
          <w:rtl/>
        </w:rPr>
        <w:t>من اللائحة التنفيذية الراهنة لاتفاق لشبونة</w:t>
      </w:r>
      <w:r>
        <w:rPr>
          <w:rFonts w:hint="cs"/>
          <w:rtl/>
        </w:rPr>
        <w:t>. غير أنّه لم يُحتفظ بالإشارة إلى المجلة نظرا للسبب المذكور في الملاحظة 19-01.</w:t>
      </w:r>
    </w:p>
    <w:p w:rsidR="00C3463B" w:rsidRPr="00A80268" w:rsidRDefault="00C3463B" w:rsidP="00C3463B">
      <w:pPr>
        <w:pStyle w:val="EndofDocumentAR"/>
        <w:rPr>
          <w:rtl/>
        </w:rPr>
      </w:pPr>
      <w:r>
        <w:rPr>
          <w:rFonts w:hint="cs"/>
          <w:rtl/>
        </w:rPr>
        <w:t>[نهاية المرفق والوثيقة]</w:t>
      </w:r>
    </w:p>
    <w:sectPr w:rsidR="00C3463B" w:rsidRPr="00A80268" w:rsidSect="00224A10">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5A1" w:rsidRDefault="00DB65A1">
      <w:r>
        <w:separator/>
      </w:r>
    </w:p>
  </w:endnote>
  <w:endnote w:type="continuationSeparator" w:id="0">
    <w:p w:rsidR="00DB65A1" w:rsidRDefault="00DB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5A1" w:rsidRDefault="00DB65A1" w:rsidP="009622BF">
      <w:pPr>
        <w:bidi/>
      </w:pPr>
      <w:bookmarkStart w:id="0" w:name="OLE_LINK1"/>
      <w:bookmarkStart w:id="1" w:name="OLE_LINK2"/>
      <w:r>
        <w:separator/>
      </w:r>
      <w:bookmarkEnd w:id="0"/>
      <w:bookmarkEnd w:id="1"/>
    </w:p>
  </w:footnote>
  <w:footnote w:type="continuationSeparator" w:id="0">
    <w:p w:rsidR="00DB65A1" w:rsidRDefault="00DB65A1"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A10" w:rsidRPr="00224A10" w:rsidRDefault="00224A10" w:rsidP="00224A10">
    <w:pPr>
      <w:rPr>
        <w:lang w:val="fr-FR"/>
      </w:rPr>
    </w:pPr>
    <w:r w:rsidRPr="00224A10">
      <w:rPr>
        <w:lang w:val="fr-FR"/>
      </w:rPr>
      <w:t>LI/WG/DEV/10/5</w:t>
    </w:r>
  </w:p>
  <w:p w:rsidR="00224A10" w:rsidRPr="00224A10" w:rsidRDefault="00224A10" w:rsidP="00224A10">
    <w:pPr>
      <w:rPr>
        <w:lang w:val="fr-FR"/>
      </w:rPr>
    </w:pPr>
    <w:r>
      <w:rPr>
        <w:lang w:val="fr-FR"/>
      </w:rPr>
      <w:t>Annex</w:t>
    </w:r>
  </w:p>
  <w:p w:rsidR="00224A10" w:rsidRDefault="00224A10" w:rsidP="00224A10">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A10" w:rsidRDefault="00224A10" w:rsidP="00224A10">
    <w:pPr>
      <w:rPr>
        <w:lang w:val="fr-FR"/>
      </w:rPr>
    </w:pPr>
    <w:r w:rsidRPr="00224A10">
      <w:rPr>
        <w:lang w:val="fr-FR"/>
      </w:rPr>
      <w:t>LI/WG/DEV/10/5</w:t>
    </w:r>
  </w:p>
  <w:p w:rsidR="0041465E" w:rsidRPr="00C51497" w:rsidRDefault="0041465E" w:rsidP="0041465E">
    <w:r>
      <w:rPr>
        <w:lang w:val="fr-FR"/>
      </w:rPr>
      <w:t>Annex</w:t>
    </w:r>
  </w:p>
  <w:p w:rsidR="00224A10" w:rsidRDefault="00224A10" w:rsidP="00224A10">
    <w:r>
      <w:fldChar w:fldCharType="begin"/>
    </w:r>
    <w:r>
      <w:instrText xml:space="preserve"> PAGE   \* MERGEFORMAT </w:instrText>
    </w:r>
    <w:r>
      <w:fldChar w:fldCharType="separate"/>
    </w:r>
    <w:r w:rsidR="00EE1FFC">
      <w:rPr>
        <w:noProof/>
      </w:rPr>
      <w:t>7</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A10" w:rsidRPr="00224A10" w:rsidRDefault="00224A10" w:rsidP="00224A10">
    <w:pPr>
      <w:pStyle w:val="Header"/>
      <w:rPr>
        <w:lang w:val="fr-FR"/>
      </w:rPr>
    </w:pPr>
    <w:r w:rsidRPr="00224A10">
      <w:rPr>
        <w:lang w:val="fr-FR"/>
      </w:rPr>
      <w:t>LI/WG/DEV/10/5</w:t>
    </w:r>
  </w:p>
  <w:p w:rsidR="00224A10" w:rsidRDefault="00224A10" w:rsidP="00224A10">
    <w:pPr>
      <w:pStyle w:val="Header"/>
    </w:pPr>
    <w:r w:rsidRPr="00224A10">
      <w:rPr>
        <w:lang w:val="fr-FR"/>
      </w:rPr>
      <w:t>ANNEX</w:t>
    </w:r>
  </w:p>
  <w:p w:rsidR="00224A10" w:rsidRPr="00224A10" w:rsidRDefault="00224A10" w:rsidP="00224A10">
    <w:pPr>
      <w:pStyle w:val="Header"/>
      <w:bidi/>
      <w:jc w:val="right"/>
      <w:rPr>
        <w:rFonts w:ascii="Arabic Typesetting" w:hAnsi="Arabic Typesetting" w:cs="Arabic Typesetting"/>
        <w:sz w:val="36"/>
        <w:szCs w:val="36"/>
      </w:rPr>
    </w:pPr>
    <w:r>
      <w:rPr>
        <w:rFonts w:ascii="Arabic Typesetting" w:hAnsi="Arabic Typesetting" w:cs="Arabic Typesetting" w:hint="cs"/>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5A1"/>
    <w:rsid w:val="00002CBE"/>
    <w:rsid w:val="00003232"/>
    <w:rsid w:val="000033DA"/>
    <w:rsid w:val="0000579F"/>
    <w:rsid w:val="00007149"/>
    <w:rsid w:val="000074D1"/>
    <w:rsid w:val="000076BD"/>
    <w:rsid w:val="00007DB7"/>
    <w:rsid w:val="00010481"/>
    <w:rsid w:val="00010671"/>
    <w:rsid w:val="000114E2"/>
    <w:rsid w:val="00013347"/>
    <w:rsid w:val="00013D73"/>
    <w:rsid w:val="000142E1"/>
    <w:rsid w:val="000146BD"/>
    <w:rsid w:val="00014B68"/>
    <w:rsid w:val="0001645D"/>
    <w:rsid w:val="00017A43"/>
    <w:rsid w:val="0002157B"/>
    <w:rsid w:val="00022D09"/>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28D1"/>
    <w:rsid w:val="00073402"/>
    <w:rsid w:val="00075745"/>
    <w:rsid w:val="00075A04"/>
    <w:rsid w:val="00075D39"/>
    <w:rsid w:val="000760C3"/>
    <w:rsid w:val="000763A4"/>
    <w:rsid w:val="00076901"/>
    <w:rsid w:val="0008237C"/>
    <w:rsid w:val="00082439"/>
    <w:rsid w:val="000833C3"/>
    <w:rsid w:val="0008421F"/>
    <w:rsid w:val="0008451C"/>
    <w:rsid w:val="00084C1A"/>
    <w:rsid w:val="00085A0B"/>
    <w:rsid w:val="000861CA"/>
    <w:rsid w:val="000863B7"/>
    <w:rsid w:val="00087DB6"/>
    <w:rsid w:val="00090139"/>
    <w:rsid w:val="0009024C"/>
    <w:rsid w:val="00090ADD"/>
    <w:rsid w:val="000913C0"/>
    <w:rsid w:val="00091F52"/>
    <w:rsid w:val="00092302"/>
    <w:rsid w:val="0009239F"/>
    <w:rsid w:val="00092982"/>
    <w:rsid w:val="00092DD6"/>
    <w:rsid w:val="00094C85"/>
    <w:rsid w:val="00094D7E"/>
    <w:rsid w:val="0009517B"/>
    <w:rsid w:val="00095AE2"/>
    <w:rsid w:val="000962DF"/>
    <w:rsid w:val="0009661E"/>
    <w:rsid w:val="0009794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CB"/>
    <w:rsid w:val="000F0BE5"/>
    <w:rsid w:val="000F0F0D"/>
    <w:rsid w:val="000F1B52"/>
    <w:rsid w:val="000F1C70"/>
    <w:rsid w:val="000F1EAA"/>
    <w:rsid w:val="000F2D6C"/>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48D4"/>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C19"/>
    <w:rsid w:val="001A4A9C"/>
    <w:rsid w:val="001A6B88"/>
    <w:rsid w:val="001A6C33"/>
    <w:rsid w:val="001A6E68"/>
    <w:rsid w:val="001B3131"/>
    <w:rsid w:val="001B4B2F"/>
    <w:rsid w:val="001B798B"/>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7C1F"/>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3C7C"/>
    <w:rsid w:val="0021457F"/>
    <w:rsid w:val="0021505D"/>
    <w:rsid w:val="00215343"/>
    <w:rsid w:val="0021604B"/>
    <w:rsid w:val="00216545"/>
    <w:rsid w:val="00220227"/>
    <w:rsid w:val="0022176B"/>
    <w:rsid w:val="00222760"/>
    <w:rsid w:val="00222782"/>
    <w:rsid w:val="00222D7C"/>
    <w:rsid w:val="0022360A"/>
    <w:rsid w:val="00224A10"/>
    <w:rsid w:val="00226B82"/>
    <w:rsid w:val="00227103"/>
    <w:rsid w:val="00230249"/>
    <w:rsid w:val="00230D5F"/>
    <w:rsid w:val="00231BE3"/>
    <w:rsid w:val="00232C51"/>
    <w:rsid w:val="00233414"/>
    <w:rsid w:val="00233D69"/>
    <w:rsid w:val="00234E82"/>
    <w:rsid w:val="00235C9D"/>
    <w:rsid w:val="00236341"/>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778"/>
    <w:rsid w:val="00254DE4"/>
    <w:rsid w:val="002559DA"/>
    <w:rsid w:val="00256955"/>
    <w:rsid w:val="0026071A"/>
    <w:rsid w:val="00261B27"/>
    <w:rsid w:val="00262B5A"/>
    <w:rsid w:val="00263EB3"/>
    <w:rsid w:val="0026520E"/>
    <w:rsid w:val="00266486"/>
    <w:rsid w:val="00266B0A"/>
    <w:rsid w:val="00266C61"/>
    <w:rsid w:val="0026749A"/>
    <w:rsid w:val="002708D1"/>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3B34"/>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18BD"/>
    <w:rsid w:val="002C2B6F"/>
    <w:rsid w:val="002C314F"/>
    <w:rsid w:val="002C4AD1"/>
    <w:rsid w:val="002C78AD"/>
    <w:rsid w:val="002C7D29"/>
    <w:rsid w:val="002D0298"/>
    <w:rsid w:val="002D1662"/>
    <w:rsid w:val="002D1DE5"/>
    <w:rsid w:val="002D2483"/>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06B7F"/>
    <w:rsid w:val="00310F6C"/>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747"/>
    <w:rsid w:val="00391AFE"/>
    <w:rsid w:val="00392705"/>
    <w:rsid w:val="00393A79"/>
    <w:rsid w:val="00394161"/>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161"/>
    <w:rsid w:val="003E5733"/>
    <w:rsid w:val="003E5E27"/>
    <w:rsid w:val="003E673B"/>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2BD0"/>
    <w:rsid w:val="00413BA5"/>
    <w:rsid w:val="0041465E"/>
    <w:rsid w:val="00414FD0"/>
    <w:rsid w:val="00417E93"/>
    <w:rsid w:val="00422A2A"/>
    <w:rsid w:val="00422ADE"/>
    <w:rsid w:val="00424BB4"/>
    <w:rsid w:val="004258CD"/>
    <w:rsid w:val="004261D2"/>
    <w:rsid w:val="004303D1"/>
    <w:rsid w:val="00433C0A"/>
    <w:rsid w:val="004349FA"/>
    <w:rsid w:val="004406BD"/>
    <w:rsid w:val="00441290"/>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12C"/>
    <w:rsid w:val="004862C2"/>
    <w:rsid w:val="004863F7"/>
    <w:rsid w:val="00486FFC"/>
    <w:rsid w:val="00490ED4"/>
    <w:rsid w:val="00491B91"/>
    <w:rsid w:val="00491C21"/>
    <w:rsid w:val="00491C66"/>
    <w:rsid w:val="00491C8F"/>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053C"/>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BE7"/>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7FAB"/>
    <w:rsid w:val="005409EB"/>
    <w:rsid w:val="00540F30"/>
    <w:rsid w:val="00541DD2"/>
    <w:rsid w:val="00543A63"/>
    <w:rsid w:val="00543AB5"/>
    <w:rsid w:val="005457CF"/>
    <w:rsid w:val="00545976"/>
    <w:rsid w:val="005462EA"/>
    <w:rsid w:val="0054660F"/>
    <w:rsid w:val="00547628"/>
    <w:rsid w:val="005533C3"/>
    <w:rsid w:val="005536E6"/>
    <w:rsid w:val="00553AC3"/>
    <w:rsid w:val="00553DBA"/>
    <w:rsid w:val="00554335"/>
    <w:rsid w:val="00554CCA"/>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3CA"/>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44A4"/>
    <w:rsid w:val="005955C0"/>
    <w:rsid w:val="00595B68"/>
    <w:rsid w:val="00595EAA"/>
    <w:rsid w:val="0059672B"/>
    <w:rsid w:val="005A0C60"/>
    <w:rsid w:val="005A1DF6"/>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E7DF5"/>
    <w:rsid w:val="005F0112"/>
    <w:rsid w:val="005F03E3"/>
    <w:rsid w:val="005F0829"/>
    <w:rsid w:val="005F0B59"/>
    <w:rsid w:val="005F2B45"/>
    <w:rsid w:val="005F32BE"/>
    <w:rsid w:val="005F34FB"/>
    <w:rsid w:val="005F39A0"/>
    <w:rsid w:val="005F6B68"/>
    <w:rsid w:val="005F6F2E"/>
    <w:rsid w:val="005F735A"/>
    <w:rsid w:val="005F7D85"/>
    <w:rsid w:val="005F7EBF"/>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6B5"/>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C57"/>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21B9"/>
    <w:rsid w:val="006B398A"/>
    <w:rsid w:val="006B3E04"/>
    <w:rsid w:val="006B4024"/>
    <w:rsid w:val="006B47D7"/>
    <w:rsid w:val="006B499D"/>
    <w:rsid w:val="006B5041"/>
    <w:rsid w:val="006B5305"/>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2E9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6E88"/>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17CA"/>
    <w:rsid w:val="00792064"/>
    <w:rsid w:val="00792F0C"/>
    <w:rsid w:val="00795460"/>
    <w:rsid w:val="00796CF7"/>
    <w:rsid w:val="007A0313"/>
    <w:rsid w:val="007A0A83"/>
    <w:rsid w:val="007A234B"/>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61B4"/>
    <w:rsid w:val="007E7997"/>
    <w:rsid w:val="007E7B47"/>
    <w:rsid w:val="007F04EF"/>
    <w:rsid w:val="007F342F"/>
    <w:rsid w:val="007F38D1"/>
    <w:rsid w:val="007F56BB"/>
    <w:rsid w:val="007F63CE"/>
    <w:rsid w:val="007F6EA4"/>
    <w:rsid w:val="008002A5"/>
    <w:rsid w:val="0080050E"/>
    <w:rsid w:val="00801329"/>
    <w:rsid w:val="00801424"/>
    <w:rsid w:val="00801AA4"/>
    <w:rsid w:val="00801B14"/>
    <w:rsid w:val="00801B7E"/>
    <w:rsid w:val="008021B9"/>
    <w:rsid w:val="008069E1"/>
    <w:rsid w:val="00806E68"/>
    <w:rsid w:val="00807FC3"/>
    <w:rsid w:val="00810034"/>
    <w:rsid w:val="008114CF"/>
    <w:rsid w:val="008117CC"/>
    <w:rsid w:val="00811AB3"/>
    <w:rsid w:val="0081421D"/>
    <w:rsid w:val="00814ADB"/>
    <w:rsid w:val="00815C5D"/>
    <w:rsid w:val="0081618F"/>
    <w:rsid w:val="008174D1"/>
    <w:rsid w:val="008178B2"/>
    <w:rsid w:val="008201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340"/>
    <w:rsid w:val="00855CA6"/>
    <w:rsid w:val="008570DC"/>
    <w:rsid w:val="00860323"/>
    <w:rsid w:val="00860F4F"/>
    <w:rsid w:val="008610B9"/>
    <w:rsid w:val="00862233"/>
    <w:rsid w:val="00862656"/>
    <w:rsid w:val="00863013"/>
    <w:rsid w:val="00863F67"/>
    <w:rsid w:val="0086483A"/>
    <w:rsid w:val="00864E88"/>
    <w:rsid w:val="0087049C"/>
    <w:rsid w:val="00870AAD"/>
    <w:rsid w:val="00870EDE"/>
    <w:rsid w:val="00871DA0"/>
    <w:rsid w:val="00872030"/>
    <w:rsid w:val="00873973"/>
    <w:rsid w:val="00875C28"/>
    <w:rsid w:val="00875E75"/>
    <w:rsid w:val="0087658F"/>
    <w:rsid w:val="008771AA"/>
    <w:rsid w:val="0087762E"/>
    <w:rsid w:val="00877823"/>
    <w:rsid w:val="008803F5"/>
    <w:rsid w:val="00880CC7"/>
    <w:rsid w:val="008812BF"/>
    <w:rsid w:val="00881341"/>
    <w:rsid w:val="00882931"/>
    <w:rsid w:val="00884939"/>
    <w:rsid w:val="008853E0"/>
    <w:rsid w:val="00885AFD"/>
    <w:rsid w:val="00885BE2"/>
    <w:rsid w:val="008863C8"/>
    <w:rsid w:val="00886D40"/>
    <w:rsid w:val="00887A0E"/>
    <w:rsid w:val="008907F3"/>
    <w:rsid w:val="008920C2"/>
    <w:rsid w:val="00895702"/>
    <w:rsid w:val="00897566"/>
    <w:rsid w:val="0089757B"/>
    <w:rsid w:val="008A059F"/>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533"/>
    <w:rsid w:val="009417F1"/>
    <w:rsid w:val="00941A84"/>
    <w:rsid w:val="0094204A"/>
    <w:rsid w:val="009443ED"/>
    <w:rsid w:val="00945DBF"/>
    <w:rsid w:val="00946042"/>
    <w:rsid w:val="00946AB3"/>
    <w:rsid w:val="00947074"/>
    <w:rsid w:val="0094752A"/>
    <w:rsid w:val="00947D01"/>
    <w:rsid w:val="009503EA"/>
    <w:rsid w:val="0095112D"/>
    <w:rsid w:val="00951903"/>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2284"/>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7A57"/>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7A6"/>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8CE"/>
    <w:rsid w:val="009F2C2E"/>
    <w:rsid w:val="009F4190"/>
    <w:rsid w:val="009F4911"/>
    <w:rsid w:val="009F513E"/>
    <w:rsid w:val="009F5241"/>
    <w:rsid w:val="009F6807"/>
    <w:rsid w:val="009F68DF"/>
    <w:rsid w:val="009F6A24"/>
    <w:rsid w:val="009F7D49"/>
    <w:rsid w:val="00A0042C"/>
    <w:rsid w:val="00A00495"/>
    <w:rsid w:val="00A01925"/>
    <w:rsid w:val="00A01DEB"/>
    <w:rsid w:val="00A06D32"/>
    <w:rsid w:val="00A07545"/>
    <w:rsid w:val="00A13947"/>
    <w:rsid w:val="00A13E2B"/>
    <w:rsid w:val="00A1562A"/>
    <w:rsid w:val="00A15901"/>
    <w:rsid w:val="00A1618E"/>
    <w:rsid w:val="00A161A1"/>
    <w:rsid w:val="00A20123"/>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1A2D"/>
    <w:rsid w:val="00A43904"/>
    <w:rsid w:val="00A4524C"/>
    <w:rsid w:val="00A4582E"/>
    <w:rsid w:val="00A45BD2"/>
    <w:rsid w:val="00A45DFA"/>
    <w:rsid w:val="00A46A1E"/>
    <w:rsid w:val="00A46B9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6E40"/>
    <w:rsid w:val="00A671FC"/>
    <w:rsid w:val="00A71670"/>
    <w:rsid w:val="00A72874"/>
    <w:rsid w:val="00A72E48"/>
    <w:rsid w:val="00A7359C"/>
    <w:rsid w:val="00A73616"/>
    <w:rsid w:val="00A76648"/>
    <w:rsid w:val="00A76DF7"/>
    <w:rsid w:val="00A77523"/>
    <w:rsid w:val="00A80268"/>
    <w:rsid w:val="00A83454"/>
    <w:rsid w:val="00A843FC"/>
    <w:rsid w:val="00A84DA5"/>
    <w:rsid w:val="00A85302"/>
    <w:rsid w:val="00A86119"/>
    <w:rsid w:val="00A8649F"/>
    <w:rsid w:val="00A86D25"/>
    <w:rsid w:val="00A877BD"/>
    <w:rsid w:val="00A8786B"/>
    <w:rsid w:val="00A903F1"/>
    <w:rsid w:val="00A905CC"/>
    <w:rsid w:val="00A90974"/>
    <w:rsid w:val="00A9197E"/>
    <w:rsid w:val="00A91B30"/>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4FCF"/>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783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73B"/>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384F"/>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879CA"/>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0D27"/>
    <w:rsid w:val="00BB1388"/>
    <w:rsid w:val="00BB2683"/>
    <w:rsid w:val="00BB40DF"/>
    <w:rsid w:val="00BB5E2C"/>
    <w:rsid w:val="00BB7D9E"/>
    <w:rsid w:val="00BC16AC"/>
    <w:rsid w:val="00BC2B7B"/>
    <w:rsid w:val="00BC3AE8"/>
    <w:rsid w:val="00BC3AF4"/>
    <w:rsid w:val="00BC43A8"/>
    <w:rsid w:val="00BC5C6D"/>
    <w:rsid w:val="00BC6495"/>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63B"/>
    <w:rsid w:val="00C348C7"/>
    <w:rsid w:val="00C35B2A"/>
    <w:rsid w:val="00C36742"/>
    <w:rsid w:val="00C374AD"/>
    <w:rsid w:val="00C40DE4"/>
    <w:rsid w:val="00C40E63"/>
    <w:rsid w:val="00C41A06"/>
    <w:rsid w:val="00C4261B"/>
    <w:rsid w:val="00C42BFB"/>
    <w:rsid w:val="00C44DDC"/>
    <w:rsid w:val="00C5128B"/>
    <w:rsid w:val="00C51423"/>
    <w:rsid w:val="00C51497"/>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879D0"/>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09ED"/>
    <w:rsid w:val="00CC4CB6"/>
    <w:rsid w:val="00CC4DB0"/>
    <w:rsid w:val="00CC5038"/>
    <w:rsid w:val="00CC5326"/>
    <w:rsid w:val="00CC7232"/>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55F2"/>
    <w:rsid w:val="00D07D07"/>
    <w:rsid w:val="00D10F87"/>
    <w:rsid w:val="00D1149D"/>
    <w:rsid w:val="00D11B8E"/>
    <w:rsid w:val="00D11D8D"/>
    <w:rsid w:val="00D12887"/>
    <w:rsid w:val="00D12B12"/>
    <w:rsid w:val="00D12DD7"/>
    <w:rsid w:val="00D13A8C"/>
    <w:rsid w:val="00D149E1"/>
    <w:rsid w:val="00D14A44"/>
    <w:rsid w:val="00D15BCC"/>
    <w:rsid w:val="00D1628F"/>
    <w:rsid w:val="00D21D89"/>
    <w:rsid w:val="00D22065"/>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277B"/>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65A1"/>
    <w:rsid w:val="00DB71DB"/>
    <w:rsid w:val="00DB71E1"/>
    <w:rsid w:val="00DB78D4"/>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62C7"/>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5A5"/>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4F96"/>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0A11"/>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56D2"/>
    <w:rsid w:val="00E85A48"/>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0564"/>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39E5"/>
    <w:rsid w:val="00ED4D96"/>
    <w:rsid w:val="00ED5A40"/>
    <w:rsid w:val="00ED5F21"/>
    <w:rsid w:val="00ED602C"/>
    <w:rsid w:val="00ED62B5"/>
    <w:rsid w:val="00ED6DDB"/>
    <w:rsid w:val="00ED7985"/>
    <w:rsid w:val="00EE1FFC"/>
    <w:rsid w:val="00EE270D"/>
    <w:rsid w:val="00EE6989"/>
    <w:rsid w:val="00EE6C77"/>
    <w:rsid w:val="00EE7604"/>
    <w:rsid w:val="00EE7912"/>
    <w:rsid w:val="00EE7915"/>
    <w:rsid w:val="00EF0465"/>
    <w:rsid w:val="00EF0E36"/>
    <w:rsid w:val="00EF13C5"/>
    <w:rsid w:val="00EF16D8"/>
    <w:rsid w:val="00EF28EF"/>
    <w:rsid w:val="00EF2EB9"/>
    <w:rsid w:val="00EF40E7"/>
    <w:rsid w:val="00EF4529"/>
    <w:rsid w:val="00EF5B34"/>
    <w:rsid w:val="00EF657C"/>
    <w:rsid w:val="00EF77F3"/>
    <w:rsid w:val="00EF7FE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35C5"/>
    <w:rsid w:val="00F238A3"/>
    <w:rsid w:val="00F23D65"/>
    <w:rsid w:val="00F24D27"/>
    <w:rsid w:val="00F2520C"/>
    <w:rsid w:val="00F25BCB"/>
    <w:rsid w:val="00F25ECC"/>
    <w:rsid w:val="00F264C1"/>
    <w:rsid w:val="00F26D7F"/>
    <w:rsid w:val="00F27305"/>
    <w:rsid w:val="00F30790"/>
    <w:rsid w:val="00F31570"/>
    <w:rsid w:val="00F328A5"/>
    <w:rsid w:val="00F33355"/>
    <w:rsid w:val="00F33614"/>
    <w:rsid w:val="00F34363"/>
    <w:rsid w:val="00F34CE9"/>
    <w:rsid w:val="00F354B9"/>
    <w:rsid w:val="00F35705"/>
    <w:rsid w:val="00F35B93"/>
    <w:rsid w:val="00F362DD"/>
    <w:rsid w:val="00F37129"/>
    <w:rsid w:val="00F37CFD"/>
    <w:rsid w:val="00F37D33"/>
    <w:rsid w:val="00F40178"/>
    <w:rsid w:val="00F40DB9"/>
    <w:rsid w:val="00F40ED1"/>
    <w:rsid w:val="00F415A3"/>
    <w:rsid w:val="00F41778"/>
    <w:rsid w:val="00F41B3E"/>
    <w:rsid w:val="00F421D1"/>
    <w:rsid w:val="00F4310D"/>
    <w:rsid w:val="00F4323B"/>
    <w:rsid w:val="00F434F4"/>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5E4"/>
    <w:rsid w:val="00F91DA4"/>
    <w:rsid w:val="00F92728"/>
    <w:rsid w:val="00F9355F"/>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28D"/>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224A10"/>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224A10"/>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CCA69-08E3-4BEC-A1CD-0722D303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2489</Words>
  <Characters>14188</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PCT/WG/DEV/10/5 (Arabic)</vt:lpstr>
    </vt:vector>
  </TitlesOfParts>
  <Company>World Intellectual Property Organization</Company>
  <LinksUpToDate>false</LinksUpToDate>
  <CharactersWithSpaces>16644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PCT/WG/DEV/10/5 (Arabic)</dc:title>
  <dc:creator>وثيقة من إعداد الأمانة</dc:creator>
  <cp:lastModifiedBy>VINCENT Anouck</cp:lastModifiedBy>
  <cp:revision>2</cp:revision>
  <cp:lastPrinted>2014-09-04T16:22:00Z</cp:lastPrinted>
  <dcterms:created xsi:type="dcterms:W3CDTF">2014-09-22T15:06:00Z</dcterms:created>
  <dcterms:modified xsi:type="dcterms:W3CDTF">2014-09-22T15:06:00Z</dcterms:modified>
</cp:coreProperties>
</file>