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ECE4175"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500DBE" w:rsidP="00EC467D">
      <w:pPr>
        <w:bidi w:val="0"/>
        <w:rPr>
          <w:rFonts w:ascii="Arial Black" w:hAnsi="Arial Black"/>
          <w:caps/>
          <w:sz w:val="15"/>
          <w:szCs w:val="15"/>
        </w:rPr>
      </w:pPr>
      <w:r>
        <w:rPr>
          <w:rFonts w:ascii="Arial Black" w:hAnsi="Arial Black"/>
          <w:caps/>
          <w:sz w:val="15"/>
          <w:szCs w:val="15"/>
        </w:rPr>
        <w:t>CDIP/3</w:t>
      </w:r>
      <w:r w:rsidR="00EC467D">
        <w:rPr>
          <w:rFonts w:ascii="Arial Black" w:hAnsi="Arial Black"/>
          <w:caps/>
          <w:sz w:val="15"/>
          <w:szCs w:val="15"/>
        </w:rPr>
        <w:t>1</w:t>
      </w:r>
      <w:r w:rsidR="00DA31B9" w:rsidRPr="00DA31B9">
        <w:rPr>
          <w:rFonts w:ascii="Arial Black" w:hAnsi="Arial Black"/>
          <w:caps/>
          <w:sz w:val="15"/>
          <w:szCs w:val="15"/>
        </w:rPr>
        <w:t>/</w:t>
      </w:r>
      <w:bookmarkStart w:id="0" w:name="Code"/>
      <w:bookmarkEnd w:id="0"/>
      <w:r w:rsidR="00F863EA">
        <w:rPr>
          <w:rFonts w:ascii="Arial Black" w:hAnsi="Arial Black"/>
          <w:caps/>
          <w:sz w:val="15"/>
          <w:szCs w:val="15"/>
        </w:rPr>
        <w:t>INF/3</w:t>
      </w:r>
    </w:p>
    <w:p w:rsidR="008B2CC1" w:rsidRPr="0052256A" w:rsidRDefault="00CC3E2D" w:rsidP="00CC3E2D">
      <w:pPr>
        <w:jc w:val="right"/>
        <w:rPr>
          <w:rFonts w:asciiTheme="minorHAnsi" w:hAnsiTheme="minorHAnsi" w:cstheme="minorHAnsi"/>
          <w:b/>
          <w:bCs/>
          <w:caps/>
          <w:sz w:val="15"/>
          <w:szCs w:val="15"/>
          <w:rtl/>
        </w:rPr>
      </w:pPr>
      <w:bookmarkStart w:id="1" w:name="Original"/>
      <w:r w:rsidRPr="0052256A">
        <w:rPr>
          <w:rFonts w:asciiTheme="minorHAnsi" w:hAnsiTheme="minorHAnsi" w:cstheme="minorHAnsi" w:hint="cs"/>
          <w:b/>
          <w:bCs/>
          <w:caps/>
          <w:sz w:val="15"/>
          <w:szCs w:val="15"/>
          <w:rtl/>
        </w:rPr>
        <w:t xml:space="preserve">الأصل: </w:t>
      </w:r>
      <w:r w:rsidR="00F863EA">
        <w:rPr>
          <w:rFonts w:asciiTheme="minorHAnsi" w:hAnsiTheme="minorHAnsi" w:cstheme="minorHAnsi" w:hint="cs"/>
          <w:b/>
          <w:bCs/>
          <w:caps/>
          <w:sz w:val="15"/>
          <w:szCs w:val="15"/>
          <w:rtl/>
        </w:rPr>
        <w:t>بالإنكليزية</w:t>
      </w:r>
    </w:p>
    <w:p w:rsidR="008B2CC1" w:rsidRPr="00CC3E2D" w:rsidRDefault="00CC3E2D" w:rsidP="00CC3E2D">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555880">
        <w:rPr>
          <w:rFonts w:asciiTheme="minorHAnsi" w:hAnsiTheme="minorHAnsi" w:cstheme="minorHAnsi" w:hint="cs"/>
          <w:b/>
          <w:bCs/>
          <w:caps/>
          <w:sz w:val="15"/>
          <w:szCs w:val="15"/>
          <w:rtl/>
        </w:rPr>
        <w:t>6</w:t>
      </w:r>
      <w:bookmarkStart w:id="3" w:name="_GoBack"/>
      <w:bookmarkEnd w:id="3"/>
      <w:r w:rsidR="00F863EA">
        <w:rPr>
          <w:rFonts w:asciiTheme="minorHAnsi" w:hAnsiTheme="minorHAnsi" w:cstheme="minorHAnsi" w:hint="cs"/>
          <w:b/>
          <w:bCs/>
          <w:caps/>
          <w:sz w:val="15"/>
          <w:szCs w:val="15"/>
          <w:rtl/>
        </w:rPr>
        <w:t xml:space="preserve"> سبتمبر 2023</w:t>
      </w:r>
    </w:p>
    <w:bookmarkEnd w:id="2"/>
    <w:p w:rsidR="008B2CC1" w:rsidRPr="00D67EAE" w:rsidRDefault="003B355C" w:rsidP="00DA31B9">
      <w:pPr>
        <w:pStyle w:val="Heading1"/>
      </w:pPr>
      <w:r w:rsidRPr="00D67EAE">
        <w:rPr>
          <w:rtl/>
        </w:rPr>
        <w:t>اللجنة ال</w:t>
      </w:r>
      <w:r w:rsidR="00DA31B9">
        <w:rPr>
          <w:rFonts w:hint="cs"/>
          <w:rtl/>
        </w:rPr>
        <w:t>معنية بالتنمية والملكية الفكرية</w:t>
      </w:r>
    </w:p>
    <w:p w:rsidR="00A90F0A" w:rsidRPr="00D67EAE" w:rsidRDefault="00D67EAE" w:rsidP="00500DBE">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EC467D">
        <w:rPr>
          <w:rFonts w:asciiTheme="minorHAnsi" w:hAnsiTheme="minorHAnsi" w:cstheme="minorHAnsi" w:hint="cs"/>
          <w:bCs/>
          <w:sz w:val="24"/>
          <w:szCs w:val="24"/>
          <w:rtl/>
          <w:lang w:bidi="ar-EG"/>
        </w:rPr>
        <w:t>الحادية و</w:t>
      </w:r>
      <w:r w:rsidR="00500DBE">
        <w:rPr>
          <w:rFonts w:asciiTheme="minorHAnsi" w:hAnsiTheme="minorHAnsi" w:cstheme="minorHAnsi" w:hint="cs"/>
          <w:bCs/>
          <w:sz w:val="24"/>
          <w:szCs w:val="24"/>
          <w:rtl/>
        </w:rPr>
        <w:t>الثلاثون</w:t>
      </w:r>
    </w:p>
    <w:p w:rsidR="008B2CC1" w:rsidRPr="00D67EAE" w:rsidRDefault="00D67EAE" w:rsidP="00EC467D">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EC467D">
        <w:rPr>
          <w:rFonts w:asciiTheme="minorHAnsi" w:hAnsiTheme="minorHAnsi" w:cstheme="minorHAnsi" w:hint="cs"/>
          <w:bCs/>
          <w:sz w:val="24"/>
          <w:szCs w:val="24"/>
          <w:rtl/>
        </w:rPr>
        <w:t xml:space="preserve">27 نوفمبر </w:t>
      </w:r>
      <w:r w:rsidRPr="00D67EAE">
        <w:rPr>
          <w:rFonts w:asciiTheme="minorHAnsi" w:hAnsiTheme="minorHAnsi" w:cstheme="minorHAnsi" w:hint="cs"/>
          <w:bCs/>
          <w:sz w:val="24"/>
          <w:szCs w:val="24"/>
          <w:rtl/>
        </w:rPr>
        <w:t xml:space="preserve">إلى </w:t>
      </w:r>
      <w:r w:rsidR="00EC467D">
        <w:rPr>
          <w:rFonts w:asciiTheme="minorHAnsi" w:hAnsiTheme="minorHAnsi" w:cstheme="minorHAnsi" w:hint="cs"/>
          <w:bCs/>
          <w:sz w:val="24"/>
          <w:szCs w:val="24"/>
          <w:rtl/>
        </w:rPr>
        <w:t>1</w:t>
      </w:r>
      <w:r w:rsidRPr="00D67EAE">
        <w:rPr>
          <w:rFonts w:asciiTheme="minorHAnsi" w:hAnsiTheme="minorHAnsi" w:cstheme="minorHAnsi" w:hint="cs"/>
          <w:bCs/>
          <w:sz w:val="24"/>
          <w:szCs w:val="24"/>
          <w:rtl/>
        </w:rPr>
        <w:t xml:space="preserve"> </w:t>
      </w:r>
      <w:r w:rsidR="00EC467D">
        <w:rPr>
          <w:rFonts w:asciiTheme="minorHAnsi" w:hAnsiTheme="minorHAnsi" w:cstheme="minorHAnsi" w:hint="cs"/>
          <w:bCs/>
          <w:sz w:val="24"/>
          <w:szCs w:val="24"/>
          <w:rtl/>
        </w:rPr>
        <w:t xml:space="preserve">ديسمبر </w:t>
      </w:r>
      <w:r w:rsidR="00500DBE">
        <w:rPr>
          <w:rFonts w:asciiTheme="minorHAnsi" w:hAnsiTheme="minorHAnsi" w:cstheme="minorHAnsi" w:hint="cs"/>
          <w:bCs/>
          <w:sz w:val="24"/>
          <w:szCs w:val="24"/>
          <w:rtl/>
        </w:rPr>
        <w:t>2023</w:t>
      </w:r>
    </w:p>
    <w:p w:rsidR="008B2CC1" w:rsidRPr="00D67EAE" w:rsidRDefault="00F863EA" w:rsidP="00F863EA">
      <w:pPr>
        <w:spacing w:after="360"/>
        <w:outlineLvl w:val="0"/>
        <w:rPr>
          <w:rFonts w:asciiTheme="minorHAnsi" w:hAnsiTheme="minorHAnsi" w:cstheme="minorHAnsi"/>
          <w:caps/>
          <w:sz w:val="24"/>
        </w:rPr>
      </w:pPr>
      <w:bookmarkStart w:id="4" w:name="TitleOfDoc"/>
      <w:r w:rsidRPr="00F863EA">
        <w:rPr>
          <w:rFonts w:asciiTheme="minorHAnsi" w:hAnsiTheme="minorHAnsi"/>
          <w:caps/>
          <w:sz w:val="28"/>
          <w:szCs w:val="24"/>
          <w:rtl/>
        </w:rPr>
        <w:t>ملخص عملي عن أداة الويبو بشأن دور حقوق الملكية الفكرية في صناعة الأزياء: من المفهوم إلى التسويق</w:t>
      </w:r>
    </w:p>
    <w:p w:rsidR="002928D3" w:rsidRDefault="00F863EA" w:rsidP="001D4107">
      <w:pPr>
        <w:spacing w:after="1040"/>
        <w:rPr>
          <w:rFonts w:asciiTheme="minorHAnsi" w:hAnsiTheme="minorHAnsi" w:cstheme="minorHAnsi"/>
          <w:iCs/>
          <w:rtl/>
        </w:rPr>
      </w:pPr>
      <w:bookmarkStart w:id="5" w:name="Prepared"/>
      <w:bookmarkEnd w:id="4"/>
      <w:bookmarkEnd w:id="5"/>
      <w:r w:rsidRPr="00F863EA">
        <w:rPr>
          <w:rFonts w:asciiTheme="minorHAnsi" w:hAnsiTheme="minorHAnsi"/>
          <w:iCs/>
          <w:rtl/>
        </w:rPr>
        <w:t>من إعداد البروفيسور نووام شيمتوف</w:t>
      </w:r>
    </w:p>
    <w:p w:rsidR="00F863EA" w:rsidRPr="00304A5A" w:rsidRDefault="00F863EA" w:rsidP="00F863EA">
      <w:pPr>
        <w:pStyle w:val="ONUMA"/>
        <w:rPr>
          <w:rFonts w:eastAsia="MS Mincho"/>
          <w:rtl/>
        </w:rPr>
      </w:pPr>
      <w:r w:rsidRPr="00304A5A">
        <w:rPr>
          <w:rtl/>
        </w:rPr>
        <w:t>يحتوي مرفق هذه الوثيقة على الملخص العملي عن أداة الويبو بشأن "دور حقوق الملكية الفكرية في صناعة الأزياء: من المفهوم إلى التسويق".</w:t>
      </w:r>
    </w:p>
    <w:p w:rsidR="00F863EA" w:rsidRPr="00304A5A" w:rsidRDefault="00F863EA" w:rsidP="00F863EA">
      <w:pPr>
        <w:pStyle w:val="ONUMA"/>
        <w:rPr>
          <w:rFonts w:eastAsia="MS Mincho"/>
          <w:rtl/>
        </w:rPr>
      </w:pPr>
      <w:r w:rsidRPr="00304A5A">
        <w:rPr>
          <w:rtl/>
        </w:rPr>
        <w:t xml:space="preserve">وقد نُفذت هذه الأداة في سياق مشروع أجندة التنمية بشأن "تعزيز استخدام الملكية الفكرية في الصناعات الإبداعية في العصر الرقمي في شيلي وإندونيسيا والإمارات العربية المتحدة وأوروغواي" (الوثيقة </w:t>
      </w:r>
      <w:r w:rsidRPr="00304A5A">
        <w:t>CDIP/26/5</w:t>
      </w:r>
      <w:r w:rsidRPr="00304A5A">
        <w:rPr>
          <w:rtl/>
        </w:rPr>
        <w:t>).  وقد أعدها البروفيسور نووام شيمتوف، وهو صاحب منصب أستاذ في مجال قانون الملكية الفكرية والتكنولوجيا في مركز دراسات القانون التجاري، جامعة كويين ميري بلندن.</w:t>
      </w:r>
    </w:p>
    <w:p w:rsidR="00F863EA" w:rsidRPr="00F863EA" w:rsidRDefault="00F863EA" w:rsidP="00F863EA">
      <w:pPr>
        <w:pStyle w:val="ONUMA"/>
        <w:ind w:left="5575"/>
        <w:rPr>
          <w:rFonts w:eastAsia="MS Mincho"/>
          <w:i/>
          <w:iCs/>
          <w:rtl/>
        </w:rPr>
      </w:pPr>
      <w:r w:rsidRPr="00F863EA">
        <w:rPr>
          <w:i/>
          <w:iCs/>
          <w:rtl/>
        </w:rPr>
        <w:t>إن لجنة التنمية مدعوةٌ إلى الإحاطة علماً بالمعلومات الواردة في مرفق هذه الوثيقة.</w:t>
      </w:r>
    </w:p>
    <w:p w:rsidR="00F863EA" w:rsidRDefault="00F863EA" w:rsidP="00F863EA">
      <w:pPr>
        <w:pStyle w:val="Endofdocument-Annex"/>
        <w:rPr>
          <w:rtl/>
        </w:rPr>
        <w:sectPr w:rsidR="00F863EA" w:rsidSect="003C710A">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cols w:space="720"/>
          <w:titlePg/>
          <w:docGrid w:linePitch="326"/>
        </w:sectPr>
      </w:pPr>
      <w:r w:rsidRPr="00304A5A">
        <w:rPr>
          <w:rtl/>
        </w:rPr>
        <w:t>[يلي ذلك المرفق]</w:t>
      </w:r>
    </w:p>
    <w:p w:rsidR="00F863EA" w:rsidRPr="00F863EA" w:rsidRDefault="00F863EA" w:rsidP="00F863EA">
      <w:pPr>
        <w:spacing w:after="120"/>
        <w:jc w:val="center"/>
        <w:rPr>
          <w:rFonts w:asciiTheme="minorHAnsi" w:hAnsiTheme="minorHAnsi" w:cstheme="minorHAnsi"/>
          <w:b/>
          <w:bCs/>
          <w:rtl/>
        </w:rPr>
      </w:pPr>
      <w:r w:rsidRPr="00F863EA">
        <w:rPr>
          <w:rFonts w:asciiTheme="minorHAnsi" w:hAnsiTheme="minorHAnsi" w:cstheme="minorHAnsi"/>
          <w:b/>
          <w:bCs/>
          <w:rtl/>
        </w:rPr>
        <w:lastRenderedPageBreak/>
        <w:t>"دور حقوق الملكية الفكرية في صناعة الأزياء:</w:t>
      </w:r>
    </w:p>
    <w:p w:rsidR="00F863EA" w:rsidRPr="00F863EA" w:rsidRDefault="00F863EA" w:rsidP="00F863EA">
      <w:pPr>
        <w:spacing w:after="360"/>
        <w:jc w:val="center"/>
        <w:rPr>
          <w:rFonts w:asciiTheme="minorHAnsi" w:hAnsiTheme="minorHAnsi" w:cstheme="minorHAnsi"/>
          <w:b/>
          <w:bCs/>
          <w:rtl/>
        </w:rPr>
      </w:pPr>
      <w:r w:rsidRPr="00F863EA">
        <w:rPr>
          <w:rFonts w:asciiTheme="minorHAnsi" w:hAnsiTheme="minorHAnsi" w:cstheme="minorHAnsi"/>
          <w:b/>
          <w:bCs/>
          <w:rtl/>
        </w:rPr>
        <w:t>من المفهوم إلى التسويق"</w:t>
      </w:r>
    </w:p>
    <w:p w:rsidR="00F863EA" w:rsidRPr="00F863EA" w:rsidRDefault="00F863EA" w:rsidP="00F863EA">
      <w:pPr>
        <w:spacing w:after="360"/>
        <w:jc w:val="center"/>
        <w:rPr>
          <w:rFonts w:asciiTheme="minorHAnsi" w:hAnsiTheme="minorHAnsi" w:cstheme="minorHAnsi"/>
          <w:b/>
          <w:bCs/>
          <w:rtl/>
        </w:rPr>
      </w:pPr>
      <w:r w:rsidRPr="00F863EA">
        <w:rPr>
          <w:rFonts w:asciiTheme="minorHAnsi" w:hAnsiTheme="minorHAnsi" w:cstheme="minorHAnsi"/>
          <w:b/>
          <w:bCs/>
          <w:rtl/>
        </w:rPr>
        <w:t>ملخص عملي</w:t>
      </w:r>
    </w:p>
    <w:p w:rsidR="00F863EA" w:rsidRPr="00F863EA" w:rsidRDefault="00F863EA" w:rsidP="00F863EA">
      <w:pPr>
        <w:spacing w:after="240"/>
        <w:rPr>
          <w:rFonts w:asciiTheme="minorHAnsi" w:hAnsiTheme="minorHAnsi" w:cstheme="minorHAnsi"/>
          <w:shd w:val="clear" w:color="auto" w:fill="FFFFFF"/>
          <w:rtl/>
        </w:rPr>
      </w:pPr>
      <w:r w:rsidRPr="00F863EA">
        <w:rPr>
          <w:rFonts w:asciiTheme="minorHAnsi" w:hAnsiTheme="minorHAnsi" w:cstheme="minorHAnsi"/>
          <w:rtl/>
        </w:rPr>
        <w:t>تشك</w:t>
      </w:r>
      <w:r w:rsidR="003A2524">
        <w:rPr>
          <w:rFonts w:asciiTheme="minorHAnsi" w:hAnsiTheme="minorHAnsi" w:cstheme="minorHAnsi" w:hint="cs"/>
          <w:rtl/>
        </w:rPr>
        <w:t>ّ</w:t>
      </w:r>
      <w:r w:rsidRPr="00F863EA">
        <w:rPr>
          <w:rFonts w:asciiTheme="minorHAnsi" w:hAnsiTheme="minorHAnsi" w:cstheme="minorHAnsi"/>
          <w:rtl/>
        </w:rPr>
        <w:t xml:space="preserve">ل صناعة الأزياء، التي تُقدر قيمتها بمبلغ 759.5 مليار دولار </w:t>
      </w:r>
      <w:r w:rsidRPr="00F863EA">
        <w:rPr>
          <w:rStyle w:val="FootnoteReference"/>
          <w:rFonts w:asciiTheme="minorHAnsi" w:eastAsia="Times New Roman" w:hAnsiTheme="minorHAnsi" w:cstheme="minorHAnsi"/>
          <w:shd w:val="clear" w:color="auto" w:fill="FFFFFF"/>
          <w:lang w:eastAsia="en-GB"/>
        </w:rPr>
        <w:footnoteReference w:id="2"/>
      </w:r>
      <w:r w:rsidRPr="00F863EA">
        <w:rPr>
          <w:rFonts w:asciiTheme="minorHAnsi" w:hAnsiTheme="minorHAnsi" w:cstheme="minorHAnsi"/>
          <w:rtl/>
        </w:rPr>
        <w:t>أمريكي، محركاً هاماً للنمو الاقتصادي العالمي، ومصدراً رئيسياً للإيرادات الضريبية والتوظيف في العديد من الولايات القضائية.</w:t>
      </w:r>
    </w:p>
    <w:p w:rsidR="00F863EA" w:rsidRPr="00F863EA" w:rsidRDefault="00F863EA" w:rsidP="00F863EA">
      <w:pPr>
        <w:spacing w:after="240"/>
        <w:rPr>
          <w:rFonts w:asciiTheme="minorHAnsi" w:hAnsiTheme="minorHAnsi" w:cstheme="minorHAnsi"/>
          <w:shd w:val="clear" w:color="auto" w:fill="FFFFFF"/>
          <w:rtl/>
        </w:rPr>
      </w:pPr>
      <w:r w:rsidRPr="00F863EA">
        <w:rPr>
          <w:rFonts w:asciiTheme="minorHAnsi" w:hAnsiTheme="minorHAnsi" w:cstheme="minorHAnsi"/>
          <w:shd w:val="clear" w:color="auto" w:fill="FFFFFF"/>
          <w:rtl/>
        </w:rPr>
        <w:t>وتشكّل الملكية الفكرية عنصراً رئيسياً في النظام الإيكولوجي القانوني لهذه الصناعة، فحقوق الملكية الفكرية المختلفة لها دور حيوي لاستدامة النظام ونموه</w:t>
      </w:r>
      <w:r w:rsidR="003A2524">
        <w:rPr>
          <w:rFonts w:asciiTheme="minorHAnsi" w:hAnsiTheme="minorHAnsi" w:cstheme="minorHAnsi"/>
          <w:shd w:val="clear" w:color="auto" w:fill="FFFFFF"/>
          <w:rtl/>
        </w:rPr>
        <w:t xml:space="preserve">. </w:t>
      </w:r>
      <w:r w:rsidRPr="00F863EA">
        <w:rPr>
          <w:rFonts w:asciiTheme="minorHAnsi" w:hAnsiTheme="minorHAnsi" w:cstheme="minorHAnsi"/>
          <w:shd w:val="clear" w:color="auto" w:fill="FFFFFF"/>
          <w:rtl/>
        </w:rPr>
        <w:t>وتركّز هذه الأداة على حق المؤلف والبراءات والتصاميم والعلامات التجارية والأسرار التجارية باعتبارها الأكثر صلة بصناعة الأزياء، وتبيّن طريقة إدخال</w:t>
      </w:r>
      <w:r w:rsidR="003A2524">
        <w:rPr>
          <w:rFonts w:asciiTheme="minorHAnsi" w:hAnsiTheme="minorHAnsi" w:cstheme="minorHAnsi"/>
          <w:shd w:val="clear" w:color="auto" w:fill="FFFFFF"/>
          <w:rtl/>
        </w:rPr>
        <w:t>ها في دورة حياة منتجات الأزياء.</w:t>
      </w:r>
      <w:r w:rsidRPr="00F863EA">
        <w:rPr>
          <w:rFonts w:asciiTheme="minorHAnsi" w:hAnsiTheme="minorHAnsi" w:cstheme="minorHAnsi"/>
          <w:shd w:val="clear" w:color="auto" w:fill="FFFFFF"/>
          <w:rtl/>
        </w:rPr>
        <w:t xml:space="preserve"> وهي أداة عملية لمساعدة مصممي الأزياء وتجار التجزئة على رسم خارطة الطريق الخاصة بحقوق الملكية الفكرية الرئيسية هذه، بهدف صون مصالحهم وتحويل مساعيهم الإبداعية إلى قيم نقدية</w:t>
      </w:r>
      <w:r w:rsidR="003A2524">
        <w:rPr>
          <w:rFonts w:asciiTheme="minorHAnsi" w:hAnsiTheme="minorHAnsi" w:cstheme="minorHAnsi"/>
          <w:shd w:val="clear" w:color="auto" w:fill="FFFFFF"/>
          <w:rtl/>
        </w:rPr>
        <w:t xml:space="preserve">. </w:t>
      </w:r>
      <w:r w:rsidRPr="00F863EA">
        <w:rPr>
          <w:rFonts w:asciiTheme="minorHAnsi" w:hAnsiTheme="minorHAnsi" w:cstheme="minorHAnsi"/>
          <w:shd w:val="clear" w:color="auto" w:fill="FFFFFF"/>
          <w:rtl/>
        </w:rPr>
        <w:t>وتبيّن بالتفصيل أيضاً دور هذه الحقوق وفائدتها في الإدارة الناجحة لشركات الأزياء والتصميم الصغيرة.</w:t>
      </w:r>
    </w:p>
    <w:p w:rsidR="00F863EA" w:rsidRPr="00F863EA" w:rsidRDefault="00F863EA" w:rsidP="00F863EA">
      <w:pPr>
        <w:spacing w:after="240"/>
        <w:rPr>
          <w:rFonts w:asciiTheme="minorHAnsi" w:hAnsiTheme="minorHAnsi" w:cstheme="minorHAnsi"/>
          <w:shd w:val="clear" w:color="auto" w:fill="FFFFFF"/>
          <w:rtl/>
        </w:rPr>
      </w:pPr>
      <w:r w:rsidRPr="00F863EA">
        <w:rPr>
          <w:rFonts w:asciiTheme="minorHAnsi" w:hAnsiTheme="minorHAnsi" w:cstheme="minorHAnsi"/>
          <w:shd w:val="clear" w:color="auto" w:fill="FFFFFF"/>
          <w:rtl/>
        </w:rPr>
        <w:t>وتميّز الأداة بين السلع المزورة والمقلدة، إذ يلزم اتباع نهج مخصّص من أجل التصدي لنوع التهديد المختلف الذي يمكن يشكله كل منها للشركات ومصممي الأزياء</w:t>
      </w:r>
      <w:r w:rsidR="003A2524">
        <w:rPr>
          <w:rFonts w:asciiTheme="minorHAnsi" w:hAnsiTheme="minorHAnsi" w:cstheme="minorHAnsi"/>
          <w:shd w:val="clear" w:color="auto" w:fill="FFFFFF"/>
          <w:rtl/>
        </w:rPr>
        <w:t xml:space="preserve">. </w:t>
      </w:r>
      <w:r w:rsidRPr="00F863EA">
        <w:rPr>
          <w:rFonts w:asciiTheme="minorHAnsi" w:hAnsiTheme="minorHAnsi" w:cstheme="minorHAnsi"/>
          <w:shd w:val="clear" w:color="auto" w:fill="FFFFFF"/>
          <w:rtl/>
        </w:rPr>
        <w:t>ويشير التزوير إلى الاستنساخ غير المصرح لمنتج أصلي، الذي يُباع بقصد الخداع</w:t>
      </w:r>
      <w:r w:rsidR="003A2524">
        <w:rPr>
          <w:rFonts w:asciiTheme="minorHAnsi" w:hAnsiTheme="minorHAnsi" w:cstheme="minorHAnsi"/>
          <w:shd w:val="clear" w:color="auto" w:fill="FFFFFF"/>
          <w:rtl/>
        </w:rPr>
        <w:t xml:space="preserve">. </w:t>
      </w:r>
      <w:r w:rsidRPr="00F863EA">
        <w:rPr>
          <w:rFonts w:asciiTheme="minorHAnsi" w:hAnsiTheme="minorHAnsi" w:cstheme="minorHAnsi"/>
          <w:shd w:val="clear" w:color="auto" w:fill="FFFFFF"/>
          <w:rtl/>
        </w:rPr>
        <w:t>وعلى النقيض من ذلك، يشير التقليد إلى محاكاة العناصر الرئيسية للمنتج الأصلي، دون قصد اعتباره منتجاً أصلياً</w:t>
      </w:r>
      <w:r w:rsidR="003A2524">
        <w:rPr>
          <w:rFonts w:asciiTheme="minorHAnsi" w:hAnsiTheme="minorHAnsi" w:cstheme="minorHAnsi"/>
          <w:shd w:val="clear" w:color="auto" w:fill="FFFFFF"/>
          <w:rtl/>
        </w:rPr>
        <w:t xml:space="preserve">. </w:t>
      </w:r>
    </w:p>
    <w:p w:rsidR="00F863EA" w:rsidRPr="00F863EA" w:rsidRDefault="00F863EA" w:rsidP="00F863EA">
      <w:pPr>
        <w:spacing w:after="240"/>
        <w:rPr>
          <w:rFonts w:asciiTheme="minorHAnsi" w:hAnsiTheme="minorHAnsi" w:cstheme="minorHAnsi"/>
          <w:shd w:val="clear" w:color="auto" w:fill="FFFFFF"/>
          <w:rtl/>
        </w:rPr>
      </w:pPr>
      <w:r w:rsidRPr="00F863EA">
        <w:rPr>
          <w:rFonts w:asciiTheme="minorHAnsi" w:hAnsiTheme="minorHAnsi" w:cstheme="minorHAnsi"/>
          <w:shd w:val="clear" w:color="auto" w:fill="FFFFFF"/>
          <w:rtl/>
        </w:rPr>
        <w:t>وتشمل صناعة الأزياء طائفة متنوعة من القطاعات، وتركّز هذه الأداة على القطاعات الرئيسية لتصميم الملابس والأقمشة والمنسوجات،</w:t>
      </w:r>
      <w:r w:rsidRPr="00F863EA">
        <w:rPr>
          <w:rStyle w:val="FootnoteReference"/>
          <w:rFonts w:asciiTheme="minorHAnsi" w:eastAsia="Times New Roman" w:hAnsiTheme="minorHAnsi" w:cstheme="minorHAnsi"/>
          <w:shd w:val="clear" w:color="auto" w:fill="FFFFFF"/>
          <w:lang w:eastAsia="en-GB"/>
        </w:rPr>
        <w:footnoteReference w:id="3"/>
      </w:r>
      <w:r w:rsidRPr="00F863EA">
        <w:rPr>
          <w:rFonts w:asciiTheme="minorHAnsi" w:hAnsiTheme="minorHAnsi" w:cstheme="minorHAnsi"/>
          <w:shd w:val="clear" w:color="auto" w:fill="FFFFFF"/>
          <w:rtl/>
        </w:rPr>
        <w:t xml:space="preserve"> وكذلك حقائب اليد باعتب</w:t>
      </w:r>
      <w:r>
        <w:rPr>
          <w:rFonts w:asciiTheme="minorHAnsi" w:hAnsiTheme="minorHAnsi" w:cstheme="minorHAnsi"/>
          <w:shd w:val="clear" w:color="auto" w:fill="FFFFFF"/>
          <w:rtl/>
        </w:rPr>
        <w:t xml:space="preserve">ارها فئة كبيرة من الأكسسوارات. </w:t>
      </w:r>
      <w:r w:rsidRPr="00F863EA">
        <w:rPr>
          <w:rFonts w:asciiTheme="minorHAnsi" w:hAnsiTheme="minorHAnsi" w:cstheme="minorHAnsi"/>
          <w:shd w:val="clear" w:color="auto" w:fill="FFFFFF"/>
          <w:rtl/>
        </w:rPr>
        <w:t>ويتطلّب كل قطاع مجموعة مختلفة من حقوق الملكية الفكرية، وقد يكون كل حق من حقوق الملكية الفكرية مناسباً لحماية مظهر مختلف لمنتج الموضة ف</w:t>
      </w:r>
      <w:r>
        <w:rPr>
          <w:rFonts w:asciiTheme="minorHAnsi" w:hAnsiTheme="minorHAnsi" w:cstheme="minorHAnsi"/>
          <w:shd w:val="clear" w:color="auto" w:fill="FFFFFF"/>
          <w:rtl/>
        </w:rPr>
        <w:t>ي مراحل مختلفة من دورة حياته.</w:t>
      </w:r>
    </w:p>
    <w:p w:rsidR="00F863EA" w:rsidRPr="00F863EA" w:rsidRDefault="00F863EA" w:rsidP="00F863EA">
      <w:pPr>
        <w:spacing w:after="240"/>
        <w:rPr>
          <w:rFonts w:asciiTheme="minorHAnsi" w:hAnsiTheme="minorHAnsi" w:cstheme="minorHAnsi"/>
          <w:shd w:val="clear" w:color="auto" w:fill="FFFFFF"/>
          <w:rtl/>
        </w:rPr>
      </w:pPr>
      <w:r w:rsidRPr="00F863EA">
        <w:rPr>
          <w:rFonts w:asciiTheme="minorHAnsi" w:hAnsiTheme="minorHAnsi" w:cstheme="minorHAnsi"/>
          <w:shd w:val="clear" w:color="auto" w:fill="FFFFFF"/>
          <w:rtl/>
        </w:rPr>
        <w:t>وعليه، تدرس الأداة حقوق الملكية الفكرية التي يمكن استخدامها لحماية الأصول الفكرية الإبداعية في مرحلة بلورة المفهوم والتطوير السابقة للإطلاق، وهي مرحلة دورة الحياة الأولية لمنتج الأزياء</w:t>
      </w:r>
      <w:r w:rsidR="003A2524">
        <w:rPr>
          <w:rFonts w:asciiTheme="minorHAnsi" w:hAnsiTheme="minorHAnsi" w:cstheme="minorHAnsi"/>
          <w:shd w:val="clear" w:color="auto" w:fill="FFFFFF"/>
          <w:rtl/>
        </w:rPr>
        <w:t xml:space="preserve">. </w:t>
      </w:r>
      <w:r w:rsidRPr="00F863EA">
        <w:rPr>
          <w:rFonts w:asciiTheme="minorHAnsi" w:hAnsiTheme="minorHAnsi" w:cstheme="minorHAnsi"/>
          <w:shd w:val="clear" w:color="auto" w:fill="FFFFFF"/>
          <w:rtl/>
        </w:rPr>
        <w:t>وتقدم بعد ذلك تحليلاً لمشهد الملكية الفكرية في مرحلة التسويق ما بعد الإطلاق، وتبيّن حقوق الملكية الفكرية ذات الصلة ودورها في هذه المرحلة</w:t>
      </w:r>
      <w:r w:rsidR="003A2524">
        <w:rPr>
          <w:rFonts w:asciiTheme="minorHAnsi" w:hAnsiTheme="minorHAnsi" w:cstheme="minorHAnsi"/>
          <w:shd w:val="clear" w:color="auto" w:fill="FFFFFF"/>
          <w:rtl/>
        </w:rPr>
        <w:t xml:space="preserve">. </w:t>
      </w:r>
      <w:r w:rsidRPr="00F863EA">
        <w:rPr>
          <w:rFonts w:asciiTheme="minorHAnsi" w:hAnsiTheme="minorHAnsi" w:cstheme="minorHAnsi"/>
          <w:shd w:val="clear" w:color="auto" w:fill="FFFFFF"/>
          <w:rtl/>
        </w:rPr>
        <w:t>وتختتم الأداة بوضع خريطة للحد من المخاطر المتعلقة بحقوق الملكية الفكرية للأطراف الثالثة لكي تنظر فيها الشركات قبل أن تشرع في صناعة منتج أزياء جديد وإطلاقه</w:t>
      </w:r>
      <w:r w:rsidR="003A2524">
        <w:rPr>
          <w:rFonts w:asciiTheme="minorHAnsi" w:hAnsiTheme="minorHAnsi" w:cstheme="minorHAnsi"/>
          <w:shd w:val="clear" w:color="auto" w:fill="FFFFFF"/>
          <w:rtl/>
        </w:rPr>
        <w:t xml:space="preserve">. </w:t>
      </w:r>
      <w:r w:rsidRPr="00F863EA">
        <w:rPr>
          <w:rFonts w:asciiTheme="minorHAnsi" w:hAnsiTheme="minorHAnsi" w:cstheme="minorHAnsi"/>
          <w:rtl/>
        </w:rPr>
        <w:t>وأُدرجت أيضاً قائمة مرجعية لتزويد الشركات في صناعة الأزياء بقائمة موجزة بالقضايا الرئيسية المتعلقة بالملكية الفكرية من أجل النظر فيها طوال دورة حياة منتج الأزياء.</w:t>
      </w:r>
    </w:p>
    <w:p w:rsidR="00F863EA" w:rsidRPr="00F863EA" w:rsidRDefault="00F863EA" w:rsidP="00F863EA">
      <w:pPr>
        <w:spacing w:after="240"/>
        <w:jc w:val="both"/>
        <w:rPr>
          <w:rFonts w:asciiTheme="minorHAnsi" w:hAnsiTheme="minorHAnsi" w:cstheme="minorHAnsi"/>
          <w:b/>
          <w:bCs/>
          <w:u w:val="single"/>
          <w:shd w:val="clear" w:color="auto" w:fill="FFFFFF"/>
          <w:rtl/>
        </w:rPr>
      </w:pPr>
      <w:r w:rsidRPr="00F863EA">
        <w:rPr>
          <w:rFonts w:asciiTheme="minorHAnsi" w:hAnsiTheme="minorHAnsi" w:cstheme="minorHAnsi"/>
          <w:b/>
          <w:bCs/>
          <w:u w:val="single"/>
          <w:shd w:val="clear" w:color="auto" w:fill="FFFFFF"/>
          <w:rtl/>
        </w:rPr>
        <w:t>اعتبارات مهمة</w:t>
      </w:r>
    </w:p>
    <w:p w:rsidR="00F863EA" w:rsidRPr="00F863EA" w:rsidRDefault="00F863EA" w:rsidP="00F863EA">
      <w:pPr>
        <w:rPr>
          <w:rFonts w:asciiTheme="minorHAnsi" w:hAnsiTheme="minorHAnsi" w:cstheme="minorHAnsi"/>
          <w:shd w:val="clear" w:color="auto" w:fill="FFFFFF"/>
          <w:rtl/>
        </w:rPr>
      </w:pPr>
      <w:r w:rsidRPr="00F863EA">
        <w:rPr>
          <w:rFonts w:asciiTheme="minorHAnsi" w:hAnsiTheme="minorHAnsi" w:cstheme="minorHAnsi"/>
          <w:shd w:val="clear" w:color="auto" w:fill="FFFFFF"/>
          <w:rtl/>
        </w:rPr>
        <w:t xml:space="preserve">يرد فيما يلي الدروس العملية الرئيسية المستخلصة على طول المراحل الرئيسية لدورة حياة منتج الأزياء:  </w:t>
      </w:r>
    </w:p>
    <w:p w:rsidR="00F863EA" w:rsidRPr="00F863EA" w:rsidRDefault="00F863EA" w:rsidP="00F863EA">
      <w:pPr>
        <w:spacing w:before="240" w:after="240"/>
        <w:jc w:val="both"/>
        <w:rPr>
          <w:rFonts w:asciiTheme="minorHAnsi" w:hAnsiTheme="minorHAnsi" w:cstheme="minorHAnsi"/>
          <w:i/>
          <w:rtl/>
        </w:rPr>
      </w:pPr>
      <w:r w:rsidRPr="00F863EA">
        <w:rPr>
          <w:rFonts w:asciiTheme="minorHAnsi" w:hAnsiTheme="minorHAnsi" w:cstheme="minorHAnsi"/>
          <w:i/>
          <w:iCs/>
          <w:rtl/>
        </w:rPr>
        <w:t>بلورة المفهوم والتصميم والتطوير</w:t>
      </w:r>
    </w:p>
    <w:p w:rsidR="00F863EA" w:rsidRPr="00F863EA" w:rsidRDefault="00F863EA" w:rsidP="00F863EA">
      <w:pPr>
        <w:pStyle w:val="ListParagraph"/>
        <w:numPr>
          <w:ilvl w:val="0"/>
          <w:numId w:val="10"/>
        </w:numPr>
        <w:bidi/>
        <w:contextualSpacing w:val="0"/>
        <w:rPr>
          <w:rFonts w:cstheme="minorHAnsi"/>
          <w:sz w:val="22"/>
          <w:szCs w:val="22"/>
          <w:rtl/>
        </w:rPr>
      </w:pPr>
      <w:r w:rsidRPr="00F863EA">
        <w:rPr>
          <w:rFonts w:cstheme="minorHAnsi"/>
          <w:i/>
          <w:iCs/>
          <w:sz w:val="22"/>
          <w:szCs w:val="22"/>
          <w:rtl/>
        </w:rPr>
        <w:t xml:space="preserve"> </w:t>
      </w:r>
      <w:r w:rsidRPr="00F863EA">
        <w:rPr>
          <w:rFonts w:cstheme="minorHAnsi"/>
          <w:sz w:val="22"/>
          <w:szCs w:val="22"/>
          <w:rtl/>
        </w:rPr>
        <w:t>ضمان اعتماد سياسة بشأن الأسرار التجارية وتنفيذها، ومعالجة بنود عدم الإفشاء في عقود التوظيف، وإبرام اتفاقات ذات صلة مع أطراف ثالثة (على سبيل المثال، جدوى التصنيع بموجب عقود تعاقد من الباطن).</w:t>
      </w:r>
    </w:p>
    <w:p w:rsidR="00F863EA" w:rsidRPr="00F863EA" w:rsidRDefault="00F863EA" w:rsidP="00F863EA">
      <w:pPr>
        <w:pStyle w:val="ListParagraph"/>
        <w:numPr>
          <w:ilvl w:val="0"/>
          <w:numId w:val="10"/>
        </w:numPr>
        <w:bidi/>
        <w:contextualSpacing w:val="0"/>
        <w:rPr>
          <w:rFonts w:cstheme="minorHAnsi"/>
          <w:sz w:val="22"/>
          <w:szCs w:val="22"/>
          <w:rtl/>
        </w:rPr>
      </w:pPr>
      <w:r w:rsidRPr="00F863EA">
        <w:rPr>
          <w:rFonts w:cstheme="minorHAnsi"/>
          <w:sz w:val="22"/>
          <w:szCs w:val="22"/>
          <w:rtl/>
        </w:rPr>
        <w:t>وتنفيذ سياسة واضحة للتوثيق الكامل (وهو ما يُعرف أيضاً بالسجلات الورقية) لعملية التصميم، بما في ذلك المراحل المختلفة، والموظفون المعنيون، والتواريخ، والصور، وسائر أساليب التدوين الخاصة بالمراحل الرئيسية لعملية التصميم.</w:t>
      </w:r>
    </w:p>
    <w:p w:rsidR="00F863EA" w:rsidRPr="00F863EA" w:rsidRDefault="00F863EA" w:rsidP="00F863EA">
      <w:pPr>
        <w:pStyle w:val="ListParagraph"/>
        <w:numPr>
          <w:ilvl w:val="0"/>
          <w:numId w:val="10"/>
        </w:numPr>
        <w:bidi/>
        <w:contextualSpacing w:val="0"/>
        <w:rPr>
          <w:rFonts w:cstheme="minorHAnsi"/>
          <w:sz w:val="22"/>
          <w:szCs w:val="22"/>
          <w:rtl/>
        </w:rPr>
      </w:pPr>
      <w:r w:rsidRPr="00F863EA">
        <w:rPr>
          <w:rFonts w:cstheme="minorHAnsi"/>
          <w:sz w:val="22"/>
          <w:szCs w:val="22"/>
          <w:rtl/>
        </w:rPr>
        <w:t xml:space="preserve"> وعند الإمكان، اختيار تسجيل حق المؤلف.</w:t>
      </w:r>
    </w:p>
    <w:p w:rsidR="00F863EA" w:rsidRPr="00F863EA" w:rsidRDefault="00F863EA" w:rsidP="00F863EA">
      <w:pPr>
        <w:pStyle w:val="ListParagraph"/>
        <w:numPr>
          <w:ilvl w:val="0"/>
          <w:numId w:val="10"/>
        </w:numPr>
        <w:bidi/>
        <w:contextualSpacing w:val="0"/>
        <w:rPr>
          <w:rFonts w:cstheme="minorHAnsi"/>
          <w:sz w:val="22"/>
          <w:szCs w:val="22"/>
          <w:rtl/>
        </w:rPr>
      </w:pPr>
      <w:r w:rsidRPr="00F863EA">
        <w:rPr>
          <w:rFonts w:cstheme="minorHAnsi"/>
          <w:sz w:val="22"/>
          <w:szCs w:val="22"/>
          <w:rtl/>
        </w:rPr>
        <w:t xml:space="preserve"> وإيداع طلبات لتسجيل العلامات التجارية.</w:t>
      </w:r>
    </w:p>
    <w:p w:rsidR="00F863EA" w:rsidRPr="00F863EA" w:rsidRDefault="00F863EA" w:rsidP="00F863EA">
      <w:pPr>
        <w:pStyle w:val="ListParagraph"/>
        <w:numPr>
          <w:ilvl w:val="0"/>
          <w:numId w:val="10"/>
        </w:numPr>
        <w:bidi/>
        <w:contextualSpacing w:val="0"/>
        <w:rPr>
          <w:rFonts w:cstheme="minorHAnsi"/>
          <w:sz w:val="22"/>
          <w:szCs w:val="22"/>
          <w:rtl/>
        </w:rPr>
      </w:pPr>
      <w:r w:rsidRPr="00F863EA">
        <w:rPr>
          <w:rFonts w:cstheme="minorHAnsi"/>
          <w:sz w:val="22"/>
          <w:szCs w:val="22"/>
          <w:rtl/>
        </w:rPr>
        <w:t xml:space="preserve"> وإيداع طلبات حقوق التصميم (أو براءات التصميم، حسب الاقتضاء)، مع مراعاة عتبة الجدة وضمان عدم ألّا تشرع الشركة في نقض الجدة قبل الكشف.</w:t>
      </w:r>
    </w:p>
    <w:p w:rsidR="00F863EA" w:rsidRPr="00F863EA" w:rsidRDefault="00F863EA" w:rsidP="00F863EA">
      <w:pPr>
        <w:pStyle w:val="ListParagraph"/>
        <w:numPr>
          <w:ilvl w:val="0"/>
          <w:numId w:val="10"/>
        </w:numPr>
        <w:bidi/>
        <w:contextualSpacing w:val="0"/>
        <w:rPr>
          <w:rFonts w:cstheme="minorHAnsi"/>
          <w:sz w:val="22"/>
          <w:szCs w:val="22"/>
          <w:rtl/>
        </w:rPr>
      </w:pPr>
      <w:r w:rsidRPr="00F863EA">
        <w:rPr>
          <w:rFonts w:cstheme="minorHAnsi"/>
          <w:sz w:val="22"/>
          <w:szCs w:val="22"/>
          <w:rtl/>
        </w:rPr>
        <w:t>وفي الحالات التي قد تكون فيها حقوق التصاميم غير المسجلة مهمة في الاتحاد الأوروبي أو المملكة المتحدة (لأن أسواقهما قد تكونا مناطق تسويق رئيسية)، فلا بد من النظر في شرط الكشف الأول للجمهور في هذه الأراضي كشرط مسبق للحصول على الحماية.</w:t>
      </w:r>
    </w:p>
    <w:p w:rsidR="00F863EA" w:rsidRPr="00F863EA" w:rsidRDefault="00F863EA" w:rsidP="00F863EA">
      <w:pPr>
        <w:pStyle w:val="ListParagraph"/>
        <w:numPr>
          <w:ilvl w:val="0"/>
          <w:numId w:val="10"/>
        </w:numPr>
        <w:bidi/>
        <w:contextualSpacing w:val="0"/>
        <w:rPr>
          <w:rFonts w:cstheme="minorHAnsi"/>
          <w:sz w:val="22"/>
          <w:szCs w:val="22"/>
          <w:rtl/>
        </w:rPr>
      </w:pPr>
      <w:r w:rsidRPr="00F863EA">
        <w:rPr>
          <w:rFonts w:cstheme="minorHAnsi"/>
          <w:sz w:val="22"/>
          <w:szCs w:val="22"/>
          <w:rtl/>
        </w:rPr>
        <w:lastRenderedPageBreak/>
        <w:t>والنظر في الحماية بموجب براءة عند الاقتضاء (وإن كان ذلك في حالات قليلة)</w:t>
      </w:r>
      <w:r w:rsidR="003A2524">
        <w:rPr>
          <w:rFonts w:cstheme="minorHAnsi"/>
          <w:sz w:val="22"/>
          <w:szCs w:val="22"/>
          <w:rtl/>
        </w:rPr>
        <w:t xml:space="preserve">. </w:t>
      </w:r>
    </w:p>
    <w:p w:rsidR="00F863EA" w:rsidRPr="00F863EA" w:rsidRDefault="003A2524" w:rsidP="00F863EA">
      <w:pPr>
        <w:pStyle w:val="ListParagraph"/>
        <w:numPr>
          <w:ilvl w:val="0"/>
          <w:numId w:val="10"/>
        </w:numPr>
        <w:bidi/>
        <w:spacing w:after="240"/>
        <w:contextualSpacing w:val="0"/>
        <w:rPr>
          <w:rFonts w:cstheme="minorHAnsi"/>
          <w:sz w:val="22"/>
          <w:szCs w:val="22"/>
          <w:rtl/>
        </w:rPr>
      </w:pPr>
      <w:r>
        <w:rPr>
          <w:rFonts w:cstheme="minorHAnsi" w:hint="cs"/>
          <w:sz w:val="22"/>
          <w:szCs w:val="22"/>
          <w:rtl/>
        </w:rPr>
        <w:t>و</w:t>
      </w:r>
      <w:r w:rsidR="00F863EA" w:rsidRPr="00F863EA">
        <w:rPr>
          <w:rFonts w:cstheme="minorHAnsi"/>
          <w:sz w:val="22"/>
          <w:szCs w:val="22"/>
          <w:rtl/>
        </w:rPr>
        <w:t xml:space="preserve">إزالة أي تضارب محتمل مع حقوق قائمة مسبقاً لأطراف ثالثة، قبل إطلاق المنتجات أو الخدمات (والسعي إلى تسجيل حقوق الملكية الفكرية لهذه المنتجات أو الخدمات)  </w:t>
      </w:r>
    </w:p>
    <w:p w:rsidR="00F863EA" w:rsidRPr="00F863EA" w:rsidRDefault="00F863EA" w:rsidP="00F863EA">
      <w:pPr>
        <w:spacing w:after="240"/>
        <w:jc w:val="both"/>
        <w:rPr>
          <w:rFonts w:asciiTheme="minorHAnsi" w:hAnsiTheme="minorHAnsi" w:cstheme="minorHAnsi"/>
          <w:i/>
          <w:rtl/>
        </w:rPr>
      </w:pPr>
      <w:r w:rsidRPr="00F863EA">
        <w:rPr>
          <w:rFonts w:asciiTheme="minorHAnsi" w:hAnsiTheme="minorHAnsi" w:cstheme="minorHAnsi"/>
          <w:i/>
          <w:iCs/>
          <w:rtl/>
        </w:rPr>
        <w:t>الإطلاق والتسويق</w:t>
      </w:r>
    </w:p>
    <w:p w:rsidR="00F863EA" w:rsidRPr="00F863EA" w:rsidRDefault="00F863EA" w:rsidP="00F863EA">
      <w:pPr>
        <w:pStyle w:val="ListParagraph"/>
        <w:numPr>
          <w:ilvl w:val="0"/>
          <w:numId w:val="11"/>
        </w:numPr>
        <w:bidi/>
        <w:contextualSpacing w:val="0"/>
        <w:rPr>
          <w:rFonts w:cstheme="minorHAnsi"/>
          <w:sz w:val="22"/>
          <w:szCs w:val="22"/>
          <w:shd w:val="clear" w:color="auto" w:fill="FFFFFF"/>
          <w:rtl/>
        </w:rPr>
      </w:pPr>
      <w:r w:rsidRPr="00F863EA">
        <w:rPr>
          <w:rFonts w:cstheme="minorHAnsi"/>
          <w:i/>
          <w:iCs/>
          <w:sz w:val="22"/>
          <w:szCs w:val="22"/>
          <w:rtl/>
        </w:rPr>
        <w:t xml:space="preserve"> </w:t>
      </w:r>
      <w:r w:rsidRPr="00F863EA">
        <w:rPr>
          <w:rFonts w:cstheme="minorHAnsi"/>
          <w:sz w:val="22"/>
          <w:szCs w:val="22"/>
          <w:rtl/>
        </w:rPr>
        <w:t>بعد الإطلاق، رصد استخدام الأطراف الثالثة للتصميم أو لأي من عناصره الرئيسية.</w:t>
      </w:r>
    </w:p>
    <w:p w:rsidR="00F863EA" w:rsidRPr="00F863EA" w:rsidRDefault="003A2524" w:rsidP="00F863EA">
      <w:pPr>
        <w:pStyle w:val="ListParagraph"/>
        <w:numPr>
          <w:ilvl w:val="0"/>
          <w:numId w:val="11"/>
        </w:numPr>
        <w:bidi/>
        <w:contextualSpacing w:val="0"/>
        <w:rPr>
          <w:rFonts w:cstheme="minorHAnsi"/>
          <w:sz w:val="22"/>
          <w:szCs w:val="22"/>
          <w:shd w:val="clear" w:color="auto" w:fill="FFFFFF"/>
          <w:rtl/>
        </w:rPr>
      </w:pPr>
      <w:r>
        <w:rPr>
          <w:rFonts w:cstheme="minorHAnsi" w:hint="cs"/>
          <w:sz w:val="22"/>
          <w:szCs w:val="22"/>
          <w:rtl/>
        </w:rPr>
        <w:t>و</w:t>
      </w:r>
      <w:r w:rsidR="00F863EA" w:rsidRPr="00F863EA">
        <w:rPr>
          <w:rFonts w:cstheme="minorHAnsi"/>
          <w:sz w:val="22"/>
          <w:szCs w:val="22"/>
          <w:rtl/>
        </w:rPr>
        <w:t>إجراء الرصد والتحري على أساس مخصص الغرض أو بشكل أكثر منهجية من خلال الاشتراك في خدمة لمراقبة أسماء الحقول أو العلامات التجارية، بحيث يتم تلقي الإخطار عندما يُنشر شيء مطابق أو مشابه إلى حد اللبس.</w:t>
      </w:r>
    </w:p>
    <w:p w:rsidR="00F863EA" w:rsidRPr="00F863EA" w:rsidRDefault="00F863EA" w:rsidP="00F863EA">
      <w:pPr>
        <w:pStyle w:val="ListParagraph"/>
        <w:numPr>
          <w:ilvl w:val="0"/>
          <w:numId w:val="11"/>
        </w:numPr>
        <w:bidi/>
        <w:contextualSpacing w:val="0"/>
        <w:rPr>
          <w:rFonts w:cstheme="minorHAnsi"/>
          <w:sz w:val="22"/>
          <w:szCs w:val="22"/>
          <w:shd w:val="clear" w:color="auto" w:fill="FFFFFF"/>
          <w:rtl/>
        </w:rPr>
      </w:pPr>
      <w:r w:rsidRPr="00F863EA">
        <w:rPr>
          <w:rFonts w:cstheme="minorHAnsi"/>
          <w:sz w:val="22"/>
          <w:szCs w:val="22"/>
          <w:shd w:val="clear" w:color="auto" w:fill="FFFFFF"/>
          <w:rtl/>
        </w:rPr>
        <w:t>ويمكن لأصحاب العلامات التجارية أن ينظروا في الانضمام إلى خدمة الرصد على الإنترنت، التي تتحقّق من السلع المزورة وغير المصرح بها باستخدام القنوات والمنصات الرقمية.</w:t>
      </w:r>
    </w:p>
    <w:p w:rsidR="00F863EA" w:rsidRPr="00F863EA" w:rsidRDefault="00F863EA" w:rsidP="00F863EA">
      <w:pPr>
        <w:pStyle w:val="ListParagraph"/>
        <w:numPr>
          <w:ilvl w:val="0"/>
          <w:numId w:val="11"/>
        </w:numPr>
        <w:bidi/>
        <w:spacing w:after="240"/>
        <w:contextualSpacing w:val="0"/>
        <w:rPr>
          <w:rFonts w:cstheme="minorHAnsi"/>
          <w:sz w:val="22"/>
          <w:szCs w:val="22"/>
          <w:shd w:val="clear" w:color="auto" w:fill="FFFFFF"/>
          <w:rtl/>
        </w:rPr>
      </w:pPr>
      <w:r w:rsidRPr="00F863EA">
        <w:rPr>
          <w:rFonts w:cstheme="minorHAnsi"/>
          <w:sz w:val="22"/>
          <w:szCs w:val="22"/>
          <w:shd w:val="clear" w:color="auto" w:fill="FFFFFF"/>
          <w:rtl/>
        </w:rPr>
        <w:t>وتقديم طلبات إلى سلطات الجمارك والحدود للحصول على حماية من التعدي على حقوق الملكية الفك</w:t>
      </w:r>
      <w:r>
        <w:rPr>
          <w:rFonts w:cstheme="minorHAnsi"/>
          <w:sz w:val="22"/>
          <w:szCs w:val="22"/>
          <w:shd w:val="clear" w:color="auto" w:fill="FFFFFF"/>
          <w:rtl/>
        </w:rPr>
        <w:t xml:space="preserve">رية بشأن الواردات والصادرات في </w:t>
      </w:r>
      <w:r w:rsidRPr="00F863EA">
        <w:rPr>
          <w:rFonts w:cstheme="minorHAnsi"/>
          <w:sz w:val="22"/>
          <w:szCs w:val="22"/>
          <w:shd w:val="clear" w:color="auto" w:fill="FFFFFF"/>
          <w:rtl/>
        </w:rPr>
        <w:t>الأراضي المعنية (يُتاح هذا الخيار لأصحاب الملكية الفكرية في العلامات التجارية والتصاميم والنماذج الصناعية والبراءات، وفي بعض الأحيان، حق المؤلف).</w:t>
      </w:r>
    </w:p>
    <w:p w:rsidR="00F863EA" w:rsidRDefault="00F863EA" w:rsidP="003A2524">
      <w:pPr>
        <w:rPr>
          <w:rFonts w:asciiTheme="minorHAnsi" w:hAnsiTheme="minorHAnsi" w:cstheme="minorHAnsi"/>
          <w:rtl/>
        </w:rPr>
      </w:pPr>
      <w:r w:rsidRPr="00F863EA">
        <w:rPr>
          <w:rFonts w:asciiTheme="minorHAnsi" w:hAnsiTheme="minorHAnsi" w:cstheme="minorHAnsi"/>
          <w:rtl/>
        </w:rPr>
        <w:t>ويمكن الاطلاع على النسخة الكامل</w:t>
      </w:r>
      <w:r w:rsidR="003A2524">
        <w:rPr>
          <w:rFonts w:asciiTheme="minorHAnsi" w:hAnsiTheme="minorHAnsi" w:cstheme="minorHAnsi"/>
          <w:rtl/>
        </w:rPr>
        <w:t>ة من الأداة على الرابط التالي</w:t>
      </w:r>
      <w:r w:rsidR="003A2524">
        <w:rPr>
          <w:rFonts w:asciiTheme="minorHAnsi" w:hAnsiTheme="minorHAnsi" w:cstheme="minorHAnsi" w:hint="cs"/>
          <w:rtl/>
        </w:rPr>
        <w:t>:</w:t>
      </w:r>
      <w:r w:rsidR="003A2524" w:rsidRPr="003A2524">
        <w:t xml:space="preserve"> </w:t>
      </w:r>
      <w:hyperlink r:id="rId18" w:history="1">
        <w:r w:rsidR="003A2524" w:rsidRPr="000359EC">
          <w:rPr>
            <w:rStyle w:val="Hyperlink"/>
            <w:rFonts w:asciiTheme="minorHAnsi" w:hAnsiTheme="minorHAnsi" w:cstheme="minorHAnsi"/>
          </w:rPr>
          <w:t>http://www-dev.wipo.int/edocs/mdocs/mdocs/en/wipo_webinar_cr_2023_7/wipo_webinar_cr_2023_7_www_615976.pdf</w:t>
        </w:r>
      </w:hyperlink>
      <w:r w:rsidR="003A2524">
        <w:rPr>
          <w:rFonts w:asciiTheme="minorHAnsi" w:hAnsiTheme="minorHAnsi" w:cstheme="minorHAnsi" w:hint="cs"/>
          <w:rtl/>
        </w:rPr>
        <w:t>.</w:t>
      </w:r>
    </w:p>
    <w:p w:rsidR="003A2524" w:rsidRDefault="003A2524" w:rsidP="003A2524">
      <w:pPr>
        <w:rPr>
          <w:rFonts w:asciiTheme="minorHAnsi" w:hAnsiTheme="minorHAnsi" w:cstheme="minorHAnsi"/>
          <w:rtl/>
        </w:rPr>
      </w:pPr>
    </w:p>
    <w:p w:rsidR="003A2524" w:rsidRDefault="003A2524" w:rsidP="003A2524">
      <w:pPr>
        <w:rPr>
          <w:rFonts w:asciiTheme="minorHAnsi" w:hAnsiTheme="minorHAnsi" w:cstheme="minorHAnsi"/>
          <w:rtl/>
        </w:rPr>
      </w:pPr>
    </w:p>
    <w:p w:rsidR="003A2524" w:rsidRPr="00F863EA" w:rsidRDefault="003A2524" w:rsidP="003A2524">
      <w:pPr>
        <w:rPr>
          <w:rFonts w:asciiTheme="minorHAnsi" w:hAnsiTheme="minorHAnsi" w:cstheme="minorHAnsi"/>
          <w:rtl/>
        </w:rPr>
      </w:pPr>
    </w:p>
    <w:p w:rsidR="00F863EA" w:rsidRPr="00F863EA" w:rsidRDefault="00F863EA" w:rsidP="00F863EA">
      <w:pPr>
        <w:pStyle w:val="Endofdocument-Annex"/>
        <w:rPr>
          <w:rFonts w:asciiTheme="minorHAnsi" w:hAnsiTheme="minorHAnsi" w:cstheme="minorHAnsi"/>
          <w:rtl/>
        </w:rPr>
      </w:pPr>
      <w:r w:rsidRPr="00F863EA">
        <w:rPr>
          <w:rFonts w:asciiTheme="minorHAnsi" w:hAnsiTheme="minorHAnsi" w:cstheme="minorHAnsi"/>
          <w:rtl/>
        </w:rPr>
        <w:t>‏[نهاية المرفق والوثيقة]</w:t>
      </w:r>
    </w:p>
    <w:sectPr w:rsidR="00F863EA" w:rsidRPr="00F863EA" w:rsidSect="003A2524">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652" w:rsidRDefault="00972652">
      <w:r>
        <w:separator/>
      </w:r>
    </w:p>
  </w:endnote>
  <w:endnote w:type="continuationSeparator" w:id="0">
    <w:p w:rsidR="00972652" w:rsidRDefault="00972652" w:rsidP="003B38C1">
      <w:r>
        <w:separator/>
      </w:r>
    </w:p>
    <w:p w:rsidR="00972652" w:rsidRPr="003B38C1" w:rsidRDefault="00972652" w:rsidP="003B38C1">
      <w:pPr>
        <w:spacing w:after="60"/>
        <w:rPr>
          <w:sz w:val="17"/>
        </w:rPr>
      </w:pPr>
      <w:r>
        <w:rPr>
          <w:sz w:val="17"/>
        </w:rPr>
        <w:t>[Endnote continued from previous page]</w:t>
      </w:r>
    </w:p>
  </w:endnote>
  <w:endnote w:type="continuationNotice" w:id="1">
    <w:p w:rsidR="00972652" w:rsidRPr="003B38C1" w:rsidRDefault="0097265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3EA" w:rsidRDefault="00F863EA" w:rsidP="003C710A">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3EA" w:rsidRDefault="00F863EA">
    <w:pP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880" w:rsidRDefault="005558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67D" w:rsidRDefault="00EC467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67D" w:rsidRDefault="00EC467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67D" w:rsidRDefault="00EC4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652" w:rsidRDefault="00972652">
      <w:r>
        <w:separator/>
      </w:r>
    </w:p>
  </w:footnote>
  <w:footnote w:type="continuationSeparator" w:id="0">
    <w:p w:rsidR="00972652" w:rsidRDefault="00972652" w:rsidP="008B60B2">
      <w:r>
        <w:separator/>
      </w:r>
    </w:p>
    <w:p w:rsidR="00972652" w:rsidRPr="00ED77FB" w:rsidRDefault="00972652" w:rsidP="008B60B2">
      <w:pPr>
        <w:spacing w:after="60"/>
        <w:rPr>
          <w:sz w:val="17"/>
          <w:szCs w:val="17"/>
        </w:rPr>
      </w:pPr>
      <w:r w:rsidRPr="00ED77FB">
        <w:rPr>
          <w:sz w:val="17"/>
          <w:szCs w:val="17"/>
        </w:rPr>
        <w:t>[Footnote continued from previous page]</w:t>
      </w:r>
    </w:p>
  </w:footnote>
  <w:footnote w:type="continuationNotice" w:id="1">
    <w:p w:rsidR="00972652" w:rsidRPr="00ED77FB" w:rsidRDefault="00972652" w:rsidP="008B60B2">
      <w:pPr>
        <w:spacing w:before="60"/>
        <w:jc w:val="right"/>
        <w:rPr>
          <w:sz w:val="17"/>
          <w:szCs w:val="17"/>
        </w:rPr>
      </w:pPr>
      <w:r w:rsidRPr="00ED77FB">
        <w:rPr>
          <w:sz w:val="17"/>
          <w:szCs w:val="17"/>
        </w:rPr>
        <w:t>[Footnote continued on next page]</w:t>
      </w:r>
    </w:p>
  </w:footnote>
  <w:footnote w:id="2">
    <w:p w:rsidR="00F863EA" w:rsidRPr="008759BB" w:rsidRDefault="00F863EA" w:rsidP="00F863EA">
      <w:pPr>
        <w:pStyle w:val="FootnoteText"/>
        <w:rPr>
          <w:rFonts w:cs="Arial"/>
          <w:rtl/>
        </w:rPr>
      </w:pPr>
      <w:r>
        <w:rPr>
          <w:rStyle w:val="FootnoteReference"/>
          <w:rFonts w:cs="Arial"/>
        </w:rPr>
        <w:footnoteRef/>
      </w:r>
      <w:r>
        <w:rPr>
          <w:rFonts w:hint="cs"/>
          <w:rtl/>
        </w:rPr>
        <w:t xml:space="preserve"> بحسب تقرير منصة ستاتيستا لعام 2022 بشأن التجارة الإلكترونية للأزياء، ويمكن الاطلاع على التقرير في الرابط التالي: </w:t>
      </w:r>
      <w:hyperlink r:id="rId1" w:history="1">
        <w:r>
          <w:rPr>
            <w:rStyle w:val="Hyperlink"/>
          </w:rPr>
          <w:t>https://www.statista.com/study/38340/ecommerce-report-fashion/</w:t>
        </w:r>
      </w:hyperlink>
      <w:r>
        <w:t xml:space="preserve">  </w:t>
      </w:r>
    </w:p>
  </w:footnote>
  <w:footnote w:id="3">
    <w:p w:rsidR="00F863EA" w:rsidRPr="008759BB" w:rsidRDefault="00F863EA" w:rsidP="00F863EA">
      <w:pPr>
        <w:pStyle w:val="FootnoteText"/>
        <w:rPr>
          <w:rFonts w:cs="Arial"/>
          <w:rtl/>
        </w:rPr>
      </w:pPr>
      <w:r>
        <w:rPr>
          <w:rStyle w:val="FootnoteReference"/>
          <w:rFonts w:cs="Arial"/>
        </w:rPr>
        <w:footnoteRef/>
      </w:r>
      <w:r w:rsidR="003A2524">
        <w:rPr>
          <w:rFonts w:hint="cs"/>
          <w:rtl/>
        </w:rPr>
        <w:t xml:space="preserve"> </w:t>
      </w:r>
      <w:r>
        <w:rPr>
          <w:rFonts w:hint="cs"/>
          <w:rtl/>
        </w:rPr>
        <w:t>كثيراً ما تُستخدم الأقمشة والمنسوجات في صناعة الملابس، ولكنها لا تقتصر على هذا المجال. فعلى سبيل المثال، يمكن استخدام قماش صوفي من نمط معين من أجل في صناعة سترة ما، كما يمكن استخدامه أيضاً في تنجيد الكراسي الوثيرة. وبالتالي، فإن الطريقة الأفضل للنظر في حماية تصميم القماش هي القيام بذلك بمعزل عن حماية منتج الأزياء النهائي.</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3EA" w:rsidRPr="00262966" w:rsidRDefault="00F863EA" w:rsidP="003C710A">
    <w:pPr>
      <w:tabs>
        <w:tab w:val="center" w:pos="4536"/>
        <w:tab w:val="right" w:pos="9072"/>
      </w:tabs>
      <w:jc w:val="right"/>
      <w:rPr>
        <w:rtl/>
      </w:rPr>
    </w:pPr>
    <w:r>
      <w:t>CDIP/20/</w:t>
    </w:r>
    <w:r>
      <w:rPr>
        <w:highlight w:val="yellow"/>
      </w:rPr>
      <w:t>X</w:t>
    </w:r>
  </w:p>
  <w:p w:rsidR="00F863EA" w:rsidRDefault="00F863EA" w:rsidP="003C710A">
    <w:pPr>
      <w:tabs>
        <w:tab w:val="center" w:pos="4536"/>
        <w:tab w:val="right" w:pos="9072"/>
      </w:tabs>
      <w:jc w:val="right"/>
      <w:rPr>
        <w:rtl/>
      </w:rPr>
    </w:pPr>
    <w:r>
      <w:t xml:space="preserve">Annex, page </w:t>
    </w:r>
    <w:r w:rsidRPr="00262966">
      <w:rPr>
        <w:rFonts w:hint="cs"/>
        <w:rtl/>
      </w:rPr>
      <w:fldChar w:fldCharType="begin"/>
    </w:r>
    <w:r>
      <w:rPr>
        <w:rtl/>
      </w:rPr>
      <w:instrText xml:space="preserve"> </w:instrText>
    </w:r>
    <w:r w:rsidRPr="00262966">
      <w:instrText xml:space="preserve">PAGE   \* MERGEFORMAT </w:instrText>
    </w:r>
    <w:r w:rsidRPr="00262966">
      <w:rPr>
        <w:rFonts w:hint="cs"/>
        <w:rtl/>
      </w:rPr>
      <w:fldChar w:fldCharType="separate"/>
    </w:r>
    <w:r>
      <w:rPr>
        <w:rFonts w:hint="cs"/>
        <w:noProof/>
        <w:rtl/>
      </w:rPr>
      <w:t>4</w:t>
    </w:r>
    <w:r w:rsidRPr="00262966">
      <w:rPr>
        <w:rFonts w:hint="cs"/>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3EA" w:rsidRPr="00262966" w:rsidRDefault="00F863EA" w:rsidP="008C3E9C">
    <w:pPr>
      <w:tabs>
        <w:tab w:val="center" w:pos="4536"/>
        <w:tab w:val="right" w:pos="9072"/>
      </w:tabs>
      <w:jc w:val="right"/>
      <w:rPr>
        <w:rtl/>
      </w:rPr>
    </w:pPr>
    <w:r>
      <w:t>CDIP/31/INF/3</w:t>
    </w:r>
  </w:p>
  <w:p w:rsidR="00F863EA" w:rsidRDefault="00F863EA" w:rsidP="008C3E9C">
    <w:pPr>
      <w:tabs>
        <w:tab w:val="center" w:pos="4536"/>
        <w:tab w:val="right" w:pos="9072"/>
      </w:tabs>
      <w:jc w:val="right"/>
      <w:rPr>
        <w:rtl/>
      </w:rPr>
    </w:pPr>
    <w:r>
      <w:t xml:space="preserve">Annex, page </w:t>
    </w:r>
    <w:r w:rsidRPr="00262966">
      <w:rPr>
        <w:rFonts w:hint="cs"/>
        <w:rtl/>
      </w:rPr>
      <w:fldChar w:fldCharType="begin"/>
    </w:r>
    <w:r>
      <w:rPr>
        <w:rtl/>
      </w:rPr>
      <w:instrText xml:space="preserve"> </w:instrText>
    </w:r>
    <w:r w:rsidRPr="00262966">
      <w:instrText xml:space="preserve">PAGE   \* MERGEFORMAT </w:instrText>
    </w:r>
    <w:r w:rsidRPr="00262966">
      <w:rPr>
        <w:rFonts w:hint="cs"/>
        <w:rtl/>
      </w:rPr>
      <w:fldChar w:fldCharType="separate"/>
    </w:r>
    <w:r>
      <w:rPr>
        <w:rFonts w:hint="cs"/>
        <w:noProof/>
        <w:rtl/>
      </w:rPr>
      <w:t>2</w:t>
    </w:r>
    <w:r w:rsidRPr="00262966">
      <w:rPr>
        <w:rFonts w:hint="cs"/>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880" w:rsidRDefault="005558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67D" w:rsidRDefault="00EC46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Default="00DA31B9" w:rsidP="00EC467D">
    <w:pPr>
      <w:bidi w:val="0"/>
      <w:rPr>
        <w:lang w:val="fr-CH"/>
      </w:rPr>
    </w:pPr>
    <w:r w:rsidRPr="00E571B4">
      <w:t>CDIP/</w:t>
    </w:r>
    <w:r w:rsidR="00500DBE">
      <w:t>3</w:t>
    </w:r>
    <w:r w:rsidR="00EC467D">
      <w:t>1</w:t>
    </w:r>
    <w:r w:rsidR="003A2524">
      <w:t>/</w:t>
    </w:r>
    <w:r w:rsidR="003A2524">
      <w:rPr>
        <w:lang w:val="fr-CH"/>
      </w:rPr>
      <w:t>INF</w:t>
    </w:r>
    <w:r w:rsidR="006D4A8B">
      <w:rPr>
        <w:lang w:val="fr-CH"/>
      </w:rPr>
      <w:t>/3</w:t>
    </w:r>
  </w:p>
  <w:p w:rsidR="003A2524" w:rsidRPr="003A2524" w:rsidRDefault="003A2524" w:rsidP="003A2524">
    <w:pPr>
      <w:bidi w:val="0"/>
      <w:rPr>
        <w:lang w:val="fr-CH"/>
      </w:rPr>
    </w:pPr>
    <w:r>
      <w:rPr>
        <w:lang w:val="fr-CH"/>
      </w:rPr>
      <w:t>Annex</w:t>
    </w:r>
  </w:p>
  <w:p w:rsidR="00D07C78" w:rsidRPr="00E571B4" w:rsidRDefault="00D07C78" w:rsidP="00210D5F">
    <w:pPr>
      <w:bidi w:val="0"/>
    </w:pPr>
    <w:r w:rsidRPr="00E571B4">
      <w:fldChar w:fldCharType="begin"/>
    </w:r>
    <w:r w:rsidRPr="00E571B4">
      <w:instrText xml:space="preserve"> PAGE  \* MERGEFORMAT </w:instrText>
    </w:r>
    <w:r w:rsidRPr="00E571B4">
      <w:fldChar w:fldCharType="separate"/>
    </w:r>
    <w:r w:rsidR="00555880">
      <w:rPr>
        <w:noProof/>
      </w:rPr>
      <w:t>2</w:t>
    </w:r>
    <w:r w:rsidRPr="00E571B4">
      <w:fldChar w:fldCharType="end"/>
    </w:r>
  </w:p>
  <w:p w:rsidR="00D07C78" w:rsidRPr="00E571B4" w:rsidRDefault="00D07C78" w:rsidP="00210D5F">
    <w:pPr>
      <w:bidi w:val="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3EA" w:rsidRPr="00F863EA" w:rsidRDefault="00F863EA" w:rsidP="00F863EA">
    <w:pPr>
      <w:pStyle w:val="Header"/>
      <w:bidi w:val="0"/>
      <w:rPr>
        <w:rFonts w:asciiTheme="minorBidi" w:hAnsiTheme="minorBidi" w:cstheme="minorBidi"/>
      </w:rPr>
    </w:pPr>
    <w:r w:rsidRPr="00F863EA">
      <w:rPr>
        <w:rFonts w:asciiTheme="minorBidi" w:hAnsiTheme="minorBidi" w:cstheme="minorBidi"/>
      </w:rPr>
      <w:t>CDIP/31/INF/3</w:t>
    </w:r>
  </w:p>
  <w:p w:rsidR="00F863EA" w:rsidRDefault="00F863EA" w:rsidP="00F863EA">
    <w:pPr>
      <w:pStyle w:val="Header"/>
      <w:bidi w:val="0"/>
      <w:rPr>
        <w:rFonts w:asciiTheme="minorBidi" w:hAnsiTheme="minorBidi" w:cstheme="minorBidi"/>
      </w:rPr>
    </w:pPr>
    <w:r w:rsidRPr="00F863EA">
      <w:rPr>
        <w:rFonts w:asciiTheme="minorBidi" w:hAnsiTheme="minorBidi" w:cstheme="minorBidi"/>
      </w:rPr>
      <w:t>ANNEX</w:t>
    </w:r>
  </w:p>
  <w:p w:rsidR="003A2524" w:rsidRPr="003A2524" w:rsidRDefault="003A2524" w:rsidP="003A2524">
    <w:pPr>
      <w:pStyle w:val="Header"/>
      <w:bidi w:val="0"/>
      <w:rPr>
        <w:rFonts w:ascii="Calibri" w:hAnsi="Calibri"/>
        <w:rtl/>
      </w:rPr>
    </w:pPr>
    <w:r w:rsidRPr="003A2524">
      <w:rPr>
        <w:rFonts w:ascii="Calibri" w:hAnsi="Calibri"/>
        <w:rtl/>
      </w:rPr>
      <w:t>المرفق</w:t>
    </w:r>
  </w:p>
  <w:p w:rsidR="00EC467D" w:rsidRPr="003A2524" w:rsidRDefault="00EC467D" w:rsidP="003A2524">
    <w:pPr>
      <w:pStyle w:val="Header"/>
      <w:jc w:val="right"/>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11237D"/>
    <w:multiLevelType w:val="hybridMultilevel"/>
    <w:tmpl w:val="33A821F2"/>
    <w:lvl w:ilvl="0" w:tplc="0409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FF0E7A"/>
    <w:multiLevelType w:val="hybridMultilevel"/>
    <w:tmpl w:val="2DEE6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0" w15:restartNumberingAfterBreak="0">
    <w:nsid w:val="750F1A60"/>
    <w:multiLevelType w:val="hybridMultilevel"/>
    <w:tmpl w:val="F2462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9"/>
  </w:num>
  <w:num w:numId="8">
    <w:abstractNumId w:val="5"/>
  </w:num>
  <w:num w:numId="9">
    <w:abstractNumId w:val="2"/>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F1"/>
    <w:rsid w:val="00043CAA"/>
    <w:rsid w:val="00056816"/>
    <w:rsid w:val="00075432"/>
    <w:rsid w:val="000968ED"/>
    <w:rsid w:val="000A3D97"/>
    <w:rsid w:val="000F5E56"/>
    <w:rsid w:val="001362EE"/>
    <w:rsid w:val="001406E1"/>
    <w:rsid w:val="00155D8A"/>
    <w:rsid w:val="001647D5"/>
    <w:rsid w:val="001832A6"/>
    <w:rsid w:val="0019592A"/>
    <w:rsid w:val="001D4107"/>
    <w:rsid w:val="00203D24"/>
    <w:rsid w:val="00210D5F"/>
    <w:rsid w:val="0021217E"/>
    <w:rsid w:val="002326AB"/>
    <w:rsid w:val="00243430"/>
    <w:rsid w:val="002634C4"/>
    <w:rsid w:val="002928D3"/>
    <w:rsid w:val="002F1FE6"/>
    <w:rsid w:val="002F4E68"/>
    <w:rsid w:val="00312F7F"/>
    <w:rsid w:val="00361450"/>
    <w:rsid w:val="003673CF"/>
    <w:rsid w:val="003845C1"/>
    <w:rsid w:val="003A2524"/>
    <w:rsid w:val="003A6F89"/>
    <w:rsid w:val="003B355C"/>
    <w:rsid w:val="003B38C1"/>
    <w:rsid w:val="003C34E9"/>
    <w:rsid w:val="00423E3E"/>
    <w:rsid w:val="00427AF4"/>
    <w:rsid w:val="004647DA"/>
    <w:rsid w:val="00474062"/>
    <w:rsid w:val="00477D6B"/>
    <w:rsid w:val="00500DBE"/>
    <w:rsid w:val="005019FF"/>
    <w:rsid w:val="00516C18"/>
    <w:rsid w:val="0052256A"/>
    <w:rsid w:val="0053057A"/>
    <w:rsid w:val="005515F4"/>
    <w:rsid w:val="00555880"/>
    <w:rsid w:val="00556076"/>
    <w:rsid w:val="00560A29"/>
    <w:rsid w:val="005C6649"/>
    <w:rsid w:val="005E7B89"/>
    <w:rsid w:val="00605827"/>
    <w:rsid w:val="00646050"/>
    <w:rsid w:val="006713CA"/>
    <w:rsid w:val="00676C5C"/>
    <w:rsid w:val="006B5C12"/>
    <w:rsid w:val="006D4A8B"/>
    <w:rsid w:val="00720EFD"/>
    <w:rsid w:val="0077666B"/>
    <w:rsid w:val="007854AF"/>
    <w:rsid w:val="00793A7C"/>
    <w:rsid w:val="007A398A"/>
    <w:rsid w:val="007C4902"/>
    <w:rsid w:val="007D0A67"/>
    <w:rsid w:val="007D1613"/>
    <w:rsid w:val="007D29B7"/>
    <w:rsid w:val="007E4C0E"/>
    <w:rsid w:val="008A134B"/>
    <w:rsid w:val="008B2CC1"/>
    <w:rsid w:val="008B60B2"/>
    <w:rsid w:val="0090731E"/>
    <w:rsid w:val="00916EE2"/>
    <w:rsid w:val="00966A22"/>
    <w:rsid w:val="0096722F"/>
    <w:rsid w:val="00972652"/>
    <w:rsid w:val="00980843"/>
    <w:rsid w:val="009B0855"/>
    <w:rsid w:val="009E2791"/>
    <w:rsid w:val="009E3F6F"/>
    <w:rsid w:val="009F499F"/>
    <w:rsid w:val="00A37342"/>
    <w:rsid w:val="00A42DAF"/>
    <w:rsid w:val="00A45BD8"/>
    <w:rsid w:val="00A869B7"/>
    <w:rsid w:val="00A90F0A"/>
    <w:rsid w:val="00AB14F1"/>
    <w:rsid w:val="00AC205C"/>
    <w:rsid w:val="00AF0A6B"/>
    <w:rsid w:val="00B05A69"/>
    <w:rsid w:val="00B42CA9"/>
    <w:rsid w:val="00B51FF7"/>
    <w:rsid w:val="00B75281"/>
    <w:rsid w:val="00B92F1F"/>
    <w:rsid w:val="00B9734B"/>
    <w:rsid w:val="00BA30E2"/>
    <w:rsid w:val="00BF2AFA"/>
    <w:rsid w:val="00C11BFE"/>
    <w:rsid w:val="00C5068F"/>
    <w:rsid w:val="00C86D74"/>
    <w:rsid w:val="00CB3DBA"/>
    <w:rsid w:val="00CC3E2D"/>
    <w:rsid w:val="00CD04F1"/>
    <w:rsid w:val="00CE19F8"/>
    <w:rsid w:val="00CF681A"/>
    <w:rsid w:val="00D03064"/>
    <w:rsid w:val="00D07C78"/>
    <w:rsid w:val="00D27334"/>
    <w:rsid w:val="00D45252"/>
    <w:rsid w:val="00D60B2C"/>
    <w:rsid w:val="00D67EAE"/>
    <w:rsid w:val="00D71B4D"/>
    <w:rsid w:val="00D90B96"/>
    <w:rsid w:val="00D93D55"/>
    <w:rsid w:val="00DA31B9"/>
    <w:rsid w:val="00DD7B7F"/>
    <w:rsid w:val="00E15015"/>
    <w:rsid w:val="00E319DF"/>
    <w:rsid w:val="00E335FE"/>
    <w:rsid w:val="00E571B4"/>
    <w:rsid w:val="00E66CC5"/>
    <w:rsid w:val="00EA7D6E"/>
    <w:rsid w:val="00EB2F76"/>
    <w:rsid w:val="00EB6F85"/>
    <w:rsid w:val="00EC467D"/>
    <w:rsid w:val="00EC4E49"/>
    <w:rsid w:val="00ED77FB"/>
    <w:rsid w:val="00EE45FA"/>
    <w:rsid w:val="00F043DE"/>
    <w:rsid w:val="00F66152"/>
    <w:rsid w:val="00F863EA"/>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724656"/>
  <w15:docId w15:val="{AAA72A9D-F64F-4D19-A7FC-31AEEC3E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5F4"/>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customStyle="1" w:styleId="FooterChar">
    <w:name w:val="Footer Char"/>
    <w:basedOn w:val="DefaultParagraphFont"/>
    <w:link w:val="Footer"/>
    <w:uiPriority w:val="99"/>
    <w:rsid w:val="00F863EA"/>
    <w:rPr>
      <w:rFonts w:ascii="Arial" w:eastAsia="SimSun" w:hAnsi="Arial" w:cs="Calibri"/>
      <w:sz w:val="22"/>
      <w:szCs w:val="22"/>
      <w:lang w:val="en-US" w:eastAsia="zh-CN"/>
    </w:rPr>
  </w:style>
  <w:style w:type="character" w:customStyle="1" w:styleId="HeaderChar">
    <w:name w:val="Header Char"/>
    <w:basedOn w:val="DefaultParagraphFont"/>
    <w:link w:val="Header"/>
    <w:uiPriority w:val="99"/>
    <w:rsid w:val="00F863EA"/>
    <w:rPr>
      <w:rFonts w:ascii="Arial" w:eastAsia="SimSun" w:hAnsi="Arial" w:cs="Calibri"/>
      <w:sz w:val="22"/>
      <w:szCs w:val="22"/>
      <w:lang w:val="en-US" w:eastAsia="zh-CN"/>
    </w:rPr>
  </w:style>
  <w:style w:type="character" w:customStyle="1" w:styleId="FootnoteTextChar">
    <w:name w:val="Footnote Text Char"/>
    <w:basedOn w:val="DefaultParagraphFont"/>
    <w:link w:val="FootnoteText"/>
    <w:uiPriority w:val="99"/>
    <w:rsid w:val="00F863EA"/>
    <w:rPr>
      <w:rFonts w:ascii="Arial" w:eastAsia="SimSun" w:hAnsi="Arial" w:cs="Calibri"/>
      <w:sz w:val="18"/>
      <w:szCs w:val="18"/>
      <w:lang w:val="en-US" w:eastAsia="zh-CN"/>
    </w:rPr>
  </w:style>
  <w:style w:type="character" w:styleId="FootnoteReference">
    <w:name w:val="footnote reference"/>
    <w:basedOn w:val="DefaultParagraphFont"/>
    <w:uiPriority w:val="99"/>
    <w:unhideWhenUsed/>
    <w:rsid w:val="00F863EA"/>
    <w:rPr>
      <w:vertAlign w:val="superscript"/>
    </w:rPr>
  </w:style>
  <w:style w:type="character" w:styleId="Hyperlink">
    <w:name w:val="Hyperlink"/>
    <w:basedOn w:val="DefaultParagraphFont"/>
    <w:uiPriority w:val="99"/>
    <w:unhideWhenUsed/>
    <w:rsid w:val="00F863EA"/>
    <w:rPr>
      <w:color w:val="0000FF"/>
      <w:u w:val="single"/>
    </w:rPr>
  </w:style>
  <w:style w:type="paragraph" w:styleId="ListParagraph">
    <w:name w:val="List Paragraph"/>
    <w:basedOn w:val="Normal"/>
    <w:uiPriority w:val="34"/>
    <w:qFormat/>
    <w:rsid w:val="00F863EA"/>
    <w:pPr>
      <w:bidi w:val="0"/>
      <w:ind w:left="720"/>
      <w:contextualSpacing/>
    </w:pPr>
    <w:rPr>
      <w:rFonts w:asciiTheme="minorHAnsi" w:eastAsiaTheme="minorHAnsi" w:hAnsiTheme="minorHAnsi" w:cstheme="minorBidi"/>
      <w:sz w:val="24"/>
      <w:szCs w:val="24"/>
      <w:lang w:val="en-GB" w:eastAsia="en-US" w:bidi="ar-EG"/>
    </w:rPr>
  </w:style>
  <w:style w:type="character" w:styleId="FollowedHyperlink">
    <w:name w:val="FollowedHyperlink"/>
    <w:basedOn w:val="DefaultParagraphFont"/>
    <w:semiHidden/>
    <w:unhideWhenUsed/>
    <w:rsid w:val="003A25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www-dev.wipo.int/edocs/mdocs/mdocs/en/wipo_webinar_cr_2023_7/wipo_webinar_cr_2023_7_www_615976.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image" Target="media/image3.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www.statista.com/study/38340/ecommerce-report-fash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E0612-D56B-46E3-8180-6AC7178FD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CDIP/31/INF/3</vt:lpstr>
    </vt:vector>
  </TitlesOfParts>
  <Company>WIPO</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CDIP/31/INF/3</dc:title>
  <dc:creator>ENDANI Ahmad</dc:creator>
  <cp:keywords>FOR OFFICIAL USE ONLY</cp:keywords>
  <cp:lastModifiedBy>ESTEVES DOS SANTOS Anabela</cp:lastModifiedBy>
  <cp:revision>5</cp:revision>
  <cp:lastPrinted>2023-09-04T07:33:00Z</cp:lastPrinted>
  <dcterms:created xsi:type="dcterms:W3CDTF">2023-09-04T07:15:00Z</dcterms:created>
  <dcterms:modified xsi:type="dcterms:W3CDTF">2023-09-06T15:58:00Z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2023-07-27T08:20:00Z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a5190d36-4e00-401a-b4be-dabe7702cf17</vt:lpwstr>
  </property>
  <property fmtid="{D5CDD505-2E9C-101B-9397-08002B2CF9AE}" pid="13" name="MSIP_Label_20773ee6-353b-4fb9-a59d-0b94c8c67bea_ContentBits">
    <vt:lpwstr>0</vt:lpwstr>
  </property>
</Properties>
</file>