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A770AE">
              <w:t>/5</w:t>
            </w:r>
          </w:p>
        </w:tc>
      </w:tr>
      <w:tr w:rsidR="001667B6" w:rsidTr="00BF164F">
        <w:tc>
          <w:tcPr>
            <w:tcW w:w="9571" w:type="dxa"/>
            <w:gridSpan w:val="3"/>
          </w:tcPr>
          <w:p w:rsidR="001667B6" w:rsidRPr="00B6101C" w:rsidRDefault="00B6101C" w:rsidP="00A770AE">
            <w:pPr>
              <w:pStyle w:val="DocumentLanguageAR"/>
              <w:bidi/>
              <w:rPr>
                <w:rtl/>
              </w:rPr>
            </w:pPr>
            <w:r w:rsidRPr="00B6101C">
              <w:rPr>
                <w:rFonts w:hint="cs"/>
                <w:rtl/>
              </w:rPr>
              <w:t xml:space="preserve">الأصل: </w:t>
            </w:r>
            <w:proofErr w:type="gramStart"/>
            <w:r w:rsidR="00A770AE">
              <w:rPr>
                <w:rFonts w:hint="cs"/>
                <w:rtl/>
              </w:rPr>
              <w:t>بالإنكليزية</w:t>
            </w:r>
            <w:proofErr w:type="gramEnd"/>
          </w:p>
        </w:tc>
      </w:tr>
      <w:tr w:rsidR="001667B6" w:rsidTr="00BF164F">
        <w:tc>
          <w:tcPr>
            <w:tcW w:w="9571" w:type="dxa"/>
            <w:gridSpan w:val="3"/>
          </w:tcPr>
          <w:p w:rsidR="001667B6" w:rsidRPr="00B6101C" w:rsidRDefault="00B6101C" w:rsidP="00A770AE">
            <w:pPr>
              <w:pStyle w:val="DocumentDateAR"/>
              <w:bidi/>
              <w:rPr>
                <w:rtl/>
              </w:rPr>
            </w:pPr>
            <w:r w:rsidRPr="00B6101C">
              <w:rPr>
                <w:rFonts w:hint="cs"/>
                <w:rtl/>
              </w:rPr>
              <w:t xml:space="preserve">التاريخ: </w:t>
            </w:r>
            <w:r w:rsidR="00A770AE">
              <w:rPr>
                <w:rFonts w:hint="cs"/>
                <w:rtl/>
              </w:rPr>
              <w:t>26</w:t>
            </w:r>
            <w:r w:rsidRPr="00B6101C">
              <w:rPr>
                <w:rFonts w:hint="cs"/>
                <w:rtl/>
              </w:rPr>
              <w:t xml:space="preserve"> </w:t>
            </w:r>
            <w:proofErr w:type="gramStart"/>
            <w:r w:rsidR="00A770AE">
              <w:rPr>
                <w:rFonts w:hint="cs"/>
                <w:rtl/>
              </w:rPr>
              <w:t>فبراير</w:t>
            </w:r>
            <w:proofErr w:type="gramEnd"/>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 xml:space="preserve">الحادية </w:t>
      </w:r>
      <w:proofErr w:type="gramStart"/>
      <w:r w:rsidR="0003444C">
        <w:rPr>
          <w:rFonts w:ascii="Cambria Math" w:hAnsi="Cambria Math" w:hint="cs"/>
          <w:rtl/>
        </w:rPr>
        <w:t>و</w:t>
      </w:r>
      <w:r w:rsidR="008F262E">
        <w:rPr>
          <w:rFonts w:ascii="Cambria Math" w:hAnsi="Cambria Math" w:hint="cs"/>
          <w:rtl/>
        </w:rPr>
        <w:t>العشرون</w:t>
      </w:r>
      <w:proofErr w:type="gramEnd"/>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770AE" w:rsidP="00C7572E">
      <w:pPr>
        <w:pStyle w:val="DocumentTitleAR"/>
        <w:bidi/>
        <w:rPr>
          <w:rtl/>
        </w:rPr>
      </w:pPr>
      <w:r>
        <w:rPr>
          <w:rFonts w:hint="cs"/>
          <w:rtl/>
        </w:rPr>
        <w:t>تحليل أوجه القصور في خدمات وأنشطة الويبو الجارية المتعلقة بنقل التكنول</w:t>
      </w:r>
      <w:r w:rsidR="000279B7">
        <w:rPr>
          <w:rFonts w:hint="cs"/>
          <w:rtl/>
        </w:rPr>
        <w:t xml:space="preserve">وجيا بناء على توصيات </w:t>
      </w:r>
      <w:r w:rsidR="000279B7">
        <w:rPr>
          <w:rFonts w:cs="Times New Roman" w:hint="cs"/>
          <w:rtl/>
        </w:rPr>
        <w:t>"</w:t>
      </w:r>
      <w:r w:rsidR="000279B7">
        <w:rPr>
          <w:rFonts w:hint="cs"/>
          <w:rtl/>
        </w:rPr>
        <w:t>الفئة</w:t>
      </w:r>
      <w:r w:rsidR="002A1FBF">
        <w:rPr>
          <w:rFonts w:hint="cs"/>
          <w:rtl/>
        </w:rPr>
        <w:t xml:space="preserve"> جيم</w:t>
      </w:r>
      <w:r w:rsidR="000279B7">
        <w:rPr>
          <w:rFonts w:cs="Times New Roman" w:hint="cs"/>
          <w:rtl/>
        </w:rPr>
        <w:t>"</w:t>
      </w:r>
      <w:r w:rsidR="002A1FBF">
        <w:rPr>
          <w:rFonts w:hint="cs"/>
          <w:rtl/>
        </w:rPr>
        <w:t xml:space="preserve"> </w:t>
      </w:r>
      <w:r w:rsidR="00C7572E">
        <w:rPr>
          <w:rFonts w:hint="cs"/>
          <w:rtl/>
        </w:rPr>
        <w:t>من</w:t>
      </w:r>
      <w:r>
        <w:rPr>
          <w:rFonts w:hint="cs"/>
          <w:rtl/>
        </w:rPr>
        <w:t xml:space="preserve"> أجندة الويبو للتنمية</w:t>
      </w:r>
    </w:p>
    <w:p w:rsidR="00D61541" w:rsidRPr="00D61541" w:rsidRDefault="00A770AE"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5D04E8" w:rsidP="00156B58">
      <w:pPr>
        <w:pStyle w:val="NumberedParaAR"/>
      </w:pPr>
      <w:r>
        <w:rPr>
          <w:rFonts w:hint="cs"/>
          <w:rtl/>
        </w:rPr>
        <w:t>وافقت اللجنة المعنية بالتنمية والملكية الفكرية (لجنة التنمية)، خلال دورتها الثامنة عشرة المعقودة في الفترة من 31</w:t>
      </w:r>
      <w:r>
        <w:rPr>
          <w:rFonts w:hint="eastAsia"/>
          <w:rtl/>
        </w:rPr>
        <w:t> </w:t>
      </w:r>
      <w:r>
        <w:rPr>
          <w:rFonts w:hint="cs"/>
          <w:rtl/>
        </w:rPr>
        <w:t>أكتوبر إلى 4 نوفمبر 2016، على المضي قدما بالبنود 1 و2 و3 و4 و6 من الاقتراح المشترك المقدم من وفود الولايات المتحدة وأستراليا وكندا بشأن الأنشطة المتعلقة بنقل التكنولوجيا والوارد في المرفق الأول من الوثيقة</w:t>
      </w:r>
      <w:r w:rsidR="00156B58">
        <w:rPr>
          <w:rFonts w:hint="eastAsia"/>
          <w:rtl/>
        </w:rPr>
        <w:t> </w:t>
      </w:r>
      <w:r w:rsidRPr="005D04E8">
        <w:t>CDIP/18/6 Rev.1</w:t>
      </w:r>
      <w:r>
        <w:rPr>
          <w:rFonts w:hint="cs"/>
          <w:rtl/>
        </w:rPr>
        <w:t>. وينص البند</w:t>
      </w:r>
      <w:r w:rsidR="00156B58">
        <w:rPr>
          <w:rFonts w:hint="eastAsia"/>
          <w:rtl/>
        </w:rPr>
        <w:t> </w:t>
      </w:r>
      <w:r>
        <w:rPr>
          <w:rFonts w:hint="cs"/>
          <w:rtl/>
        </w:rPr>
        <w:t>6 من الاقتراح المعتمد على ما يلي:</w:t>
      </w:r>
    </w:p>
    <w:p w:rsidR="00EF06B5" w:rsidRDefault="0056081F" w:rsidP="00C7572E">
      <w:pPr>
        <w:pStyle w:val="NormalParaAR"/>
        <w:ind w:left="566"/>
        <w:rPr>
          <w:rtl/>
          <w:lang w:bidi="ar-EG"/>
        </w:rPr>
      </w:pPr>
      <w:r>
        <w:rPr>
          <w:rFonts w:hint="cs"/>
          <w:rtl/>
        </w:rPr>
        <w:t>"</w:t>
      </w:r>
      <w:r w:rsidRPr="0056081F">
        <w:rPr>
          <w:rFonts w:hint="cs"/>
          <w:rtl/>
        </w:rPr>
        <w:t>عمل</w:t>
      </w:r>
      <w:r w:rsidR="00156B58">
        <w:rPr>
          <w:rFonts w:hint="cs"/>
          <w:rtl/>
        </w:rPr>
        <w:t>ا بقرار اللجنة الوارد في ملخص رئيس ال</w:t>
      </w:r>
      <w:r w:rsidRPr="0056081F">
        <w:rPr>
          <w:rFonts w:hint="cs"/>
          <w:rtl/>
        </w:rPr>
        <w:t xml:space="preserve">دورة السادسة عشرة للجنة </w:t>
      </w:r>
      <w:r w:rsidR="00156B58">
        <w:rPr>
          <w:rFonts w:hint="cs"/>
          <w:rtl/>
        </w:rPr>
        <w:t xml:space="preserve">التنمية </w:t>
      </w:r>
      <w:r w:rsidRPr="0056081F">
        <w:rPr>
          <w:rFonts w:hint="cs"/>
          <w:rtl/>
        </w:rPr>
        <w:t xml:space="preserve">الذي دعا الدول الأعضاء إلى تقديم الاقتراحات لمناقشتها في الدورة الثامنة عشرة للجنة، </w:t>
      </w:r>
      <w:r w:rsidR="00B657F7">
        <w:rPr>
          <w:rFonts w:hint="cs"/>
          <w:rtl/>
        </w:rPr>
        <w:t>نشجّع الدول الأعضاء على أن تقدم إلى اللجنة</w:t>
      </w:r>
      <w:r w:rsidRPr="0056081F">
        <w:rPr>
          <w:rFonts w:hint="cs"/>
          <w:rtl/>
        </w:rPr>
        <w:t xml:space="preserve"> </w:t>
      </w:r>
      <w:r w:rsidR="00B657F7">
        <w:rPr>
          <w:rFonts w:hint="cs"/>
          <w:rtl/>
        </w:rPr>
        <w:t>مشروعات فعلية وعملية</w:t>
      </w:r>
      <w:r w:rsidRPr="0056081F">
        <w:rPr>
          <w:rFonts w:hint="cs"/>
          <w:rtl/>
        </w:rPr>
        <w:t xml:space="preserve"> تفضي إلى نتائج ملموسة للدول الأعضاء بهدف الترويج لنقل التكنولوجيا على الصعيد الدولي وتكوين الكفاءات في البلدان </w:t>
      </w:r>
      <w:r w:rsidR="00B657F7">
        <w:rPr>
          <w:rFonts w:hint="cs"/>
          <w:rtl/>
        </w:rPr>
        <w:t xml:space="preserve">الأقل </w:t>
      </w:r>
      <w:r w:rsidRPr="0056081F">
        <w:rPr>
          <w:rFonts w:hint="cs"/>
          <w:rtl/>
        </w:rPr>
        <w:t>نموا والبلدان النامية والبلدان التي تمر بمرحلة انتقالية بما يسمح بنقل التكنولوجيا عل نحو أكثر فعالية والنهوض بالتعاون بين المشاركين في نقل التكنولوجيا. وانطلاقا من العمل القيم الذي حققته أنشطة المسح الأخيرة الواردة في الوثيقة </w:t>
      </w:r>
      <w:r w:rsidRPr="0056081F">
        <w:t>CDIP/17/9</w:t>
      </w:r>
      <w:r w:rsidRPr="0056081F">
        <w:rPr>
          <w:rFonts w:hint="cs"/>
          <w:rtl/>
        </w:rPr>
        <w:t xml:space="preserve">، ينبغي على الأمانة كخطوة أولى أن تجري تحليلا لأوجه القصور في خدمات وأنشطة الويبو الجارية المتعلقة بنقل التكنولوجيا بناء على توصيات "الفئة جيم" </w:t>
      </w:r>
      <w:r w:rsidR="00C7572E">
        <w:rPr>
          <w:rFonts w:hint="cs"/>
          <w:rtl/>
        </w:rPr>
        <w:t>من</w:t>
      </w:r>
      <w:r w:rsidRPr="0056081F">
        <w:rPr>
          <w:rFonts w:hint="cs"/>
          <w:rtl/>
        </w:rPr>
        <w:t xml:space="preserve"> </w:t>
      </w:r>
      <w:r w:rsidR="00B657F7">
        <w:rPr>
          <w:rFonts w:hint="cs"/>
          <w:rtl/>
        </w:rPr>
        <w:t>أجندة الويبو ل</w:t>
      </w:r>
      <w:r w:rsidRPr="0056081F">
        <w:rPr>
          <w:rFonts w:hint="cs"/>
          <w:rtl/>
        </w:rPr>
        <w:t xml:space="preserve">لتنمية بغية المساعدة على دراسة وتقييم </w:t>
      </w:r>
      <w:r w:rsidR="00156B58">
        <w:rPr>
          <w:rFonts w:hint="cs"/>
          <w:rtl/>
        </w:rPr>
        <w:t xml:space="preserve">أي من </w:t>
      </w:r>
      <w:r w:rsidR="00B657F7">
        <w:rPr>
          <w:rFonts w:hint="cs"/>
          <w:rtl/>
        </w:rPr>
        <w:t>الاقتراحات</w:t>
      </w:r>
      <w:r w:rsidRPr="0056081F">
        <w:rPr>
          <w:rFonts w:hint="cs"/>
          <w:rtl/>
        </w:rPr>
        <w:t xml:space="preserve"> ومجالات الأولوية</w:t>
      </w:r>
      <w:r w:rsidR="00B657F7">
        <w:rPr>
          <w:rFonts w:hint="cs"/>
          <w:rtl/>
        </w:rPr>
        <w:t>،</w:t>
      </w:r>
      <w:r w:rsidRPr="0056081F">
        <w:rPr>
          <w:rFonts w:hint="cs"/>
          <w:rtl/>
        </w:rPr>
        <w:t xml:space="preserve"> والمضي قدما.</w:t>
      </w:r>
      <w:r w:rsidR="00B657F7">
        <w:rPr>
          <w:rFonts w:hint="cs"/>
          <w:rtl/>
        </w:rPr>
        <w:t xml:space="preserve"> </w:t>
      </w:r>
      <w:proofErr w:type="gramStart"/>
      <w:r w:rsidR="00B657F7">
        <w:rPr>
          <w:rFonts w:hint="cs"/>
          <w:rtl/>
        </w:rPr>
        <w:t>ولا</w:t>
      </w:r>
      <w:proofErr w:type="gramEnd"/>
      <w:r w:rsidR="00B657F7">
        <w:rPr>
          <w:rFonts w:hint="cs"/>
          <w:rtl/>
        </w:rPr>
        <w:t xml:space="preserve"> ينبغي أن </w:t>
      </w:r>
      <w:r w:rsidR="00B657F7">
        <w:rPr>
          <w:rFonts w:hint="cs"/>
          <w:rtl/>
          <w:lang w:bidi="ar-EG"/>
        </w:rPr>
        <w:t>تحول النتائج دون</w:t>
      </w:r>
      <w:r w:rsidR="00B657F7" w:rsidRPr="00B657F7">
        <w:rPr>
          <w:rFonts w:hint="cs"/>
          <w:rtl/>
          <w:lang w:bidi="ar-EG"/>
        </w:rPr>
        <w:t xml:space="preserve"> </w:t>
      </w:r>
      <w:r w:rsidR="00EF06B5">
        <w:rPr>
          <w:rFonts w:hint="cs"/>
          <w:rtl/>
          <w:lang w:bidi="ar-EG"/>
        </w:rPr>
        <w:t>توفير</w:t>
      </w:r>
      <w:r w:rsidR="00B657F7" w:rsidRPr="00B657F7">
        <w:rPr>
          <w:rFonts w:hint="cs"/>
          <w:rtl/>
          <w:lang w:bidi="ar-EG"/>
        </w:rPr>
        <w:t xml:space="preserve"> مشروعات مماثلة ل</w:t>
      </w:r>
      <w:r w:rsidR="00B657F7">
        <w:rPr>
          <w:rFonts w:hint="cs"/>
          <w:rtl/>
          <w:lang w:bidi="ar-EG"/>
        </w:rPr>
        <w:t>مختلف ا</w:t>
      </w:r>
      <w:r w:rsidR="00B657F7" w:rsidRPr="00B657F7">
        <w:rPr>
          <w:rFonts w:hint="cs"/>
          <w:rtl/>
          <w:lang w:bidi="ar-EG"/>
        </w:rPr>
        <w:t>لمستفيدين</w:t>
      </w:r>
      <w:r w:rsidR="00B657F7">
        <w:rPr>
          <w:rFonts w:hint="cs"/>
          <w:rtl/>
          <w:lang w:bidi="ar-EG"/>
        </w:rPr>
        <w:t>.</w:t>
      </w:r>
      <w:r w:rsidR="00EF06B5">
        <w:rPr>
          <w:rFonts w:hint="cs"/>
          <w:rtl/>
          <w:lang w:bidi="ar-EG"/>
        </w:rPr>
        <w:t>"</w:t>
      </w:r>
    </w:p>
    <w:p w:rsidR="00EF06B5" w:rsidRDefault="00EF06B5">
      <w:pPr>
        <w:rPr>
          <w:rFonts w:ascii="Arabic Typesetting" w:hAnsi="Arabic Typesetting" w:cs="Arabic Typesetting"/>
          <w:sz w:val="36"/>
          <w:szCs w:val="36"/>
          <w:rtl/>
          <w:lang w:bidi="ar-EG"/>
        </w:rPr>
      </w:pPr>
      <w:r>
        <w:rPr>
          <w:rtl/>
          <w:lang w:bidi="ar-EG"/>
        </w:rPr>
        <w:br w:type="page"/>
      </w:r>
    </w:p>
    <w:p w:rsidR="00EF06B5" w:rsidRDefault="00EF06B5" w:rsidP="00C7572E">
      <w:pPr>
        <w:pStyle w:val="NumberedParaAR"/>
      </w:pPr>
      <w:r>
        <w:rPr>
          <w:rFonts w:hint="cs"/>
          <w:rtl/>
        </w:rPr>
        <w:lastRenderedPageBreak/>
        <w:t xml:space="preserve">ويحتوي مرفق هذه الوثيقة على التحليل المطلوب </w:t>
      </w:r>
      <w:r w:rsidR="00371A5E">
        <w:rPr>
          <w:rFonts w:hint="cs"/>
          <w:rtl/>
        </w:rPr>
        <w:t xml:space="preserve">والمذكور </w:t>
      </w:r>
      <w:r>
        <w:rPr>
          <w:rFonts w:hint="cs"/>
          <w:rtl/>
        </w:rPr>
        <w:t xml:space="preserve">أعلاه وهو </w:t>
      </w:r>
      <w:r w:rsidRPr="00EF06B5">
        <w:rPr>
          <w:rFonts w:hint="cs"/>
          <w:rtl/>
        </w:rPr>
        <w:t xml:space="preserve">تحليل أوجه القصور في خدمات وأنشطة الويبو الجارية المتعلقة بنقل التكنولوجيا بناء على توصيات "الفئة جيم" </w:t>
      </w:r>
      <w:r w:rsidR="00C7572E">
        <w:rPr>
          <w:rFonts w:hint="cs"/>
          <w:rtl/>
        </w:rPr>
        <w:t>من</w:t>
      </w:r>
      <w:r w:rsidRPr="00EF06B5">
        <w:rPr>
          <w:rFonts w:hint="cs"/>
          <w:rtl/>
        </w:rPr>
        <w:t xml:space="preserve"> أجندة الويبو للتنمية</w:t>
      </w:r>
      <w:r>
        <w:rPr>
          <w:rFonts w:hint="cs"/>
          <w:rtl/>
        </w:rPr>
        <w:t>.</w:t>
      </w:r>
    </w:p>
    <w:p w:rsidR="00EF06B5" w:rsidRPr="0056081F" w:rsidRDefault="00EF06B5" w:rsidP="00371A5E">
      <w:pPr>
        <w:pStyle w:val="DecisionParaAR"/>
        <w:spacing w:after="480"/>
      </w:pPr>
      <w:r>
        <w:rPr>
          <w:rFonts w:hint="cs"/>
          <w:rtl/>
        </w:rPr>
        <w:t>إن لجنة التنمية مدعوة إلى النظر في</w:t>
      </w:r>
      <w:r w:rsidR="00371A5E">
        <w:rPr>
          <w:rFonts w:hint="eastAsia"/>
          <w:rtl/>
        </w:rPr>
        <w:t> </w:t>
      </w:r>
      <w:r>
        <w:rPr>
          <w:rFonts w:hint="cs"/>
          <w:rtl/>
        </w:rPr>
        <w:t>المعلومات الواردة في مرفق هذه الوثيقة.</w:t>
      </w:r>
    </w:p>
    <w:p w:rsidR="005D04E8" w:rsidRDefault="00EF06B5" w:rsidP="00EF06B5">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EF06B5" w:rsidRDefault="00EF06B5" w:rsidP="007F38D1">
      <w:pPr>
        <w:pStyle w:val="NormalParaAR"/>
        <w:rPr>
          <w:rtl/>
        </w:rPr>
        <w:sectPr w:rsidR="00EF06B5" w:rsidSect="00EB7752">
          <w:headerReference w:type="default" r:id="rId9"/>
          <w:pgSz w:w="11907" w:h="16840" w:code="9"/>
          <w:pgMar w:top="567" w:right="1418" w:bottom="1418" w:left="1134" w:header="510" w:footer="1021" w:gutter="0"/>
          <w:cols w:space="720"/>
          <w:titlePg/>
          <w:docGrid w:linePitch="299"/>
        </w:sectPr>
      </w:pPr>
    </w:p>
    <w:p w:rsidR="0003444C" w:rsidRPr="00054A00" w:rsidRDefault="00054A00" w:rsidP="00054A00">
      <w:pPr>
        <w:pStyle w:val="NormalParaAR"/>
        <w:keepNext/>
        <w:rPr>
          <w:sz w:val="40"/>
          <w:szCs w:val="40"/>
          <w:rtl/>
        </w:rPr>
      </w:pPr>
      <w:r w:rsidRPr="00054A00">
        <w:rPr>
          <w:rFonts w:hint="cs"/>
          <w:sz w:val="40"/>
          <w:szCs w:val="40"/>
          <w:rtl/>
        </w:rPr>
        <w:lastRenderedPageBreak/>
        <w:t xml:space="preserve">المقدمة </w:t>
      </w:r>
      <w:proofErr w:type="gramStart"/>
      <w:r w:rsidRPr="00054A00">
        <w:rPr>
          <w:rFonts w:hint="cs"/>
          <w:sz w:val="40"/>
          <w:szCs w:val="40"/>
          <w:rtl/>
        </w:rPr>
        <w:t>والمنهجية</w:t>
      </w:r>
      <w:proofErr w:type="gramEnd"/>
    </w:p>
    <w:p w:rsidR="00054A00" w:rsidRDefault="00C7572E" w:rsidP="00C7572E">
      <w:pPr>
        <w:pStyle w:val="NumberedParaAR"/>
        <w:numPr>
          <w:ilvl w:val="0"/>
          <w:numId w:val="25"/>
        </w:numPr>
        <w:rPr>
          <w:rFonts w:hint="cs"/>
        </w:rPr>
      </w:pPr>
      <w:r>
        <w:rPr>
          <w:rFonts w:hint="cs"/>
          <w:rtl/>
        </w:rPr>
        <w:t xml:space="preserve">تحتوي "الفئة جيم" من أجندة الويبو للتنمية </w:t>
      </w:r>
      <w:r w:rsidR="00CD6CFB">
        <w:rPr>
          <w:rFonts w:hint="cs"/>
          <w:rtl/>
        </w:rPr>
        <w:t>على تسع توصيات (من 24 إلى 32) تخص "نقل التكنولوجيا، وتكنولوجيا المعلومات والاتصال، والحصول على المعرفة"</w:t>
      </w:r>
      <w:r w:rsidR="00A43E91">
        <w:rPr>
          <w:rFonts w:hint="cs"/>
          <w:rtl/>
        </w:rPr>
        <w:t>.</w:t>
      </w:r>
    </w:p>
    <w:p w:rsidR="00A43E91" w:rsidRDefault="00A43E91" w:rsidP="00371A5E">
      <w:pPr>
        <w:pStyle w:val="NumberedParaAR"/>
        <w:numPr>
          <w:ilvl w:val="0"/>
          <w:numId w:val="25"/>
        </w:numPr>
        <w:rPr>
          <w:rFonts w:hint="cs"/>
        </w:rPr>
      </w:pPr>
      <w:r>
        <w:rPr>
          <w:rFonts w:hint="cs"/>
          <w:rtl/>
        </w:rPr>
        <w:t>وتوفر هذه الوثيقة تحليلا عاما بدلا من تحليل يتناول بالتحديد أوجه القصور في الأنشطة المذكورة في كل من توصيات الفئة جيم، ذلك أنه لم يسبق قط بيان أي</w:t>
      </w:r>
      <w:r w:rsidR="00371A5E">
        <w:rPr>
          <w:rFonts w:hint="cs"/>
          <w:rtl/>
        </w:rPr>
        <w:t>ة</w:t>
      </w:r>
      <w:r>
        <w:rPr>
          <w:rFonts w:hint="cs"/>
          <w:rtl/>
        </w:rPr>
        <w:t xml:space="preserve"> مؤشرات أو معالم بما يمكّن من إجراء تحليل موضوعي لأوجه القصور في</w:t>
      </w:r>
      <w:r w:rsidR="00371A5E">
        <w:rPr>
          <w:rFonts w:hint="eastAsia"/>
          <w:rtl/>
        </w:rPr>
        <w:t> </w:t>
      </w:r>
      <w:r>
        <w:rPr>
          <w:rFonts w:hint="cs"/>
          <w:rtl/>
        </w:rPr>
        <w:t xml:space="preserve">تقدير الكيفية والكمية التي أسهمت بهما الأنشطة </w:t>
      </w:r>
      <w:r w:rsidR="00994569">
        <w:rPr>
          <w:rFonts w:hint="cs"/>
          <w:rtl/>
        </w:rPr>
        <w:t>المُنفذة</w:t>
      </w:r>
      <w:r>
        <w:rPr>
          <w:rFonts w:hint="cs"/>
          <w:rtl/>
        </w:rPr>
        <w:t xml:space="preserve"> من قبل الويبو </w:t>
      </w:r>
      <w:r w:rsidR="00371A5E">
        <w:rPr>
          <w:rFonts w:hint="cs"/>
          <w:rtl/>
        </w:rPr>
        <w:t>بناء على</w:t>
      </w:r>
      <w:r>
        <w:rPr>
          <w:rFonts w:hint="cs"/>
          <w:rtl/>
        </w:rPr>
        <w:t xml:space="preserve"> توصيات محدّدة في تحقيق الأهداف المبيّنة في تلك التوصيات، وهي أهداف واسعة النطاق في غالب الأحيان.</w:t>
      </w:r>
    </w:p>
    <w:p w:rsidR="00A43E91" w:rsidRDefault="00A43E91" w:rsidP="00371A5E">
      <w:pPr>
        <w:pStyle w:val="NumberedParaAR"/>
        <w:numPr>
          <w:ilvl w:val="0"/>
          <w:numId w:val="25"/>
        </w:numPr>
        <w:rPr>
          <w:rFonts w:hint="cs"/>
        </w:rPr>
      </w:pPr>
      <w:r>
        <w:rPr>
          <w:rFonts w:hint="cs"/>
          <w:rtl/>
        </w:rPr>
        <w:t xml:space="preserve">وبناء عليه، فإن التحليل الوارد أدناه </w:t>
      </w:r>
      <w:r w:rsidR="00994569">
        <w:rPr>
          <w:rFonts w:hint="cs"/>
          <w:rtl/>
        </w:rPr>
        <w:t>يشير إلى</w:t>
      </w:r>
      <w:r w:rsidR="002B313A">
        <w:rPr>
          <w:rFonts w:hint="cs"/>
          <w:rtl/>
        </w:rPr>
        <w:t xml:space="preserve"> الخدمات والأنشطة التي اضطلعت بها الويبو في مجال </w:t>
      </w:r>
      <w:r>
        <w:rPr>
          <w:rFonts w:hint="cs"/>
          <w:rtl/>
        </w:rPr>
        <w:t xml:space="preserve">نقل التكنولوجيا </w:t>
      </w:r>
      <w:r w:rsidR="00994569">
        <w:rPr>
          <w:rFonts w:hint="cs"/>
          <w:rtl/>
        </w:rPr>
        <w:t xml:space="preserve">خلال الفترة المتراوحة بين عامي 2014 و2017، مع إشارة خاصة إلى توصية "الفئة جيم" من أجندة التنمية التي أسهمت تلك الخدمات والأنشطة في الوفاء بها. </w:t>
      </w:r>
      <w:r w:rsidR="00CC1074">
        <w:rPr>
          <w:rFonts w:hint="cs"/>
          <w:rtl/>
        </w:rPr>
        <w:t xml:space="preserve">وهناك إشارة منهجية </w:t>
      </w:r>
      <w:proofErr w:type="gramStart"/>
      <w:r w:rsidR="00CC1074">
        <w:rPr>
          <w:rFonts w:hint="cs"/>
          <w:rtl/>
        </w:rPr>
        <w:t>إلى</w:t>
      </w:r>
      <w:proofErr w:type="gramEnd"/>
      <w:r w:rsidR="00CC1074">
        <w:rPr>
          <w:rFonts w:hint="cs"/>
          <w:rtl/>
        </w:rPr>
        <w:t xml:space="preserve"> نوع الخدمة المعنية أو النشاط المعني. </w:t>
      </w:r>
      <w:proofErr w:type="gramStart"/>
      <w:r w:rsidR="00CC1074">
        <w:rPr>
          <w:rFonts w:hint="cs"/>
          <w:rtl/>
        </w:rPr>
        <w:t>و</w:t>
      </w:r>
      <w:r w:rsidR="00371A5E">
        <w:rPr>
          <w:rFonts w:hint="cs"/>
          <w:rtl/>
        </w:rPr>
        <w:t>قد</w:t>
      </w:r>
      <w:proofErr w:type="gramEnd"/>
      <w:r w:rsidR="00371A5E">
        <w:rPr>
          <w:rFonts w:hint="cs"/>
          <w:rtl/>
        </w:rPr>
        <w:t xml:space="preserve"> </w:t>
      </w:r>
      <w:r w:rsidR="00CC1074">
        <w:rPr>
          <w:rFonts w:hint="cs"/>
          <w:rtl/>
        </w:rPr>
        <w:t>حُدّد نوع النشاط وفق المنهجية التي وافقت عليها اللجنة المعنية بالتنمية والملكية الفكرية في الوثيقة</w:t>
      </w:r>
      <w:r w:rsidR="00371A5E">
        <w:rPr>
          <w:rFonts w:hint="eastAsia"/>
          <w:rtl/>
        </w:rPr>
        <w:t> </w:t>
      </w:r>
      <w:r w:rsidR="00CC1074" w:rsidRPr="00CC1074">
        <w:t>CDIP/20/11</w:t>
      </w:r>
      <w:r w:rsidR="00CC1074">
        <w:rPr>
          <w:rFonts w:hint="cs"/>
          <w:rtl/>
        </w:rPr>
        <w:t>.</w:t>
      </w:r>
    </w:p>
    <w:p w:rsidR="00CC1074" w:rsidRDefault="00CC1074" w:rsidP="00CC1074">
      <w:pPr>
        <w:pStyle w:val="NumberedParaAR"/>
        <w:numPr>
          <w:ilvl w:val="0"/>
          <w:numId w:val="25"/>
        </w:numPr>
        <w:rPr>
          <w:rFonts w:hint="cs"/>
        </w:rPr>
      </w:pPr>
      <w:r>
        <w:rPr>
          <w:rFonts w:hint="cs"/>
          <w:rtl/>
        </w:rPr>
        <w:t xml:space="preserve">ويرد أيضا في هذه الوثيقة تحليل لمشروعات الويبو الخاصة بتنفيذ توصيات أجندة التنمية وفقا لتوصية </w:t>
      </w:r>
      <w:r w:rsidRPr="00CC1074">
        <w:rPr>
          <w:rFonts w:hint="cs"/>
          <w:rtl/>
        </w:rPr>
        <w:t xml:space="preserve">"الفئة جيم" من أجندة التنمية التي أسهمت تلك </w:t>
      </w:r>
      <w:r>
        <w:rPr>
          <w:rFonts w:hint="cs"/>
          <w:rtl/>
        </w:rPr>
        <w:t>المشروعات</w:t>
      </w:r>
      <w:r w:rsidRPr="00CC1074">
        <w:rPr>
          <w:rFonts w:hint="cs"/>
          <w:rtl/>
        </w:rPr>
        <w:t xml:space="preserve"> في الوفاء بها</w:t>
      </w:r>
      <w:r>
        <w:rPr>
          <w:rFonts w:hint="cs"/>
          <w:rtl/>
        </w:rPr>
        <w:t>.</w:t>
      </w:r>
    </w:p>
    <w:p w:rsidR="00CC1074" w:rsidRDefault="00CC1074" w:rsidP="00371A5E">
      <w:pPr>
        <w:pStyle w:val="NumberedParaAR"/>
        <w:numPr>
          <w:ilvl w:val="0"/>
          <w:numId w:val="25"/>
        </w:numPr>
        <w:rPr>
          <w:rFonts w:hint="cs"/>
        </w:rPr>
      </w:pPr>
      <w:proofErr w:type="gramStart"/>
      <w:r>
        <w:rPr>
          <w:rFonts w:hint="cs"/>
          <w:rtl/>
        </w:rPr>
        <w:t>وقد</w:t>
      </w:r>
      <w:proofErr w:type="gramEnd"/>
      <w:r>
        <w:rPr>
          <w:rFonts w:hint="cs"/>
          <w:rtl/>
        </w:rPr>
        <w:t xml:space="preserve"> يساعد التحليلان الواردة مناقشتهما أدناه على </w:t>
      </w:r>
      <w:r w:rsidR="00371A5E">
        <w:rPr>
          <w:rFonts w:hint="cs"/>
          <w:rtl/>
        </w:rPr>
        <w:t>دراسة</w:t>
      </w:r>
      <w:r>
        <w:rPr>
          <w:rFonts w:hint="cs"/>
          <w:rtl/>
        </w:rPr>
        <w:t xml:space="preserve"> وتقييم</w:t>
      </w:r>
      <w:r w:rsidR="002B313A">
        <w:rPr>
          <w:rFonts w:hint="cs"/>
          <w:rtl/>
        </w:rPr>
        <w:t xml:space="preserve"> الاقتراحات ومجالات الأولوية من حيث صلتها بتوصيات "الفئة جيم" من أجندة التنمية.</w:t>
      </w:r>
    </w:p>
    <w:p w:rsidR="002B313A" w:rsidRPr="002B313A" w:rsidRDefault="002B313A" w:rsidP="002B313A">
      <w:pPr>
        <w:pStyle w:val="NormalParaAR"/>
        <w:keepNext/>
        <w:rPr>
          <w:rFonts w:hint="cs"/>
          <w:sz w:val="40"/>
          <w:szCs w:val="40"/>
        </w:rPr>
      </w:pPr>
      <w:r w:rsidRPr="002B313A">
        <w:rPr>
          <w:rFonts w:hint="cs"/>
          <w:sz w:val="40"/>
          <w:szCs w:val="40"/>
          <w:rtl/>
        </w:rPr>
        <w:t>المناقشة</w:t>
      </w:r>
    </w:p>
    <w:p w:rsidR="002B313A" w:rsidRDefault="002B313A" w:rsidP="002B313A">
      <w:pPr>
        <w:pStyle w:val="NumberedParaAR"/>
        <w:numPr>
          <w:ilvl w:val="0"/>
          <w:numId w:val="25"/>
        </w:numPr>
        <w:rPr>
          <w:rFonts w:hint="cs"/>
        </w:rPr>
      </w:pPr>
      <w:r>
        <w:rPr>
          <w:rFonts w:hint="cs"/>
          <w:rtl/>
        </w:rPr>
        <w:t xml:space="preserve">يشتمل تحليل </w:t>
      </w:r>
      <w:r w:rsidRPr="002B313A">
        <w:rPr>
          <w:rFonts w:hint="cs"/>
          <w:rtl/>
        </w:rPr>
        <w:t xml:space="preserve">الخدمات والأنشطة التي اضطلعت بها الويبو </w:t>
      </w:r>
      <w:r>
        <w:rPr>
          <w:rFonts w:hint="cs"/>
          <w:rtl/>
        </w:rPr>
        <w:t xml:space="preserve">في مجال </w:t>
      </w:r>
      <w:r w:rsidRPr="002B313A">
        <w:rPr>
          <w:rFonts w:hint="cs"/>
          <w:rtl/>
        </w:rPr>
        <w:t>نقل التكنولوجيا خلال الفترة المتراوحة بين عامي</w:t>
      </w:r>
      <w:r>
        <w:rPr>
          <w:rFonts w:hint="eastAsia"/>
          <w:rtl/>
        </w:rPr>
        <w:t> </w:t>
      </w:r>
      <w:r>
        <w:rPr>
          <w:rFonts w:hint="cs"/>
          <w:rtl/>
        </w:rPr>
        <w:t>2014 و2017 ما مجموعه 425 من تلك الخدمات والأنشطة. أما تحليل م</w:t>
      </w:r>
      <w:r w:rsidRPr="002B313A">
        <w:rPr>
          <w:rFonts w:hint="cs"/>
          <w:rtl/>
        </w:rPr>
        <w:t>شروعات الويبو الخاصة بتنفيذ توصيات أجندة التنمية</w:t>
      </w:r>
      <w:r>
        <w:rPr>
          <w:rFonts w:hint="cs"/>
          <w:rtl/>
        </w:rPr>
        <w:t xml:space="preserve"> فيضمّ في المجموع 10 من تلك المشروعات.</w:t>
      </w:r>
    </w:p>
    <w:p w:rsidR="002B313A" w:rsidRDefault="002B313A" w:rsidP="00E97F18">
      <w:pPr>
        <w:pStyle w:val="NumberedParaAR"/>
        <w:numPr>
          <w:ilvl w:val="0"/>
          <w:numId w:val="25"/>
        </w:numPr>
        <w:rPr>
          <w:rFonts w:hint="cs"/>
        </w:rPr>
      </w:pPr>
      <w:proofErr w:type="gramStart"/>
      <w:r>
        <w:rPr>
          <w:rFonts w:hint="cs"/>
          <w:rtl/>
        </w:rPr>
        <w:t>والجدير</w:t>
      </w:r>
      <w:proofErr w:type="gramEnd"/>
      <w:r>
        <w:rPr>
          <w:rFonts w:hint="cs"/>
          <w:rtl/>
        </w:rPr>
        <w:t xml:space="preserve"> بالذكر أنه يمكن اعتبار أن بعض الخدمات والأنشطة تسهم في الوفاء بأكثر من توصية واحدة من توصيات "الفئة جيم"</w:t>
      </w:r>
      <w:r w:rsidR="00AA0EED">
        <w:rPr>
          <w:rFonts w:hint="cs"/>
          <w:rtl/>
        </w:rPr>
        <w:t xml:space="preserve"> من أجندة التنمية. فمن الممكن، مثلا، اعتبار أن خدمة ما أو نشاطا ما يسهم في الوفاء بكل من التوصية</w:t>
      </w:r>
      <w:r w:rsidR="00AA0EED">
        <w:rPr>
          <w:rFonts w:hint="eastAsia"/>
          <w:rtl/>
        </w:rPr>
        <w:t> </w:t>
      </w:r>
      <w:r w:rsidR="00AA0EED">
        <w:rPr>
          <w:rFonts w:hint="cs"/>
          <w:rtl/>
        </w:rPr>
        <w:t xml:space="preserve">30 و31، ويمكن بالتالي إدراجه ضمن كلا التوصيتين في التحليل. </w:t>
      </w:r>
      <w:proofErr w:type="gramStart"/>
      <w:r w:rsidR="00AA0EED">
        <w:rPr>
          <w:rFonts w:hint="cs"/>
          <w:rtl/>
        </w:rPr>
        <w:t>ونتيجة</w:t>
      </w:r>
      <w:proofErr w:type="gramEnd"/>
      <w:r w:rsidR="00AA0EED">
        <w:rPr>
          <w:rFonts w:hint="cs"/>
          <w:rtl/>
        </w:rPr>
        <w:t xml:space="preserve"> لذلك، </w:t>
      </w:r>
      <w:r w:rsidR="00E97F18">
        <w:rPr>
          <w:rFonts w:hint="cs"/>
          <w:rtl/>
        </w:rPr>
        <w:t>يفوق</w:t>
      </w:r>
      <w:r w:rsidR="00AA0EED">
        <w:rPr>
          <w:rFonts w:hint="cs"/>
          <w:rtl/>
        </w:rPr>
        <w:t xml:space="preserve"> </w:t>
      </w:r>
      <w:r w:rsidR="00E97F18">
        <w:rPr>
          <w:rFonts w:hint="cs"/>
          <w:rtl/>
        </w:rPr>
        <w:t>مجموع ا</w:t>
      </w:r>
      <w:r w:rsidR="00AA0EED">
        <w:rPr>
          <w:rFonts w:hint="cs"/>
          <w:rtl/>
        </w:rPr>
        <w:t>لأنشطة الخاصة بكل توصيات "الفئة جيم" من أجندة التنمية العدد الإجمالي للخدمات والأنشطة المذكور أعلاه.</w:t>
      </w:r>
    </w:p>
    <w:p w:rsidR="00AA0EED" w:rsidRDefault="00AA0EED" w:rsidP="00E97F18">
      <w:pPr>
        <w:pStyle w:val="NumberedParaAR"/>
        <w:numPr>
          <w:ilvl w:val="0"/>
          <w:numId w:val="25"/>
        </w:numPr>
        <w:rPr>
          <w:rFonts w:hint="cs"/>
        </w:rPr>
      </w:pPr>
      <w:proofErr w:type="gramStart"/>
      <w:r>
        <w:rPr>
          <w:rFonts w:hint="cs"/>
          <w:rtl/>
        </w:rPr>
        <w:t>وتجدر</w:t>
      </w:r>
      <w:proofErr w:type="gramEnd"/>
      <w:r>
        <w:rPr>
          <w:rFonts w:hint="cs"/>
          <w:rtl/>
        </w:rPr>
        <w:t xml:space="preserve"> الإشارة أيضا إلى احتمال أن تكون بعض الأنشطة مطابقة لأنشطة أخرى من حيث </w:t>
      </w:r>
      <w:r w:rsidR="00442A34">
        <w:rPr>
          <w:rFonts w:hint="cs"/>
          <w:rtl/>
        </w:rPr>
        <w:t>النطاق</w:t>
      </w:r>
      <w:r>
        <w:rPr>
          <w:rFonts w:hint="cs"/>
          <w:rtl/>
        </w:rPr>
        <w:t xml:space="preserve">. </w:t>
      </w:r>
      <w:proofErr w:type="gramStart"/>
      <w:r>
        <w:rPr>
          <w:rFonts w:hint="cs"/>
          <w:rtl/>
        </w:rPr>
        <w:t>فمن</w:t>
      </w:r>
      <w:proofErr w:type="gramEnd"/>
      <w:r>
        <w:rPr>
          <w:rFonts w:hint="cs"/>
          <w:rtl/>
        </w:rPr>
        <w:t xml:space="preserve"> الممكن، مثلا، أن ينطوي برنامج للتوعية والتدريب على </w:t>
      </w:r>
      <w:r w:rsidR="00442A34">
        <w:rPr>
          <w:rFonts w:hint="cs"/>
          <w:rtl/>
        </w:rPr>
        <w:t xml:space="preserve">عدة أشهر من أنشطة تطوير المهارات، في حين يمكن أن تنطوي </w:t>
      </w:r>
      <w:r w:rsidR="00E97F18">
        <w:rPr>
          <w:rFonts w:hint="cs"/>
          <w:rtl/>
        </w:rPr>
        <w:t>إحدى الفعاليات</w:t>
      </w:r>
      <w:r w:rsidR="00442A34">
        <w:rPr>
          <w:rFonts w:hint="cs"/>
          <w:rtl/>
        </w:rPr>
        <w:t xml:space="preserve"> على عدة أيام من تلك الأنشطة. وبالتالي قد يتعذّر إجراء مقارنة مباشرة لعدد الأنشطة الخاصة بتوصية ما من توصيات "الفئة</w:t>
      </w:r>
      <w:r w:rsidR="00442A34">
        <w:rPr>
          <w:rFonts w:hint="eastAsia"/>
          <w:rtl/>
        </w:rPr>
        <w:t> </w:t>
      </w:r>
      <w:r w:rsidR="00442A34">
        <w:rPr>
          <w:rFonts w:hint="cs"/>
          <w:rtl/>
        </w:rPr>
        <w:t>جيم" من أجندة</w:t>
      </w:r>
      <w:r w:rsidR="00442A34">
        <w:rPr>
          <w:rFonts w:hint="eastAsia"/>
          <w:rtl/>
        </w:rPr>
        <w:t> </w:t>
      </w:r>
      <w:r w:rsidR="00442A34">
        <w:rPr>
          <w:rFonts w:hint="cs"/>
          <w:rtl/>
        </w:rPr>
        <w:t>التنمية، لا</w:t>
      </w:r>
      <w:r w:rsidR="00442A34">
        <w:rPr>
          <w:rFonts w:hint="eastAsia"/>
          <w:rtl/>
        </w:rPr>
        <w:t> </w:t>
      </w:r>
      <w:r w:rsidR="00442A34">
        <w:rPr>
          <w:rFonts w:hint="cs"/>
          <w:rtl/>
        </w:rPr>
        <w:t>سيما مقارنة أنواع مختلفة من الأنشطة.</w:t>
      </w:r>
    </w:p>
    <w:p w:rsidR="00442A34" w:rsidRDefault="00442A34" w:rsidP="00C64F21">
      <w:pPr>
        <w:pStyle w:val="NumberedParaAR"/>
        <w:numPr>
          <w:ilvl w:val="0"/>
          <w:numId w:val="25"/>
        </w:numPr>
        <w:rPr>
          <w:rFonts w:hint="cs"/>
        </w:rPr>
      </w:pPr>
      <w:proofErr w:type="gramStart"/>
      <w:r>
        <w:rPr>
          <w:rFonts w:hint="cs"/>
          <w:rtl/>
        </w:rPr>
        <w:t>والجدير</w:t>
      </w:r>
      <w:proofErr w:type="gramEnd"/>
      <w:r>
        <w:rPr>
          <w:rFonts w:hint="cs"/>
          <w:rtl/>
        </w:rPr>
        <w:t xml:space="preserve"> الذكر أخيرا أن المشروعات تحديدا قد تشهد حدوث تداخل جزئي أو كلي مع بعض الخدمات أو الأنشطة الأخرى. </w:t>
      </w:r>
      <w:proofErr w:type="gramStart"/>
      <w:r>
        <w:rPr>
          <w:rFonts w:hint="cs"/>
          <w:rtl/>
        </w:rPr>
        <w:t>فعلى</w:t>
      </w:r>
      <w:proofErr w:type="gramEnd"/>
      <w:r>
        <w:rPr>
          <w:rFonts w:hint="cs"/>
          <w:rtl/>
        </w:rPr>
        <w:t xml:space="preserve"> سبيل المثال، يمكن أن تكون خدمة ما أو يكون نشاط ما </w:t>
      </w:r>
      <w:r w:rsidR="00B017F6">
        <w:rPr>
          <w:rFonts w:hint="cs"/>
          <w:rtl/>
        </w:rPr>
        <w:t xml:space="preserve">قد أطلِق أو نُفذ في إطار مشروع معيّن ويمكن </w:t>
      </w:r>
      <w:r w:rsidR="00C64F21">
        <w:rPr>
          <w:rFonts w:hint="cs"/>
          <w:rtl/>
        </w:rPr>
        <w:t xml:space="preserve">بالتالي </w:t>
      </w:r>
      <w:r w:rsidR="00B017F6">
        <w:rPr>
          <w:rFonts w:hint="cs"/>
          <w:rtl/>
        </w:rPr>
        <w:t>إدراج</w:t>
      </w:r>
      <w:r w:rsidR="00C64F21">
        <w:rPr>
          <w:rFonts w:hint="cs"/>
          <w:rtl/>
        </w:rPr>
        <w:t xml:space="preserve">ه بصورة غير مباشرة ضمن المشروع وإدراجه </w:t>
      </w:r>
      <w:r w:rsidR="00B017F6">
        <w:rPr>
          <w:rFonts w:hint="cs"/>
          <w:rtl/>
        </w:rPr>
        <w:t xml:space="preserve">بصورة مباشرة كخدمة أو نشاط. </w:t>
      </w:r>
      <w:proofErr w:type="gramStart"/>
      <w:r w:rsidR="00C64F21">
        <w:rPr>
          <w:rFonts w:hint="cs"/>
          <w:rtl/>
        </w:rPr>
        <w:t>وقد</w:t>
      </w:r>
      <w:proofErr w:type="gramEnd"/>
      <w:r w:rsidR="00C64F21">
        <w:rPr>
          <w:rFonts w:hint="cs"/>
          <w:rtl/>
        </w:rPr>
        <w:t xml:space="preserve"> اتُّبع هذا النهج لضمان إخضاع المشروعات للتحليل بنطاقها الكامل بدلا من إخضاعها له وفقا لخدمات أو أنشطة محدّدة فقط.</w:t>
      </w:r>
    </w:p>
    <w:p w:rsidR="00C64F21" w:rsidRDefault="002E7965" w:rsidP="00E97F18">
      <w:pPr>
        <w:pStyle w:val="NumberedParaAR"/>
        <w:numPr>
          <w:ilvl w:val="0"/>
          <w:numId w:val="25"/>
        </w:numPr>
        <w:rPr>
          <w:rFonts w:hint="cs"/>
        </w:rPr>
      </w:pPr>
      <w:r>
        <w:rPr>
          <w:rFonts w:hint="cs"/>
          <w:rtl/>
        </w:rPr>
        <w:lastRenderedPageBreak/>
        <w:t>ويبيّن الشكل الوارد أدناه توزيع الخدمات والأنشطة فيما يخص كل توصية من توصيات "الفئة جيم" من أجندة</w:t>
      </w:r>
      <w:r>
        <w:rPr>
          <w:rFonts w:hint="eastAsia"/>
          <w:rtl/>
        </w:rPr>
        <w:t> </w:t>
      </w:r>
      <w:r>
        <w:rPr>
          <w:rFonts w:hint="cs"/>
          <w:rtl/>
        </w:rPr>
        <w:t>التنمية، مصنَّفة بحسب نوع النشاط، مما يسمح بتحديد التوصيات التي شهدت عددا أكبر أو أقل من الأنشطة المساهمة في</w:t>
      </w:r>
      <w:r>
        <w:rPr>
          <w:rFonts w:hint="eastAsia"/>
          <w:rtl/>
        </w:rPr>
        <w:t> </w:t>
      </w:r>
      <w:r>
        <w:rPr>
          <w:rFonts w:hint="cs"/>
          <w:rtl/>
        </w:rPr>
        <w:t xml:space="preserve">تحقيق الأهداف المبيّنة فيها، وذلك للتمكّن في المستقبل من </w:t>
      </w:r>
      <w:r w:rsidR="00E97F18">
        <w:rPr>
          <w:rFonts w:hint="cs"/>
          <w:rtl/>
        </w:rPr>
        <w:t>دراسة</w:t>
      </w:r>
      <w:r>
        <w:rPr>
          <w:rFonts w:hint="cs"/>
          <w:rtl/>
        </w:rPr>
        <w:t xml:space="preserve"> اقتراحات المشروعات في مجالات الأولوية</w:t>
      </w:r>
      <w:r>
        <w:rPr>
          <w:rFonts w:hint="eastAsia"/>
          <w:rtl/>
        </w:rPr>
        <w:t> </w:t>
      </w:r>
      <w:r>
        <w:rPr>
          <w:rFonts w:hint="cs"/>
          <w:rtl/>
        </w:rPr>
        <w:t>الممكنة.</w:t>
      </w:r>
    </w:p>
    <w:p w:rsidR="002E7965" w:rsidRDefault="00E97F18" w:rsidP="00156B58">
      <w:pPr>
        <w:pStyle w:val="NumberedParaAR"/>
        <w:numPr>
          <w:ilvl w:val="0"/>
          <w:numId w:val="0"/>
        </w:numPr>
        <w:spacing w:after="480" w:line="240" w:lineRule="auto"/>
        <w:rPr>
          <w:rFonts w:hint="cs"/>
          <w:rtl/>
        </w:rPr>
      </w:pPr>
      <w:bookmarkStart w:id="2" w:name="_GoBack"/>
      <w:r w:rsidRPr="00E97F18">
        <w:rPr>
          <w:rFonts w:hint="cs"/>
          <w:rtl/>
        </w:rPr>
        <w:drawing>
          <wp:inline distT="0" distB="0" distL="0" distR="0" wp14:anchorId="0729E221" wp14:editId="6CD4C396">
            <wp:extent cx="5940425" cy="386289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62899"/>
                    </a:xfrm>
                    <a:prstGeom prst="rect">
                      <a:avLst/>
                    </a:prstGeom>
                    <a:noFill/>
                    <a:ln>
                      <a:noFill/>
                    </a:ln>
                  </pic:spPr>
                </pic:pic>
              </a:graphicData>
            </a:graphic>
          </wp:inline>
        </w:drawing>
      </w:r>
      <w:bookmarkEnd w:id="2"/>
    </w:p>
    <w:p w:rsidR="00004ABE" w:rsidRDefault="0005317C" w:rsidP="0005317C">
      <w:pPr>
        <w:pStyle w:val="EndofDocumentAR"/>
        <w:rPr>
          <w:rtl/>
        </w:rPr>
        <w:sectPr w:rsidR="00004ABE" w:rsidSect="00F73646">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الملحق</w:t>
      </w:r>
      <w:proofErr w:type="gramEnd"/>
      <w:r>
        <w:rPr>
          <w:rFonts w:hint="cs"/>
          <w:rtl/>
        </w:rPr>
        <w:t xml:space="preserve"> باللغة</w:t>
      </w:r>
      <w:r w:rsidR="00E57635">
        <w:rPr>
          <w:rFonts w:hint="cs"/>
          <w:rtl/>
        </w:rPr>
        <w:t xml:space="preserve"> الإنكليزية]</w:t>
      </w: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lastRenderedPageBreak/>
        <w:t>Recommendation 24</w:t>
      </w:r>
    </w:p>
    <w:p w:rsidR="00004ABE" w:rsidRPr="00004ABE" w:rsidRDefault="00004ABE" w:rsidP="00004ABE">
      <w:pPr>
        <w:rPr>
          <w:rFonts w:eastAsia="SimSun"/>
          <w:lang w:eastAsia="zh-CN"/>
        </w:rPr>
      </w:pPr>
      <w:r w:rsidRPr="00004ABE">
        <w:rPr>
          <w:rFonts w:eastAsia="SimSun"/>
          <w:lang w:eastAsia="zh-CN"/>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196"/>
        <w:gridCol w:w="2375"/>
      </w:tblGrid>
      <w:tr w:rsidR="00004ABE" w:rsidRPr="00004ABE" w:rsidTr="00371A5E">
        <w:trPr>
          <w:cantSplit/>
        </w:trPr>
        <w:tc>
          <w:tcPr>
            <w:tcW w:w="7196"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375"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 National Seminar on Patents and their Impact on Innovation, Paraguay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Dominican Republic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Peru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 Sub-regional Workshop on WIPO Pilot Project for Universities and Research Centers in Central American Countries, Panama Knowledge City, Panama (2015)</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WIPO/OEPM in collaboration with MIEM - 2nd Regional Workshop for Training the Trainers on Patent Drafting, Uruguay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4th Regional Workshop on Industrial Property and Technology Transfer, El Salvador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 xml:space="preserve">IP Marketing and Valuation (advanced STL course), Brazil (2015) </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Argentina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Cuba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Guatemala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Nicaragua,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Seminar for Technology and Innovation Support Centers (TISCs), Panama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 xml:space="preserve">National Training Program on IP Marketing and Valuation, Chile (2016) </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Workshop on Innovation and Added Value based on Technological Information, and Competitive Intelligence for TISC Staff, Universities and R&amp;D centers, Colombia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Workshop on Technology Transfer Agreements, Mexico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National Workshop on Technology Transfer, Valuation and Dispute Resolution for TISC staff and R&amp;D Centers, Colombia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Regional TTO Meeting (Working Together) on Internet and Research, Croatia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Round Table on Patents and their Impact on Innovation, Uruguay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Seminar on IP and Public Policies for Innovation and Technology Transfer, Peru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Sub-Regional Intellectual Property Workshop for Young Innovators: From Idea to the Market Place, Botswana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 xml:space="preserve">Sub-regional Seminar on IP and Technology Transfer, Costa Rica (2017) </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Sub-Regional Seminar on the Development of IP Policies for Universities and Research Institutions, Colombia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lastRenderedPageBreak/>
              <w:t xml:space="preserve">Sub-regional Workshop on the Use of IP Tools related to Technology Transfer, Costa Rica (2017) </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Training Workshop on Patent information, Search Strategies and Tech-Transfer for National TISC network, Guatemala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 National Workshop on Basic Patent Analytics Using the Guidelines for Preparing Patent Landscape Reports and the Manual on Free and Open Source Tools for Patent Analytics, Brazil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 National Workshop on Basic Patent Analytics, Colombia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 Patent Workshop on Practical Aspects of Patent Applications for the Industry, University Researchers and Patent Agents, Paraguay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WIPO/IDB IP Commercialization and Technology Transfer Cohort/Team Induction Program, Trinidad and Tobago (2017)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WIPO/OEPM/AECID Regional Workshop for Training of Trainers on Industrial Property: Drafting of Patent Applications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Workshop on IP Strategies, Patent Information and Technological Solutions, Colombia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Workshop on Technology Transfer, Chile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Workshop on the Use of Tools for Technology Transfer, Peru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WIPO/IDB IP Commercialization and Technology Transfer Training Course, Barbados, Jamaica, Trinidad and Tobago (2016-2017)</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WIPO/OEPM - Regional Workshop for Training the Trainers on Patent Drafting, Colombia (2016)</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Establishment and development of Technology and Innovation Support Centers (TISCs)</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 xml:space="preserve">Project to support Member States to integrate IP and knowledge transfer considerations into their IP Strategies, Trinidad and Tobago </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Support to the Elaboration of the IP Policy to the Galileo University, Guatemala</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szCs w:val="22"/>
                <w:lang w:eastAsia="zh-CN"/>
              </w:rPr>
            </w:pPr>
            <w:r w:rsidRPr="00004ABE">
              <w:rPr>
                <w:rFonts w:eastAsia="SimSun"/>
                <w:szCs w:val="22"/>
                <w:lang w:eastAsia="zh-CN"/>
              </w:rPr>
              <w:t>Review of an IP Curriculum for a Postgraduate Program, Nicaragua (Organized jointly by a national university and the Nicaraguan Council of Science and Technology)</w:t>
            </w:r>
          </w:p>
        </w:tc>
        <w:tc>
          <w:tcPr>
            <w:tcW w:w="2375" w:type="dxa"/>
          </w:tcPr>
          <w:p w:rsidR="00004ABE" w:rsidRPr="00004ABE" w:rsidRDefault="00004ABE" w:rsidP="00004ABE">
            <w:pPr>
              <w:rPr>
                <w:rFonts w:eastAsia="SimSun"/>
                <w:szCs w:val="22"/>
                <w:lang w:eastAsia="zh-CN"/>
              </w:rPr>
            </w:pPr>
            <w:r w:rsidRPr="00004ABE">
              <w:rPr>
                <w:rFonts w:eastAsia="SimSun"/>
                <w:szCs w:val="22"/>
                <w:lang w:eastAsia="zh-CN"/>
              </w:rPr>
              <w:t>Technical assistance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IP, Information and Communication Technologies (ICTs), the Digital Divide and Access to Knowledge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25</w:t>
      </w:r>
    </w:p>
    <w:p w:rsidR="00004ABE" w:rsidRPr="00004ABE" w:rsidRDefault="00004ABE" w:rsidP="00004ABE">
      <w:pPr>
        <w:rPr>
          <w:rFonts w:eastAsia="SimSun"/>
          <w:lang w:eastAsia="zh-CN"/>
        </w:rPr>
      </w:pPr>
      <w:r w:rsidRPr="00004ABE">
        <w:rPr>
          <w:rFonts w:eastAsia="SimSun"/>
          <w:lang w:eastAsia="zh-CN"/>
        </w:rPr>
        <w:t>“To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196"/>
        <w:gridCol w:w="2375"/>
      </w:tblGrid>
      <w:tr w:rsidR="00004ABE" w:rsidRPr="00004ABE" w:rsidTr="00371A5E">
        <w:trPr>
          <w:cantSplit/>
        </w:trPr>
        <w:tc>
          <w:tcPr>
            <w:tcW w:w="7196"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375"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Studies and programs regarding an importance of IP policies/strategies on the national level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 xml:space="preserve">WIPO / WTO Colloquium for Teachers of IP, Switzerland (2014-2017)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Seminar on Patents and their Impact on Innovation, Paraguay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“Strengthening national systems of innovation in developing countries, covering the entire technology cycle for climate technology” – UNFCCC TEC Workshop, Bonn, October 13 and 14, 2014</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Bibliography on Intellectual Property Arbitration and Mediation: WIPO Arbitration, Mediation, and Expert Determination Clauses:  http://www.wipo.int/amc/en/clauses/index.html</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Bibliography on Intellectual Property Arbitration and Mediation: WIPO Arbitration, Mediation, and Expert Determination Clauses:  http://www.wipo.int/amc/en/clauses/index.html</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Database of IP Policies for Universities and Research Institutions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Database of National Frameworks concerning Ownership Issues in Academic Research and Commercialization of Innovations Developed at Universities and Research Institutions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Joint Side Event on Climate Change and Technology – Global Environment Facility 5th Assembly, Bonn, May 27, 2014</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WIPO/IRENA Side Event on Renewable Energy Technologies: Technology Trends, Patents and Policy Implications – UNFCCC Bonn Climate Change Conference, June 13, 2014</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COHRED Global Forum on Research and Innovation for Health, Philippines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Conference on Intellectual Property Policies for Universities and Innovation, Bulgaria, (2015)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Malaysia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Philippines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Sri Lanka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Thailand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Thailand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Algeria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Colombia (2015)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Ecuador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Niger (2017)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South Africa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Tunisia (2017)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National Seminar on Intellectual Property Policies in Universities and Research  Institutions, Kyrgyzstan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in Universities, Belarus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GCC Member States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Member and Observer States of ARIPO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Seminar on International Technology Transfer – Licensing and ADR with the Licensing Executives Society (LES) Italy, Management Dell’ </w:t>
            </w:r>
            <w:proofErr w:type="spellStart"/>
            <w:r w:rsidRPr="00004ABE">
              <w:rPr>
                <w:rFonts w:eastAsia="SimSun"/>
                <w:color w:val="000000"/>
                <w:szCs w:val="22"/>
                <w:lang w:eastAsia="zh-CN"/>
              </w:rPr>
              <w:t>Innovazione</w:t>
            </w:r>
            <w:proofErr w:type="spellEnd"/>
            <w:r w:rsidRPr="00004ABE">
              <w:rPr>
                <w:rFonts w:eastAsia="SimSun"/>
                <w:color w:val="000000"/>
                <w:szCs w:val="22"/>
                <w:lang w:eastAsia="zh-CN"/>
              </w:rPr>
              <w:t xml:space="preserve"> E </w:t>
            </w:r>
            <w:proofErr w:type="spellStart"/>
            <w:r w:rsidRPr="00004ABE">
              <w:rPr>
                <w:rFonts w:eastAsia="SimSun"/>
                <w:color w:val="000000"/>
                <w:szCs w:val="22"/>
                <w:lang w:eastAsia="zh-CN"/>
              </w:rPr>
              <w:t>Imprenditorialità</w:t>
            </w:r>
            <w:proofErr w:type="spellEnd"/>
            <w:r w:rsidRPr="00004ABE">
              <w:rPr>
                <w:rFonts w:eastAsia="SimSun"/>
                <w:color w:val="000000"/>
                <w:szCs w:val="22"/>
                <w:lang w:eastAsia="zh-CN"/>
              </w:rPr>
              <w:t>,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Seminar on International Technology Transfer – Licensing and ADR with the Licensing Executives Society (LES) Italy, Management Dell’ </w:t>
            </w:r>
            <w:proofErr w:type="spellStart"/>
            <w:r w:rsidRPr="00004ABE">
              <w:rPr>
                <w:rFonts w:eastAsia="SimSun"/>
                <w:color w:val="000000"/>
                <w:szCs w:val="22"/>
                <w:lang w:eastAsia="zh-CN"/>
              </w:rPr>
              <w:t>Innovazione</w:t>
            </w:r>
            <w:proofErr w:type="spellEnd"/>
            <w:r w:rsidRPr="00004ABE">
              <w:rPr>
                <w:rFonts w:eastAsia="SimSun"/>
                <w:color w:val="000000"/>
                <w:szCs w:val="22"/>
                <w:lang w:eastAsia="zh-CN"/>
              </w:rPr>
              <w:t xml:space="preserve"> E </w:t>
            </w:r>
            <w:proofErr w:type="spellStart"/>
            <w:r w:rsidRPr="00004ABE">
              <w:rPr>
                <w:rFonts w:eastAsia="SimSun"/>
                <w:color w:val="000000"/>
                <w:szCs w:val="22"/>
                <w:lang w:eastAsia="zh-CN"/>
              </w:rPr>
              <w:t>Imprenditorialità</w:t>
            </w:r>
            <w:proofErr w:type="spellEnd"/>
            <w:r w:rsidRPr="00004ABE">
              <w:rPr>
                <w:rFonts w:eastAsia="SimSun"/>
                <w:color w:val="000000"/>
                <w:szCs w:val="22"/>
                <w:lang w:eastAsia="zh-CN"/>
              </w:rPr>
              <w:t>,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Patent Drafting Course, Jamaica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Patent Drafting Course, Jordan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University Technology Managers (AUTM)</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European Association of Research and Technology Organizations (EARTO)</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Arbitration and Mediation Center Training and Workshops on Alternative Dispute Resolution of R&amp;D/Technology Transfer Disputes with the European Industrial Research Management Association (EIRMA)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participation in IRENA Side event on IRENA’s Interactive Web Tool on International Standards and Patents in Renewable Energy – UNFCCC Climate Change Conference, Bonn, June 5,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Patent Workshop on Practical Aspects of Patent Applications for the Industry University Researchers and Patent Agents, Paraguay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 - 2nd Regional Workshop for Training the Trainers on Patent Drafting, Uruguay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WIPO/PIPRA/UC Davis IP Valuation Course, UC Davis Licensing Academy, UC Davis, California, United States of America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Fact Finding Mission to Assess the Situation regarding Knowledge Transfer and Define an Action Plan for the Establishment of a Model TTO, Algeria (2014)</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Meeting for selected countries on Developing National and Regional approaches to Technology and innovation Support and commercialization of Research and Development, Morocco (June 11 to 13, 2014)</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Mauritania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in Innovative Economy, Kyrgyzstan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Iceland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Italy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Morocco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Mozambique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Sudan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Policies for Universities and Research Institutions, UAE (2016-2017)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the development of IP Policies for Universities, Morocco (September 13 and 14,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Presentation on TISC Program, University of </w:t>
            </w:r>
            <w:proofErr w:type="spellStart"/>
            <w:r w:rsidRPr="00004ABE">
              <w:rPr>
                <w:rFonts w:eastAsia="SimSun"/>
                <w:color w:val="000000"/>
                <w:szCs w:val="22"/>
                <w:lang w:eastAsia="zh-CN"/>
              </w:rPr>
              <w:t>Tlemcen</w:t>
            </w:r>
            <w:proofErr w:type="spellEnd"/>
            <w:r w:rsidRPr="00004ABE">
              <w:rPr>
                <w:rFonts w:eastAsia="SimSun"/>
                <w:color w:val="000000"/>
                <w:szCs w:val="22"/>
                <w:lang w:eastAsia="zh-CN"/>
              </w:rPr>
              <w:t>, Algeria, (April 26,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Seminar on IP Policies in Universities and Research Institutions, Azerbaijan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Workshop on the Outcome of WIPO Pilot Technology Transfer Offices (TTO) Project in Tunisia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IP Policies for Universities Sudan (May 17 and 18,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Seminar on Technology and Innovation Support Centers (TISCs) and the Use of Patent Information, Algeria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the efficiency of TISC National Network, Mauritania (November 21 to 23,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Study visit of the Representatives from Armenia and the Russian Federation on the Issues of Innovative Activities, Israel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Study Visit on Best Practices in IP Management for Government officials from Bosnia and Herzegovina, Poland and the Russian Federation, Singapore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and Research Institutions, Bosnia and Herzegovina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and Research Institutions, Czech Republic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and Research Institutions, Georgia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and Research Institutions, Hungary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and Research Institutions, Lebanon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IP Policies for Universities, Ukraine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Seminar on the Development of IP Policies for Universities and Research Institutions, Colombia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TISC Seminar, Oran, Algeria (December 13 and 14,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workshop on TISC, Oman, (March 20 to 22,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TTO Project, Tunisia:  Workshop on IP Marketing and Valuation, WIPO Headquarters, (November 2 to 4,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Conference on IP Policy for </w:t>
            </w:r>
            <w:proofErr w:type="spellStart"/>
            <w:r w:rsidRPr="00004ABE">
              <w:rPr>
                <w:rFonts w:eastAsia="SimSun"/>
                <w:color w:val="000000"/>
                <w:szCs w:val="22"/>
                <w:lang w:eastAsia="zh-CN"/>
              </w:rPr>
              <w:t>Visegrad</w:t>
            </w:r>
            <w:proofErr w:type="spellEnd"/>
            <w:r w:rsidRPr="00004ABE">
              <w:rPr>
                <w:rFonts w:eastAsia="SimSun"/>
                <w:color w:val="000000"/>
                <w:szCs w:val="22"/>
                <w:lang w:eastAsia="zh-CN"/>
              </w:rPr>
              <w:t xml:space="preserve"> Countries, Switzerland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Inter-Regional TTO Meeting "Working Together on Academic IP Commercialization in the Region", Czech Republic (2016)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Side Event on Policies and Evidence to Support Climate Change Technology Transfer and Innovation – UNFCCC Climate Change Conference, Bonn, June 8,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WIPO/OEPM/AECID Regional Workshop for Training of Trainers on Patent Drafting, Colombia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TISC Network, Oman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on Establishing a Technology and Innovation Support Centers (TISCs) Network, Jordan (2016)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IP policies for Universities, UAE, November 22 and 23,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TISCs Network for Selected Arab Countries, Jordan (2017)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Knowledge and Technology Transfer webpage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Procedural Guidance and Training.</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Evaluation and Development of the Technology and Innovation Support Center (TISC) National Project in Egypt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IP Commercialization Coaching Session for TTOs in Tunisia, National TTO-Pilot Project, Tunisia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Georgia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Latvia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TISCs Clinic Services as Pilot Project in Morocco providing pro bono assistance to eligible inventors, Morocco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Successful Technology Licensing within the framework of TTOs Project Implementation, Tunisia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Country project to provide technical assistance to Botswana government- funded research institutions and universities in support of innovation and IP mainstreaming in institutional strategies, Botswana (2015)</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Enabling IP Environment</w:t>
            </w:r>
          </w:p>
          <w:p w:rsidR="00004ABE" w:rsidRPr="00004ABE" w:rsidRDefault="00004ABE" w:rsidP="00004ABE">
            <w:pPr>
              <w:rPr>
                <w:rFonts w:eastAsia="SimSun"/>
                <w:color w:val="000000"/>
                <w:szCs w:val="22"/>
                <w:lang w:eastAsia="zh-CN"/>
              </w:rPr>
            </w:pPr>
            <w:r w:rsidRPr="00004ABE">
              <w:rPr>
                <w:rFonts w:eastAsia="SimSun"/>
                <w:color w:val="000000"/>
                <w:szCs w:val="22"/>
                <w:lang w:eastAsia="zh-CN"/>
              </w:rPr>
              <w:t>Designed to establish a network of in- country IP support institutions and organizations receiving technical assistance relating to technology development, management, and commercialization from WIPO</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Project on IP Policies for Universities and Research Institutions, Botswana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Project on IP Policies for Universities and Research Institutions, Colombia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National Project on IP Policies for Universities and Research Institutions, Sri Lanka (2016)</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Albania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Cameroon</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Jamaica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Rwanda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Slovakia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Sri Lanka</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Project to support Member States to integrate IP and knowledge transfer considerations into their IP Strategies, Trinidad and Tobago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xml:space="preserve"> research collaborations on neglected tropical diseases, malaria and tuberculosis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Inventor Assistance Program (IAP)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Brief: Incentivizing the Adoption of Green Technology on a Global Scale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Global Challenges Brief: 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Sharing Innovation in the Fight Against Neglected Tropical Diseases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Report: Antimicrobial Resistance (AMR) and Multidrug Resistance (MDR): Overview of current approaches, consortia and intellectual property issues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Report: Innovation and Diffusion of Green Technologies: The Role of Intellectual Property and Other Enabling Factors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Alternative Dispute Resolution (ADR) of R&amp;D/Technology Transfer Disputes: Recommended Contract Clauses and Submission Agreements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Recommended Contract Clauses and Submission Agreements. Anonymized technology transfer mediation and arbitration case examples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Global Innovation Index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R&amp;D/Technology Transfer Disputes Recommended Contract Clauses and Submission Agreements: Anonymized technology transfer mediation and arbitration case examples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IP Policy Template for Universities and Research Institutions and Guidelines for Customization of the IP Policy Template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World IP Report </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GREEN Database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Specialized resource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xml:space="preserve"> Database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Specialized resource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Studies on International Comparison of Knowledge Transfer Policies and Practices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Specialized resource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Development of IP Institutional Policies for Universities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 in establishing IP management offices</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Expert Mission on TTOs, (January 31 to February 2, Tunisia, 2017)</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IP Policies for Universities and Research Institutions in Azerbaijan</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IP Policies for Universities and Research Institutions in the Russian Federation</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IP Policies for Universities and Research Institutions in the Ukraine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196"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Standing Committee on the Law of Patents (SCP): Items on "Transfer of Technology" have been on the agenda since the 14th session of the Standing Committee</w:t>
            </w:r>
          </w:p>
        </w:tc>
        <w:tc>
          <w:tcPr>
            <w:tcW w:w="2375"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Committee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Intellectual Property and Technology Transfer: Common Challenges – Building Solutions</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Enhancing South-South Cooperation on IP and Development Among Developing Countries and Least Developed Countries</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26</w:t>
      </w:r>
    </w:p>
    <w:p w:rsidR="00004ABE" w:rsidRPr="00004ABE" w:rsidRDefault="00004ABE" w:rsidP="00004ABE">
      <w:pPr>
        <w:rPr>
          <w:rFonts w:eastAsia="SimSun"/>
          <w:lang w:eastAsia="zh-CN"/>
        </w:rPr>
      </w:pPr>
      <w:proofErr w:type="gramStart"/>
      <w:r w:rsidRPr="00004ABE">
        <w:rPr>
          <w:rFonts w:eastAsia="SimSun"/>
          <w:lang w:eastAsia="zh-CN"/>
        </w:rPr>
        <w:t>“To encourage Member States, especially developed countries, to urge their research and scientific institutions to enhance cooperation and exchange with research and development institutions in developing countries, especially LDCs.”</w:t>
      </w:r>
      <w:proofErr w:type="gramEnd"/>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4"/>
        <w:gridCol w:w="2517"/>
      </w:tblGrid>
      <w:tr w:rsidR="00004ABE" w:rsidRPr="00004ABE" w:rsidTr="00371A5E">
        <w:tc>
          <w:tcPr>
            <w:tcW w:w="7054"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17"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 WTO Colloquium for Teachers of IP, Switzerland (2014-2017)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Database of Biodiversity-related Access and Benefit-sharing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3rd International Conference on Water Resources and Environmental Management (ICWRE-2014), Antalya, May 13 to 15,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Arbitration and Mediation Center Collaboration with Providers of Model R&amp;D/Technology Transfer Agreements regarding Inclusion of WIPO Alternative Dispute Resolution Clauses: DESCA 2020 (Development of a Simplified Consortium Agreement) Model </w:t>
            </w:r>
            <w:r w:rsidRPr="00004ABE">
              <w:rPr>
                <w:rFonts w:eastAsia="SimSun"/>
                <w:color w:val="000000"/>
                <w:szCs w:val="22"/>
                <w:lang w:eastAsia="zh-CN"/>
              </w:rPr>
              <w:lastRenderedPageBreak/>
              <w:t>Consortium Agreement (European Union).</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Brief: Promoting Medical Innovation and Access, Together</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Global Challenges Report: Sharing Innovation and Building Capacity to Fight Neglected Tropical Diseases: A Selection of 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xml:space="preserve"> Fellowship Stories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Guide on Intellectual Property Issues in Access and Benefit-Sharing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R&amp;D/Technology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Intellectual Property and Technology Transfer: Common Challenges – Building Solutions</w:t>
            </w:r>
          </w:p>
        </w:tc>
      </w:tr>
    </w:tbl>
    <w:p w:rsidR="00004ABE" w:rsidRPr="00004ABE" w:rsidRDefault="00004ABE" w:rsidP="00004ABE">
      <w:pPr>
        <w:rPr>
          <w:rFonts w:eastAsia="SimSun"/>
          <w:szCs w:val="22"/>
          <w:lang w:eastAsia="zh-CN"/>
        </w:rPr>
      </w:pPr>
    </w:p>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27</w:t>
      </w:r>
    </w:p>
    <w:p w:rsidR="00004ABE" w:rsidRPr="00004ABE" w:rsidRDefault="00004ABE" w:rsidP="00004ABE">
      <w:pPr>
        <w:rPr>
          <w:rFonts w:eastAsia="SimSun"/>
          <w:lang w:eastAsia="zh-CN"/>
        </w:rPr>
      </w:pPr>
      <w:r w:rsidRPr="00004ABE">
        <w:rPr>
          <w:rFonts w:eastAsia="SimSun"/>
          <w:lang w:eastAsia="zh-CN"/>
        </w:rPr>
        <w:t xml:space="preserve">“Facilitating intellectual property -related aspects of ICT for growth and development: Provide for, in an appropriate WIPO body, discussions focused on the importance of intellectual property </w:t>
      </w:r>
      <w:r w:rsidRPr="00004ABE">
        <w:rPr>
          <w:rFonts w:eastAsia="SimSun"/>
          <w:lang w:eastAsia="zh-CN"/>
        </w:rPr>
        <w:lastRenderedPageBreak/>
        <w:t>-related aspects of ICT, and its role in economic and cultural development, with specific attention focused on assisting Member States to identify practical intellectual property -related strategies to use ICT for economic, social and cultural development.”</w:t>
      </w:r>
    </w:p>
    <w:p w:rsidR="00004ABE" w:rsidRPr="00004ABE" w:rsidRDefault="00004ABE" w:rsidP="00004ABE">
      <w:pPr>
        <w:rPr>
          <w:rFonts w:eastAsia="SimSun"/>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4"/>
        <w:gridCol w:w="2517"/>
      </w:tblGrid>
      <w:tr w:rsidR="00004ABE" w:rsidRPr="00004ABE" w:rsidTr="00371A5E">
        <w:trPr>
          <w:cantSplit/>
        </w:trPr>
        <w:tc>
          <w:tcPr>
            <w:tcW w:w="7054"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17"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 WTO Colloquium for Teachers of IP, Switzerland (2014-2017)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Bibliography on Intellectual Property Arbitration and Mediation: WIPO Arbitration, Mediation, and Expert Determination Clauses:  http://www.wipo.int/amc/en/clauses/index.html</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Bibliography on Intellectual Property Arbitration and Mediation: WIPO Arbitration, Mediation, and Expert Determination Clauses:  http://www.wipo.int/amc/en/clauses/index.html</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Dominican Republic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Peru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Brazil (2015)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Argentina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Cuba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Guatemala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Nicaragua,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Panama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Innovation and Added Value based on Technological Information, and Competitive Intelligence for TISC Staff, Universities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Workshop on Patent information, Search Strategies and Tech-Transfer for National TISC network, Guatemala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National Workshop on Basic Patent Analytics Using the Guidelines for Preparing Patent Landscape Reports and the Manual on Free and Open Source Tools for Patent Analytics, Brazil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Colombia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IP Strategies, Patent Information and Technological Solutions,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Procedural Guidance and Training.</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Establishment and development of Technology and Innovation Support Centers (TISCs)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Alternative Dispute Resolution (ADR) of R&amp;D/Technology Transfer Disputes: Recommended Contract Clauses and Submission Agreements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Alternative Dispute Resolution (ADR) of R&amp;D/Technology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 in establishing IP management offices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bl>
    <w:p w:rsidR="00004ABE" w:rsidRPr="00004ABE" w:rsidRDefault="00004ABE" w:rsidP="00004ABE">
      <w:pPr>
        <w:rPr>
          <w:rFonts w:eastAsia="SimSun"/>
          <w:szCs w:val="22"/>
          <w:lang w:eastAsia="zh-CN"/>
        </w:rPr>
      </w:pPr>
    </w:p>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9606" w:type="dxa"/>
        <w:tblLook w:val="04A0" w:firstRow="1" w:lastRow="0" w:firstColumn="1" w:lastColumn="0" w:noHBand="0" w:noVBand="1"/>
      </w:tblPr>
      <w:tblGrid>
        <w:gridCol w:w="9606"/>
      </w:tblGrid>
      <w:tr w:rsidR="00004ABE" w:rsidRPr="00004ABE" w:rsidTr="00371A5E">
        <w:trPr>
          <w:cantSplit/>
        </w:trPr>
        <w:tc>
          <w:tcPr>
            <w:tcW w:w="9606"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606" w:type="dxa"/>
          </w:tcPr>
          <w:p w:rsidR="00004ABE" w:rsidRPr="00004ABE" w:rsidRDefault="00004ABE" w:rsidP="00004ABE">
            <w:pPr>
              <w:rPr>
                <w:rFonts w:eastAsia="SimSun"/>
                <w:szCs w:val="22"/>
                <w:lang w:eastAsia="zh-CN"/>
              </w:rPr>
            </w:pPr>
            <w:r w:rsidRPr="00004ABE">
              <w:rPr>
                <w:rFonts w:eastAsia="SimSun"/>
                <w:szCs w:val="22"/>
                <w:lang w:eastAsia="zh-CN"/>
              </w:rPr>
              <w:t>IP, Information and Communication Technologies (ICTs), the Digital Divide and Access to Knowledge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28</w:t>
      </w:r>
    </w:p>
    <w:p w:rsidR="00004ABE" w:rsidRPr="00004ABE" w:rsidRDefault="00004ABE" w:rsidP="00004ABE">
      <w:pPr>
        <w:rPr>
          <w:rFonts w:eastAsia="SimSun"/>
          <w:lang w:eastAsia="zh-CN"/>
        </w:rPr>
      </w:pPr>
      <w:r w:rsidRPr="00004ABE">
        <w:rPr>
          <w:rFonts w:eastAsia="SimSun"/>
          <w:lang w:eastAsia="zh-CN"/>
        </w:rPr>
        <w:t>“To explore supportive intellectual property-related policies and measures Member States, especially developed countries, could adopt for promoting transfer and dissemination of technology to developing countries.”</w:t>
      </w: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4"/>
        <w:gridCol w:w="2517"/>
      </w:tblGrid>
      <w:tr w:rsidR="00004ABE" w:rsidRPr="00004ABE" w:rsidTr="00371A5E">
        <w:trPr>
          <w:cantSplit/>
        </w:trPr>
        <w:tc>
          <w:tcPr>
            <w:tcW w:w="7054"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17"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Long-term Fellowship in Japan,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Long-term Fellowship in Japan, Thailand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 WTO Colloquium for Teachers of IP, Switzerland (2014-2017)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Seminar on Patents and their Impact on Innovation, Paraguay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“Strengthening national systems of innovation in developing countries, covering the entire technology cycle for climate technology” – UNFCCC TEC Workshop, Bonn, October 13 and 14,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Bibliography on Intellectual Property Arbitration and Mediation: WIPO Arbitration, Mediation, and Expert Determination Clauses:  http://www.wipo.int/amc/en/clauses/index.html</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Bibliography on Intellectual Property Arbitration and Mediation: WIPO Arbitration, Mediation, and Expert Determination Clauses:  http://www.wipo.int/amc/en/clauses/index.html</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Compilation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Subregional</w:t>
            </w:r>
            <w:proofErr w:type="spellEnd"/>
            <w:r w:rsidRPr="00004ABE">
              <w:rPr>
                <w:rFonts w:eastAsia="SimSun"/>
                <w:color w:val="000000"/>
                <w:szCs w:val="22"/>
                <w:lang w:eastAsia="zh-CN"/>
              </w:rPr>
              <w:t xml:space="preserve"> Seminar on International Technology Transfer and Open Innovation,  Katmandu, Nepal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University Technology Managers (AUTM)</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European Association of Research and Technology Organizations (EARTO)</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European Industrial Research Management Association (EIRMA)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Seminar on International Technology Transfer – Licensing and ADR with the Licensing Executives Society (LES) Italy, Management Dell’ </w:t>
            </w:r>
            <w:proofErr w:type="spellStart"/>
            <w:r w:rsidRPr="00004ABE">
              <w:rPr>
                <w:rFonts w:eastAsia="SimSun"/>
                <w:color w:val="000000"/>
                <w:szCs w:val="22"/>
                <w:lang w:eastAsia="zh-CN"/>
              </w:rPr>
              <w:t>Innovazione</w:t>
            </w:r>
            <w:proofErr w:type="spellEnd"/>
            <w:r w:rsidRPr="00004ABE">
              <w:rPr>
                <w:rFonts w:eastAsia="SimSun"/>
                <w:color w:val="000000"/>
                <w:szCs w:val="22"/>
                <w:lang w:eastAsia="zh-CN"/>
              </w:rPr>
              <w:t xml:space="preserve"> E </w:t>
            </w:r>
            <w:proofErr w:type="spellStart"/>
            <w:r w:rsidRPr="00004ABE">
              <w:rPr>
                <w:rFonts w:eastAsia="SimSun"/>
                <w:color w:val="000000"/>
                <w:szCs w:val="22"/>
                <w:lang w:eastAsia="zh-CN"/>
              </w:rPr>
              <w:t>Imprenditorialità</w:t>
            </w:r>
            <w:proofErr w:type="spellEnd"/>
            <w:r w:rsidRPr="00004ABE">
              <w:rPr>
                <w:rFonts w:eastAsia="SimSun"/>
                <w:color w:val="000000"/>
                <w:szCs w:val="22"/>
                <w:lang w:eastAsia="zh-CN"/>
              </w:rPr>
              <w:t>,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Ecuador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Malaysia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Sri Lanka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Thailand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Thailand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Algeria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Colombia (2015)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Niger (2017)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Workshop, South Africa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Patent Drafting Workshop, Tunisia (2017)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GCC Member States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Member and Observer States of ARIPO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Seminar on International Technology Transfer – Licensing and ADR with the Licensing Executives Society (LES) Italy, Management Dell’ </w:t>
            </w:r>
            <w:proofErr w:type="spellStart"/>
            <w:r w:rsidRPr="00004ABE">
              <w:rPr>
                <w:rFonts w:eastAsia="SimSun"/>
                <w:color w:val="000000"/>
                <w:szCs w:val="22"/>
                <w:lang w:eastAsia="zh-CN"/>
              </w:rPr>
              <w:t>Innovazione</w:t>
            </w:r>
            <w:proofErr w:type="spellEnd"/>
            <w:r w:rsidRPr="00004ABE">
              <w:rPr>
                <w:rFonts w:eastAsia="SimSun"/>
                <w:color w:val="000000"/>
                <w:szCs w:val="22"/>
                <w:lang w:eastAsia="zh-CN"/>
              </w:rPr>
              <w:t xml:space="preserve"> E </w:t>
            </w:r>
            <w:proofErr w:type="spellStart"/>
            <w:r w:rsidRPr="00004ABE">
              <w:rPr>
                <w:rFonts w:eastAsia="SimSun"/>
                <w:color w:val="000000"/>
                <w:szCs w:val="22"/>
                <w:lang w:eastAsia="zh-CN"/>
              </w:rPr>
              <w:t>Imprenditorialità</w:t>
            </w:r>
            <w:proofErr w:type="spellEnd"/>
            <w:r w:rsidRPr="00004ABE">
              <w:rPr>
                <w:rFonts w:eastAsia="SimSun"/>
                <w:color w:val="000000"/>
                <w:szCs w:val="22"/>
                <w:lang w:eastAsia="zh-CN"/>
              </w:rPr>
              <w:t>,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Patent Drafting Course, Jamaica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Patent Drafting Course, Jordan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WHO, WIPO, WTO Joint Symposium on Innovation and Access to Medical Technologies -Challenges and Opportunities for Middle-Income Countries, Switzerland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 xml:space="preserve">WHO, WIPO, WTO Joint Symposium on Public Health, Intellectual Property, and TRIPS at 20: Innovation and Access to Medicines; Learning from the Past, Illuminating the Future, Switzerland (2015)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FIT Australia IP Valuation Workshop,  Jakarta, Indonesian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IP Management and Training Workshop for senior researchers and scientists from developing countries that are Members of 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New York, United States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Patent Workshop on Practical Aspects of Patent Applications for the Industry University Researchers and Patent Agents, Paraguay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 - 2nd Regional Workshop for Training the Trainers on Patent Drafting, Uruguay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Establishing a Technology and Innovation Support Center (TISC) Network in Indonesia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Malaysia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Philippines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Creating an Enabling Intellectual Property Environment to Increase the Capacity for Innovation and Creativity: Inception Phase, Sri Lanka(2016,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Thailand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Viet Nam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Philippines (2015)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Malaysia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Philippines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Sri Lanka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Thailand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Thailand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Second Annual Multi-Stakeholder Forum on Science, Technology and Innovation for SDGs, New York, May 15 and 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Seminar on Patent Search, Mongolia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Seminar on Patent Search, Myanmar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Seminar on Patent Search, Thailand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of Trainers Workshop on Patent Database Searches and Development of Technology and Innovation Support Centers (TISCs), Sri Lanka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Technology and Innovation Support Center (TISC) Project Study Visit for SAARC Countries,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Side Event on Policies and Evidence to Support Climate Change Technology Transfer and Innovation – UNFCCC Climate Change Conference, Bonn, June 8,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WIPO/OEPM/AECID Regional Workshop for Training of Trainers on Patent Drafting,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Pakistan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the Islamic Republic of Iran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Patent Database Search Exercises,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Procedural Guidance and Training.</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 xml:space="preserve">Knowledge and Technology Transfer webpage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Establishment and development of Technology and Innovation Support Centers (TISCs)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Enabling IP Environment</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Sri Lanka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Re:Search</w:t>
            </w:r>
            <w:proofErr w:type="spellEnd"/>
            <w:r w:rsidRPr="00004ABE">
              <w:rPr>
                <w:rFonts w:eastAsia="SimSun"/>
                <w:color w:val="000000"/>
                <w:szCs w:val="22"/>
                <w:lang w:eastAsia="zh-CN"/>
              </w:rPr>
              <w:t xml:space="preserve"> research collaborations on neglected tropical diseases, malaria and tuberculosis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Inventor Assistance Program (IAP)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Brief: Incentivizing the Adoption of Green Technology on a Global Scale</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Report: Innovation and Diffusion of Green Technologies: The Role of Intellectual Property and Other Enabling Factors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Global Challenges Report: Strategic Review of WIPO </w:t>
            </w:r>
            <w:proofErr w:type="spellStart"/>
            <w:r w:rsidRPr="00004ABE">
              <w:rPr>
                <w:rFonts w:eastAsia="SimSun"/>
                <w:color w:val="000000"/>
                <w:szCs w:val="22"/>
                <w:lang w:eastAsia="zh-CN"/>
              </w:rPr>
              <w:t>Re:Search</w:t>
            </w:r>
            <w:proofErr w:type="spellEnd"/>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Report: The Changing Landscape of Medical Innovation: How Have Business Models Responded?</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Report: Vaccines: Accelerating Innovation and Access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WHO, WIPO, WTO Joint Technical Symposium on Antimicrobial Resistance: How to Foster Innovation, Access and Appropriate Use of Antibiotics? Summary of the Key Issues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Alternative Dispute Resolution (ADR) of R&amp;D/Technology Transfer Disputes: Recommended Contract Clauses and Submission Agreements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Alternative Dispute Resolution (ADR) of R&amp;D/Technology Transfer Disputes Recommended Contract Clauses and Submission Agreements: Anonymized technology transfer mediation and arbitration case examples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Green Case Study: Green Technology Diffusion: The Case of </w:t>
            </w:r>
            <w:proofErr w:type="spellStart"/>
            <w:r w:rsidRPr="00004ABE">
              <w:rPr>
                <w:rFonts w:eastAsia="SimSun"/>
                <w:color w:val="000000"/>
                <w:szCs w:val="22"/>
                <w:lang w:eastAsia="zh-CN"/>
              </w:rPr>
              <w:t>Arvivi</w:t>
            </w:r>
            <w:proofErr w:type="spellEnd"/>
            <w:r w:rsidRPr="00004ABE">
              <w:rPr>
                <w:rFonts w:eastAsia="SimSun"/>
                <w:color w:val="000000"/>
                <w:szCs w:val="22"/>
                <w:lang w:eastAsia="zh-CN"/>
              </w:rPr>
              <w:t xml:space="preserve"> Paraffin </w:t>
            </w:r>
            <w:proofErr w:type="spellStart"/>
            <w:r w:rsidRPr="00004ABE">
              <w:rPr>
                <w:rFonts w:eastAsia="SimSun"/>
                <w:color w:val="000000"/>
                <w:szCs w:val="22"/>
                <w:lang w:eastAsia="zh-CN"/>
              </w:rPr>
              <w:t>Cookstoves</w:t>
            </w:r>
            <w:proofErr w:type="spellEnd"/>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Green Case Study: Green Technology Diffusion: The Case of </w:t>
            </w:r>
            <w:proofErr w:type="spellStart"/>
            <w:r w:rsidRPr="00004ABE">
              <w:rPr>
                <w:rFonts w:eastAsia="SimSun"/>
                <w:color w:val="000000"/>
                <w:szCs w:val="22"/>
                <w:lang w:eastAsia="zh-CN"/>
              </w:rPr>
              <w:t>Ecosan</w:t>
            </w:r>
            <w:proofErr w:type="spellEnd"/>
            <w:r w:rsidRPr="00004ABE">
              <w:rPr>
                <w:rFonts w:eastAsia="SimSun"/>
                <w:color w:val="000000"/>
                <w:szCs w:val="22"/>
                <w:lang w:eastAsia="zh-CN"/>
              </w:rPr>
              <w:t xml:space="preserve"> Waterless Toilets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GREEN Database</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Specialized resource</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 in establishing IP management offices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Standing Committee on the Law of Patents (SCP): Items on "Transfer of Technology" have been on the agenda since the 14th session of the Standing Committee</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Committee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Intellectual Property and Technology Transfer: Common Challenges – Building Solutions</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29</w:t>
      </w:r>
    </w:p>
    <w:p w:rsidR="00004ABE" w:rsidRPr="00004ABE" w:rsidRDefault="00004ABE" w:rsidP="00004ABE">
      <w:pPr>
        <w:rPr>
          <w:rFonts w:eastAsia="SimSun"/>
          <w:lang w:eastAsia="zh-CN"/>
        </w:rPr>
      </w:pPr>
      <w:r w:rsidRPr="00004ABE">
        <w:rPr>
          <w:rFonts w:eastAsia="SimSun"/>
          <w:lang w:eastAsia="zh-CN"/>
        </w:rPr>
        <w:t>“To include discussions on intellectual property -related technology transfer issues within the mandate of an appropriate WIPO body.”</w:t>
      </w: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lastRenderedPageBreak/>
        <w:t>Services and Activities</w:t>
      </w:r>
    </w:p>
    <w:tbl>
      <w:tblPr>
        <w:tblStyle w:val="TableGrid"/>
        <w:tblW w:w="0" w:type="auto"/>
        <w:tblLook w:val="04A0" w:firstRow="1" w:lastRow="0" w:firstColumn="1" w:lastColumn="0" w:noHBand="0" w:noVBand="1"/>
      </w:tblPr>
      <w:tblGrid>
        <w:gridCol w:w="7054"/>
        <w:gridCol w:w="2517"/>
      </w:tblGrid>
      <w:tr w:rsidR="00004ABE" w:rsidRPr="00004ABE" w:rsidTr="00371A5E">
        <w:trPr>
          <w:cantSplit/>
        </w:trPr>
        <w:tc>
          <w:tcPr>
            <w:tcW w:w="7054" w:type="dxa"/>
            <w:vAlign w:val="center"/>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17" w:type="dxa"/>
            <w:vAlign w:val="center"/>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Successful Technology Licensing (STL) course, Brazil</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Successful Technology Licensing (STL) course, Italy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 WTO Colloquium for Teachers of IP, Switzerland (2014-2017)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Management for Universities, Brunei Darussalam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Subregional</w:t>
            </w:r>
            <w:proofErr w:type="spellEnd"/>
            <w:r w:rsidRPr="00004ABE">
              <w:rPr>
                <w:rFonts w:eastAsia="SimSun"/>
                <w:color w:val="000000"/>
                <w:szCs w:val="22"/>
                <w:lang w:eastAsia="zh-CN"/>
              </w:rPr>
              <w:t xml:space="preserve"> Workshop on IP Commercialization "Working Together" for Technology Transfer Offices in the Region, Belgrade, Serbia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Sub- regional Workshop for Technology Transfer Offices, Skopje, FYR Macedonia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"Working Together for Promoting Knowledge Transfer and IP Commercialization in Georgia",  Tbilisi, Georgia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Advanced Successful Technology Licensing, Vietnam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Bridging the Gap between the Universities and Industry, Joint Training Program for Universities and SMEs, Philippines, Malaysia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IP Valuation Course in the framework of UC Davis Licensing Academy in collaboration with PIPRA and UC Davis for technology managers, including from developing countries, UC Davis, United States of America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Licensing and IP Valuation, Iran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Roving Seminar on IP Valuation and Technology Transfer for Universities, Klaipeda and Kaunas, Lithuania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Sub – Regional IP Valuation Workshop, Sibiu, Romania (2015)</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Sub – regional Workshop on IP Commercialization "Working Together" for Technology Transfer Offices in the Region, Belgrade, Serbia (2014)</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Brazil (2015)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Philippines (2015)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Serbia (2015)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 xml:space="preserve">IP Marketing and Valuation, Training Program, Baltic States Project, Lithuania (2017)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IPR Asset Management Strategy, Baltic States Project, Estonia (2017)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Knowledge Transfer Round-Table for Delegation of Romanian Inventors, Switzerland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(2016)</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Mauritania (2016)</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Training Program on IP Marketing and Valuation, Chile (2016)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Presentation on TISC Program, University of </w:t>
            </w:r>
            <w:proofErr w:type="spellStart"/>
            <w:r w:rsidRPr="00004ABE">
              <w:rPr>
                <w:rFonts w:eastAsia="SimSun"/>
                <w:color w:val="000000"/>
                <w:szCs w:val="22"/>
                <w:lang w:eastAsia="zh-CN"/>
              </w:rPr>
              <w:t>Tlemcen</w:t>
            </w:r>
            <w:proofErr w:type="spellEnd"/>
            <w:r w:rsidRPr="00004ABE">
              <w:rPr>
                <w:rFonts w:eastAsia="SimSun"/>
                <w:color w:val="000000"/>
                <w:szCs w:val="22"/>
                <w:lang w:eastAsia="zh-CN"/>
              </w:rPr>
              <w:t>, Algeria, (April 26,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Conference on Results of the National TTO Project in Tunisia, Sharing Knowledge and Lessons Learned, Tunisia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Meeting on the Development of an IP Policy and Strategy in the Universities and Research Institutions to Facilitate the Transfer of Technology to the Industrial Sector, Morocco (2016)</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Workshop on the Outcome of WIPO Pilot Technology Transfer Offices (TTO) Project in Tunisia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Second Annual Multi-Stakeholder Forum on Science, Technology and Innovation for SDGs, New York, May 15 and 16,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Technology and Innovation Support Centers (TISCs) and the Use of Patent Information, Algeria (2016)</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the efficiency of TISC National Network, Mauritania (November 21 to 23,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Meeting Creation and Management of Start-Ups, Serbia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TISC Seminar, Oran, Algeria (December 13 and 14,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workshop on TISC, Oman, (March 20 to 22,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Inter-Regional TTO Meeting "Working Together on Academic IP Commercialization in the Region", Czech Republic (2016)</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Seminar on Basic Patent Analytics for Member States of the Eurasian Patent Organization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TISC Network, Oman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on Establishing a Technology and Innovation Support Centers (TISCs) Network, Jordan (2016)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TISCs Network for Selected Arab Countries, Jordan (2017)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Knowledge and Technology Transfer webpage </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Baltic States Pilot Project on Establishment of Regional Pool of Experts on Academic IP Commercialization</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Evaluation and Development of the Technology and Innovation Support Center (TISC) National Project in Egypt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TISCs Clinic Services as Pilot Project in Morocco providing pro bono assistance to eligible inventors, Morocco (2015)</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Enabling IP Environment</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 FIT Australia Program on the Bridging the Gap between the Academic Institutions and Industry, Philippines (2017)</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Standing Committee on the Law of Patents (SCP): Items on "Transfer of Technology" have been on the agenda since the 14th session of the Standing Committee</w:t>
            </w:r>
          </w:p>
        </w:tc>
        <w:tc>
          <w:tcPr>
            <w:tcW w:w="2517" w:type="dxa"/>
            <w:vAlign w:val="center"/>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Committee</w:t>
            </w:r>
          </w:p>
        </w:tc>
      </w:tr>
    </w:tbl>
    <w:p w:rsidR="00004ABE" w:rsidRPr="00004ABE" w:rsidRDefault="00004ABE" w:rsidP="00004ABE">
      <w:pPr>
        <w:rPr>
          <w:rFonts w:eastAsia="SimSun"/>
          <w:szCs w:val="22"/>
          <w:lang w:eastAsia="zh-CN"/>
        </w:rPr>
      </w:pPr>
    </w:p>
    <w:p w:rsidR="00004ABE" w:rsidRPr="00004ABE" w:rsidRDefault="00004ABE" w:rsidP="00004ABE">
      <w:pPr>
        <w:rPr>
          <w:rFonts w:eastAsia="SimSun"/>
          <w:szCs w:val="22"/>
          <w:lang w:eastAsia="zh-CN"/>
        </w:rPr>
      </w:pPr>
    </w:p>
    <w:p w:rsidR="00004ABE" w:rsidRPr="00004ABE" w:rsidRDefault="00004ABE" w:rsidP="00004ABE">
      <w:pPr>
        <w:keepNext/>
        <w:keepLines/>
        <w:spacing w:before="240" w:after="60"/>
        <w:outlineLvl w:val="1"/>
        <w:rPr>
          <w:rFonts w:eastAsia="SimSun"/>
          <w:bCs/>
          <w:iCs/>
          <w:caps/>
          <w:szCs w:val="22"/>
          <w:lang w:eastAsia="zh-CN"/>
        </w:rPr>
      </w:pPr>
      <w:r w:rsidRPr="00004ABE">
        <w:rPr>
          <w:rFonts w:eastAsia="SimSun"/>
          <w:bCs/>
          <w:iCs/>
          <w:caps/>
          <w:szCs w:val="22"/>
          <w:lang w:eastAsia="zh-CN"/>
        </w:rPr>
        <w:t>Recommendation 30</w:t>
      </w:r>
    </w:p>
    <w:p w:rsidR="00004ABE" w:rsidRPr="00004ABE" w:rsidRDefault="00004ABE" w:rsidP="00004ABE">
      <w:pPr>
        <w:keepNext/>
        <w:keepLines/>
        <w:rPr>
          <w:rFonts w:eastAsia="SimSun"/>
          <w:lang w:eastAsia="zh-CN"/>
        </w:rPr>
      </w:pPr>
      <w:r w:rsidRPr="00004ABE">
        <w:rPr>
          <w:rFonts w:eastAsia="SimSun"/>
          <w:lang w:eastAsia="zh-CN"/>
        </w:rP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004ABE" w:rsidRPr="00004ABE" w:rsidRDefault="00004ABE" w:rsidP="00004ABE">
      <w:pPr>
        <w:keepNext/>
        <w:keepLines/>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4"/>
        <w:gridCol w:w="2517"/>
      </w:tblGrid>
      <w:tr w:rsidR="00004ABE" w:rsidRPr="00004ABE" w:rsidTr="00371A5E">
        <w:trPr>
          <w:cantSplit/>
        </w:trPr>
        <w:tc>
          <w:tcPr>
            <w:tcW w:w="7054" w:type="dxa"/>
          </w:tcPr>
          <w:p w:rsidR="00004ABE" w:rsidRPr="00004ABE" w:rsidRDefault="00004ABE" w:rsidP="00004ABE">
            <w:pPr>
              <w:keepNext/>
              <w:keepLines/>
              <w:rPr>
                <w:rFonts w:eastAsia="SimSun"/>
                <w:b/>
                <w:szCs w:val="22"/>
                <w:lang w:eastAsia="zh-CN"/>
              </w:rPr>
            </w:pPr>
            <w:r w:rsidRPr="00004ABE">
              <w:rPr>
                <w:rFonts w:eastAsia="SimSun"/>
                <w:b/>
                <w:szCs w:val="22"/>
                <w:lang w:eastAsia="zh-CN"/>
              </w:rPr>
              <w:t>Title</w:t>
            </w:r>
          </w:p>
        </w:tc>
        <w:tc>
          <w:tcPr>
            <w:tcW w:w="2517" w:type="dxa"/>
          </w:tcPr>
          <w:p w:rsidR="00004ABE" w:rsidRPr="00004ABE" w:rsidRDefault="00004ABE" w:rsidP="00004ABE">
            <w:pPr>
              <w:keepNext/>
              <w:keepLines/>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4" w:type="dxa"/>
          </w:tcPr>
          <w:p w:rsidR="00004ABE" w:rsidRPr="00004ABE" w:rsidRDefault="00004ABE" w:rsidP="00004ABE">
            <w:pPr>
              <w:keepNext/>
              <w:keepLines/>
              <w:rPr>
                <w:rFonts w:eastAsia="SimSun"/>
                <w:color w:val="000000"/>
                <w:szCs w:val="22"/>
                <w:lang w:eastAsia="zh-CN"/>
              </w:rPr>
            </w:pPr>
            <w:r w:rsidRPr="00004ABE">
              <w:rPr>
                <w:rFonts w:eastAsia="SimSun"/>
                <w:color w:val="000000"/>
                <w:szCs w:val="22"/>
                <w:lang w:eastAsia="zh-CN"/>
              </w:rPr>
              <w:t>Long-term Fellowship in Japan, Philippines (2016)</w:t>
            </w:r>
          </w:p>
        </w:tc>
        <w:tc>
          <w:tcPr>
            <w:tcW w:w="2517" w:type="dxa"/>
          </w:tcPr>
          <w:p w:rsidR="00004ABE" w:rsidRPr="00004ABE" w:rsidRDefault="00004ABE" w:rsidP="00004ABE">
            <w:pPr>
              <w:keepNext/>
              <w:keepLines/>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Long-term Fellowship in Japan, Thailand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Side Event with IHP UNESCO at the World Water Week, Stockholm, August 31 to September 6,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Subregional</w:t>
            </w:r>
            <w:proofErr w:type="spellEnd"/>
            <w:r w:rsidRPr="00004ABE">
              <w:rPr>
                <w:rFonts w:eastAsia="SimSun"/>
                <w:color w:val="000000"/>
                <w:szCs w:val="22"/>
                <w:lang w:eastAsia="zh-CN"/>
              </w:rPr>
              <w:t xml:space="preserve"> Seminar on International Technology Transfer and Open Innovation,  Katmandu, Nepal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Dominican Republic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Peru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Senegal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Workshop on Technology Transfer, Valuation and Dispute Resolution for TISC Staff and R&amp;D Centers, Colombia (2016)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 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Drafting Training for Member and Observer States of the African Regional Intellectual Property Organization (ARIPO)(2015)</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GCC Member States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Regional Patent Drafting Course for Member and Observer States of ARIPO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of Trainers’ Workshop on the Effective Use of Technical and Scientific Information, Nigeria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TISCs Seminar on the Access to Technical and Scientific Information, Training of Trainers and Official TISCs Launch, Djibouti (2016)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FIT Australia IP Valuation Workshop,  Jakarta, Indonesian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 - 2nd Regional Workshop for Training the Trainers on Patent Drafting, Uruguay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WIPO/OEPM in collaboration with MIEM - 2nd Regional Workshop for Training the Trainers on Patent Drafting, Uruguay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Establishing a Technology and Innovation Support Center (TISC) Network in Indonesia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Jamaica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21st session of the Intergovernmental Council of the International Hydrological Program (IHP), UNESCO, Paris, June 18 to 20,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3rd International Conference on Water Resources and Environmental Management (ICWRE-2014), Antalya, May 13 to 15, 2014</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Malaysia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Philippines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Sri Lanka(2016,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Thailand (2016,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Viet Nam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Philippines (2015)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Malaysia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Philippines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Sri Lanka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Thailand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Thailand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Argentina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Cameroon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Central African Republic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National Seminar for Technology and Innovation Support Centers (TISCs), Cuba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Guatemala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Guinea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Mali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Mauritania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Nicaragua,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Panama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Uzbekistan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Innovation and Added Value based on Technological Information, and Competitive Intelligence for TISC Staff, Universities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Technology and Innovation Support Centers (TISCs) and the Use of Patent Information, Algeria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Intellectual Property Workshop for Young Innovators: From Idea to the Market Place, Botswana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Seminar on Patent Search, Mongolia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Seminar on Patent Search, Myanmar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Seminar on Patent Search, Thailand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Workshop on the Effective Use of Technical and Scientific Information, Malawi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of Trainers’ Workshop on the Effective Use of Technical and Scientific Information, Tanzania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Workshop on the Effectiveness of the National Network, Nigeria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of Trainers Workshop on Patent Database Searches and Development of Technology and Innovation Support Centers (TISCs), Sri Lanka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Workshop on Patent information, Search Strategies and Tech-Transfer for National TISC network, Guatemala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Using the Guidelines for Preparing Patent Landscape Reports and the Manual on Free and Open Source Tools for Patent Analytics, Brazil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National Workshop on Basic Patent Analytics using the Guidelines for Preparing Patent Landscape Reports and the Manual on Free and Open Source Tools for Patent Analytics, South Africa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Colombia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Seminar on Basic Patent Analytics for Member States of the Eurasian Patent Organization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Technology and Innovation Support Center (TISC) Project Study Visit for SAARC Countries,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WIPO/IDB IP Commercialization and Technology Transfer Cohort/Team Induction Program, Trinidad and Tobago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WIPO/OEPM/AECID Regional Workshop for Training of Trainers on Industrial Property: Drafting of Patent Applications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WIPO/OEPM/AECID Regional Workshop for Training of Trainers on Patent Drafting,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Armenia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Pakistan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the Islamic Republic of Iran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Establishing a TISC Network, Oman (2017)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on Establishing a Technology and Innovation Support Center (TISC) Network in Belarus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on Establishing a Technology and Innovation Support Center (TISC) Network in the Kyrgyz Republic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on Establishing a Technology and Innovation Support Center (TISC) Network in the Republic of Azerbaijan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on Establishing a Technology and Innovation Support Centers (TISCs) Network, Jordan (2016)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IP Strategies, Patent Information and Technological Solutions,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Patent Database Search Exercises, Philippines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Patent Search Strategies and Techniques and on Establishing Technology and Innovation Support Centers (TISCs) in Botswana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TISCs Network for Selected Arab Countries, Jordan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WIPO/IDB IP Commercialization and Technology Transfer Training Course, Barbados, Jamaica, Trinidad and Tobago (2016-2017)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WIPO/OEPM - Regional Workshop for Training the Trainers on Patent Drafting, Colombia (2016)</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proofErr w:type="spellStart"/>
            <w:r w:rsidRPr="00004ABE">
              <w:rPr>
                <w:rFonts w:eastAsia="SimSun"/>
                <w:color w:val="000000"/>
                <w:szCs w:val="22"/>
                <w:lang w:eastAsia="zh-CN"/>
              </w:rPr>
              <w:t>eTISC</w:t>
            </w:r>
            <w:proofErr w:type="spellEnd"/>
            <w:r w:rsidRPr="00004ABE">
              <w:rPr>
                <w:rFonts w:eastAsia="SimSun"/>
                <w:color w:val="000000"/>
                <w:szCs w:val="22"/>
                <w:lang w:eastAsia="zh-CN"/>
              </w:rPr>
              <w:t xml:space="preserve"> knowledge management platform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Access to Research for Development and Innovation program (ARDI)</w:t>
            </w:r>
          </w:p>
          <w:p w:rsidR="00004ABE" w:rsidRPr="00004ABE" w:rsidRDefault="00004ABE" w:rsidP="00004ABE">
            <w:pPr>
              <w:rPr>
                <w:rFonts w:eastAsia="SimSun"/>
                <w:color w:val="000000"/>
                <w:szCs w:val="22"/>
                <w:lang w:eastAsia="zh-CN"/>
              </w:rPr>
            </w:pPr>
            <w:r w:rsidRPr="00004ABE">
              <w:rPr>
                <w:rFonts w:eastAsia="SimSun"/>
                <w:color w:val="000000"/>
                <w:szCs w:val="22"/>
                <w:lang w:eastAsia="zh-CN"/>
              </w:rPr>
              <w:t>Provides free or low cost access to scientific and technical content for organizations in developing countries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Access to Specialized Patent Information program (ASPI)</w:t>
            </w:r>
            <w:r w:rsidRPr="00004ABE">
              <w:rPr>
                <w:rFonts w:eastAsia="SimSun"/>
                <w:color w:val="000000"/>
                <w:szCs w:val="22"/>
                <w:lang w:eastAsia="zh-CN"/>
              </w:rPr>
              <w:br/>
              <w:t>Provides free or low cost access to commercial patent search and analysis tools for organizations in developing countries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Federal Ministry of Economics and Technology (</w:t>
            </w:r>
            <w:proofErr w:type="spellStart"/>
            <w:r w:rsidRPr="00004ABE">
              <w:rPr>
                <w:rFonts w:eastAsia="SimSun"/>
                <w:color w:val="000000"/>
                <w:szCs w:val="22"/>
                <w:lang w:eastAsia="zh-CN"/>
              </w:rPr>
              <w:t>BMWi</w:t>
            </w:r>
            <w:proofErr w:type="spellEnd"/>
            <w:r w:rsidRPr="00004ABE">
              <w:rPr>
                <w:rFonts w:eastAsia="SimSun"/>
                <w:color w:val="000000"/>
                <w:szCs w:val="22"/>
                <w:lang w:eastAsia="zh-CN"/>
              </w:rPr>
              <w:t>) Germany</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Establishment and development of Technology and Innovation Support Centers (TISCs)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Enabling IP Environment</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Establishing Technology and Innovation Support Centers (TISCs) in Ugandan Universities, Uganda (2017)</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Sri Lanka</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Inventor Assistance Program (IAP) </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Guidelines for Preparing Patent Landscape Reports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Animal Genetic Resources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Assistive Devices and Technologies for Visually and Hearing Impaired Persons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Microalgae-Related Technologies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Palm Oil Production and Waste Treatment Technologies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Manual on Open Source Tools for Patent Analytics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4"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 in establishing IP management offices</w:t>
            </w:r>
          </w:p>
        </w:tc>
        <w:tc>
          <w:tcPr>
            <w:tcW w:w="2517"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Developing Tools for Access to Patent information – Phase I</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Developing Tools for Access to Patent information – Phase II</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Capacity Building in the Use of Appropriate Technology-Specific Technical and Scientific Information as a Solution for Identified Development Challenges</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Capacity-Building in the Use of Appropriate Technology Specific Technical and Scientific Information as a Solution for Identified Development Challenges - Phase II</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31</w:t>
      </w:r>
    </w:p>
    <w:p w:rsidR="00004ABE" w:rsidRPr="00004ABE" w:rsidRDefault="00004ABE" w:rsidP="00004ABE">
      <w:pPr>
        <w:rPr>
          <w:rFonts w:eastAsia="SimSun"/>
          <w:lang w:eastAsia="zh-CN"/>
        </w:rPr>
      </w:pPr>
      <w:r w:rsidRPr="00004ABE">
        <w:rPr>
          <w:rFonts w:eastAsia="SimSun"/>
          <w:lang w:eastAsia="zh-CN"/>
        </w:rPr>
        <w:t>“To undertake initiatives agreed by Member States, which contribute to transfer of technology to developing countries, such as requesting WIPO to facilitate better access to publicly available patent information.”</w:t>
      </w: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1"/>
        <w:gridCol w:w="2520"/>
      </w:tblGrid>
      <w:tr w:rsidR="00004ABE" w:rsidRPr="00004ABE" w:rsidTr="00371A5E">
        <w:trPr>
          <w:cantSplit/>
        </w:trPr>
        <w:tc>
          <w:tcPr>
            <w:tcW w:w="705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20"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Long-term Fellowship in Japan, Philippines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Long-term Fellowship in Japan, Thailand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WTO Advanced Trade Policy Course for Policy Makers and Government Officials, Geneva (2014-2017)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Patent Information (DL-318) in English, French and Spanish (2014-2017)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 WTO Colloquium for Teachers of IP, Switzerland (2014-2017)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Joint Master's Programs on Intellectual Property (MIP and LLM) (including lectures and exercises relating to technology transfer) (2014-2017)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Seminar on Patents and their Impact on Innovation, Paraguay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Summer Schools Program includes sessions on technology transfer and technology licensing activities. The WIPO South Africa Summer School focuses specifically on IP and transfer of technology (2014-2017)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WIPO-CEIPI Advanced Training Course on Intellectual Property, Transfer of Technology and Licensing</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Distance Learning Course on Basics of Patent Drafting (DL-320) in Arabic, Chinese, English, French, Portuguese, Russian and Spanish (2014-2017)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Awareness-raising and training program</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Side Event with IHP UNESCO at the World Water Week, Stockholm, August 31 to September 6,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WIPO/IRENA Side Event on Renewable Energy Technologies: Technology Trends, Patents and Policy Implications – UNFCCC Bonn Climate Change Conference, June 13,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Dominican Republic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Peru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Senegal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Workshop on Technology Transfer, Valuation and Dispute Resolution for TISC Staff and R&amp;D Centers, Colombia (2016)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of Trainers’ Workshop on the Effective Use of Technical and Scientific Information, Nigeria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TISCs Seminar on the Access to Technical and Scientific Information, Training of Trainers and Official TISCs Launch, Djibouti (2016)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FIT Australia IP Valuation Workshop,  Jakarta, Indonesian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 FIT Australia Program on IP Marketing and Valuation, Jakarta, Indonesia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participation in IRENA Side event on IRENA’s Interactive Web Tool on International Standards and Patents in Renewable Energy – UNFCCC Climate Change Conference, Bonn, June 5, 2015</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WIPO </w:t>
            </w:r>
            <w:proofErr w:type="spellStart"/>
            <w:r w:rsidRPr="00004ABE">
              <w:rPr>
                <w:rFonts w:eastAsia="SimSun"/>
                <w:color w:val="000000"/>
                <w:szCs w:val="22"/>
                <w:lang w:eastAsia="zh-CN"/>
              </w:rPr>
              <w:t>Subregional</w:t>
            </w:r>
            <w:proofErr w:type="spellEnd"/>
            <w:r w:rsidRPr="00004ABE">
              <w:rPr>
                <w:rFonts w:eastAsia="SimSun"/>
                <w:color w:val="000000"/>
                <w:szCs w:val="22"/>
                <w:lang w:eastAsia="zh-CN"/>
              </w:rPr>
              <w:t xml:space="preserve"> Seminar on International Technology Transfer and Open Innovation,  Katmandu, Nepal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WIPO Sub-regional Workshop on WIPO Pilot Project for Universities and Research Centers in Central American Countries, Panama Knowledge City, Panama (2015)</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Establishing a Technology and Innovation Support Center (TISC) Network in Indonesia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Jamaica</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21st session of the Intergovernmental Council of the International Hydrological Program (IHP), UNESCO, Paris, June 18 to 20,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3rd International Conference on Water Resources and Environmental Management (ICWRE-2014), Antalya, May 13 to 15, 2014</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4th Regional Workshop on Industrial Property and Technology Transfer, El Salvador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Malaysia (2016,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Philippines (2016,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Sri Lanka(2016,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Thailand (2016,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Creating an Enabling Intellectual Property Environment to Increase the Capacity for Innovation and Creativity: Inception Phase, Viet Nam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Brazil (2015)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Philippines (2015)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(advanced STL course), Serbia (2015)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 Marketing and Valuation, Training Program, Baltic States Project, Lithuania (2017)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IPR Asset Management Strategy, Baltic States Project, Estonia (2017)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Malaysia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Philippines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Sri Lanka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National Patent Drafting Course to contribute to the training provided for effective innovation support services, Thailand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Patent Drafting Course to contribute to the training provided for effective innovation support services, Thailand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Argentina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Cameroon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Central African Republic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Cuba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Djibouti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Guatemala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Guinea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Mali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Mauritania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Nicaragua,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Panama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Uzbekistan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on IP and Innovations, Uzbekistan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National Training Program on IP Marketing and Valuation, Chile (2016)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Innovation and Added Value based on Technological Information, and Competitive Intelligence for TISC Staff, Universities and R&amp;D centers, Colombia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Agreements, Mexico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IP and Public Policies for Innovation and Technology Transfer, Peru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Seminar on Technology and Innovation Support Centers (TISCs) and the Use of Patent Information, Algeria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Sub-Regional Intellectual Property Workshop for Young Innovators: From Idea to the Market Place, Botswana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Sub-regional Seminar on IP and Technology Transfer, Costa Rica (2017)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Sub-regional Workshop on the Use of IP Tools related to Technology Transfer, Costa Rica (2017)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Seminar on Patent Search, Mongolia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Technology and Innovation Support Centers (TISCs) Training Seminar on Patent Search, Myanmar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Seminar on Patent Search, Thailand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Workshop on the Effective Use of Technical and Scientific Information, Malawi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Training of Trainers’ Workshop on the Effective Use of Technical and Scientific Information, Tanzania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Technology and Innovation Support Centers (TISCs): Workshop on the Effectiveness of the National Network, Nigeria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of Trainers Workshop on Patent Database Searches and Development of Technology and Innovation Support Centers (TISCs), Sri Lanka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Training Workshop on Patent information, Search Strategies and Tech-Transfer for National TISC network, Guatemala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Using the Guidelines for Preparing Patent Landscape Reports and the Manual on Free and Open Source Tools for Patent Analytics, Brazil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using the Guidelines for Preparing Patent Landscape Reports and the Manual on Free and Open Source Tools for Patent Analytics, South Africa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using the Guidelines for Preparing Patent Landscape Reports and the Manual on Free and Open Source Tools for Patent Analytics, South Africa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National Workshop on Basic Patent Analytics, Colombia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Patent Workshop on Practical Aspects of Patent Applications for the Industry, University Researchers and Patent Agents, Paraguay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Seminar on Basic Patent Analytics for Member States of the Eurasian Patent Organization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Regional Technology and Innovation Support Center (TISC) Project Study Visit for SAARC Countries, Philippines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WIPO/IDB IP Commercialization and Technology Transfer Cohort/Team Induction Program, Trinidad and Tobago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Armenia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Pakistan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Establishing a Technology and Innovation Support Center (TISC) Network in the Islamic Republic of Iran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Establishing a TISC Network, Oman (2017)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on Establishing a Technology and Innovation Support Center (TISC) Network in Belarus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Workshop on Access to Technology for Innovation and on Establishing a Technology and Innovation Support Center (TISC) Network in the Kyrgyz Republic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Access to Technology for Innovation and on Establishing a Technology and Innovation Support Center (TISC) Network in the Republic of Azerbaijan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Workshop on Access to Technology for Innovation and on Establishing a Technology and Innovation Support Centers (TISCs) Network, Jordan (2016)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IP Strategies, Patent Information and Technological Solutions, Colombia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Patent Database Search Exercises, Philippines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Patent Search Strategies and Techniques and on Establishing Technology and Innovation Support Centers (TISCs) in Botswana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Technology Transfer, Chile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the Use of Tools for Technology Transfer, Peru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Workshop on TISCs Network for Selected Arab Countries, Jordan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WIPO/IDB IP Commercialization and Technology Transfer Training Course, Barbados, Jamaica, Trinidad and Tobago (2016-2017)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proofErr w:type="spellStart"/>
            <w:r w:rsidRPr="00004ABE">
              <w:rPr>
                <w:rFonts w:eastAsia="SimSun"/>
                <w:color w:val="000000"/>
                <w:szCs w:val="22"/>
                <w:lang w:eastAsia="zh-CN"/>
              </w:rPr>
              <w:t>eTISC</w:t>
            </w:r>
            <w:proofErr w:type="spellEnd"/>
            <w:r w:rsidRPr="00004ABE">
              <w:rPr>
                <w:rFonts w:eastAsia="SimSun"/>
                <w:color w:val="000000"/>
                <w:szCs w:val="22"/>
                <w:lang w:eastAsia="zh-CN"/>
              </w:rPr>
              <w:t xml:space="preserve"> knowledge management platform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Information webpage </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Access to Research for Development and Innovation program (ARDI)</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Access to Specialized Patent Information program (ASPI)</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Partnership</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Baltic States Pilot Project on Establishment of Regional Pool of Experts on Academic IP Commercialization</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Establishment and development of Technology and Innovation Support Centers (TISCs)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IP Commercialization Coaching Session for TTOs in Tunisia, National TTO-Pilot Project, Tunisia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Pilot Project for the "Establishment of TTOs in Tunisia" (2015)</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Enabling IP Environment</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Establishing Technology and Innovation Support Centers (TISCs) in Ugandan Universities, Uganda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Cameroon</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 to support Member States to integrate IP and knowledge transfer considerations into their IP Strategies, Sri Lanka</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Project to support Member States to integrate IP and knowledge transfer considerations into their IP Strategies, Trinidad and Tobago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GREEN regional matchmaking projects Focus on specific fields of technology</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Inventor Assistance Program (IAP)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Project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Global Challenges Brief: The Acceleration of Climate Change and Mitigation Technologies: Intellectual Property Trends in the Renewable Energy Landscape</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Renewable Energy Technology: Evolution and Policy Implications - Evidence from Patent Literature</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Guidelines for Preparing Patent Landscape Reports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Animal Genetic Resources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Assistive Devices and Technologies for Visually and Hearing Impaired Persons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Patent Landscape Report on Microalgae-Related Technologies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lastRenderedPageBreak/>
              <w:t>Patent Landscape Report on Palm Oil Production and Waste Treatment Technologies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Manual on Open Source Tools for Patent Analytics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WIPO GREEN Database</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Specialized resource</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 in establishing IP management offices</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Technical assistance</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Developing Tools for Access to Patent information – Phase I</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Developing Tools for Access to Patent information – Phase II</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Capacity Building in the Use of Appropriate Technology-Specific Technical and Scientific Information as a Solution for Identified Development Challenges</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Project on Capacity-Building in the Use of Appropriate Technology Specific Technical and Scientific Information as a Solution for Identified Development Challenges - Phase II</w:t>
            </w:r>
          </w:p>
        </w:tc>
      </w:tr>
    </w:tbl>
    <w:p w:rsidR="00004ABE" w:rsidRPr="00004ABE" w:rsidRDefault="00004ABE" w:rsidP="00004ABE">
      <w:pPr>
        <w:rPr>
          <w:rFonts w:eastAsia="SimSun"/>
          <w:szCs w:val="22"/>
          <w:lang w:eastAsia="zh-CN"/>
        </w:rPr>
      </w:pPr>
    </w:p>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1"/>
        <w:rPr>
          <w:rFonts w:eastAsia="SimSun"/>
          <w:bCs/>
          <w:iCs/>
          <w:caps/>
          <w:szCs w:val="22"/>
          <w:lang w:eastAsia="zh-CN"/>
        </w:rPr>
      </w:pPr>
      <w:r w:rsidRPr="00004ABE">
        <w:rPr>
          <w:rFonts w:eastAsia="SimSun"/>
          <w:bCs/>
          <w:iCs/>
          <w:caps/>
          <w:szCs w:val="22"/>
          <w:lang w:eastAsia="zh-CN"/>
        </w:rPr>
        <w:t>Recommendation 32</w:t>
      </w:r>
    </w:p>
    <w:p w:rsidR="00004ABE" w:rsidRPr="00004ABE" w:rsidRDefault="00004ABE" w:rsidP="00004ABE">
      <w:pPr>
        <w:rPr>
          <w:rFonts w:eastAsia="SimSun"/>
          <w:lang w:eastAsia="zh-CN"/>
        </w:rPr>
      </w:pPr>
      <w:proofErr w:type="gramStart"/>
      <w:r w:rsidRPr="00004ABE">
        <w:rPr>
          <w:rFonts w:eastAsia="SimSun"/>
          <w:lang w:eastAsia="zh-CN"/>
        </w:rPr>
        <w:t>“To have within WIPO opportunity for exchange of national and regional experiences and information on the links between IPRs and competition policies.”</w:t>
      </w:r>
      <w:proofErr w:type="gramEnd"/>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Services and Activities</w:t>
      </w:r>
    </w:p>
    <w:tbl>
      <w:tblPr>
        <w:tblStyle w:val="TableGrid"/>
        <w:tblW w:w="0" w:type="auto"/>
        <w:tblLook w:val="04A0" w:firstRow="1" w:lastRow="0" w:firstColumn="1" w:lastColumn="0" w:noHBand="0" w:noVBand="1"/>
      </w:tblPr>
      <w:tblGrid>
        <w:gridCol w:w="7051"/>
        <w:gridCol w:w="2520"/>
      </w:tblGrid>
      <w:tr w:rsidR="00004ABE" w:rsidRPr="00004ABE" w:rsidTr="00371A5E">
        <w:trPr>
          <w:cantSplit/>
        </w:trPr>
        <w:tc>
          <w:tcPr>
            <w:tcW w:w="705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c>
          <w:tcPr>
            <w:tcW w:w="2520" w:type="dxa"/>
          </w:tcPr>
          <w:p w:rsidR="00004ABE" w:rsidRPr="00004ABE" w:rsidRDefault="00004ABE" w:rsidP="00004ABE">
            <w:pPr>
              <w:rPr>
                <w:rFonts w:eastAsia="SimSun"/>
                <w:b/>
                <w:szCs w:val="22"/>
                <w:lang w:eastAsia="zh-CN"/>
              </w:rPr>
            </w:pPr>
            <w:r w:rsidRPr="00004ABE">
              <w:rPr>
                <w:rFonts w:eastAsia="SimSun"/>
                <w:b/>
                <w:szCs w:val="22"/>
                <w:lang w:eastAsia="zh-CN"/>
              </w:rPr>
              <w:t>Type</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Seminar for Technology and Innovation Support Centers (TISCs), Uzbekistan (2017)</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National Workshop on Technology Transfer, Valuation and Dispute Resolution for TISC staff and R&amp;D Centers, Colombia (2016)</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Event</w:t>
            </w:r>
          </w:p>
        </w:tc>
      </w:tr>
      <w:tr w:rsidR="00004ABE" w:rsidRPr="00004ABE" w:rsidTr="00371A5E">
        <w:trPr>
          <w:cantSplit/>
        </w:trPr>
        <w:tc>
          <w:tcPr>
            <w:tcW w:w="7051"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 xml:space="preserve">Successful Technology Transfer (STL) Guide (WIPO publication 903 E -reviewed and new addition issued in 2015 with new Chapter V on Understanding Certain Antitrust Concerns Related to Technology Licensing </w:t>
            </w:r>
          </w:p>
        </w:tc>
        <w:tc>
          <w:tcPr>
            <w:tcW w:w="2520" w:type="dxa"/>
          </w:tcPr>
          <w:p w:rsidR="00004ABE" w:rsidRPr="00004ABE" w:rsidRDefault="00004ABE" w:rsidP="00004ABE">
            <w:pPr>
              <w:rPr>
                <w:rFonts w:eastAsia="SimSun"/>
                <w:color w:val="000000"/>
                <w:szCs w:val="22"/>
                <w:lang w:eastAsia="zh-CN"/>
              </w:rPr>
            </w:pPr>
            <w:r w:rsidRPr="00004ABE">
              <w:rPr>
                <w:rFonts w:eastAsia="SimSun"/>
                <w:color w:val="000000"/>
                <w:szCs w:val="22"/>
                <w:lang w:eastAsia="zh-CN"/>
              </w:rPr>
              <w:t>Publication</w:t>
            </w:r>
          </w:p>
        </w:tc>
      </w:tr>
    </w:tbl>
    <w:p w:rsidR="00004ABE" w:rsidRPr="00004ABE" w:rsidRDefault="00004ABE" w:rsidP="00004ABE">
      <w:pPr>
        <w:rPr>
          <w:rFonts w:eastAsia="SimSun"/>
          <w:szCs w:val="22"/>
          <w:lang w:eastAsia="zh-CN"/>
        </w:rPr>
      </w:pPr>
    </w:p>
    <w:p w:rsidR="00004ABE" w:rsidRPr="00004ABE" w:rsidRDefault="00004ABE" w:rsidP="00004ABE">
      <w:pPr>
        <w:keepNext/>
        <w:spacing w:before="240" w:after="60"/>
        <w:outlineLvl w:val="2"/>
        <w:rPr>
          <w:rFonts w:eastAsia="SimSun"/>
          <w:bCs/>
          <w:szCs w:val="26"/>
          <w:u w:val="single"/>
          <w:lang w:eastAsia="zh-CN"/>
        </w:rPr>
      </w:pPr>
      <w:r w:rsidRPr="00004ABE">
        <w:rPr>
          <w:rFonts w:eastAsia="SimSun"/>
          <w:bCs/>
          <w:szCs w:val="26"/>
          <w:u w:val="single"/>
          <w:lang w:eastAsia="zh-CN"/>
        </w:rPr>
        <w:t>Development Agenda Projects</w:t>
      </w:r>
    </w:p>
    <w:tbl>
      <w:tblPr>
        <w:tblStyle w:val="TableGrid"/>
        <w:tblW w:w="0" w:type="auto"/>
        <w:tblLook w:val="04A0" w:firstRow="1" w:lastRow="0" w:firstColumn="1" w:lastColumn="0" w:noHBand="0" w:noVBand="1"/>
      </w:tblPr>
      <w:tblGrid>
        <w:gridCol w:w="9571"/>
      </w:tblGrid>
      <w:tr w:rsidR="00004ABE" w:rsidRPr="00004ABE" w:rsidTr="00371A5E">
        <w:trPr>
          <w:cantSplit/>
        </w:trPr>
        <w:tc>
          <w:tcPr>
            <w:tcW w:w="9571" w:type="dxa"/>
          </w:tcPr>
          <w:p w:rsidR="00004ABE" w:rsidRPr="00004ABE" w:rsidRDefault="00004ABE" w:rsidP="00004ABE">
            <w:pPr>
              <w:rPr>
                <w:rFonts w:eastAsia="SimSun"/>
                <w:b/>
                <w:szCs w:val="22"/>
                <w:lang w:eastAsia="zh-CN"/>
              </w:rPr>
            </w:pPr>
            <w:r w:rsidRPr="00004ABE">
              <w:rPr>
                <w:rFonts w:eastAsia="SimSun"/>
                <w:b/>
                <w:szCs w:val="22"/>
                <w:lang w:eastAsia="zh-CN"/>
              </w:rPr>
              <w:t>Title</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Enhancing South-South Cooperation on IP and Development Among Developing Countries and Least Developed Countries</w:t>
            </w:r>
          </w:p>
        </w:tc>
      </w:tr>
      <w:tr w:rsidR="00004ABE" w:rsidRPr="00004ABE" w:rsidTr="00371A5E">
        <w:trPr>
          <w:cantSplit/>
        </w:trPr>
        <w:tc>
          <w:tcPr>
            <w:tcW w:w="9571" w:type="dxa"/>
          </w:tcPr>
          <w:p w:rsidR="00004ABE" w:rsidRPr="00004ABE" w:rsidRDefault="00004ABE" w:rsidP="00004ABE">
            <w:pPr>
              <w:rPr>
                <w:rFonts w:eastAsia="SimSun"/>
                <w:szCs w:val="22"/>
                <w:lang w:eastAsia="zh-CN"/>
              </w:rPr>
            </w:pPr>
            <w:r w:rsidRPr="00004ABE">
              <w:rPr>
                <w:rFonts w:eastAsia="SimSun"/>
                <w:szCs w:val="22"/>
                <w:lang w:eastAsia="zh-CN"/>
              </w:rPr>
              <w:t>IP and Competition Policy</w:t>
            </w:r>
          </w:p>
        </w:tc>
      </w:tr>
    </w:tbl>
    <w:p w:rsidR="00004ABE" w:rsidRPr="00004ABE" w:rsidRDefault="00004ABE" w:rsidP="00004ABE">
      <w:pPr>
        <w:spacing w:after="240"/>
        <w:rPr>
          <w:rFonts w:eastAsia="SimSun"/>
          <w:szCs w:val="22"/>
          <w:lang w:eastAsia="zh-CN"/>
        </w:rPr>
      </w:pPr>
    </w:p>
    <w:p w:rsidR="002E7965" w:rsidRPr="007F38D1" w:rsidRDefault="00004ABE" w:rsidP="00004ABE">
      <w:pPr>
        <w:pStyle w:val="EndofDocumentAR"/>
        <w:rPr>
          <w:rFonts w:hint="cs"/>
        </w:rPr>
      </w:pPr>
      <w:r>
        <w:rPr>
          <w:rFonts w:hint="cs"/>
          <w:rtl/>
        </w:rPr>
        <w:t xml:space="preserve">[نهاية الملحق </w:t>
      </w:r>
      <w:proofErr w:type="gramStart"/>
      <w:r>
        <w:rPr>
          <w:rFonts w:hint="cs"/>
          <w:rtl/>
        </w:rPr>
        <w:t>والوثيقة</w:t>
      </w:r>
      <w:proofErr w:type="gramEnd"/>
      <w:r>
        <w:rPr>
          <w:rFonts w:hint="cs"/>
          <w:rtl/>
        </w:rPr>
        <w:t>]</w:t>
      </w:r>
    </w:p>
    <w:sectPr w:rsidR="002E7965" w:rsidRPr="007F38D1" w:rsidSect="00004ABE">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5E" w:rsidRDefault="00371A5E">
      <w:r>
        <w:separator/>
      </w:r>
    </w:p>
  </w:endnote>
  <w:endnote w:type="continuationSeparator" w:id="0">
    <w:p w:rsidR="00371A5E" w:rsidRDefault="0037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5E" w:rsidRDefault="00371A5E" w:rsidP="009622BF">
      <w:pPr>
        <w:bidi/>
      </w:pPr>
      <w:bookmarkStart w:id="0" w:name="OLE_LINK1"/>
      <w:bookmarkStart w:id="1" w:name="OLE_LINK2"/>
      <w:r>
        <w:separator/>
      </w:r>
      <w:bookmarkEnd w:id="0"/>
      <w:bookmarkEnd w:id="1"/>
    </w:p>
  </w:footnote>
  <w:footnote w:type="continuationSeparator" w:id="0">
    <w:p w:rsidR="00371A5E" w:rsidRDefault="00371A5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5E" w:rsidRDefault="00371A5E" w:rsidP="0003444C">
    <w:r>
      <w:t>CDIP/21/5</w:t>
    </w:r>
  </w:p>
  <w:p w:rsidR="00371A5E" w:rsidRDefault="00371A5E" w:rsidP="00D61541">
    <w:r>
      <w:fldChar w:fldCharType="begin"/>
    </w:r>
    <w:r>
      <w:instrText xml:space="preserve"> PAGE  \* MERGEFORMAT </w:instrText>
    </w:r>
    <w:r>
      <w:fldChar w:fldCharType="separate"/>
    </w:r>
    <w:r w:rsidR="00F53EE3">
      <w:rPr>
        <w:noProof/>
      </w:rPr>
      <w:t>2</w:t>
    </w:r>
    <w:r>
      <w:fldChar w:fldCharType="end"/>
    </w:r>
  </w:p>
  <w:p w:rsidR="00371A5E" w:rsidRDefault="00371A5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46" w:rsidRDefault="00F73646" w:rsidP="0003444C">
    <w:r>
      <w:t>CDIP/21/5</w:t>
    </w:r>
  </w:p>
  <w:p w:rsidR="00F73646" w:rsidRDefault="00F73646" w:rsidP="0003444C">
    <w:r>
      <w:t>Annex</w:t>
    </w:r>
  </w:p>
  <w:p w:rsidR="00F73646" w:rsidRDefault="00F73646" w:rsidP="00D61541">
    <w:r>
      <w:fldChar w:fldCharType="begin"/>
    </w:r>
    <w:r>
      <w:instrText xml:space="preserve"> PAGE  \* MERGEFORMAT </w:instrText>
    </w:r>
    <w:r>
      <w:fldChar w:fldCharType="separate"/>
    </w:r>
    <w:r w:rsidR="00F53EE3">
      <w:rPr>
        <w:noProof/>
      </w:rPr>
      <w:t>2</w:t>
    </w:r>
    <w:r>
      <w:fldChar w:fldCharType="end"/>
    </w:r>
  </w:p>
  <w:p w:rsidR="00F73646" w:rsidRDefault="00F7364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5E" w:rsidRPr="00C7572E" w:rsidRDefault="00371A5E" w:rsidP="00C7572E">
    <w:pPr>
      <w:pStyle w:val="Header"/>
    </w:pPr>
    <w:r w:rsidRPr="00C7572E">
      <w:t>CDIP/21/5</w:t>
    </w:r>
  </w:p>
  <w:p w:rsidR="00371A5E" w:rsidRPr="00C7572E" w:rsidRDefault="00371A5E" w:rsidP="00C7572E">
    <w:pPr>
      <w:pStyle w:val="Header"/>
    </w:pPr>
    <w:r w:rsidRPr="00C7572E">
      <w:t>ANNEX</w:t>
    </w:r>
  </w:p>
  <w:p w:rsidR="00371A5E" w:rsidRPr="00C7572E" w:rsidRDefault="00371A5E" w:rsidP="00C7572E">
    <w:pPr>
      <w:pStyle w:val="Header"/>
      <w:bidi/>
      <w:jc w:val="right"/>
      <w:rPr>
        <w:rFonts w:ascii="Arabic Typesetting" w:hAnsi="Arabic Typesetting" w:cs="Arabic Typesetting"/>
        <w:sz w:val="36"/>
        <w:szCs w:val="36"/>
        <w:rtl/>
      </w:rPr>
    </w:pPr>
    <w:r w:rsidRPr="00C7572E">
      <w:rPr>
        <w:rFonts w:ascii="Arabic Typesetting" w:hAnsi="Arabic Typesetting" w:cs="Arabic Typesetting"/>
        <w:sz w:val="36"/>
        <w:szCs w:val="36"/>
        <w:rtl/>
      </w:rPr>
      <w:t>المرفق</w:t>
    </w:r>
  </w:p>
  <w:p w:rsidR="00371A5E" w:rsidRDefault="00371A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5E" w:rsidRDefault="00371A5E" w:rsidP="0003444C">
    <w:r>
      <w:t>CDIP/21/5</w:t>
    </w:r>
  </w:p>
  <w:p w:rsidR="00371A5E" w:rsidRDefault="00371A5E" w:rsidP="0003444C">
    <w:r>
      <w:t>Appendix</w:t>
    </w:r>
  </w:p>
  <w:p w:rsidR="00371A5E" w:rsidRDefault="00371A5E" w:rsidP="00D61541">
    <w:r>
      <w:fldChar w:fldCharType="begin"/>
    </w:r>
    <w:r>
      <w:instrText xml:space="preserve"> PAGE  \* MERGEFORMAT </w:instrText>
    </w:r>
    <w:r>
      <w:fldChar w:fldCharType="separate"/>
    </w:r>
    <w:r w:rsidR="00F53EE3">
      <w:rPr>
        <w:noProof/>
      </w:rPr>
      <w:t>30</w:t>
    </w:r>
    <w:r>
      <w:fldChar w:fldCharType="end"/>
    </w:r>
  </w:p>
  <w:p w:rsidR="00371A5E" w:rsidRDefault="00371A5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5E" w:rsidRPr="00C7572E" w:rsidRDefault="00371A5E" w:rsidP="00C7572E">
    <w:pPr>
      <w:pStyle w:val="Header"/>
    </w:pPr>
    <w:r w:rsidRPr="00C7572E">
      <w:t>CDIP/21/5</w:t>
    </w:r>
  </w:p>
  <w:p w:rsidR="00371A5E" w:rsidRPr="00004ABE" w:rsidRDefault="00371A5E" w:rsidP="00004ABE">
    <w:pPr>
      <w:pStyle w:val="Header"/>
    </w:pPr>
    <w:r w:rsidRPr="00004ABE">
      <w:t>APPENDIX</w:t>
    </w:r>
  </w:p>
  <w:p w:rsidR="00371A5E" w:rsidRPr="00C7572E" w:rsidRDefault="00371A5E" w:rsidP="00C7572E">
    <w:pPr>
      <w:pStyle w:val="Header"/>
      <w:bidi/>
      <w:jc w:val="right"/>
      <w:rPr>
        <w:rFonts w:ascii="Arabic Typesetting" w:hAnsi="Arabic Typesetting" w:cs="Arabic Typesetting"/>
        <w:sz w:val="36"/>
        <w:szCs w:val="36"/>
        <w:rtl/>
      </w:rPr>
    </w:pPr>
    <w:r>
      <w:rPr>
        <w:rFonts w:ascii="Arabic Typesetting" w:hAnsi="Arabic Typesetting" w:cs="Arabic Typesetting" w:hint="cs"/>
        <w:sz w:val="36"/>
        <w:szCs w:val="36"/>
        <w:rtl/>
      </w:rPr>
      <w:t>الملحق</w:t>
    </w:r>
  </w:p>
  <w:p w:rsidR="00371A5E" w:rsidRDefault="0037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41AD1"/>
    <w:multiLevelType w:val="hybridMultilevel"/>
    <w:tmpl w:val="EC1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pStyle w:val="CommentText"/>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9"/>
  </w:num>
  <w:num w:numId="3">
    <w:abstractNumId w:val="12"/>
  </w:num>
  <w:num w:numId="4">
    <w:abstractNumId w:val="24"/>
  </w:num>
  <w:num w:numId="5">
    <w:abstractNumId w:val="8"/>
  </w:num>
  <w:num w:numId="6">
    <w:abstractNumId w:val="26"/>
  </w:num>
  <w:num w:numId="7">
    <w:abstractNumId w:val="17"/>
  </w:num>
  <w:num w:numId="8">
    <w:abstractNumId w:val="23"/>
  </w:num>
  <w:num w:numId="9">
    <w:abstractNumId w:val="21"/>
  </w:num>
  <w:num w:numId="10">
    <w:abstractNumId w:val="2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6"/>
  </w:num>
  <w:num w:numId="24">
    <w:abstractNumId w:val="16"/>
  </w:num>
  <w:num w:numId="25">
    <w:abstractNumId w:val="16"/>
    <w:lvlOverride w:ilvl="0">
      <w:startOverride w:val="1"/>
    </w:lvlOverride>
  </w:num>
  <w:num w:numId="26">
    <w:abstractNumId w:val="20"/>
  </w:num>
  <w:num w:numId="27">
    <w:abstractNumId w:val="10"/>
  </w:num>
  <w:num w:numId="28">
    <w:abstractNumId w:val="15"/>
  </w:num>
  <w:num w:numId="29">
    <w:abstractNumId w:val="14"/>
  </w:num>
  <w:num w:numId="30">
    <w:abstractNumId w:val="11"/>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AE"/>
    <w:rsid w:val="00002CBE"/>
    <w:rsid w:val="00003232"/>
    <w:rsid w:val="000033DA"/>
    <w:rsid w:val="00004ABE"/>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9B7"/>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17C"/>
    <w:rsid w:val="00053836"/>
    <w:rsid w:val="00054659"/>
    <w:rsid w:val="00054A00"/>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B58"/>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F8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4EAB"/>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1FBF"/>
    <w:rsid w:val="002A3C9D"/>
    <w:rsid w:val="002A5250"/>
    <w:rsid w:val="002A5403"/>
    <w:rsid w:val="002A6C9F"/>
    <w:rsid w:val="002A77F3"/>
    <w:rsid w:val="002B14F0"/>
    <w:rsid w:val="002B1F0F"/>
    <w:rsid w:val="002B313A"/>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96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1A5E"/>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A34"/>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81F"/>
    <w:rsid w:val="00560C6A"/>
    <w:rsid w:val="00560F85"/>
    <w:rsid w:val="005610A0"/>
    <w:rsid w:val="0056248F"/>
    <w:rsid w:val="00564985"/>
    <w:rsid w:val="00565379"/>
    <w:rsid w:val="005674C3"/>
    <w:rsid w:val="00567990"/>
    <w:rsid w:val="00567C4C"/>
    <w:rsid w:val="005728C8"/>
    <w:rsid w:val="005733AD"/>
    <w:rsid w:val="0057367A"/>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4E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43"/>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D8D"/>
    <w:rsid w:val="00983CEA"/>
    <w:rsid w:val="00984198"/>
    <w:rsid w:val="00984E04"/>
    <w:rsid w:val="00986194"/>
    <w:rsid w:val="009861D2"/>
    <w:rsid w:val="00986E53"/>
    <w:rsid w:val="00987CE5"/>
    <w:rsid w:val="00993CF0"/>
    <w:rsid w:val="0099428D"/>
    <w:rsid w:val="00994569"/>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E9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0AE"/>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0EED"/>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7F6"/>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7F7"/>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F21"/>
    <w:rsid w:val="00C668DE"/>
    <w:rsid w:val="00C7044F"/>
    <w:rsid w:val="00C720F8"/>
    <w:rsid w:val="00C7294B"/>
    <w:rsid w:val="00C75139"/>
    <w:rsid w:val="00C7525C"/>
    <w:rsid w:val="00C7572E"/>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074"/>
    <w:rsid w:val="00CC4CB6"/>
    <w:rsid w:val="00CC4DB0"/>
    <w:rsid w:val="00CC5038"/>
    <w:rsid w:val="00CC5326"/>
    <w:rsid w:val="00CC7426"/>
    <w:rsid w:val="00CC7910"/>
    <w:rsid w:val="00CD0C20"/>
    <w:rsid w:val="00CD297A"/>
    <w:rsid w:val="00CD3DB0"/>
    <w:rsid w:val="00CD4129"/>
    <w:rsid w:val="00CD5DBB"/>
    <w:rsid w:val="00CD67E7"/>
    <w:rsid w:val="00CD6CFB"/>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635"/>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F18"/>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6B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EE3"/>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646"/>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C7572E"/>
    <w:rPr>
      <w:rFonts w:ascii="Arial" w:hAnsi="Arial" w:cs="Arial"/>
      <w:sz w:val="22"/>
    </w:rPr>
  </w:style>
  <w:style w:type="numbering" w:customStyle="1" w:styleId="NoList1">
    <w:name w:val="No List1"/>
    <w:next w:val="NoList"/>
    <w:uiPriority w:val="99"/>
    <w:semiHidden/>
    <w:unhideWhenUsed/>
    <w:rsid w:val="00004ABE"/>
  </w:style>
  <w:style w:type="paragraph" w:customStyle="1" w:styleId="Endofdocument-Annex">
    <w:name w:val="[End of document - Annex]"/>
    <w:basedOn w:val="Normal"/>
    <w:rsid w:val="00004ABE"/>
    <w:pPr>
      <w:ind w:left="5534"/>
    </w:pPr>
    <w:rPr>
      <w:rFonts w:eastAsia="SimSun"/>
      <w:lang w:eastAsia="zh-CN"/>
    </w:rPr>
  </w:style>
  <w:style w:type="paragraph" w:styleId="BodyText">
    <w:name w:val="Body Text"/>
    <w:basedOn w:val="Normal"/>
    <w:link w:val="BodyTextChar"/>
    <w:rsid w:val="00004ABE"/>
    <w:pPr>
      <w:spacing w:after="220"/>
    </w:pPr>
    <w:rPr>
      <w:rFonts w:eastAsia="SimSun"/>
      <w:lang w:eastAsia="zh-CN"/>
    </w:rPr>
  </w:style>
  <w:style w:type="character" w:customStyle="1" w:styleId="BodyTextChar">
    <w:name w:val="Body Text Char"/>
    <w:basedOn w:val="DefaultParagraphFont"/>
    <w:link w:val="BodyText"/>
    <w:rsid w:val="00004ABE"/>
    <w:rPr>
      <w:rFonts w:ascii="Arial" w:eastAsia="SimSun" w:hAnsi="Arial" w:cs="Arial"/>
      <w:sz w:val="22"/>
      <w:lang w:eastAsia="zh-CN"/>
    </w:rPr>
  </w:style>
  <w:style w:type="paragraph" w:customStyle="1" w:styleId="ONUME">
    <w:name w:val="ONUM E"/>
    <w:basedOn w:val="BodyText"/>
    <w:rsid w:val="00004ABE"/>
    <w:pPr>
      <w:numPr>
        <w:numId w:val="27"/>
      </w:numPr>
    </w:pPr>
  </w:style>
  <w:style w:type="paragraph" w:customStyle="1" w:styleId="ONUMFS">
    <w:name w:val="ONUM FS"/>
    <w:basedOn w:val="BodyText"/>
    <w:rsid w:val="00004ABE"/>
    <w:pPr>
      <w:numPr>
        <w:numId w:val="28"/>
      </w:numPr>
    </w:pPr>
  </w:style>
  <w:style w:type="paragraph" w:styleId="ListParagraph">
    <w:name w:val="List Paragraph"/>
    <w:basedOn w:val="Normal"/>
    <w:uiPriority w:val="34"/>
    <w:qFormat/>
    <w:rsid w:val="00004ABE"/>
    <w:pPr>
      <w:ind w:left="720"/>
      <w:contextualSpacing/>
    </w:pPr>
    <w:rPr>
      <w:rFonts w:eastAsia="SimSun"/>
      <w:lang w:eastAsia="zh-CN"/>
    </w:rPr>
  </w:style>
  <w:style w:type="character" w:customStyle="1" w:styleId="Heading2Char">
    <w:name w:val="Heading 2 Char"/>
    <w:basedOn w:val="DefaultParagraphFont"/>
    <w:link w:val="Heading2"/>
    <w:rsid w:val="00004ABE"/>
    <w:rPr>
      <w:rFonts w:ascii="Arabic Typesetting" w:hAnsi="Arabic Typesetting" w:cs="Arabic Typesetting"/>
      <w:sz w:val="40"/>
      <w:szCs w:val="4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C7572E"/>
    <w:rPr>
      <w:rFonts w:ascii="Arial" w:hAnsi="Arial" w:cs="Arial"/>
      <w:sz w:val="22"/>
    </w:rPr>
  </w:style>
  <w:style w:type="numbering" w:customStyle="1" w:styleId="NoList1">
    <w:name w:val="No List1"/>
    <w:next w:val="NoList"/>
    <w:uiPriority w:val="99"/>
    <w:semiHidden/>
    <w:unhideWhenUsed/>
    <w:rsid w:val="00004ABE"/>
  </w:style>
  <w:style w:type="paragraph" w:customStyle="1" w:styleId="Endofdocument-Annex">
    <w:name w:val="[End of document - Annex]"/>
    <w:basedOn w:val="Normal"/>
    <w:rsid w:val="00004ABE"/>
    <w:pPr>
      <w:ind w:left="5534"/>
    </w:pPr>
    <w:rPr>
      <w:rFonts w:eastAsia="SimSun"/>
      <w:lang w:eastAsia="zh-CN"/>
    </w:rPr>
  </w:style>
  <w:style w:type="paragraph" w:styleId="BodyText">
    <w:name w:val="Body Text"/>
    <w:basedOn w:val="Normal"/>
    <w:link w:val="BodyTextChar"/>
    <w:rsid w:val="00004ABE"/>
    <w:pPr>
      <w:spacing w:after="220"/>
    </w:pPr>
    <w:rPr>
      <w:rFonts w:eastAsia="SimSun"/>
      <w:lang w:eastAsia="zh-CN"/>
    </w:rPr>
  </w:style>
  <w:style w:type="character" w:customStyle="1" w:styleId="BodyTextChar">
    <w:name w:val="Body Text Char"/>
    <w:basedOn w:val="DefaultParagraphFont"/>
    <w:link w:val="BodyText"/>
    <w:rsid w:val="00004ABE"/>
    <w:rPr>
      <w:rFonts w:ascii="Arial" w:eastAsia="SimSun" w:hAnsi="Arial" w:cs="Arial"/>
      <w:sz w:val="22"/>
      <w:lang w:eastAsia="zh-CN"/>
    </w:rPr>
  </w:style>
  <w:style w:type="paragraph" w:customStyle="1" w:styleId="ONUME">
    <w:name w:val="ONUM E"/>
    <w:basedOn w:val="BodyText"/>
    <w:rsid w:val="00004ABE"/>
    <w:pPr>
      <w:numPr>
        <w:numId w:val="27"/>
      </w:numPr>
    </w:pPr>
  </w:style>
  <w:style w:type="paragraph" w:customStyle="1" w:styleId="ONUMFS">
    <w:name w:val="ONUM FS"/>
    <w:basedOn w:val="BodyText"/>
    <w:rsid w:val="00004ABE"/>
    <w:pPr>
      <w:numPr>
        <w:numId w:val="28"/>
      </w:numPr>
    </w:pPr>
  </w:style>
  <w:style w:type="paragraph" w:styleId="ListParagraph">
    <w:name w:val="List Paragraph"/>
    <w:basedOn w:val="Normal"/>
    <w:uiPriority w:val="34"/>
    <w:qFormat/>
    <w:rsid w:val="00004ABE"/>
    <w:pPr>
      <w:ind w:left="720"/>
      <w:contextualSpacing/>
    </w:pPr>
    <w:rPr>
      <w:rFonts w:eastAsia="SimSun"/>
      <w:lang w:eastAsia="zh-CN"/>
    </w:rPr>
  </w:style>
  <w:style w:type="character" w:customStyle="1" w:styleId="Heading2Char">
    <w:name w:val="Heading 2 Char"/>
    <w:basedOn w:val="DefaultParagraphFont"/>
    <w:link w:val="Heading2"/>
    <w:rsid w:val="00004ABE"/>
    <w:rPr>
      <w:rFonts w:ascii="Arabic Typesetting" w:hAnsi="Arabic Typesetting" w:cs="Arabic Typesetting"/>
      <w:sz w:val="40"/>
      <w:szCs w:val="4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CDIP_21_AR.dotx</Template>
  <TotalTime>220</TotalTime>
  <Pages>34</Pages>
  <Words>11881</Words>
  <Characters>78589</Characters>
  <Application>Microsoft Office Word</Application>
  <DocSecurity>0</DocSecurity>
  <Lines>654</Lines>
  <Paragraphs>180</Paragraphs>
  <ScaleCrop>false</ScaleCrop>
  <HeadingPairs>
    <vt:vector size="2" baseType="variant">
      <vt:variant>
        <vt:lpstr>Title</vt:lpstr>
      </vt:variant>
      <vt:variant>
        <vt:i4>1</vt:i4>
      </vt:variant>
    </vt:vector>
  </HeadingPairs>
  <TitlesOfParts>
    <vt:vector size="1" baseType="lpstr">
      <vt:lpstr>CDIP/21/5 (Arabic)</vt:lpstr>
    </vt:vector>
  </TitlesOfParts>
  <Company>World Intellectual Property Organization</Company>
  <LinksUpToDate>false</LinksUpToDate>
  <CharactersWithSpaces>90290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CDIP/21/5 (Arabic)</dc:title>
  <dc:creator>MERZOUK Fawzi</dc:creator>
  <cp:lastModifiedBy>MERZOUK Fawzi</cp:lastModifiedBy>
  <cp:revision>18</cp:revision>
  <cp:lastPrinted>2018-03-09T15:25:00Z</cp:lastPrinted>
  <dcterms:created xsi:type="dcterms:W3CDTF">2018-03-08T10:54:00Z</dcterms:created>
  <dcterms:modified xsi:type="dcterms:W3CDTF">2018-03-09T15:25:00Z</dcterms:modified>
</cp:coreProperties>
</file>