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21704F" w:rsidP="008F262E">
            <w:pPr>
              <w:pStyle w:val="DocumentCodeAR"/>
              <w:bidi/>
              <w:rPr>
                <w:rtl/>
              </w:rPr>
            </w:pPr>
            <w:r>
              <w:t>CDIP</w:t>
            </w:r>
            <w:r w:rsidR="00100F97">
              <w:t>/</w:t>
            </w:r>
            <w:r w:rsidR="008F262E">
              <w:t>20</w:t>
            </w:r>
            <w:r w:rsidR="00B97C38">
              <w:t>/5</w:t>
            </w:r>
          </w:p>
        </w:tc>
      </w:tr>
      <w:tr w:rsidR="001667B6" w:rsidTr="00BF164F">
        <w:tc>
          <w:tcPr>
            <w:tcW w:w="9571" w:type="dxa"/>
            <w:gridSpan w:val="3"/>
          </w:tcPr>
          <w:p w:rsidR="001667B6" w:rsidRPr="00B6101C" w:rsidRDefault="00B6101C" w:rsidP="00B97C38">
            <w:pPr>
              <w:pStyle w:val="DocumentLanguageAR"/>
              <w:bidi/>
              <w:rPr>
                <w:rtl/>
              </w:rPr>
            </w:pPr>
            <w:r w:rsidRPr="00B6101C">
              <w:rPr>
                <w:rFonts w:hint="cs"/>
                <w:rtl/>
              </w:rPr>
              <w:t xml:space="preserve">الأصل: </w:t>
            </w:r>
            <w:r w:rsidR="00B97C38">
              <w:rPr>
                <w:rFonts w:hint="cs"/>
                <w:rtl/>
              </w:rPr>
              <w:t>بالإنكليزية</w:t>
            </w:r>
          </w:p>
        </w:tc>
      </w:tr>
      <w:tr w:rsidR="001667B6" w:rsidTr="00BF164F">
        <w:tc>
          <w:tcPr>
            <w:tcW w:w="9571" w:type="dxa"/>
            <w:gridSpan w:val="3"/>
          </w:tcPr>
          <w:p w:rsidR="001667B6" w:rsidRPr="00B6101C" w:rsidRDefault="00B6101C" w:rsidP="00B97C38">
            <w:pPr>
              <w:pStyle w:val="DocumentDateAR"/>
              <w:bidi/>
              <w:rPr>
                <w:rtl/>
              </w:rPr>
            </w:pPr>
            <w:r w:rsidRPr="00B6101C">
              <w:rPr>
                <w:rFonts w:hint="cs"/>
                <w:rtl/>
              </w:rPr>
              <w:t xml:space="preserve">التاريخ: </w:t>
            </w:r>
            <w:r w:rsidR="00B97C38">
              <w:rPr>
                <w:rFonts w:hint="cs"/>
                <w:rtl/>
              </w:rPr>
              <w:t>5 أكتوبر</w:t>
            </w:r>
            <w:r w:rsidRPr="00B6101C">
              <w:rPr>
                <w:rFonts w:hint="cs"/>
                <w:rtl/>
              </w:rPr>
              <w:t xml:space="preserve"> </w:t>
            </w:r>
            <w:r w:rsidR="00475BF5">
              <w:t>2017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21704F" w:rsidP="00796CF7">
      <w:pPr>
        <w:pStyle w:val="MeetingTitleAR"/>
        <w:bidi/>
        <w:ind w:right="550"/>
        <w:rPr>
          <w:rtl/>
        </w:rPr>
      </w:pPr>
      <w:r w:rsidRPr="0021704F">
        <w:rPr>
          <w:rtl/>
        </w:rPr>
        <w:t>اللجنة المعنية بالتنمية والملكية الفكرية</w:t>
      </w:r>
    </w:p>
    <w:p w:rsidR="001667B6" w:rsidRDefault="001667B6" w:rsidP="001667B6">
      <w:pPr>
        <w:bidi/>
        <w:spacing w:line="360" w:lineRule="exact"/>
        <w:rPr>
          <w:rFonts w:ascii="Arabic Typesetting" w:hAnsi="Arabic Typesetting" w:cs="Arabic Typesetting"/>
          <w:sz w:val="36"/>
          <w:szCs w:val="36"/>
          <w:rtl/>
        </w:rPr>
      </w:pPr>
    </w:p>
    <w:p w:rsidR="0021704F" w:rsidRPr="00783D11" w:rsidRDefault="0021704F" w:rsidP="008F262E">
      <w:pPr>
        <w:pStyle w:val="MeetingSessionAR"/>
        <w:bidi/>
        <w:rPr>
          <w:rFonts w:ascii="Cambria Math" w:hAnsi="Cambria Math"/>
          <w:rtl/>
        </w:rPr>
      </w:pPr>
      <w:r w:rsidRPr="00783D11">
        <w:rPr>
          <w:rFonts w:ascii="Cambria Math" w:hAnsi="Cambria Math"/>
          <w:rtl/>
        </w:rPr>
        <w:t xml:space="preserve">الدورة </w:t>
      </w:r>
      <w:r w:rsidR="008F262E">
        <w:rPr>
          <w:rFonts w:ascii="Cambria Math" w:hAnsi="Cambria Math" w:hint="cs"/>
          <w:rtl/>
        </w:rPr>
        <w:t>العشرون</w:t>
      </w:r>
    </w:p>
    <w:p w:rsidR="0021704F" w:rsidRPr="00D61541" w:rsidRDefault="0021704F" w:rsidP="008F262E">
      <w:pPr>
        <w:pStyle w:val="MeetingDatesAR"/>
        <w:bidi/>
      </w:pPr>
      <w:r w:rsidRPr="00D61541">
        <w:rPr>
          <w:rFonts w:hint="cs"/>
          <w:rtl/>
        </w:rPr>
        <w:t xml:space="preserve">جنيف، من </w:t>
      </w:r>
      <w:r w:rsidR="008F262E">
        <w:rPr>
          <w:rFonts w:hint="cs"/>
          <w:rtl/>
        </w:rPr>
        <w:t>27</w:t>
      </w:r>
      <w:r>
        <w:rPr>
          <w:rFonts w:hint="cs"/>
          <w:rtl/>
        </w:rPr>
        <w:t xml:space="preserve"> </w:t>
      </w:r>
      <w:r w:rsidR="008F262E">
        <w:rPr>
          <w:rFonts w:hint="cs"/>
          <w:rtl/>
        </w:rPr>
        <w:t xml:space="preserve">نوفمبر </w:t>
      </w:r>
      <w:r>
        <w:rPr>
          <w:rFonts w:hint="cs"/>
          <w:rtl/>
        </w:rPr>
        <w:t xml:space="preserve">إلى </w:t>
      </w:r>
      <w:r w:rsidR="008F262E">
        <w:rPr>
          <w:rFonts w:hint="cs"/>
          <w:rtl/>
        </w:rPr>
        <w:t xml:space="preserve">1 ديسمبر </w:t>
      </w:r>
      <w:r w:rsidR="00475BF5">
        <w:rPr>
          <w:rFonts w:hint="cs"/>
          <w:rtl/>
        </w:rPr>
        <w:t>2017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B97C38" w:rsidP="004A2ABC">
      <w:pPr>
        <w:pStyle w:val="DocumentTitleAR"/>
        <w:bidi/>
        <w:rPr>
          <w:rtl/>
        </w:rPr>
      </w:pPr>
      <w:r>
        <w:rPr>
          <w:rFonts w:hint="cs"/>
          <w:rtl/>
        </w:rPr>
        <w:t>التدابير المتخذة</w:t>
      </w:r>
      <w:r w:rsidRPr="00B97C38">
        <w:rPr>
          <w:rtl/>
        </w:rPr>
        <w:t xml:space="preserve"> لضمان تحسين نشر المعلومات الواردة في قاعدة </w:t>
      </w:r>
      <w:r w:rsidR="004A2ABC">
        <w:rPr>
          <w:rFonts w:hint="cs"/>
          <w:rtl/>
        </w:rPr>
        <w:t>بيانات</w:t>
      </w:r>
      <w:r>
        <w:rPr>
          <w:rFonts w:hint="cs"/>
          <w:rtl/>
        </w:rPr>
        <w:t xml:space="preserve"> </w:t>
      </w:r>
      <w:r w:rsidR="003A37F5">
        <w:rPr>
          <w:rFonts w:hint="cs"/>
          <w:rtl/>
        </w:rPr>
        <w:t xml:space="preserve">بشأن </w:t>
      </w:r>
      <w:r>
        <w:rPr>
          <w:rFonts w:hint="cs"/>
          <w:rtl/>
        </w:rPr>
        <w:t>المرونة</w:t>
      </w:r>
    </w:p>
    <w:p w:rsidR="00D61541" w:rsidRPr="00D61541" w:rsidRDefault="00D61541" w:rsidP="00931859">
      <w:pPr>
        <w:pStyle w:val="PreparedbyAR"/>
        <w:bidi/>
        <w:rPr>
          <w:rtl/>
          <w:lang w:bidi="ar-EG"/>
        </w:rPr>
      </w:pPr>
      <w:r w:rsidRPr="00D61541">
        <w:rPr>
          <w:rFonts w:hint="cs"/>
          <w:rtl/>
        </w:rPr>
        <w:t xml:space="preserve">من </w:t>
      </w:r>
      <w:r w:rsidRPr="00931859">
        <w:rPr>
          <w:rFonts w:hint="cs"/>
          <w:rtl/>
        </w:rPr>
        <w:t>إعداد</w:t>
      </w:r>
      <w:r w:rsidR="00B97C38">
        <w:rPr>
          <w:rFonts w:hint="cs"/>
          <w:rtl/>
          <w:lang w:bidi="ar-EG"/>
        </w:rPr>
        <w:t xml:space="preserve"> الأمانة</w:t>
      </w:r>
    </w:p>
    <w:p w:rsidR="009F513E" w:rsidRDefault="00B97C38" w:rsidP="0068703B">
      <w:pPr>
        <w:pStyle w:val="NumberedParaAR"/>
      </w:pPr>
      <w:r>
        <w:rPr>
          <w:rFonts w:hint="cs"/>
          <w:rtl/>
          <w:lang w:bidi="ar-EG"/>
        </w:rPr>
        <w:t>ناقشت اللجنة المعنية بالتنمية والملكية الفكرية</w:t>
      </w:r>
      <w:r w:rsidR="00733B6B">
        <w:rPr>
          <w:rFonts w:hint="cs"/>
          <w:rtl/>
          <w:lang w:bidi="ar-EG"/>
        </w:rPr>
        <w:t xml:space="preserve"> (اللجنة)</w:t>
      </w:r>
      <w:r>
        <w:rPr>
          <w:rFonts w:hint="cs"/>
          <w:rtl/>
          <w:lang w:bidi="ar-EG"/>
        </w:rPr>
        <w:t xml:space="preserve">، في دورتها </w:t>
      </w:r>
      <w:r w:rsidR="0068703B">
        <w:rPr>
          <w:rFonts w:hint="cs"/>
          <w:rtl/>
          <w:lang w:bidi="ar-EG"/>
        </w:rPr>
        <w:t>الثامنة</w:t>
      </w:r>
      <w:r>
        <w:rPr>
          <w:rFonts w:hint="cs"/>
          <w:rtl/>
          <w:lang w:bidi="ar-EG"/>
        </w:rPr>
        <w:t xml:space="preserve"> عشرة، وثيقة "</w:t>
      </w:r>
      <w:r w:rsidRPr="00B97C38">
        <w:rPr>
          <w:rtl/>
          <w:lang w:bidi="ar-EG"/>
        </w:rPr>
        <w:t>الاقتراح المعدل بشأن آلية لتحديث قاعدة البيانات بشأن المرونة</w:t>
      </w:r>
      <w:r>
        <w:rPr>
          <w:rFonts w:hint="cs"/>
          <w:rtl/>
          <w:lang w:bidi="ar-EG"/>
        </w:rPr>
        <w:t xml:space="preserve">" (الوثيقة </w:t>
      </w:r>
      <w:r>
        <w:rPr>
          <w:lang w:bidi="ar-EG"/>
        </w:rPr>
        <w:t>CDIP/18/5</w:t>
      </w:r>
      <w:r>
        <w:rPr>
          <w:rFonts w:hint="cs"/>
          <w:rtl/>
          <w:lang w:bidi="ar-EG"/>
        </w:rPr>
        <w:t xml:space="preserve">) وقررت "أن </w:t>
      </w:r>
      <w:r w:rsidRPr="00B97C38">
        <w:rPr>
          <w:rtl/>
        </w:rPr>
        <w:t xml:space="preserve">تضطلع الأمانة بتدابير لضمان تحسين نشر المعلومات الواردة في قاعدة البيانات وإبلاغ اللجنة في دورة من دوراتها القادمة بتلك </w:t>
      </w:r>
      <w:r w:rsidRPr="00B97C38">
        <w:rPr>
          <w:rtl/>
          <w:lang w:bidi="ar-EG"/>
        </w:rPr>
        <w:t>التدابير</w:t>
      </w:r>
      <w:r>
        <w:rPr>
          <w:rFonts w:hint="cs"/>
          <w:rtl/>
          <w:lang w:bidi="ar-EG"/>
        </w:rPr>
        <w:t>"</w:t>
      </w:r>
      <w:r w:rsidRPr="00B97C38">
        <w:rPr>
          <w:rtl/>
        </w:rPr>
        <w:t>.</w:t>
      </w:r>
      <w:r>
        <w:rPr>
          <w:rFonts w:hint="cs"/>
          <w:rtl/>
        </w:rPr>
        <w:t xml:space="preserve"> (الفقرة 2.7 من ملخص الرئيس للدورة الثامنة عشرة للجنة التنمية).</w:t>
      </w:r>
    </w:p>
    <w:p w:rsidR="00B97C38" w:rsidRDefault="00B97C38" w:rsidP="00B97C38">
      <w:pPr>
        <w:pStyle w:val="NumberedParaAR"/>
      </w:pPr>
      <w:r>
        <w:rPr>
          <w:rFonts w:hint="cs"/>
          <w:rtl/>
        </w:rPr>
        <w:t>وبناء على ذلك القرار، تقدِّم الأمانة تقريرها في مرفقي هذه الوثيقة.</w:t>
      </w:r>
    </w:p>
    <w:p w:rsidR="00B97C38" w:rsidRDefault="00B97C38" w:rsidP="00B97C38">
      <w:pPr>
        <w:pStyle w:val="DecisionParaAR"/>
        <w:spacing w:after="600"/>
      </w:pPr>
      <w:r>
        <w:rPr>
          <w:rFonts w:hint="cs"/>
          <w:rtl/>
        </w:rPr>
        <w:t>إن اللجنة مدعوة إلى النظر في المعلومات الواردة في مرفقي هذه الوثيقة.</w:t>
      </w:r>
    </w:p>
    <w:p w:rsidR="00B97C38" w:rsidRDefault="00B97C38" w:rsidP="00B97C38">
      <w:pPr>
        <w:pStyle w:val="EndofDocumentAR"/>
        <w:rPr>
          <w:rtl/>
        </w:rPr>
      </w:pPr>
      <w:r>
        <w:rPr>
          <w:rFonts w:hint="cs"/>
          <w:rtl/>
        </w:rPr>
        <w:t>[يلي ذلك المرفقان]</w:t>
      </w:r>
    </w:p>
    <w:p w:rsidR="00B97C38" w:rsidRDefault="00B97C38" w:rsidP="00B97C38">
      <w:pPr>
        <w:pStyle w:val="NormalParaAR"/>
        <w:rPr>
          <w:rtl/>
        </w:rPr>
      </w:pPr>
    </w:p>
    <w:p w:rsidR="00B97C38" w:rsidRDefault="00B97C38" w:rsidP="00B97C38">
      <w:pPr>
        <w:pStyle w:val="NormalParaAR"/>
        <w:sectPr w:rsidR="00B97C38" w:rsidSect="00EB7752">
          <w:headerReference w:type="default" r:id="rId10"/>
          <w:pgSz w:w="11907" w:h="16840" w:code="9"/>
          <w:pgMar w:top="567" w:right="1418" w:bottom="1418" w:left="1134" w:header="510" w:footer="1021" w:gutter="0"/>
          <w:cols w:space="720"/>
          <w:titlePg/>
          <w:docGrid w:linePitch="299"/>
        </w:sectPr>
      </w:pPr>
    </w:p>
    <w:p w:rsidR="00B97C38" w:rsidRDefault="00B97C38" w:rsidP="00B97C38">
      <w:pPr>
        <w:pStyle w:val="Heading1"/>
        <w:rPr>
          <w:rtl/>
        </w:rPr>
      </w:pPr>
      <w:r>
        <w:rPr>
          <w:rFonts w:hint="cs"/>
          <w:rtl/>
        </w:rPr>
        <w:lastRenderedPageBreak/>
        <w:t>أولاً.</w:t>
      </w:r>
      <w:r>
        <w:rPr>
          <w:rtl/>
        </w:rPr>
        <w:tab/>
      </w:r>
      <w:r>
        <w:rPr>
          <w:rFonts w:hint="cs"/>
          <w:rtl/>
        </w:rPr>
        <w:t>الخلفية</w:t>
      </w:r>
    </w:p>
    <w:p w:rsidR="00B97C38" w:rsidRDefault="00B97C38" w:rsidP="004A2ABC">
      <w:pPr>
        <w:pStyle w:val="NumberedParaAR"/>
        <w:numPr>
          <w:ilvl w:val="0"/>
          <w:numId w:val="22"/>
        </w:numPr>
      </w:pPr>
      <w:r>
        <w:rPr>
          <w:rFonts w:hint="cs"/>
          <w:rtl/>
        </w:rPr>
        <w:t xml:space="preserve">أُنشئت قاعدة بيانات المرونة في نظام الملكية الفكرية ("قاعدة البيانات") في يونيو 2013 وفقاً لاتفاق </w:t>
      </w:r>
      <w:r w:rsidR="00733B6B">
        <w:rPr>
          <w:rFonts w:hint="cs"/>
          <w:rtl/>
        </w:rPr>
        <w:t>اللجنة</w:t>
      </w:r>
      <w:r>
        <w:rPr>
          <w:rFonts w:hint="cs"/>
          <w:rtl/>
        </w:rPr>
        <w:t xml:space="preserve"> في دورتها السادسة: </w:t>
      </w:r>
      <w:hyperlink r:id="rId11" w:history="1">
        <w:r w:rsidR="00733B6B" w:rsidRPr="00733B6B">
          <w:rPr>
            <w:rStyle w:val="Hyperlink"/>
            <w:sz w:val="32"/>
            <w:szCs w:val="32"/>
          </w:rPr>
          <w:t>http://www.wipo.int/ip-development/en/agenda/flexibilities/database.html</w:t>
        </w:r>
      </w:hyperlink>
      <w:r>
        <w:rPr>
          <w:rFonts w:hint="cs"/>
          <w:rtl/>
        </w:rPr>
        <w:t>.</w:t>
      </w:r>
    </w:p>
    <w:p w:rsidR="00733B6B" w:rsidRDefault="00733B6B" w:rsidP="005C7FEF">
      <w:pPr>
        <w:pStyle w:val="NumberedParaAR"/>
        <w:numPr>
          <w:ilvl w:val="0"/>
          <w:numId w:val="22"/>
        </w:numPr>
      </w:pPr>
      <w:r>
        <w:rPr>
          <w:rFonts w:hint="cs"/>
          <w:rtl/>
        </w:rPr>
        <w:t>واستجابة لطلب اللجنة في دورتها الخامسة عشرة، حُدِّثت قاعدة البيانات في عام 2015 و</w:t>
      </w:r>
      <w:r w:rsidR="005C7FEF">
        <w:rPr>
          <w:rFonts w:hint="cs"/>
          <w:rtl/>
        </w:rPr>
        <w:t>باتت</w:t>
      </w:r>
      <w:r>
        <w:rPr>
          <w:rFonts w:hint="cs"/>
          <w:rtl/>
        </w:rPr>
        <w:t xml:space="preserve"> تضم </w:t>
      </w:r>
      <w:r w:rsidRPr="00733B6B">
        <w:rPr>
          <w:rtl/>
        </w:rPr>
        <w:t>1371</w:t>
      </w:r>
      <w:r>
        <w:rPr>
          <w:rFonts w:hint="cs"/>
          <w:rtl/>
        </w:rPr>
        <w:t> </w:t>
      </w:r>
      <w:r w:rsidRPr="00733B6B">
        <w:rPr>
          <w:rtl/>
        </w:rPr>
        <w:t>حكما</w:t>
      </w:r>
      <w:r>
        <w:rPr>
          <w:rFonts w:hint="cs"/>
          <w:rtl/>
        </w:rPr>
        <w:t>ً</w:t>
      </w:r>
      <w:r w:rsidRPr="00733B6B">
        <w:rPr>
          <w:rtl/>
        </w:rPr>
        <w:t xml:space="preserve"> من 202 ولاية قضائية مختارة مستمدة من الوثائق التالية: </w:t>
      </w:r>
      <w:r w:rsidRPr="00733B6B">
        <w:t>CDIP/5/4</w:t>
      </w:r>
      <w:r w:rsidR="005C7FEF">
        <w:t> </w:t>
      </w:r>
      <w:r w:rsidRPr="00733B6B">
        <w:t>Re</w:t>
      </w:r>
      <w:r>
        <w:t>v.</w:t>
      </w:r>
      <w:r>
        <w:rPr>
          <w:rFonts w:hint="cs"/>
          <w:rtl/>
        </w:rPr>
        <w:t xml:space="preserve"> </w:t>
      </w:r>
      <w:r w:rsidRPr="00733B6B">
        <w:rPr>
          <w:rtl/>
        </w:rPr>
        <w:t>و</w:t>
      </w:r>
      <w:r w:rsidRPr="00733B6B">
        <w:t>CDIP/7/3</w:t>
      </w:r>
      <w:r w:rsidR="005C7FEF">
        <w:t> </w:t>
      </w:r>
      <w:r w:rsidRPr="00733B6B">
        <w:t>Ad</w:t>
      </w:r>
      <w:r>
        <w:t>d.</w:t>
      </w:r>
      <w:r w:rsidRPr="00733B6B">
        <w:rPr>
          <w:rtl/>
        </w:rPr>
        <w:t xml:space="preserve"> و</w:t>
      </w:r>
      <w:r w:rsidRPr="00733B6B">
        <w:t>CDIP/13/10</w:t>
      </w:r>
      <w:r w:rsidR="005C7FEF">
        <w:t> </w:t>
      </w:r>
      <w:r w:rsidRPr="00733B6B">
        <w:t>Re</w:t>
      </w:r>
      <w:r>
        <w:t>v.</w:t>
      </w:r>
      <w:r w:rsidRPr="00733B6B">
        <w:rPr>
          <w:rtl/>
        </w:rPr>
        <w:t xml:space="preserve"> و </w:t>
      </w:r>
      <w:r w:rsidRPr="00733B6B">
        <w:t>CDIP/15/6</w:t>
      </w:r>
      <w:r w:rsidR="005C7FEF">
        <w:t> </w:t>
      </w:r>
      <w:r w:rsidRPr="00733B6B">
        <w:t>Cor</w:t>
      </w:r>
      <w:r>
        <w:t>r.</w:t>
      </w:r>
      <w:r w:rsidRPr="00733B6B">
        <w:rPr>
          <w:rtl/>
        </w:rPr>
        <w:t xml:space="preserve"> بشأن مواطن المرونة المتعلقة بالبراءات في الإطار القانون</w:t>
      </w:r>
      <w:r>
        <w:rPr>
          <w:rFonts w:hint="cs"/>
          <w:rtl/>
        </w:rPr>
        <w:t>ي</w:t>
      </w:r>
      <w:r w:rsidRPr="00733B6B">
        <w:rPr>
          <w:rtl/>
        </w:rPr>
        <w:t xml:space="preserve"> </w:t>
      </w:r>
      <w:r>
        <w:rPr>
          <w:rFonts w:hint="cs"/>
          <w:rtl/>
        </w:rPr>
        <w:t>ال</w:t>
      </w:r>
      <w:r w:rsidRPr="00733B6B">
        <w:rPr>
          <w:rtl/>
        </w:rPr>
        <w:t>متعدد الأطراف وتنفيذها التشريعي على الصعيد</w:t>
      </w:r>
      <w:r>
        <w:rPr>
          <w:rFonts w:hint="cs"/>
          <w:rtl/>
        </w:rPr>
        <w:t>ين</w:t>
      </w:r>
      <w:r w:rsidRPr="00733B6B">
        <w:rPr>
          <w:rtl/>
        </w:rPr>
        <w:t xml:space="preserve"> الوطني والإقليمي.</w:t>
      </w:r>
      <w:r>
        <w:rPr>
          <w:rStyle w:val="FootnoteReference"/>
          <w:rtl/>
        </w:rPr>
        <w:footnoteReference w:id="1"/>
      </w:r>
    </w:p>
    <w:p w:rsidR="00733B6B" w:rsidRDefault="00733B6B" w:rsidP="004A2ABC">
      <w:pPr>
        <w:pStyle w:val="NumberedParaAR"/>
        <w:numPr>
          <w:ilvl w:val="0"/>
          <w:numId w:val="22"/>
        </w:numPr>
      </w:pPr>
      <w:r>
        <w:rPr>
          <w:rFonts w:hint="cs"/>
          <w:rtl/>
        </w:rPr>
        <w:t>ووافقت اللجنة، في دورتها الثامنة عشرة، على آلية لإجراء تحديث منتظم لقاعدة البيانات</w:t>
      </w:r>
      <w:r>
        <w:rPr>
          <w:rStyle w:val="FootnoteReference"/>
          <w:rtl/>
        </w:rPr>
        <w:footnoteReference w:id="2"/>
      </w:r>
      <w:r w:rsidR="004A2ABC">
        <w:rPr>
          <w:rFonts w:hint="cs"/>
          <w:rtl/>
        </w:rPr>
        <w:t xml:space="preserve"> وقررت </w:t>
      </w:r>
      <w:r w:rsidR="004A2ABC" w:rsidRPr="004A2ABC">
        <w:rPr>
          <w:rtl/>
        </w:rPr>
        <w:t>أن تضطلع الأمانة بتدابير لضمان تحسين نشر المعلومات الواردة في قاعدة البيانات وإبلاغ اللجنة في دورة من دوراتها القادمة بتلك التدابير</w:t>
      </w:r>
      <w:r w:rsidR="004A2ABC">
        <w:rPr>
          <w:rFonts w:hint="cs"/>
          <w:rtl/>
        </w:rPr>
        <w:t xml:space="preserve"> كما</w:t>
      </w:r>
      <w:r w:rsidR="004A2ABC">
        <w:rPr>
          <w:rFonts w:hint="eastAsia"/>
          <w:rtl/>
        </w:rPr>
        <w:t> </w:t>
      </w:r>
      <w:r w:rsidR="004A2ABC">
        <w:rPr>
          <w:rFonts w:hint="cs"/>
          <w:rtl/>
        </w:rPr>
        <w:t>ورد في الفقرة 2.7 من ملخص الرئيس للدورة الثامنة عشرة.</w:t>
      </w:r>
    </w:p>
    <w:p w:rsidR="004A2ABC" w:rsidRDefault="004A2ABC" w:rsidP="004A2ABC">
      <w:pPr>
        <w:pStyle w:val="Heading1"/>
      </w:pPr>
      <w:r>
        <w:rPr>
          <w:rFonts w:hint="cs"/>
          <w:rtl/>
        </w:rPr>
        <w:t>ثانياً.</w:t>
      </w:r>
      <w:r>
        <w:rPr>
          <w:rtl/>
        </w:rPr>
        <w:tab/>
      </w:r>
      <w:r>
        <w:rPr>
          <w:rFonts w:hint="cs"/>
          <w:rtl/>
        </w:rPr>
        <w:t>التدابير المتخذة ل</w:t>
      </w:r>
      <w:r w:rsidR="005C7FEF">
        <w:rPr>
          <w:rFonts w:hint="cs"/>
          <w:rtl/>
        </w:rPr>
        <w:t xml:space="preserve">تحسين </w:t>
      </w:r>
      <w:r>
        <w:rPr>
          <w:rFonts w:hint="cs"/>
          <w:rtl/>
        </w:rPr>
        <w:t>نشر المعلومات الواردة في قاعدة البيانات</w:t>
      </w:r>
    </w:p>
    <w:p w:rsidR="004A2ABC" w:rsidRDefault="004A2ABC" w:rsidP="005C7FEF">
      <w:pPr>
        <w:pStyle w:val="NumberedParaAR"/>
        <w:numPr>
          <w:ilvl w:val="0"/>
          <w:numId w:val="22"/>
        </w:numPr>
      </w:pPr>
      <w:r>
        <w:rPr>
          <w:rFonts w:hint="cs"/>
          <w:rtl/>
        </w:rPr>
        <w:t>عملاً بقرار اللجنة، اتخذت الأمانة مجموعة التدابير التالية لتحسين نشر المعلومات الواردة في قاعدة البيانات:</w:t>
      </w:r>
    </w:p>
    <w:p w:rsidR="004A2ABC" w:rsidRDefault="004A2ABC" w:rsidP="005C7FEF">
      <w:pPr>
        <w:pStyle w:val="NormalParaAR"/>
        <w:ind w:left="1134" w:hanging="567"/>
        <w:rPr>
          <w:rtl/>
        </w:rPr>
      </w:pPr>
      <w:r>
        <w:rPr>
          <w:rFonts w:hint="cs"/>
          <w:rtl/>
        </w:rPr>
        <w:t>"1"</w:t>
      </w:r>
      <w:r>
        <w:rPr>
          <w:rtl/>
        </w:rPr>
        <w:tab/>
      </w:r>
      <w:r>
        <w:rPr>
          <w:rFonts w:hint="cs"/>
          <w:rtl/>
        </w:rPr>
        <w:t>عُقد اجتماع داخلي في نوفمبر 2016 لإبلاغ الشُعَب المعنية بقرار اللجنة ودعوتها إلى زيادة نشر المعلومات الواردة في قاعدة البيانات؛</w:t>
      </w:r>
    </w:p>
    <w:p w:rsidR="004A2ABC" w:rsidRDefault="004A2ABC" w:rsidP="005C7FEF">
      <w:pPr>
        <w:pStyle w:val="NormalParaAR"/>
        <w:ind w:left="1134" w:hanging="567"/>
        <w:rPr>
          <w:rtl/>
        </w:rPr>
      </w:pPr>
      <w:r>
        <w:rPr>
          <w:rFonts w:hint="cs"/>
          <w:rtl/>
        </w:rPr>
        <w:t>"2"</w:t>
      </w:r>
      <w:r>
        <w:rPr>
          <w:rtl/>
        </w:rPr>
        <w:tab/>
      </w:r>
      <w:r>
        <w:rPr>
          <w:rFonts w:hint="cs"/>
          <w:rtl/>
        </w:rPr>
        <w:t xml:space="preserve">لغرض التيسير، أعدت شعبة تنسيق أجندة التنمية منشوراً يعرض العناصر الرئيسية لقاعدة البيانات </w:t>
      </w:r>
      <w:r w:rsidR="005C7FEF">
        <w:rPr>
          <w:rtl/>
        </w:rPr>
        <w:t>–</w:t>
      </w:r>
      <w:r w:rsidR="005C7FEF">
        <w:rPr>
          <w:rFonts w:hint="cs"/>
          <w:rtl/>
        </w:rPr>
        <w:t xml:space="preserve"> </w:t>
      </w:r>
      <w:r>
        <w:rPr>
          <w:rFonts w:hint="cs"/>
          <w:rtl/>
        </w:rPr>
        <w:t>أي</w:t>
      </w:r>
      <w:r>
        <w:rPr>
          <w:rFonts w:hint="eastAsia"/>
          <w:rtl/>
        </w:rPr>
        <w:t> </w:t>
      </w:r>
      <w:r>
        <w:rPr>
          <w:rFonts w:hint="cs"/>
          <w:rtl/>
        </w:rPr>
        <w:t xml:space="preserve">المعلومات الواردة فيها وبنيتها ووظائفها وفئات البحث </w:t>
      </w:r>
      <w:r w:rsidR="005C7FEF">
        <w:rPr>
          <w:rFonts w:hint="cs"/>
          <w:rtl/>
        </w:rPr>
        <w:t xml:space="preserve">فيها </w:t>
      </w:r>
      <w:r>
        <w:rPr>
          <w:rFonts w:hint="cs"/>
          <w:rtl/>
        </w:rPr>
        <w:t>والجهات المستفيدة</w:t>
      </w:r>
      <w:r w:rsidR="005C7FEF">
        <w:rPr>
          <w:rFonts w:hint="cs"/>
          <w:rtl/>
        </w:rPr>
        <w:t xml:space="preserve"> منها</w:t>
      </w:r>
      <w:r>
        <w:rPr>
          <w:rFonts w:hint="cs"/>
          <w:rtl/>
        </w:rPr>
        <w:t xml:space="preserve"> والآلية التي اتفقت عليها الدول الأعضاء لتزويد الأمانة بتحديثات </w:t>
      </w:r>
      <w:r w:rsidR="005C7FEF">
        <w:rPr>
          <w:rFonts w:hint="cs"/>
          <w:rtl/>
        </w:rPr>
        <w:t>الأحكام</w:t>
      </w:r>
      <w:r>
        <w:rPr>
          <w:rFonts w:hint="cs"/>
          <w:rtl/>
        </w:rPr>
        <w:t xml:space="preserve"> الوطنية المتعلقة بمواطن المرونة (عملاً بقرار اللجنة المذكور في</w:t>
      </w:r>
      <w:r>
        <w:rPr>
          <w:rFonts w:hint="eastAsia"/>
          <w:rtl/>
        </w:rPr>
        <w:t> </w:t>
      </w:r>
      <w:r>
        <w:rPr>
          <w:rFonts w:hint="cs"/>
          <w:rtl/>
        </w:rPr>
        <w:t>الفقرة 3</w:t>
      </w:r>
      <w:r w:rsidR="005C7FEF">
        <w:rPr>
          <w:rFonts w:hint="cs"/>
          <w:rtl/>
        </w:rPr>
        <w:t xml:space="preserve"> من هذا المرفق</w:t>
      </w:r>
      <w:r>
        <w:rPr>
          <w:rFonts w:hint="cs"/>
          <w:rtl/>
        </w:rPr>
        <w:t>)؛</w:t>
      </w:r>
    </w:p>
    <w:p w:rsidR="004A2ABC" w:rsidRDefault="004A2ABC" w:rsidP="005C7FEF">
      <w:pPr>
        <w:pStyle w:val="NormalParaAR"/>
        <w:ind w:left="1134" w:hanging="567"/>
        <w:rPr>
          <w:rtl/>
        </w:rPr>
      </w:pPr>
      <w:r>
        <w:rPr>
          <w:rFonts w:hint="cs"/>
          <w:rtl/>
        </w:rPr>
        <w:t>"3"</w:t>
      </w:r>
      <w:r>
        <w:rPr>
          <w:rFonts w:hint="cs"/>
          <w:rtl/>
        </w:rPr>
        <w:tab/>
        <w:t xml:space="preserve">في فبراير 2017، وُضع رابط مباشر إلى قاعدة البيانات على الصفحة الشبكية لأجندة التنمية: </w:t>
      </w:r>
      <w:hyperlink r:id="rId12" w:history="1">
        <w:r w:rsidRPr="004A2ABC">
          <w:rPr>
            <w:rStyle w:val="Hyperlink"/>
          </w:rPr>
          <w:t>http://www.wipo.int/ip-development/ar/agenda/</w:t>
        </w:r>
      </w:hyperlink>
      <w:r>
        <w:rPr>
          <w:rFonts w:hint="cs"/>
          <w:rtl/>
        </w:rPr>
        <w:t>، من أجل تيسير النفاذ إليها؛</w:t>
      </w:r>
    </w:p>
    <w:p w:rsidR="004A2ABC" w:rsidRDefault="004A2ABC" w:rsidP="005C7FEF">
      <w:pPr>
        <w:pStyle w:val="NormalParaAR"/>
        <w:ind w:left="1134" w:hanging="567"/>
        <w:rPr>
          <w:rtl/>
        </w:rPr>
      </w:pPr>
      <w:r>
        <w:rPr>
          <w:rFonts w:hint="cs"/>
          <w:rtl/>
        </w:rPr>
        <w:t>"4"</w:t>
      </w:r>
      <w:r>
        <w:rPr>
          <w:rFonts w:hint="cs"/>
          <w:rtl/>
        </w:rPr>
        <w:tab/>
        <w:t>في مارس 2017، نُقلت قاعدة البيانات إلى منصة جديدة مزودة بخاصيات بحث جديدة ومعلومات عن آلية</w:t>
      </w:r>
      <w:r>
        <w:rPr>
          <w:rFonts w:hint="eastAsia"/>
          <w:rtl/>
        </w:rPr>
        <w:t> </w:t>
      </w:r>
      <w:r>
        <w:rPr>
          <w:rFonts w:hint="cs"/>
          <w:rtl/>
        </w:rPr>
        <w:t>تحديثها؛</w:t>
      </w:r>
    </w:p>
    <w:p w:rsidR="004A2ABC" w:rsidRDefault="004A2ABC" w:rsidP="00F465CB">
      <w:pPr>
        <w:pStyle w:val="NormalParaAR"/>
        <w:keepLines/>
        <w:ind w:left="1134" w:hanging="567"/>
        <w:rPr>
          <w:rtl/>
        </w:rPr>
      </w:pPr>
      <w:r>
        <w:rPr>
          <w:rFonts w:hint="cs"/>
          <w:rtl/>
        </w:rPr>
        <w:lastRenderedPageBreak/>
        <w:t>"5"</w:t>
      </w:r>
      <w:r>
        <w:rPr>
          <w:rFonts w:hint="cs"/>
          <w:rtl/>
        </w:rPr>
        <w:tab/>
        <w:t xml:space="preserve">نُشرت المعلومات الواردة في قاعدة البيانات ومعلومات عن توفرها في إطار </w:t>
      </w:r>
      <w:r w:rsidR="00F465CB">
        <w:rPr>
          <w:rFonts w:hint="cs"/>
          <w:rtl/>
        </w:rPr>
        <w:t>المحافل</w:t>
      </w:r>
      <w:r>
        <w:rPr>
          <w:rFonts w:hint="cs"/>
          <w:rtl/>
        </w:rPr>
        <w:t xml:space="preserve"> المبيَّنة في المرفق الثاني من هذه الوثيقة. وشملت تلك </w:t>
      </w:r>
      <w:r w:rsidR="00F465CB">
        <w:rPr>
          <w:rFonts w:hint="cs"/>
          <w:rtl/>
        </w:rPr>
        <w:t>المحافل</w:t>
      </w:r>
      <w:r>
        <w:rPr>
          <w:rFonts w:hint="cs"/>
          <w:rtl/>
        </w:rPr>
        <w:t xml:space="preserve"> مؤتمرات دولية وحلقات عمل واجتماعات مختلفة فضلاً عن وسائل الإعلام الاجتماعية. ويعرض ال</w:t>
      </w:r>
      <w:r w:rsidR="005C7FEF">
        <w:rPr>
          <w:rFonts w:hint="cs"/>
          <w:rtl/>
        </w:rPr>
        <w:t xml:space="preserve">مرفق الثاني أيضاً تواريخ </w:t>
      </w:r>
      <w:r w:rsidR="00F465CB">
        <w:rPr>
          <w:rFonts w:hint="cs"/>
          <w:rtl/>
        </w:rPr>
        <w:t>المحافل ومكان عقدها</w:t>
      </w:r>
      <w:r>
        <w:rPr>
          <w:rFonts w:hint="cs"/>
          <w:rtl/>
        </w:rPr>
        <w:t xml:space="preserve"> و</w:t>
      </w:r>
      <w:r w:rsidR="00B70FFD">
        <w:rPr>
          <w:rFonts w:hint="cs"/>
          <w:rtl/>
        </w:rPr>
        <w:t xml:space="preserve">المشاركين فيها وعددهم أو المتصفحين الشبكيين فضلاً عن لغة تنظيم </w:t>
      </w:r>
      <w:r w:rsidR="00F465CB">
        <w:rPr>
          <w:rFonts w:hint="cs"/>
          <w:rtl/>
        </w:rPr>
        <w:t>المحفل</w:t>
      </w:r>
      <w:r w:rsidR="005C7FEF">
        <w:rPr>
          <w:rFonts w:hint="cs"/>
          <w:rtl/>
        </w:rPr>
        <w:t xml:space="preserve"> </w:t>
      </w:r>
      <w:r w:rsidR="00B70FFD">
        <w:rPr>
          <w:rFonts w:hint="cs"/>
          <w:rtl/>
        </w:rPr>
        <w:t>(عند الاقتضاء).</w:t>
      </w:r>
    </w:p>
    <w:p w:rsidR="00B70FFD" w:rsidRDefault="00B70FFD" w:rsidP="00B70FFD">
      <w:pPr>
        <w:pStyle w:val="NumberedParaAR"/>
        <w:numPr>
          <w:ilvl w:val="0"/>
          <w:numId w:val="22"/>
        </w:numPr>
      </w:pPr>
      <w:r>
        <w:rPr>
          <w:rFonts w:hint="cs"/>
          <w:rtl/>
        </w:rPr>
        <w:t>ووفقاً للإحصاءات التالية التي قد</w:t>
      </w:r>
      <w:r w:rsidR="00F465CB">
        <w:rPr>
          <w:rFonts w:hint="cs"/>
          <w:rtl/>
        </w:rPr>
        <w:t>َّ</w:t>
      </w:r>
      <w:r>
        <w:rPr>
          <w:rFonts w:hint="cs"/>
          <w:rtl/>
        </w:rPr>
        <w:t>مها قسم الاتصالات بشبكة الإنترنت عن الفترة من سبتمبر 2016 إلى أغسطس 2017، زاد عدد زيارة الصفحات زيادة كبيرة على</w:t>
      </w:r>
      <w:r w:rsidR="00F465CB">
        <w:rPr>
          <w:rFonts w:hint="cs"/>
          <w:rtl/>
        </w:rPr>
        <w:t xml:space="preserve"> الفترة ذاتها من</w:t>
      </w:r>
      <w:r>
        <w:rPr>
          <w:rFonts w:hint="cs"/>
          <w:rtl/>
        </w:rPr>
        <w:t xml:space="preserve"> العام السابق ليبلغ 2207 زيارات منها 1359 زيارة متفردة أو أولى. وتبيِّن تلك الإحصاءات بوضوح فعالية تدابير النشر التي اتخذتها الأمانة في المحافل المختلفة.</w:t>
      </w:r>
    </w:p>
    <w:tbl>
      <w:tblPr>
        <w:tblStyle w:val="TableGrid1"/>
        <w:bidiVisual/>
        <w:tblW w:w="5000" w:type="pct"/>
        <w:tblLook w:val="04A0" w:firstRow="1" w:lastRow="0" w:firstColumn="1" w:lastColumn="0" w:noHBand="0" w:noVBand="1"/>
      </w:tblPr>
      <w:tblGrid>
        <w:gridCol w:w="2051"/>
        <w:gridCol w:w="3828"/>
        <w:gridCol w:w="3692"/>
      </w:tblGrid>
      <w:tr w:rsidR="00B70FFD" w:rsidRPr="00B70FFD" w:rsidTr="00B70FFD">
        <w:trPr>
          <w:trHeight w:val="258"/>
        </w:trPr>
        <w:tc>
          <w:tcPr>
            <w:tcW w:w="1071" w:type="pct"/>
            <w:vAlign w:val="center"/>
          </w:tcPr>
          <w:p w:rsidR="00B70FFD" w:rsidRPr="00B70FFD" w:rsidRDefault="00B70FFD" w:rsidP="00B70FFD">
            <w:pPr>
              <w:pStyle w:val="NormalParaAR"/>
              <w:spacing w:after="60"/>
              <w:rPr>
                <w:b/>
                <w:bCs/>
                <w:sz w:val="30"/>
                <w:szCs w:val="30"/>
                <w:lang w:eastAsia="zh-CN"/>
              </w:rPr>
            </w:pPr>
            <w:r w:rsidRPr="00B70FFD">
              <w:rPr>
                <w:rFonts w:hint="cs"/>
                <w:b/>
                <w:bCs/>
                <w:sz w:val="30"/>
                <w:szCs w:val="30"/>
                <w:rtl/>
                <w:lang w:eastAsia="zh-CN"/>
              </w:rPr>
              <w:t>عدد زيارات قاعدة البيانات</w:t>
            </w:r>
          </w:p>
        </w:tc>
        <w:tc>
          <w:tcPr>
            <w:tcW w:w="2000" w:type="pct"/>
            <w:vAlign w:val="center"/>
          </w:tcPr>
          <w:p w:rsidR="00B70FFD" w:rsidRPr="00B70FFD" w:rsidRDefault="00B70FFD" w:rsidP="00B70FFD">
            <w:pPr>
              <w:pStyle w:val="NormalParaAR"/>
              <w:spacing w:after="60"/>
              <w:jc w:val="center"/>
              <w:rPr>
                <w:b/>
                <w:bCs/>
                <w:sz w:val="30"/>
                <w:szCs w:val="30"/>
                <w:lang w:eastAsia="zh-CN"/>
              </w:rPr>
            </w:pPr>
            <w:r w:rsidRPr="00B70FFD">
              <w:rPr>
                <w:rFonts w:hint="cs"/>
                <w:b/>
                <w:bCs/>
                <w:sz w:val="30"/>
                <w:szCs w:val="30"/>
                <w:rtl/>
                <w:lang w:eastAsia="zh-CN"/>
              </w:rPr>
              <w:t xml:space="preserve">سبتمبر 2015 </w:t>
            </w:r>
            <w:r w:rsidRPr="00B70FFD">
              <w:rPr>
                <w:b/>
                <w:bCs/>
                <w:sz w:val="30"/>
                <w:szCs w:val="30"/>
                <w:rtl/>
                <w:lang w:eastAsia="zh-CN"/>
              </w:rPr>
              <w:t>–</w:t>
            </w:r>
            <w:r w:rsidRPr="00B70FFD">
              <w:rPr>
                <w:rFonts w:hint="cs"/>
                <w:b/>
                <w:bCs/>
                <w:sz w:val="30"/>
                <w:szCs w:val="30"/>
                <w:rtl/>
                <w:lang w:eastAsia="zh-CN"/>
              </w:rPr>
              <w:t xml:space="preserve"> أغسطس 2016</w:t>
            </w:r>
          </w:p>
        </w:tc>
        <w:tc>
          <w:tcPr>
            <w:tcW w:w="1929" w:type="pct"/>
            <w:vAlign w:val="center"/>
          </w:tcPr>
          <w:p w:rsidR="00B70FFD" w:rsidRPr="00B70FFD" w:rsidRDefault="00B70FFD" w:rsidP="00B70FFD">
            <w:pPr>
              <w:pStyle w:val="NormalParaAR"/>
              <w:spacing w:after="60"/>
              <w:jc w:val="center"/>
              <w:rPr>
                <w:b/>
                <w:bCs/>
                <w:sz w:val="30"/>
                <w:szCs w:val="30"/>
                <w:lang w:eastAsia="zh-CN"/>
              </w:rPr>
            </w:pPr>
            <w:r w:rsidRPr="00B70FFD">
              <w:rPr>
                <w:rFonts w:hint="cs"/>
                <w:b/>
                <w:bCs/>
                <w:sz w:val="30"/>
                <w:szCs w:val="30"/>
                <w:rtl/>
                <w:lang w:eastAsia="zh-CN"/>
              </w:rPr>
              <w:t xml:space="preserve">سبتمبر 2016 </w:t>
            </w:r>
            <w:r w:rsidRPr="00B70FFD">
              <w:rPr>
                <w:b/>
                <w:bCs/>
                <w:sz w:val="30"/>
                <w:szCs w:val="30"/>
                <w:rtl/>
                <w:lang w:eastAsia="zh-CN"/>
              </w:rPr>
              <w:t>–</w:t>
            </w:r>
            <w:r w:rsidRPr="00B70FFD">
              <w:rPr>
                <w:rFonts w:hint="cs"/>
                <w:b/>
                <w:bCs/>
                <w:sz w:val="30"/>
                <w:szCs w:val="30"/>
                <w:rtl/>
                <w:lang w:eastAsia="zh-CN"/>
              </w:rPr>
              <w:t xml:space="preserve"> أغسطس 2017</w:t>
            </w:r>
          </w:p>
        </w:tc>
      </w:tr>
      <w:tr w:rsidR="00B70FFD" w:rsidRPr="00B70FFD" w:rsidTr="00B70FFD">
        <w:trPr>
          <w:trHeight w:val="275"/>
        </w:trPr>
        <w:tc>
          <w:tcPr>
            <w:tcW w:w="1071" w:type="pct"/>
            <w:vAlign w:val="center"/>
          </w:tcPr>
          <w:p w:rsidR="00B70FFD" w:rsidRPr="00B70FFD" w:rsidRDefault="00B70FFD" w:rsidP="00B70FFD">
            <w:pPr>
              <w:pStyle w:val="NormalParaAR"/>
              <w:spacing w:after="60"/>
              <w:rPr>
                <w:sz w:val="30"/>
                <w:szCs w:val="30"/>
                <w:lang w:eastAsia="zh-CN"/>
              </w:rPr>
            </w:pPr>
            <w:r w:rsidRPr="00B70FFD">
              <w:rPr>
                <w:rFonts w:hint="cs"/>
                <w:sz w:val="30"/>
                <w:szCs w:val="30"/>
                <w:rtl/>
                <w:lang w:eastAsia="zh-CN"/>
              </w:rPr>
              <w:t>عدد الزيارات</w:t>
            </w:r>
          </w:p>
        </w:tc>
        <w:tc>
          <w:tcPr>
            <w:tcW w:w="2000" w:type="pct"/>
            <w:vAlign w:val="center"/>
          </w:tcPr>
          <w:p w:rsidR="00B70FFD" w:rsidRPr="00B70FFD" w:rsidRDefault="00F465CB" w:rsidP="00B70FFD">
            <w:pPr>
              <w:pStyle w:val="NormalParaAR"/>
              <w:spacing w:after="60"/>
              <w:jc w:val="center"/>
              <w:rPr>
                <w:sz w:val="30"/>
                <w:szCs w:val="30"/>
                <w:lang w:eastAsia="zh-CN"/>
              </w:rPr>
            </w:pPr>
            <w:r>
              <w:rPr>
                <w:rFonts w:hint="cs"/>
                <w:sz w:val="30"/>
                <w:szCs w:val="30"/>
                <w:rtl/>
                <w:lang w:eastAsia="zh-CN"/>
              </w:rPr>
              <w:t>310</w:t>
            </w:r>
          </w:p>
        </w:tc>
        <w:tc>
          <w:tcPr>
            <w:tcW w:w="1929" w:type="pct"/>
            <w:vAlign w:val="center"/>
          </w:tcPr>
          <w:p w:rsidR="00B70FFD" w:rsidRPr="00B70FFD" w:rsidRDefault="00F465CB" w:rsidP="00B70FFD">
            <w:pPr>
              <w:pStyle w:val="NormalParaAR"/>
              <w:spacing w:after="60"/>
              <w:jc w:val="center"/>
              <w:rPr>
                <w:sz w:val="30"/>
                <w:szCs w:val="30"/>
                <w:lang w:eastAsia="zh-CN"/>
              </w:rPr>
            </w:pPr>
            <w:r>
              <w:rPr>
                <w:rFonts w:hint="cs"/>
                <w:sz w:val="30"/>
                <w:szCs w:val="30"/>
                <w:rtl/>
                <w:lang w:eastAsia="zh-CN"/>
              </w:rPr>
              <w:t>2207</w:t>
            </w:r>
          </w:p>
        </w:tc>
      </w:tr>
      <w:tr w:rsidR="00B70FFD" w:rsidRPr="00B70FFD" w:rsidTr="00B70FFD">
        <w:trPr>
          <w:trHeight w:val="275"/>
        </w:trPr>
        <w:tc>
          <w:tcPr>
            <w:tcW w:w="1071" w:type="pct"/>
            <w:vAlign w:val="center"/>
          </w:tcPr>
          <w:p w:rsidR="00B70FFD" w:rsidRPr="00B70FFD" w:rsidRDefault="00B70FFD" w:rsidP="00B70FFD">
            <w:pPr>
              <w:pStyle w:val="NormalParaAR"/>
              <w:spacing w:after="60"/>
              <w:rPr>
                <w:sz w:val="30"/>
                <w:szCs w:val="30"/>
                <w:lang w:eastAsia="zh-CN"/>
              </w:rPr>
            </w:pPr>
            <w:r w:rsidRPr="00B70FFD">
              <w:rPr>
                <w:rFonts w:hint="cs"/>
                <w:sz w:val="30"/>
                <w:szCs w:val="30"/>
                <w:rtl/>
                <w:lang w:eastAsia="zh-CN"/>
              </w:rPr>
              <w:t>عدد الزيارات المتفردة</w:t>
            </w:r>
          </w:p>
        </w:tc>
        <w:tc>
          <w:tcPr>
            <w:tcW w:w="2000" w:type="pct"/>
            <w:vAlign w:val="center"/>
          </w:tcPr>
          <w:p w:rsidR="00B70FFD" w:rsidRPr="00B70FFD" w:rsidRDefault="00F465CB" w:rsidP="00B70FFD">
            <w:pPr>
              <w:pStyle w:val="NormalParaAR"/>
              <w:spacing w:after="60"/>
              <w:jc w:val="center"/>
              <w:rPr>
                <w:sz w:val="30"/>
                <w:szCs w:val="30"/>
                <w:lang w:eastAsia="zh-CN"/>
              </w:rPr>
            </w:pPr>
            <w:r>
              <w:rPr>
                <w:rFonts w:hint="cs"/>
                <w:sz w:val="30"/>
                <w:szCs w:val="30"/>
                <w:rtl/>
                <w:lang w:eastAsia="zh-CN"/>
              </w:rPr>
              <w:t>151</w:t>
            </w:r>
          </w:p>
        </w:tc>
        <w:tc>
          <w:tcPr>
            <w:tcW w:w="1929" w:type="pct"/>
            <w:vAlign w:val="center"/>
          </w:tcPr>
          <w:p w:rsidR="00B70FFD" w:rsidRPr="00B70FFD" w:rsidRDefault="00F465CB" w:rsidP="00B70FFD">
            <w:pPr>
              <w:pStyle w:val="NormalParaAR"/>
              <w:spacing w:after="60"/>
              <w:jc w:val="center"/>
              <w:rPr>
                <w:sz w:val="30"/>
                <w:szCs w:val="30"/>
                <w:lang w:eastAsia="zh-CN"/>
              </w:rPr>
            </w:pPr>
            <w:r>
              <w:rPr>
                <w:rFonts w:hint="cs"/>
                <w:sz w:val="30"/>
                <w:szCs w:val="30"/>
                <w:rtl/>
                <w:lang w:eastAsia="zh-CN"/>
              </w:rPr>
              <w:t>1359</w:t>
            </w:r>
          </w:p>
        </w:tc>
      </w:tr>
    </w:tbl>
    <w:p w:rsidR="00B70FFD" w:rsidRDefault="00F465CB" w:rsidP="00C44011">
      <w:pPr>
        <w:pStyle w:val="NumberedParaAR"/>
        <w:numPr>
          <w:ilvl w:val="0"/>
          <w:numId w:val="22"/>
        </w:numPr>
        <w:spacing w:before="240" w:after="600"/>
      </w:pPr>
      <w:r>
        <w:rPr>
          <w:rFonts w:hint="cs"/>
          <w:rtl/>
        </w:rPr>
        <w:t>وستواصل</w:t>
      </w:r>
      <w:r w:rsidR="00B70FFD">
        <w:rPr>
          <w:rFonts w:hint="cs"/>
          <w:rtl/>
        </w:rPr>
        <w:t xml:space="preserve"> الأمانة</w:t>
      </w:r>
      <w:r>
        <w:rPr>
          <w:rFonts w:hint="cs"/>
          <w:rtl/>
        </w:rPr>
        <w:t xml:space="preserve"> </w:t>
      </w:r>
      <w:r w:rsidR="00B70FFD">
        <w:rPr>
          <w:rFonts w:hint="cs"/>
          <w:rtl/>
        </w:rPr>
        <w:t>جهودها لترويج المعلومات الواردة في قاعدة البيانات كمرجع لواضعي السياسات والقوانين وخبراء</w:t>
      </w:r>
      <w:r w:rsidR="00C44011">
        <w:rPr>
          <w:rFonts w:hint="eastAsia"/>
          <w:rtl/>
        </w:rPr>
        <w:t> </w:t>
      </w:r>
      <w:r w:rsidR="00B70FFD">
        <w:rPr>
          <w:rFonts w:hint="cs"/>
          <w:rtl/>
        </w:rPr>
        <w:t>الملكية الفكرية والأكاديميين والباحثين بغية التعر</w:t>
      </w:r>
      <w:r>
        <w:rPr>
          <w:rFonts w:hint="cs"/>
          <w:rtl/>
        </w:rPr>
        <w:t>ف</w:t>
      </w:r>
      <w:r w:rsidR="00B70FFD">
        <w:rPr>
          <w:rFonts w:hint="cs"/>
          <w:rtl/>
        </w:rPr>
        <w:t xml:space="preserve"> على سبل تطبيق مواطن المرونة في التشريعات الوطنية والإقليمية.</w:t>
      </w:r>
    </w:p>
    <w:p w:rsidR="00B70FFD" w:rsidRDefault="00B70FFD" w:rsidP="00B70FFD">
      <w:pPr>
        <w:pStyle w:val="EndofDocumentAR"/>
        <w:rPr>
          <w:rtl/>
          <w:lang w:bidi="ar-EG"/>
        </w:rPr>
      </w:pPr>
      <w:r>
        <w:rPr>
          <w:rFonts w:hint="cs"/>
          <w:rtl/>
          <w:lang w:bidi="ar-EG"/>
        </w:rPr>
        <w:t>[يلي ذلك المرفق الثاني]</w:t>
      </w:r>
    </w:p>
    <w:p w:rsidR="00B70FFD" w:rsidRPr="00B70FFD" w:rsidRDefault="00B70FFD" w:rsidP="00B70FFD">
      <w:pPr>
        <w:pStyle w:val="NormalParaAR"/>
        <w:rPr>
          <w:lang w:bidi="ar-EG"/>
        </w:rPr>
      </w:pPr>
    </w:p>
    <w:p w:rsidR="00B97C38" w:rsidRDefault="00B97C38" w:rsidP="00B97C38">
      <w:pPr>
        <w:pStyle w:val="NormalParaAR"/>
        <w:rPr>
          <w:rtl/>
          <w:lang w:bidi="ar-EG"/>
        </w:rPr>
        <w:sectPr w:rsidR="00B97C38" w:rsidSect="00EB7752">
          <w:headerReference w:type="default" r:id="rId13"/>
          <w:headerReference w:type="first" r:id="rId14"/>
          <w:pgSz w:w="11907" w:h="16840" w:code="9"/>
          <w:pgMar w:top="567" w:right="1418" w:bottom="1418" w:left="1134" w:header="510" w:footer="1021" w:gutter="0"/>
          <w:cols w:space="720"/>
          <w:titlePg/>
          <w:docGrid w:linePitch="299"/>
        </w:sectPr>
      </w:pPr>
    </w:p>
    <w:p w:rsidR="00B97C38" w:rsidRPr="00B70FFD" w:rsidRDefault="00B70FFD" w:rsidP="00342471">
      <w:pPr>
        <w:pStyle w:val="Heading1"/>
        <w:spacing w:before="0" w:line="360" w:lineRule="exact"/>
        <w:rPr>
          <w:sz w:val="36"/>
          <w:szCs w:val="36"/>
          <w:u w:val="single"/>
          <w:rtl/>
        </w:rPr>
      </w:pPr>
      <w:r w:rsidRPr="00B70FFD">
        <w:rPr>
          <w:rFonts w:hint="cs"/>
          <w:sz w:val="36"/>
          <w:szCs w:val="36"/>
          <w:u w:val="single"/>
          <w:rtl/>
        </w:rPr>
        <w:lastRenderedPageBreak/>
        <w:t>محافل نشر المعلومات الواردة في قاعدة البيانات</w:t>
      </w:r>
    </w:p>
    <w:tbl>
      <w:tblPr>
        <w:tblStyle w:val="TableGrid11"/>
        <w:bidiVisual/>
        <w:tblW w:w="5078" w:type="pct"/>
        <w:tblLayout w:type="fixed"/>
        <w:tblLook w:val="04A0" w:firstRow="1" w:lastRow="0" w:firstColumn="1" w:lastColumn="0" w:noHBand="0" w:noVBand="1"/>
      </w:tblPr>
      <w:tblGrid>
        <w:gridCol w:w="5040"/>
        <w:gridCol w:w="1850"/>
        <w:gridCol w:w="1846"/>
        <w:gridCol w:w="2541"/>
        <w:gridCol w:w="2694"/>
        <w:gridCol w:w="1335"/>
      </w:tblGrid>
      <w:tr w:rsidR="00357484" w:rsidRPr="00E56CD5" w:rsidTr="00357484">
        <w:trPr>
          <w:cantSplit/>
          <w:trHeight w:val="142"/>
          <w:tblHeader/>
        </w:trPr>
        <w:tc>
          <w:tcPr>
            <w:tcW w:w="1646" w:type="pct"/>
            <w:vAlign w:val="center"/>
          </w:tcPr>
          <w:p w:rsidR="00B97C38" w:rsidRPr="00E56CD5" w:rsidRDefault="00DF4839" w:rsidP="00342471">
            <w:pPr>
              <w:bidi/>
              <w:spacing w:before="60" w:after="60"/>
              <w:jc w:val="center"/>
              <w:rPr>
                <w:rFonts w:ascii="Arabic Typesetting" w:eastAsia="SimSun" w:hAnsi="Arabic Typesetting" w:cs="Arabic Typesetting"/>
                <w:bCs/>
                <w:sz w:val="30"/>
                <w:szCs w:val="30"/>
                <w:lang w:eastAsia="zh-CN"/>
              </w:rPr>
            </w:pPr>
            <w:r w:rsidRPr="00E56CD5">
              <w:rPr>
                <w:rFonts w:ascii="Arabic Typesetting" w:eastAsia="SimSun" w:hAnsi="Arabic Typesetting" w:cs="Arabic Typesetting"/>
                <w:bCs/>
                <w:sz w:val="30"/>
                <w:szCs w:val="30"/>
                <w:rtl/>
                <w:lang w:eastAsia="zh-CN"/>
              </w:rPr>
              <w:t>المحفل</w:t>
            </w:r>
          </w:p>
        </w:tc>
        <w:tc>
          <w:tcPr>
            <w:tcW w:w="604" w:type="pct"/>
            <w:vAlign w:val="center"/>
          </w:tcPr>
          <w:p w:rsidR="00B97C38" w:rsidRPr="00E56CD5" w:rsidRDefault="00DF4839" w:rsidP="00342471">
            <w:pPr>
              <w:bidi/>
              <w:spacing w:before="60" w:after="60"/>
              <w:jc w:val="center"/>
              <w:rPr>
                <w:rFonts w:ascii="Arabic Typesetting" w:eastAsia="SimSun" w:hAnsi="Arabic Typesetting" w:cs="Arabic Typesetting"/>
                <w:bCs/>
                <w:sz w:val="30"/>
                <w:szCs w:val="30"/>
                <w:lang w:eastAsia="zh-CN"/>
              </w:rPr>
            </w:pPr>
            <w:r w:rsidRPr="00E56CD5">
              <w:rPr>
                <w:rFonts w:ascii="Arabic Typesetting" w:eastAsia="SimSun" w:hAnsi="Arabic Typesetting" w:cs="Arabic Typesetting"/>
                <w:bCs/>
                <w:sz w:val="30"/>
                <w:szCs w:val="30"/>
                <w:rtl/>
                <w:lang w:eastAsia="zh-CN"/>
              </w:rPr>
              <w:t>التاريخ</w:t>
            </w:r>
          </w:p>
        </w:tc>
        <w:tc>
          <w:tcPr>
            <w:tcW w:w="603" w:type="pct"/>
            <w:vAlign w:val="center"/>
          </w:tcPr>
          <w:p w:rsidR="00B97C38" w:rsidRPr="00E56CD5" w:rsidRDefault="00DF4839" w:rsidP="00342471">
            <w:pPr>
              <w:bidi/>
              <w:spacing w:before="60" w:after="60"/>
              <w:jc w:val="center"/>
              <w:rPr>
                <w:rFonts w:ascii="Arabic Typesetting" w:eastAsia="SimSun" w:hAnsi="Arabic Typesetting" w:cs="Arabic Typesetting"/>
                <w:bCs/>
                <w:sz w:val="30"/>
                <w:szCs w:val="30"/>
                <w:lang w:eastAsia="zh-CN" w:bidi="ar-EG"/>
              </w:rPr>
            </w:pPr>
            <w:r w:rsidRPr="00E56CD5">
              <w:rPr>
                <w:rFonts w:ascii="Arabic Typesetting" w:eastAsia="SimSun" w:hAnsi="Arabic Typesetting" w:cs="Arabic Typesetting"/>
                <w:bCs/>
                <w:sz w:val="30"/>
                <w:szCs w:val="30"/>
                <w:rtl/>
                <w:lang w:eastAsia="zh-CN"/>
              </w:rPr>
              <w:t>المكان (إن وُجد)</w:t>
            </w:r>
          </w:p>
        </w:tc>
        <w:tc>
          <w:tcPr>
            <w:tcW w:w="830" w:type="pct"/>
            <w:vAlign w:val="center"/>
          </w:tcPr>
          <w:p w:rsidR="00B97C38" w:rsidRPr="00E56CD5" w:rsidRDefault="00DF4839" w:rsidP="00342471">
            <w:pPr>
              <w:bidi/>
              <w:spacing w:before="60" w:after="60"/>
              <w:jc w:val="center"/>
              <w:rPr>
                <w:rFonts w:ascii="Arabic Typesetting" w:eastAsia="SimSun" w:hAnsi="Arabic Typesetting" w:cs="Arabic Typesetting"/>
                <w:bCs/>
                <w:sz w:val="30"/>
                <w:szCs w:val="30"/>
                <w:lang w:eastAsia="zh-CN"/>
              </w:rPr>
            </w:pPr>
            <w:r w:rsidRPr="00E56CD5">
              <w:rPr>
                <w:rFonts w:ascii="Arabic Typesetting" w:eastAsia="SimSun" w:hAnsi="Arabic Typesetting" w:cs="Arabic Typesetting"/>
                <w:bCs/>
                <w:sz w:val="30"/>
                <w:szCs w:val="30"/>
                <w:rtl/>
                <w:lang w:eastAsia="zh-CN"/>
              </w:rPr>
              <w:t>المشاركون</w:t>
            </w:r>
          </w:p>
        </w:tc>
        <w:tc>
          <w:tcPr>
            <w:tcW w:w="880" w:type="pct"/>
            <w:vAlign w:val="center"/>
          </w:tcPr>
          <w:p w:rsidR="00B97C38" w:rsidRPr="00E56CD5" w:rsidRDefault="00DF4839" w:rsidP="00357484">
            <w:pPr>
              <w:bidi/>
              <w:spacing w:before="60" w:after="60"/>
              <w:jc w:val="center"/>
              <w:rPr>
                <w:rFonts w:ascii="Arabic Typesetting" w:eastAsia="SimSun" w:hAnsi="Arabic Typesetting" w:cs="Arabic Typesetting"/>
                <w:bCs/>
                <w:sz w:val="30"/>
                <w:szCs w:val="30"/>
                <w:lang w:eastAsia="zh-CN"/>
              </w:rPr>
            </w:pPr>
            <w:r w:rsidRPr="00E56CD5">
              <w:rPr>
                <w:rFonts w:ascii="Arabic Typesetting" w:eastAsia="SimSun" w:hAnsi="Arabic Typesetting" w:cs="Arabic Typesetting"/>
                <w:bCs/>
                <w:sz w:val="30"/>
                <w:szCs w:val="30"/>
                <w:rtl/>
                <w:lang w:eastAsia="zh-CN"/>
              </w:rPr>
              <w:t xml:space="preserve">عدد </w:t>
            </w:r>
            <w:r w:rsidR="00342471">
              <w:rPr>
                <w:rFonts w:ascii="Arabic Typesetting" w:eastAsia="SimSun" w:hAnsi="Arabic Typesetting" w:cs="Arabic Typesetting" w:hint="cs"/>
                <w:bCs/>
                <w:sz w:val="30"/>
                <w:szCs w:val="30"/>
                <w:rtl/>
                <w:lang w:eastAsia="zh-CN"/>
              </w:rPr>
              <w:t>المشاركين (الحاضرين) أو</w:t>
            </w:r>
            <w:r w:rsidR="00342471">
              <w:rPr>
                <w:rFonts w:ascii="Arabic Typesetting" w:eastAsia="SimSun" w:hAnsi="Arabic Typesetting" w:cs="Arabic Typesetting" w:hint="eastAsia"/>
                <w:bCs/>
                <w:sz w:val="30"/>
                <w:szCs w:val="30"/>
                <w:rtl/>
                <w:lang w:eastAsia="zh-CN"/>
              </w:rPr>
              <w:t> </w:t>
            </w:r>
            <w:r w:rsidRPr="00E56CD5">
              <w:rPr>
                <w:rFonts w:ascii="Arabic Typesetting" w:eastAsia="SimSun" w:hAnsi="Arabic Typesetting" w:cs="Arabic Typesetting"/>
                <w:bCs/>
                <w:sz w:val="30"/>
                <w:szCs w:val="30"/>
                <w:rtl/>
                <w:lang w:eastAsia="zh-CN"/>
              </w:rPr>
              <w:t>المشاهدين</w:t>
            </w:r>
            <w:r w:rsidR="00E56CD5">
              <w:rPr>
                <w:rFonts w:ascii="Arabic Typesetting" w:eastAsia="SimSun" w:hAnsi="Arabic Typesetting" w:cs="Arabic Typesetting" w:hint="cs"/>
                <w:bCs/>
                <w:sz w:val="30"/>
                <w:szCs w:val="30"/>
                <w:rtl/>
                <w:lang w:eastAsia="zh-CN"/>
              </w:rPr>
              <w:t> </w:t>
            </w:r>
            <w:r w:rsidRPr="00E56CD5">
              <w:rPr>
                <w:rFonts w:ascii="Arabic Typesetting" w:eastAsia="SimSun" w:hAnsi="Arabic Typesetting" w:cs="Arabic Typesetting"/>
                <w:bCs/>
                <w:sz w:val="30"/>
                <w:szCs w:val="30"/>
                <w:rtl/>
                <w:lang w:eastAsia="zh-CN"/>
              </w:rPr>
              <w:t>(</w:t>
            </w:r>
            <w:r w:rsidR="00357484">
              <w:rPr>
                <w:rFonts w:ascii="Arabic Typesetting" w:eastAsia="SimSun" w:hAnsi="Arabic Typesetting" w:cs="Arabic Typesetting" w:hint="cs"/>
                <w:bCs/>
                <w:sz w:val="30"/>
                <w:szCs w:val="30"/>
                <w:rtl/>
                <w:lang w:eastAsia="zh-CN"/>
              </w:rPr>
              <w:t>عبر</w:t>
            </w:r>
            <w:r w:rsidR="00342471">
              <w:rPr>
                <w:rFonts w:ascii="Arabic Typesetting" w:eastAsia="SimSun" w:hAnsi="Arabic Typesetting" w:cs="Arabic Typesetting" w:hint="cs"/>
                <w:bCs/>
                <w:sz w:val="30"/>
                <w:szCs w:val="30"/>
                <w:rtl/>
                <w:lang w:eastAsia="zh-CN"/>
              </w:rPr>
              <w:t> </w:t>
            </w:r>
            <w:r w:rsidRPr="00E56CD5">
              <w:rPr>
                <w:rFonts w:ascii="Arabic Typesetting" w:eastAsia="SimSun" w:hAnsi="Arabic Typesetting" w:cs="Arabic Typesetting"/>
                <w:bCs/>
                <w:sz w:val="30"/>
                <w:szCs w:val="30"/>
                <w:rtl/>
                <w:lang w:eastAsia="zh-CN"/>
              </w:rPr>
              <w:t>الإنترنت</w:t>
            </w:r>
            <w:r w:rsidRPr="00E56CD5">
              <w:rPr>
                <w:rFonts w:ascii="Arabic Typesetting" w:eastAsia="SimSun" w:hAnsi="Arabic Typesetting" w:cs="Arabic Typesetting" w:hint="cs"/>
                <w:bCs/>
                <w:sz w:val="30"/>
                <w:szCs w:val="30"/>
                <w:rtl/>
                <w:lang w:eastAsia="zh-CN"/>
              </w:rPr>
              <w:t>)</w:t>
            </w:r>
          </w:p>
        </w:tc>
        <w:tc>
          <w:tcPr>
            <w:tcW w:w="436" w:type="pct"/>
            <w:vAlign w:val="center"/>
          </w:tcPr>
          <w:p w:rsidR="00B97C38" w:rsidRPr="00E56CD5" w:rsidRDefault="00DF4839" w:rsidP="00342471">
            <w:pPr>
              <w:bidi/>
              <w:spacing w:before="60" w:after="60"/>
              <w:jc w:val="center"/>
              <w:rPr>
                <w:rFonts w:ascii="Arabic Typesetting" w:eastAsia="SimSun" w:hAnsi="Arabic Typesetting" w:cs="Arabic Typesetting"/>
                <w:bCs/>
                <w:sz w:val="30"/>
                <w:szCs w:val="30"/>
                <w:lang w:eastAsia="zh-CN"/>
              </w:rPr>
            </w:pPr>
            <w:r w:rsidRPr="00E56CD5">
              <w:rPr>
                <w:rFonts w:ascii="Arabic Typesetting" w:eastAsia="SimSun" w:hAnsi="Arabic Typesetting" w:cs="Arabic Typesetting"/>
                <w:bCs/>
                <w:sz w:val="30"/>
                <w:szCs w:val="30"/>
                <w:rtl/>
                <w:lang w:eastAsia="zh-CN"/>
              </w:rPr>
              <w:t>اللغة</w:t>
            </w:r>
            <w:r w:rsidR="00342471">
              <w:rPr>
                <w:rFonts w:ascii="Arabic Typesetting" w:eastAsia="SimSun" w:hAnsi="Arabic Typesetting" w:cs="Arabic Typesetting" w:hint="cs"/>
                <w:bCs/>
                <w:sz w:val="30"/>
                <w:szCs w:val="30"/>
                <w:rtl/>
                <w:lang w:eastAsia="zh-CN"/>
              </w:rPr>
              <w:t xml:space="preserve"> (أو اللغات)</w:t>
            </w:r>
          </w:p>
        </w:tc>
      </w:tr>
      <w:tr w:rsidR="00357484" w:rsidRPr="00E56CD5" w:rsidTr="00357484">
        <w:trPr>
          <w:cantSplit/>
          <w:trHeight w:val="60"/>
        </w:trPr>
        <w:tc>
          <w:tcPr>
            <w:tcW w:w="1646" w:type="pct"/>
          </w:tcPr>
          <w:p w:rsidR="00B97C38" w:rsidRPr="00E56CD5" w:rsidRDefault="00DF4839"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 xml:space="preserve">"معرض أيام الابتكار"، </w:t>
            </w:r>
            <w:r w:rsidR="00C44011">
              <w:rPr>
                <w:rFonts w:ascii="Arabic Typesetting" w:eastAsia="SimSun" w:hAnsi="Arabic Typesetting" w:cs="Arabic Typesetting"/>
                <w:sz w:val="30"/>
                <w:szCs w:val="30"/>
                <w:rtl/>
                <w:lang w:eastAsia="zh-CN"/>
              </w:rPr>
              <w:br/>
            </w:r>
            <w:r w:rsidRPr="00E56CD5">
              <w:rPr>
                <w:rFonts w:ascii="Arabic Typesetting" w:eastAsia="SimSun" w:hAnsi="Arabic Typesetting" w:cs="Arabic Typesetting" w:hint="cs"/>
                <w:sz w:val="30"/>
                <w:szCs w:val="30"/>
                <w:rtl/>
                <w:lang w:eastAsia="zh-CN"/>
              </w:rPr>
              <w:t>نظَّمه المعهد المكسيكي للملكية الصناعية</w:t>
            </w:r>
          </w:p>
        </w:tc>
        <w:tc>
          <w:tcPr>
            <w:tcW w:w="604" w:type="pct"/>
          </w:tcPr>
          <w:p w:rsidR="00B97C38" w:rsidRPr="00E56CD5" w:rsidRDefault="00DF4839"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20 و21 سبتمبر 2017</w:t>
            </w:r>
          </w:p>
        </w:tc>
        <w:tc>
          <w:tcPr>
            <w:tcW w:w="603" w:type="pct"/>
          </w:tcPr>
          <w:p w:rsidR="00B97C38" w:rsidRPr="00E56CD5" w:rsidRDefault="00DF4839"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sz w:val="30"/>
                <w:szCs w:val="30"/>
                <w:rtl/>
                <w:lang w:eastAsia="zh-CN"/>
              </w:rPr>
              <w:t>تيخوانا</w:t>
            </w:r>
            <w:r w:rsidRPr="00E56CD5">
              <w:rPr>
                <w:rFonts w:ascii="Arabic Typesetting" w:eastAsia="SimSun" w:hAnsi="Arabic Typesetting" w:cs="Arabic Typesetting" w:hint="cs"/>
                <w:sz w:val="30"/>
                <w:szCs w:val="30"/>
                <w:rtl/>
                <w:lang w:eastAsia="zh-CN"/>
              </w:rPr>
              <w:t>، باخا</w:t>
            </w:r>
            <w:r w:rsidR="00F465CB">
              <w:rPr>
                <w:rFonts w:ascii="Arabic Typesetting" w:eastAsia="SimSun" w:hAnsi="Arabic Typesetting" w:cs="Arabic Typesetting" w:hint="eastAsia"/>
                <w:sz w:val="30"/>
                <w:szCs w:val="30"/>
                <w:rtl/>
                <w:lang w:eastAsia="zh-CN"/>
              </w:rPr>
              <w:t> </w:t>
            </w:r>
            <w:r w:rsidRPr="00E56CD5">
              <w:rPr>
                <w:rFonts w:ascii="Arabic Typesetting" w:eastAsia="SimSun" w:hAnsi="Arabic Typesetting" w:cs="Arabic Typesetting" w:hint="cs"/>
                <w:sz w:val="30"/>
                <w:szCs w:val="30"/>
                <w:rtl/>
                <w:lang w:eastAsia="zh-CN"/>
              </w:rPr>
              <w:t>كاليفورنيا، المكسيك</w:t>
            </w:r>
          </w:p>
        </w:tc>
        <w:tc>
          <w:tcPr>
            <w:tcW w:w="830" w:type="pct"/>
          </w:tcPr>
          <w:p w:rsidR="00B97C38" w:rsidRPr="00E56CD5" w:rsidRDefault="00DF4839"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 xml:space="preserve">باحثون وطلاب وشركات صغيرة ومتوسطة وموظفون من </w:t>
            </w:r>
            <w:r w:rsidR="00F465CB">
              <w:rPr>
                <w:rFonts w:ascii="Arabic Typesetting" w:eastAsia="SimSun" w:hAnsi="Arabic Typesetting" w:cs="Arabic Typesetting" w:hint="cs"/>
                <w:sz w:val="30"/>
                <w:szCs w:val="30"/>
                <w:rtl/>
                <w:lang w:eastAsia="zh-CN"/>
              </w:rPr>
              <w:t>القطاعين العام والخاص</w:t>
            </w:r>
          </w:p>
        </w:tc>
        <w:tc>
          <w:tcPr>
            <w:tcW w:w="880" w:type="pct"/>
          </w:tcPr>
          <w:p w:rsidR="00B97C38" w:rsidRPr="00E56CD5" w:rsidRDefault="00DF4839"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500 مشارك تقريباً</w:t>
            </w:r>
          </w:p>
        </w:tc>
        <w:tc>
          <w:tcPr>
            <w:tcW w:w="436" w:type="pct"/>
          </w:tcPr>
          <w:p w:rsidR="00B97C38" w:rsidRPr="00E56CD5" w:rsidRDefault="00DF4839"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الإسبانية</w:t>
            </w:r>
          </w:p>
        </w:tc>
      </w:tr>
      <w:tr w:rsidR="00357484" w:rsidRPr="00E56CD5" w:rsidTr="00357484">
        <w:trPr>
          <w:cantSplit/>
          <w:trHeight w:val="60"/>
        </w:trPr>
        <w:tc>
          <w:tcPr>
            <w:tcW w:w="1646" w:type="pct"/>
          </w:tcPr>
          <w:p w:rsidR="00B97C38" w:rsidRPr="00E56CD5" w:rsidRDefault="00DF4839" w:rsidP="002B419F">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ندوة دون إقليمية عن الملكية الفكرية ونقل التكنولوجيا</w:t>
            </w:r>
            <w:r w:rsidR="002B419F">
              <w:rPr>
                <w:rFonts w:ascii="Arabic Typesetting" w:eastAsia="SimSun" w:hAnsi="Arabic Typesetting" w:cs="Arabic Typesetting" w:hint="cs"/>
                <w:sz w:val="30"/>
                <w:szCs w:val="30"/>
                <w:rtl/>
                <w:lang w:eastAsia="zh-CN"/>
              </w:rPr>
              <w:t xml:space="preserve">: الفرص والتحديات والشراكات الاستراتيجية بين القطاع العام والجامعات والقطاع الخاص، </w:t>
            </w:r>
            <w:r w:rsidR="00342471">
              <w:rPr>
                <w:rFonts w:ascii="Arabic Typesetting" w:eastAsia="SimSun" w:hAnsi="Arabic Typesetting" w:cs="Arabic Typesetting"/>
                <w:sz w:val="30"/>
                <w:szCs w:val="30"/>
                <w:rtl/>
                <w:lang w:eastAsia="zh-CN"/>
              </w:rPr>
              <w:br/>
            </w:r>
            <w:r w:rsidRPr="00E56CD5">
              <w:rPr>
                <w:rFonts w:ascii="Arabic Typesetting" w:eastAsia="SimSun" w:hAnsi="Arabic Typesetting" w:cs="Arabic Typesetting" w:hint="cs"/>
                <w:sz w:val="30"/>
                <w:szCs w:val="30"/>
                <w:rtl/>
                <w:lang w:eastAsia="zh-CN"/>
              </w:rPr>
              <w:t xml:space="preserve">نظَّمتها الويبو بالاشتراك مع </w:t>
            </w:r>
            <w:r w:rsidR="002B419F" w:rsidRPr="002B419F">
              <w:rPr>
                <w:rFonts w:ascii="Arabic Typesetting" w:eastAsia="SimSun" w:hAnsi="Arabic Typesetting" w:cs="Arabic Typesetting"/>
                <w:sz w:val="30"/>
                <w:szCs w:val="30"/>
                <w:rtl/>
                <w:lang w:eastAsia="zh-CN"/>
              </w:rPr>
              <w:t>محكمة التسجيل الإداري في كوستاريكا</w:t>
            </w:r>
          </w:p>
        </w:tc>
        <w:tc>
          <w:tcPr>
            <w:tcW w:w="604" w:type="pct"/>
          </w:tcPr>
          <w:p w:rsidR="00B97C38" w:rsidRPr="00E56CD5" w:rsidRDefault="00DF4839"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22 أغسطس 2017</w:t>
            </w:r>
          </w:p>
        </w:tc>
        <w:tc>
          <w:tcPr>
            <w:tcW w:w="603" w:type="pct"/>
          </w:tcPr>
          <w:p w:rsidR="00B97C38" w:rsidRPr="00E56CD5" w:rsidRDefault="00DF4839"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سان</w:t>
            </w:r>
            <w:r w:rsidR="00342471">
              <w:rPr>
                <w:rFonts w:ascii="Arabic Typesetting" w:eastAsia="SimSun" w:hAnsi="Arabic Typesetting" w:cs="Arabic Typesetting" w:hint="eastAsia"/>
                <w:sz w:val="30"/>
                <w:szCs w:val="30"/>
                <w:rtl/>
                <w:lang w:eastAsia="zh-CN"/>
              </w:rPr>
              <w:t> </w:t>
            </w:r>
            <w:r w:rsidRPr="00E56CD5">
              <w:rPr>
                <w:rFonts w:ascii="Arabic Typesetting" w:eastAsia="SimSun" w:hAnsi="Arabic Typesetting" w:cs="Arabic Typesetting" w:hint="cs"/>
                <w:sz w:val="30"/>
                <w:szCs w:val="30"/>
                <w:rtl/>
                <w:lang w:eastAsia="zh-CN"/>
              </w:rPr>
              <w:t>خوسيه،</w:t>
            </w:r>
            <w:r w:rsidR="00342471">
              <w:rPr>
                <w:rFonts w:ascii="Arabic Typesetting" w:eastAsia="SimSun" w:hAnsi="Arabic Typesetting" w:cs="Arabic Typesetting" w:hint="eastAsia"/>
                <w:sz w:val="30"/>
                <w:szCs w:val="30"/>
                <w:rtl/>
                <w:lang w:eastAsia="zh-CN"/>
              </w:rPr>
              <w:t> </w:t>
            </w:r>
            <w:r w:rsidRPr="00E56CD5">
              <w:rPr>
                <w:rFonts w:ascii="Arabic Typesetting" w:eastAsia="SimSun" w:hAnsi="Arabic Typesetting" w:cs="Arabic Typesetting" w:hint="cs"/>
                <w:sz w:val="30"/>
                <w:szCs w:val="30"/>
                <w:rtl/>
                <w:lang w:eastAsia="zh-CN"/>
              </w:rPr>
              <w:t>كوستاريكا</w:t>
            </w:r>
          </w:p>
        </w:tc>
        <w:tc>
          <w:tcPr>
            <w:tcW w:w="830" w:type="pct"/>
          </w:tcPr>
          <w:p w:rsidR="00B97C38" w:rsidRPr="00E56CD5" w:rsidRDefault="00DF4839"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منتدى رفيع المستوى لممثلي القطاع العام والأوساط الأكاديمية وقطاع الأعمال والمشاريع</w:t>
            </w:r>
          </w:p>
        </w:tc>
        <w:tc>
          <w:tcPr>
            <w:tcW w:w="880" w:type="pct"/>
          </w:tcPr>
          <w:p w:rsidR="00B97C38" w:rsidRPr="00E56CD5" w:rsidRDefault="00DF4839"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10 مشاركين تقريباً</w:t>
            </w:r>
          </w:p>
        </w:tc>
        <w:tc>
          <w:tcPr>
            <w:tcW w:w="436" w:type="pct"/>
          </w:tcPr>
          <w:p w:rsidR="00B97C38" w:rsidRPr="00E56CD5" w:rsidRDefault="00DF4839"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الإسبانية</w:t>
            </w:r>
          </w:p>
        </w:tc>
      </w:tr>
      <w:tr w:rsidR="00357484" w:rsidRPr="00E56CD5" w:rsidTr="00357484">
        <w:trPr>
          <w:cantSplit/>
          <w:trHeight w:val="66"/>
        </w:trPr>
        <w:tc>
          <w:tcPr>
            <w:tcW w:w="1646" w:type="pct"/>
          </w:tcPr>
          <w:p w:rsidR="00B97C38" w:rsidRPr="00E56CD5" w:rsidRDefault="00DF4839"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 xml:space="preserve">حلقة عمل </w:t>
            </w:r>
            <w:r w:rsidR="00F465CB">
              <w:rPr>
                <w:rFonts w:ascii="Arabic Typesetting" w:eastAsia="SimSun" w:hAnsi="Arabic Typesetting" w:cs="Arabic Typesetting" w:hint="cs"/>
                <w:sz w:val="30"/>
                <w:szCs w:val="30"/>
                <w:rtl/>
                <w:lang w:eastAsia="zh-CN"/>
              </w:rPr>
              <w:t>عن</w:t>
            </w:r>
            <w:r w:rsidRPr="00E56CD5">
              <w:rPr>
                <w:rFonts w:ascii="Arabic Typesetting" w:eastAsia="SimSun" w:hAnsi="Arabic Typesetting" w:cs="Arabic Typesetting" w:hint="cs"/>
                <w:sz w:val="30"/>
                <w:szCs w:val="30"/>
                <w:rtl/>
                <w:lang w:eastAsia="zh-CN"/>
              </w:rPr>
              <w:t xml:space="preserve"> الملكية الفكرية والصحة العامة</w:t>
            </w:r>
            <w:r w:rsidR="00342471">
              <w:rPr>
                <w:rFonts w:ascii="Arabic Typesetting" w:eastAsia="SimSun" w:hAnsi="Arabic Typesetting" w:cs="Arabic Typesetting" w:hint="cs"/>
                <w:sz w:val="30"/>
                <w:szCs w:val="30"/>
                <w:rtl/>
                <w:lang w:eastAsia="zh-CN"/>
              </w:rPr>
              <w:t xml:space="preserve">، </w:t>
            </w:r>
            <w:r w:rsidR="00342471">
              <w:rPr>
                <w:rFonts w:ascii="Arabic Typesetting" w:eastAsia="SimSun" w:hAnsi="Arabic Typesetting" w:cs="Arabic Typesetting"/>
                <w:sz w:val="30"/>
                <w:szCs w:val="30"/>
                <w:rtl/>
                <w:lang w:eastAsia="zh-CN"/>
              </w:rPr>
              <w:br/>
            </w:r>
            <w:r w:rsidR="00F465CB">
              <w:rPr>
                <w:rFonts w:ascii="Arabic Typesetting" w:eastAsia="SimSun" w:hAnsi="Arabic Typesetting" w:cs="Arabic Typesetting" w:hint="cs"/>
                <w:sz w:val="30"/>
                <w:szCs w:val="30"/>
                <w:rtl/>
                <w:lang w:eastAsia="zh-CN"/>
              </w:rPr>
              <w:t>نظَّمتها</w:t>
            </w:r>
            <w:r w:rsidR="00342471">
              <w:rPr>
                <w:rFonts w:ascii="Arabic Typesetting" w:eastAsia="SimSun" w:hAnsi="Arabic Typesetting" w:cs="Arabic Typesetting" w:hint="cs"/>
                <w:sz w:val="30"/>
                <w:szCs w:val="30"/>
                <w:rtl/>
                <w:lang w:eastAsia="zh-CN"/>
              </w:rPr>
              <w:t xml:space="preserve"> </w:t>
            </w:r>
            <w:r w:rsidR="00F465CB">
              <w:rPr>
                <w:rFonts w:ascii="Arabic Typesetting" w:eastAsia="SimSun" w:hAnsi="Arabic Typesetting" w:cs="Arabic Typesetting" w:hint="cs"/>
                <w:sz w:val="30"/>
                <w:szCs w:val="30"/>
                <w:rtl/>
                <w:lang w:eastAsia="zh-CN"/>
              </w:rPr>
              <w:t>منظمة</w:t>
            </w:r>
            <w:r w:rsidR="00342471">
              <w:rPr>
                <w:rFonts w:ascii="Arabic Typesetting" w:eastAsia="SimSun" w:hAnsi="Arabic Typesetting" w:cs="Arabic Typesetting" w:hint="cs"/>
                <w:sz w:val="30"/>
                <w:szCs w:val="30"/>
                <w:rtl/>
                <w:lang w:eastAsia="zh-CN"/>
              </w:rPr>
              <w:t xml:space="preserve"> </w:t>
            </w:r>
            <w:r w:rsidR="00F465CB">
              <w:rPr>
                <w:rFonts w:ascii="Arabic Typesetting" w:eastAsia="SimSun" w:hAnsi="Arabic Typesetting" w:cs="Arabic Typesetting" w:hint="cs"/>
                <w:sz w:val="30"/>
                <w:szCs w:val="30"/>
                <w:rtl/>
                <w:lang w:eastAsia="zh-CN"/>
              </w:rPr>
              <w:t>التجارة العالمية</w:t>
            </w:r>
          </w:p>
        </w:tc>
        <w:tc>
          <w:tcPr>
            <w:tcW w:w="604" w:type="pct"/>
          </w:tcPr>
          <w:p w:rsidR="00B97C38" w:rsidRPr="00E56CD5" w:rsidRDefault="00DF4839" w:rsidP="00342471">
            <w:pPr>
              <w:bidi/>
              <w:spacing w:before="60" w:after="60"/>
              <w:rPr>
                <w:rFonts w:ascii="Arabic Typesetting" w:eastAsiaTheme="minorHAnsi" w:hAnsi="Arabic Typesetting" w:cs="Arabic Typesetting"/>
                <w:sz w:val="30"/>
                <w:szCs w:val="30"/>
                <w:lang w:val="es-ES" w:eastAsia="zh-CN"/>
              </w:rPr>
            </w:pPr>
            <w:r w:rsidRPr="00E56CD5">
              <w:rPr>
                <w:rFonts w:ascii="Arabic Typesetting" w:eastAsia="SimSun" w:hAnsi="Arabic Typesetting" w:cs="Arabic Typesetting" w:hint="cs"/>
                <w:sz w:val="30"/>
                <w:szCs w:val="30"/>
                <w:rtl/>
                <w:lang w:eastAsia="zh-CN"/>
              </w:rPr>
              <w:t>18 و19 يوليو 2017</w:t>
            </w:r>
          </w:p>
        </w:tc>
        <w:tc>
          <w:tcPr>
            <w:tcW w:w="603" w:type="pct"/>
          </w:tcPr>
          <w:p w:rsidR="00B97C38" w:rsidRPr="00E56CD5" w:rsidRDefault="00DF4839"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لومي، توغو</w:t>
            </w:r>
          </w:p>
        </w:tc>
        <w:tc>
          <w:tcPr>
            <w:tcW w:w="830" w:type="pct"/>
          </w:tcPr>
          <w:p w:rsidR="00B97C38" w:rsidRPr="00E56CD5" w:rsidRDefault="00DF4839" w:rsidP="00357484">
            <w:pPr>
              <w:bidi/>
              <w:spacing w:before="60" w:after="60"/>
              <w:rPr>
                <w:rFonts w:ascii="Arabic Typesetting" w:eastAsiaTheme="minorHAnsi"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موظفون حكوميون، وممارسون خاصون وممثلون لشركات وجمعيات</w:t>
            </w:r>
            <w:r w:rsidR="00357484">
              <w:rPr>
                <w:rFonts w:ascii="Arabic Typesetting" w:eastAsia="SimSun" w:hAnsi="Arabic Typesetting" w:cs="Arabic Typesetting" w:hint="eastAsia"/>
                <w:sz w:val="30"/>
                <w:szCs w:val="30"/>
                <w:rtl/>
                <w:lang w:eastAsia="zh-CN"/>
              </w:rPr>
              <w:t> </w:t>
            </w:r>
            <w:r w:rsidRPr="00E56CD5">
              <w:rPr>
                <w:rFonts w:ascii="Arabic Typesetting" w:eastAsia="SimSun" w:hAnsi="Arabic Typesetting" w:cs="Arabic Typesetting" w:hint="cs"/>
                <w:sz w:val="30"/>
                <w:szCs w:val="30"/>
                <w:rtl/>
                <w:lang w:eastAsia="zh-CN"/>
              </w:rPr>
              <w:t>وطنية</w:t>
            </w:r>
          </w:p>
        </w:tc>
        <w:tc>
          <w:tcPr>
            <w:tcW w:w="880" w:type="pct"/>
          </w:tcPr>
          <w:p w:rsidR="00B97C38" w:rsidRPr="00E56CD5" w:rsidRDefault="00DF4839" w:rsidP="00342471">
            <w:pPr>
              <w:bidi/>
              <w:spacing w:before="60" w:after="60"/>
              <w:rPr>
                <w:rFonts w:ascii="Arabic Typesetting" w:eastAsiaTheme="minorHAnsi"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40 مشاركاً تقريباً</w:t>
            </w:r>
          </w:p>
        </w:tc>
        <w:tc>
          <w:tcPr>
            <w:tcW w:w="436" w:type="pct"/>
          </w:tcPr>
          <w:p w:rsidR="00B97C38" w:rsidRPr="00E56CD5" w:rsidRDefault="00DF4839" w:rsidP="00342471">
            <w:pPr>
              <w:bidi/>
              <w:spacing w:before="60" w:after="60"/>
              <w:rPr>
                <w:rFonts w:ascii="Arabic Typesetting" w:eastAsiaTheme="minorHAnsi"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الإنكليزية</w:t>
            </w:r>
          </w:p>
        </w:tc>
      </w:tr>
      <w:tr w:rsidR="00357484" w:rsidRPr="00E56CD5" w:rsidTr="00357484">
        <w:trPr>
          <w:cantSplit/>
          <w:trHeight w:val="60"/>
        </w:trPr>
        <w:tc>
          <w:tcPr>
            <w:tcW w:w="1646" w:type="pct"/>
          </w:tcPr>
          <w:p w:rsidR="00B97C38" w:rsidRPr="00E56CD5" w:rsidRDefault="00DF4839"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الترويج على الشبكات الاجتماعية (تويتر)</w:t>
            </w:r>
          </w:p>
        </w:tc>
        <w:tc>
          <w:tcPr>
            <w:tcW w:w="604" w:type="pct"/>
          </w:tcPr>
          <w:p w:rsidR="00B97C38" w:rsidRPr="00E56CD5" w:rsidRDefault="00776043"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25 مايو 2017</w:t>
            </w:r>
          </w:p>
        </w:tc>
        <w:tc>
          <w:tcPr>
            <w:tcW w:w="603" w:type="pct"/>
          </w:tcPr>
          <w:p w:rsidR="00B97C38" w:rsidRPr="00E56CD5" w:rsidRDefault="00776043"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w:t>
            </w:r>
          </w:p>
        </w:tc>
        <w:tc>
          <w:tcPr>
            <w:tcW w:w="830" w:type="pct"/>
          </w:tcPr>
          <w:p w:rsidR="00B97C38" w:rsidRPr="00E56CD5" w:rsidRDefault="00776043"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الجمهور العام</w:t>
            </w:r>
          </w:p>
        </w:tc>
        <w:tc>
          <w:tcPr>
            <w:tcW w:w="880" w:type="pct"/>
          </w:tcPr>
          <w:p w:rsidR="00B97C38" w:rsidRPr="00E56CD5" w:rsidRDefault="00776043"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6802 مشاهدة</w:t>
            </w:r>
            <w:r w:rsidR="00342471">
              <w:rPr>
                <w:rFonts w:ascii="Arabic Typesetting" w:eastAsia="SimSun" w:hAnsi="Arabic Typesetting" w:cs="Arabic Typesetting" w:hint="cs"/>
                <w:sz w:val="30"/>
                <w:szCs w:val="30"/>
                <w:rtl/>
                <w:lang w:eastAsia="zh-CN"/>
              </w:rPr>
              <w:t xml:space="preserve"> </w:t>
            </w:r>
            <w:r w:rsidR="00342471">
              <w:rPr>
                <w:rFonts w:ascii="Arabic Typesetting" w:eastAsia="SimSun" w:hAnsi="Arabic Typesetting" w:cs="Arabic Typesetting" w:hint="cs"/>
                <w:sz w:val="30"/>
                <w:szCs w:val="30"/>
                <w:rtl/>
                <w:lang w:eastAsia="zh-CN"/>
              </w:rPr>
              <w:br/>
            </w:r>
            <w:r w:rsidRPr="00E56CD5">
              <w:rPr>
                <w:rFonts w:ascii="Arabic Typesetting" w:eastAsia="SimSun" w:hAnsi="Arabic Typesetting" w:cs="Arabic Typesetting" w:hint="cs"/>
                <w:sz w:val="30"/>
                <w:szCs w:val="30"/>
                <w:rtl/>
                <w:lang w:eastAsia="zh-CN"/>
              </w:rPr>
              <w:t>و125 تفاعلاً مع</w:t>
            </w:r>
            <w:r w:rsidR="00342471">
              <w:rPr>
                <w:rFonts w:ascii="Arabic Typesetting" w:eastAsia="SimSun" w:hAnsi="Arabic Typesetting" w:cs="Arabic Typesetting" w:hint="eastAsia"/>
                <w:sz w:val="30"/>
                <w:szCs w:val="30"/>
                <w:rtl/>
                <w:lang w:eastAsia="zh-CN"/>
              </w:rPr>
              <w:t> </w:t>
            </w:r>
            <w:r w:rsidRPr="00E56CD5">
              <w:rPr>
                <w:rFonts w:ascii="Arabic Typesetting" w:eastAsia="SimSun" w:hAnsi="Arabic Typesetting" w:cs="Arabic Typesetting" w:hint="cs"/>
                <w:sz w:val="30"/>
                <w:szCs w:val="30"/>
                <w:rtl/>
                <w:lang w:eastAsia="zh-CN"/>
              </w:rPr>
              <w:t>المحتوى المنشور</w:t>
            </w:r>
          </w:p>
        </w:tc>
        <w:tc>
          <w:tcPr>
            <w:tcW w:w="436" w:type="pct"/>
          </w:tcPr>
          <w:p w:rsidR="00B97C38" w:rsidRPr="00E56CD5" w:rsidRDefault="00DF4839"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الإنكليزية</w:t>
            </w:r>
          </w:p>
        </w:tc>
      </w:tr>
      <w:tr w:rsidR="00357484" w:rsidRPr="00E56CD5" w:rsidTr="00357484">
        <w:trPr>
          <w:cantSplit/>
          <w:trHeight w:val="60"/>
        </w:trPr>
        <w:tc>
          <w:tcPr>
            <w:tcW w:w="1646" w:type="pct"/>
          </w:tcPr>
          <w:p w:rsidR="00B97C38" w:rsidRPr="00E56CD5" w:rsidRDefault="00776043"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val="en" w:eastAsia="zh-CN"/>
              </w:rPr>
              <w:t xml:space="preserve">حلقة عمل إقليمية </w:t>
            </w:r>
            <w:r w:rsidR="00342471">
              <w:rPr>
                <w:rFonts w:ascii="Arabic Typesetting" w:eastAsia="SimSun" w:hAnsi="Arabic Typesetting" w:cs="Arabic Typesetting" w:hint="cs"/>
                <w:sz w:val="30"/>
                <w:szCs w:val="30"/>
                <w:rtl/>
                <w:lang w:val="en" w:eastAsia="zh-CN" w:bidi="ar-EG"/>
              </w:rPr>
              <w:t>عن</w:t>
            </w:r>
            <w:r w:rsidRPr="00E56CD5">
              <w:rPr>
                <w:rFonts w:ascii="Arabic Typesetting" w:eastAsia="SimSun" w:hAnsi="Arabic Typesetting" w:cs="Arabic Typesetting" w:hint="cs"/>
                <w:sz w:val="30"/>
                <w:szCs w:val="30"/>
                <w:rtl/>
                <w:lang w:val="en" w:eastAsia="zh-CN"/>
              </w:rPr>
              <w:t xml:space="preserve"> البراءات و</w:t>
            </w:r>
            <w:r w:rsidR="002B419F">
              <w:rPr>
                <w:rFonts w:ascii="Arabic Typesetting" w:eastAsia="SimSun" w:hAnsi="Arabic Typesetting" w:cs="Arabic Typesetting" w:hint="cs"/>
                <w:sz w:val="30"/>
                <w:szCs w:val="30"/>
                <w:rtl/>
                <w:lang w:val="en" w:eastAsia="zh-CN"/>
              </w:rPr>
              <w:t xml:space="preserve">أنظمة </w:t>
            </w:r>
            <w:r w:rsidRPr="00E56CD5">
              <w:rPr>
                <w:rFonts w:ascii="Arabic Typesetting" w:eastAsia="SimSun" w:hAnsi="Arabic Typesetting" w:cs="Arabic Typesetting" w:hint="cs"/>
                <w:sz w:val="30"/>
                <w:szCs w:val="30"/>
                <w:rtl/>
                <w:lang w:val="en" w:eastAsia="zh-CN"/>
              </w:rPr>
              <w:t>الإيداع الإلكتروني،</w:t>
            </w:r>
            <w:r w:rsidR="00342471">
              <w:rPr>
                <w:rFonts w:ascii="Arabic Typesetting" w:eastAsia="SimSun" w:hAnsi="Arabic Typesetting" w:cs="Arabic Typesetting" w:hint="cs"/>
                <w:sz w:val="30"/>
                <w:szCs w:val="30"/>
                <w:rtl/>
                <w:lang w:val="en" w:eastAsia="zh-CN"/>
              </w:rPr>
              <w:t xml:space="preserve"> </w:t>
            </w:r>
            <w:r w:rsidR="00342471">
              <w:rPr>
                <w:rFonts w:ascii="Arabic Typesetting" w:eastAsia="SimSun" w:hAnsi="Arabic Typesetting" w:cs="Arabic Typesetting"/>
                <w:sz w:val="30"/>
                <w:szCs w:val="30"/>
                <w:rtl/>
                <w:lang w:val="en" w:eastAsia="zh-CN"/>
              </w:rPr>
              <w:br/>
            </w:r>
            <w:r w:rsidR="00342471">
              <w:rPr>
                <w:rFonts w:ascii="Arabic Typesetting" w:eastAsia="SimSun" w:hAnsi="Arabic Typesetting" w:cs="Arabic Typesetting" w:hint="cs"/>
                <w:sz w:val="30"/>
                <w:szCs w:val="30"/>
                <w:rtl/>
                <w:lang w:val="en" w:eastAsia="zh-CN"/>
              </w:rPr>
              <w:t>نظَّ</w:t>
            </w:r>
            <w:r w:rsidRPr="00E56CD5">
              <w:rPr>
                <w:rFonts w:ascii="Arabic Typesetting" w:eastAsia="SimSun" w:hAnsi="Arabic Typesetting" w:cs="Arabic Typesetting" w:hint="cs"/>
                <w:sz w:val="30"/>
                <w:szCs w:val="30"/>
                <w:rtl/>
                <w:lang w:val="en" w:eastAsia="zh-CN"/>
              </w:rPr>
              <w:t>م</w:t>
            </w:r>
            <w:r w:rsidR="00342471">
              <w:rPr>
                <w:rFonts w:ascii="Arabic Typesetting" w:eastAsia="SimSun" w:hAnsi="Arabic Typesetting" w:cs="Arabic Typesetting" w:hint="cs"/>
                <w:sz w:val="30"/>
                <w:szCs w:val="30"/>
                <w:rtl/>
                <w:lang w:val="en" w:eastAsia="zh-CN"/>
              </w:rPr>
              <w:t>ت</w:t>
            </w:r>
            <w:r w:rsidRPr="00E56CD5">
              <w:rPr>
                <w:rFonts w:ascii="Arabic Typesetting" w:eastAsia="SimSun" w:hAnsi="Arabic Typesetting" w:cs="Arabic Typesetting" w:hint="cs"/>
                <w:sz w:val="30"/>
                <w:szCs w:val="30"/>
                <w:rtl/>
                <w:lang w:val="en" w:eastAsia="zh-CN"/>
              </w:rPr>
              <w:t>ها</w:t>
            </w:r>
            <w:r w:rsidR="00342471">
              <w:rPr>
                <w:rFonts w:ascii="Arabic Typesetting" w:eastAsia="SimSun" w:hAnsi="Arabic Typesetting" w:cs="Arabic Typesetting" w:hint="cs"/>
                <w:sz w:val="30"/>
                <w:szCs w:val="30"/>
                <w:rtl/>
                <w:lang w:val="en" w:eastAsia="zh-CN"/>
              </w:rPr>
              <w:t xml:space="preserve"> </w:t>
            </w:r>
            <w:r w:rsidRPr="00E56CD5">
              <w:rPr>
                <w:rFonts w:ascii="Arabic Typesetting" w:eastAsia="SimSun" w:hAnsi="Arabic Typesetting" w:cs="Arabic Typesetting" w:hint="cs"/>
                <w:sz w:val="30"/>
                <w:szCs w:val="30"/>
                <w:rtl/>
                <w:lang w:val="en" w:eastAsia="zh-CN"/>
              </w:rPr>
              <w:t>وكالة الملكية الفكرية في جمهورية أوزبكستان</w:t>
            </w:r>
            <w:r w:rsidR="00342471">
              <w:rPr>
                <w:rFonts w:ascii="Arabic Typesetting" w:eastAsia="SimSun" w:hAnsi="Arabic Typesetting" w:cs="Arabic Typesetting" w:hint="cs"/>
                <w:sz w:val="30"/>
                <w:szCs w:val="30"/>
                <w:rtl/>
                <w:lang w:val="en" w:eastAsia="zh-CN"/>
              </w:rPr>
              <w:t xml:space="preserve"> </w:t>
            </w:r>
            <w:r w:rsidR="00342471">
              <w:rPr>
                <w:rFonts w:ascii="Arabic Typesetting" w:eastAsia="SimSun" w:hAnsi="Arabic Typesetting" w:cs="Arabic Typesetting"/>
                <w:sz w:val="30"/>
                <w:szCs w:val="30"/>
                <w:rtl/>
                <w:lang w:val="en" w:eastAsia="zh-CN"/>
              </w:rPr>
              <w:br/>
            </w:r>
            <w:r w:rsidRPr="00E56CD5">
              <w:rPr>
                <w:rFonts w:ascii="Arabic Typesetting" w:eastAsia="SimSun" w:hAnsi="Arabic Typesetting" w:cs="Arabic Typesetting" w:hint="cs"/>
                <w:sz w:val="30"/>
                <w:szCs w:val="30"/>
                <w:rtl/>
                <w:lang w:val="en" w:eastAsia="zh-CN"/>
              </w:rPr>
              <w:t>بالتعاون</w:t>
            </w:r>
            <w:r w:rsidR="00342471">
              <w:rPr>
                <w:rFonts w:ascii="Arabic Typesetting" w:eastAsia="SimSun" w:hAnsi="Arabic Typesetting" w:cs="Arabic Typesetting" w:hint="cs"/>
                <w:sz w:val="30"/>
                <w:szCs w:val="30"/>
                <w:rtl/>
                <w:lang w:val="en" w:eastAsia="zh-CN"/>
              </w:rPr>
              <w:t xml:space="preserve"> </w:t>
            </w:r>
            <w:r w:rsidRPr="00E56CD5">
              <w:rPr>
                <w:rFonts w:ascii="Arabic Typesetting" w:eastAsia="SimSun" w:hAnsi="Arabic Typesetting" w:cs="Arabic Typesetting" w:hint="cs"/>
                <w:sz w:val="30"/>
                <w:szCs w:val="30"/>
                <w:rtl/>
                <w:lang w:val="en" w:eastAsia="zh-CN"/>
              </w:rPr>
              <w:t>مع الويبو</w:t>
            </w:r>
          </w:p>
        </w:tc>
        <w:tc>
          <w:tcPr>
            <w:tcW w:w="604" w:type="pct"/>
          </w:tcPr>
          <w:p w:rsidR="00B97C38" w:rsidRPr="00E56CD5" w:rsidRDefault="00776043"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17 و18 مايو 2017</w:t>
            </w:r>
          </w:p>
        </w:tc>
        <w:tc>
          <w:tcPr>
            <w:tcW w:w="603" w:type="pct"/>
          </w:tcPr>
          <w:p w:rsidR="00B97C38" w:rsidRPr="00E56CD5" w:rsidRDefault="00776043" w:rsidP="00342471">
            <w:pPr>
              <w:bidi/>
              <w:spacing w:before="60" w:after="60"/>
              <w:rPr>
                <w:rFonts w:ascii="Arabic Typesetting" w:eastAsia="SimSun" w:hAnsi="Arabic Typesetting" w:cs="Arabic Typesetting"/>
                <w:sz w:val="30"/>
                <w:szCs w:val="30"/>
                <w:lang w:val="en" w:eastAsia="zh-CN"/>
              </w:rPr>
            </w:pPr>
            <w:r w:rsidRPr="00E56CD5">
              <w:rPr>
                <w:rFonts w:ascii="Arabic Typesetting" w:eastAsia="SimSun" w:hAnsi="Arabic Typesetting" w:cs="Arabic Typesetting" w:hint="cs"/>
                <w:sz w:val="30"/>
                <w:szCs w:val="30"/>
                <w:rtl/>
                <w:lang w:val="en" w:eastAsia="zh-CN"/>
              </w:rPr>
              <w:t>طشقند، أوزبكستان</w:t>
            </w:r>
          </w:p>
        </w:tc>
        <w:tc>
          <w:tcPr>
            <w:tcW w:w="830" w:type="pct"/>
          </w:tcPr>
          <w:p w:rsidR="00B97C38" w:rsidRPr="00E56CD5" w:rsidRDefault="00776043"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موظفون حكوميون وممارسون قانونيون وقطاع الأعمال والأوساط الأكاديمية وغيرها</w:t>
            </w:r>
          </w:p>
        </w:tc>
        <w:tc>
          <w:tcPr>
            <w:tcW w:w="880" w:type="pct"/>
          </w:tcPr>
          <w:p w:rsidR="00B97C38" w:rsidRPr="00E56CD5" w:rsidRDefault="00776043"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50 مشاركاً</w:t>
            </w:r>
          </w:p>
        </w:tc>
        <w:tc>
          <w:tcPr>
            <w:tcW w:w="436" w:type="pct"/>
          </w:tcPr>
          <w:p w:rsidR="00B97C38" w:rsidRPr="00E56CD5" w:rsidRDefault="00DF4839"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الروسية والإنكليزية</w:t>
            </w:r>
          </w:p>
        </w:tc>
      </w:tr>
      <w:tr w:rsidR="00357484" w:rsidRPr="00E56CD5" w:rsidTr="00357484">
        <w:trPr>
          <w:cantSplit/>
          <w:trHeight w:val="91"/>
        </w:trPr>
        <w:tc>
          <w:tcPr>
            <w:tcW w:w="1646" w:type="pct"/>
          </w:tcPr>
          <w:p w:rsidR="00776043" w:rsidRPr="00E56CD5" w:rsidRDefault="00776043"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الترويج على الشبكات الاجتماعية (تويتر)</w:t>
            </w:r>
          </w:p>
        </w:tc>
        <w:tc>
          <w:tcPr>
            <w:tcW w:w="604" w:type="pct"/>
          </w:tcPr>
          <w:p w:rsidR="00776043" w:rsidRPr="00E56CD5" w:rsidRDefault="00776043"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15 مايو 2017</w:t>
            </w:r>
          </w:p>
        </w:tc>
        <w:tc>
          <w:tcPr>
            <w:tcW w:w="603" w:type="pct"/>
          </w:tcPr>
          <w:p w:rsidR="00776043" w:rsidRPr="00E56CD5" w:rsidRDefault="00776043"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w:t>
            </w:r>
          </w:p>
        </w:tc>
        <w:tc>
          <w:tcPr>
            <w:tcW w:w="830" w:type="pct"/>
          </w:tcPr>
          <w:p w:rsidR="00776043" w:rsidRPr="00E56CD5" w:rsidRDefault="00776043"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الجمهور العام</w:t>
            </w:r>
          </w:p>
        </w:tc>
        <w:tc>
          <w:tcPr>
            <w:tcW w:w="880" w:type="pct"/>
          </w:tcPr>
          <w:p w:rsidR="00776043" w:rsidRPr="00E56CD5" w:rsidRDefault="00776043"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5163 مشاهدة</w:t>
            </w:r>
            <w:r w:rsidR="00342471">
              <w:rPr>
                <w:rFonts w:ascii="Arabic Typesetting" w:eastAsia="SimSun" w:hAnsi="Arabic Typesetting" w:cs="Arabic Typesetting" w:hint="cs"/>
                <w:sz w:val="30"/>
                <w:szCs w:val="30"/>
                <w:rtl/>
                <w:lang w:eastAsia="zh-CN"/>
              </w:rPr>
              <w:t xml:space="preserve"> </w:t>
            </w:r>
            <w:r w:rsidR="00342471">
              <w:rPr>
                <w:rFonts w:ascii="Arabic Typesetting" w:eastAsia="SimSun" w:hAnsi="Arabic Typesetting" w:cs="Arabic Typesetting"/>
                <w:sz w:val="30"/>
                <w:szCs w:val="30"/>
                <w:rtl/>
                <w:lang w:eastAsia="zh-CN"/>
              </w:rPr>
              <w:br/>
            </w:r>
            <w:r w:rsidRPr="00E56CD5">
              <w:rPr>
                <w:rFonts w:ascii="Arabic Typesetting" w:eastAsia="SimSun" w:hAnsi="Arabic Typesetting" w:cs="Arabic Typesetting" w:hint="cs"/>
                <w:sz w:val="30"/>
                <w:szCs w:val="30"/>
                <w:rtl/>
                <w:lang w:eastAsia="zh-CN"/>
              </w:rPr>
              <w:t>و61 تفاعلاً مع المحتوى المنشور</w:t>
            </w:r>
          </w:p>
        </w:tc>
        <w:tc>
          <w:tcPr>
            <w:tcW w:w="436" w:type="pct"/>
          </w:tcPr>
          <w:p w:rsidR="00776043" w:rsidRPr="00E56CD5" w:rsidRDefault="00776043"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الإنكليزية</w:t>
            </w:r>
          </w:p>
        </w:tc>
      </w:tr>
      <w:tr w:rsidR="00357484" w:rsidRPr="00E56CD5" w:rsidTr="00357484">
        <w:trPr>
          <w:cantSplit/>
          <w:trHeight w:val="142"/>
        </w:trPr>
        <w:tc>
          <w:tcPr>
            <w:tcW w:w="1646" w:type="pct"/>
          </w:tcPr>
          <w:p w:rsidR="00B97C38" w:rsidRPr="00E56CD5" w:rsidRDefault="00776043"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 xml:space="preserve">ندوة وطنية </w:t>
            </w:r>
            <w:r w:rsidR="00342471">
              <w:rPr>
                <w:rFonts w:ascii="Arabic Typesetting" w:eastAsia="SimSun" w:hAnsi="Arabic Typesetting" w:cs="Arabic Typesetting" w:hint="cs"/>
                <w:sz w:val="30"/>
                <w:szCs w:val="30"/>
                <w:rtl/>
                <w:lang w:eastAsia="zh-CN"/>
              </w:rPr>
              <w:t>عن</w:t>
            </w:r>
            <w:r w:rsidRPr="00E56CD5">
              <w:rPr>
                <w:rFonts w:ascii="Arabic Typesetting" w:eastAsia="SimSun" w:hAnsi="Arabic Typesetting" w:cs="Arabic Typesetting" w:hint="cs"/>
                <w:sz w:val="30"/>
                <w:szCs w:val="30"/>
                <w:rtl/>
                <w:lang w:eastAsia="zh-CN"/>
              </w:rPr>
              <w:t xml:space="preserve"> التجارة والملكية الفكرية والصحة العامة</w:t>
            </w:r>
            <w:r w:rsidR="00342471">
              <w:rPr>
                <w:rFonts w:ascii="Arabic Typesetting" w:eastAsia="SimSun" w:hAnsi="Arabic Typesetting" w:cs="Arabic Typesetting" w:hint="cs"/>
                <w:sz w:val="30"/>
                <w:szCs w:val="30"/>
                <w:rtl/>
                <w:lang w:eastAsia="zh-CN"/>
              </w:rPr>
              <w:t xml:space="preserve">، </w:t>
            </w:r>
            <w:r w:rsidR="00342471">
              <w:rPr>
                <w:rFonts w:ascii="Arabic Typesetting" w:eastAsia="SimSun" w:hAnsi="Arabic Typesetting" w:cs="Arabic Typesetting" w:hint="cs"/>
                <w:sz w:val="30"/>
                <w:szCs w:val="30"/>
                <w:rtl/>
                <w:lang w:eastAsia="zh-CN"/>
              </w:rPr>
              <w:br/>
              <w:t>نظَّمتها منظمة التجارة العالمية</w:t>
            </w:r>
          </w:p>
        </w:tc>
        <w:tc>
          <w:tcPr>
            <w:tcW w:w="604" w:type="pct"/>
          </w:tcPr>
          <w:p w:rsidR="00B97C38" w:rsidRPr="00E56CD5" w:rsidRDefault="00776043"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11 و12 مايو 2017</w:t>
            </w:r>
          </w:p>
        </w:tc>
        <w:tc>
          <w:tcPr>
            <w:tcW w:w="603" w:type="pct"/>
          </w:tcPr>
          <w:p w:rsidR="00B97C38" w:rsidRPr="00E56CD5" w:rsidRDefault="00776043"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سانتياغو، شيلي</w:t>
            </w:r>
          </w:p>
        </w:tc>
        <w:tc>
          <w:tcPr>
            <w:tcW w:w="830" w:type="pct"/>
          </w:tcPr>
          <w:p w:rsidR="00B97C38" w:rsidRPr="00E56CD5" w:rsidRDefault="00776043"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موظفون حكوميون معنيون بأنظمة الملكية الفكرية والصحة العامة</w:t>
            </w:r>
          </w:p>
        </w:tc>
        <w:tc>
          <w:tcPr>
            <w:tcW w:w="880" w:type="pct"/>
          </w:tcPr>
          <w:p w:rsidR="00B97C38" w:rsidRPr="00E56CD5" w:rsidRDefault="00776043"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100 مشارك تقريباً</w:t>
            </w:r>
          </w:p>
        </w:tc>
        <w:tc>
          <w:tcPr>
            <w:tcW w:w="436" w:type="pct"/>
          </w:tcPr>
          <w:p w:rsidR="00B97C38" w:rsidRPr="00E56CD5" w:rsidRDefault="00DF4839"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الإسبانية</w:t>
            </w:r>
          </w:p>
        </w:tc>
      </w:tr>
      <w:tr w:rsidR="00357484" w:rsidRPr="00E56CD5" w:rsidTr="00357484">
        <w:trPr>
          <w:cantSplit/>
          <w:trHeight w:val="142"/>
        </w:trPr>
        <w:tc>
          <w:tcPr>
            <w:tcW w:w="1646" w:type="pct"/>
          </w:tcPr>
          <w:p w:rsidR="00B97C38" w:rsidRPr="00E56CD5" w:rsidRDefault="00776043" w:rsidP="00C4401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lastRenderedPageBreak/>
              <w:t>ندوة إقليمية بشأن الابتكار وتسويق الملكية الفكرية</w:t>
            </w:r>
            <w:r w:rsidR="002B419F">
              <w:rPr>
                <w:rFonts w:ascii="Arabic Typesetting" w:eastAsia="SimSun" w:hAnsi="Arabic Typesetting" w:cs="Arabic Typesetting" w:hint="cs"/>
                <w:sz w:val="30"/>
                <w:szCs w:val="30"/>
                <w:rtl/>
                <w:lang w:eastAsia="zh-CN"/>
              </w:rPr>
              <w:t xml:space="preserve"> والابتكار: الخيارات السياسية والأدوات العملية</w:t>
            </w:r>
            <w:r w:rsidRPr="00E56CD5">
              <w:rPr>
                <w:rFonts w:ascii="Arabic Typesetting" w:eastAsia="SimSun" w:hAnsi="Arabic Typesetting" w:cs="Arabic Typesetting" w:hint="cs"/>
                <w:sz w:val="30"/>
                <w:szCs w:val="30"/>
                <w:rtl/>
                <w:lang w:eastAsia="zh-CN"/>
              </w:rPr>
              <w:t xml:space="preserve"> (</w:t>
            </w:r>
            <w:r w:rsidR="00342471">
              <w:rPr>
                <w:rFonts w:ascii="Arabic Typesetting" w:eastAsia="SimSun" w:hAnsi="Arabic Typesetting" w:cs="Arabic Typesetting" w:hint="cs"/>
                <w:sz w:val="30"/>
                <w:szCs w:val="30"/>
                <w:rtl/>
                <w:lang w:eastAsia="zh-CN"/>
              </w:rPr>
              <w:t>بمناسبة</w:t>
            </w:r>
            <w:r w:rsidR="00342471">
              <w:rPr>
                <w:rFonts w:ascii="Arabic Typesetting" w:eastAsia="SimSun" w:hAnsi="Arabic Typesetting" w:cs="Arabic Typesetting" w:hint="eastAsia"/>
                <w:sz w:val="30"/>
                <w:szCs w:val="30"/>
                <w:rtl/>
                <w:lang w:eastAsia="zh-CN"/>
              </w:rPr>
              <w:t> </w:t>
            </w:r>
            <w:r w:rsidRPr="00E56CD5">
              <w:rPr>
                <w:rFonts w:ascii="Arabic Typesetting" w:eastAsia="SimSun" w:hAnsi="Arabic Typesetting" w:cs="Arabic Typesetting" w:hint="cs"/>
                <w:sz w:val="30"/>
                <w:szCs w:val="30"/>
                <w:rtl/>
                <w:lang w:eastAsia="zh-CN"/>
              </w:rPr>
              <w:t>مرور 25 عاماً على النظام الوطني للملكية الفكرية في</w:t>
            </w:r>
            <w:r w:rsidR="00C44011">
              <w:rPr>
                <w:rFonts w:ascii="Arabic Typesetting" w:eastAsia="SimSun" w:hAnsi="Arabic Typesetting" w:cs="Arabic Typesetting" w:hint="eastAsia"/>
                <w:sz w:val="30"/>
                <w:szCs w:val="30"/>
                <w:rtl/>
                <w:lang w:eastAsia="zh-CN"/>
              </w:rPr>
              <w:t> </w:t>
            </w:r>
            <w:r w:rsidRPr="00E56CD5">
              <w:rPr>
                <w:rFonts w:ascii="Arabic Typesetting" w:eastAsia="SimSun" w:hAnsi="Arabic Typesetting" w:cs="Arabic Typesetting" w:hint="cs"/>
                <w:sz w:val="30"/>
                <w:szCs w:val="30"/>
                <w:rtl/>
                <w:lang w:eastAsia="zh-CN"/>
              </w:rPr>
              <w:t>بيلاروس)</w:t>
            </w:r>
            <w:r w:rsidR="00C44011">
              <w:rPr>
                <w:rFonts w:ascii="Arabic Typesetting" w:eastAsia="SimSun" w:hAnsi="Arabic Typesetting" w:cs="Arabic Typesetting" w:hint="cs"/>
                <w:sz w:val="30"/>
                <w:szCs w:val="30"/>
                <w:rtl/>
                <w:lang w:eastAsia="zh-CN"/>
              </w:rPr>
              <w:t xml:space="preserve">، </w:t>
            </w:r>
            <w:r w:rsidR="00342471">
              <w:rPr>
                <w:rFonts w:ascii="Arabic Typesetting" w:eastAsia="SimSun" w:hAnsi="Arabic Typesetting" w:cs="Arabic Typesetting"/>
                <w:sz w:val="30"/>
                <w:szCs w:val="30"/>
                <w:rtl/>
                <w:lang w:eastAsia="zh-CN"/>
              </w:rPr>
              <w:br/>
            </w:r>
            <w:r w:rsidR="00342471">
              <w:rPr>
                <w:rFonts w:ascii="Arabic Typesetting" w:eastAsia="SimSun" w:hAnsi="Arabic Typesetting" w:cs="Arabic Typesetting" w:hint="cs"/>
                <w:sz w:val="30"/>
                <w:szCs w:val="30"/>
                <w:rtl/>
                <w:lang w:eastAsia="zh-CN"/>
              </w:rPr>
              <w:t>نظَّمتها الويبو</w:t>
            </w:r>
          </w:p>
        </w:tc>
        <w:tc>
          <w:tcPr>
            <w:tcW w:w="604" w:type="pct"/>
          </w:tcPr>
          <w:p w:rsidR="00B97C38" w:rsidRPr="00E56CD5" w:rsidRDefault="00776043"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4 و5 مايو 2017</w:t>
            </w:r>
          </w:p>
        </w:tc>
        <w:tc>
          <w:tcPr>
            <w:tcW w:w="603" w:type="pct"/>
          </w:tcPr>
          <w:p w:rsidR="00B97C38" w:rsidRPr="00E56CD5" w:rsidRDefault="00776043"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مينسك، بيلاروس</w:t>
            </w:r>
          </w:p>
        </w:tc>
        <w:tc>
          <w:tcPr>
            <w:tcW w:w="830" w:type="pct"/>
          </w:tcPr>
          <w:p w:rsidR="00B97C38" w:rsidRPr="00E56CD5" w:rsidRDefault="00776043"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موظفون حكوميون وممارسون قانونيون وقطاع الأعمال والأوساط الأكاديمية وغيرها</w:t>
            </w:r>
          </w:p>
        </w:tc>
        <w:tc>
          <w:tcPr>
            <w:tcW w:w="880" w:type="pct"/>
          </w:tcPr>
          <w:p w:rsidR="00B97C38" w:rsidRPr="00E56CD5" w:rsidRDefault="00776043"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150 مشاركاً تقريباً</w:t>
            </w:r>
          </w:p>
        </w:tc>
        <w:tc>
          <w:tcPr>
            <w:tcW w:w="436" w:type="pct"/>
          </w:tcPr>
          <w:p w:rsidR="00B97C38" w:rsidRPr="00E56CD5" w:rsidRDefault="00DF4839"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الروسية والإنكليزية</w:t>
            </w:r>
          </w:p>
        </w:tc>
      </w:tr>
      <w:tr w:rsidR="00357484" w:rsidRPr="00E56CD5" w:rsidTr="00357484">
        <w:trPr>
          <w:cantSplit/>
          <w:trHeight w:val="142"/>
        </w:trPr>
        <w:tc>
          <w:tcPr>
            <w:tcW w:w="1646" w:type="pct"/>
          </w:tcPr>
          <w:p w:rsidR="00B97C38" w:rsidRPr="00E56CD5" w:rsidRDefault="002B419F" w:rsidP="002B419F">
            <w:pPr>
              <w:bidi/>
              <w:spacing w:before="60" w:after="60"/>
              <w:rPr>
                <w:rFonts w:ascii="Arabic Typesetting" w:eastAsia="SimSun" w:hAnsi="Arabic Typesetting" w:cs="Arabic Typesetting"/>
                <w:sz w:val="30"/>
                <w:szCs w:val="30"/>
                <w:lang w:eastAsia="zh-CN"/>
              </w:rPr>
            </w:pPr>
            <w:r>
              <w:rPr>
                <w:rFonts w:ascii="Arabic Typesetting" w:eastAsia="SimSun" w:hAnsi="Arabic Typesetting" w:cs="Arabic Typesetting" w:hint="cs"/>
                <w:sz w:val="30"/>
                <w:szCs w:val="30"/>
                <w:rtl/>
                <w:lang w:eastAsia="zh-CN"/>
              </w:rPr>
              <w:t>مؤتمر إقليمي عن الملكية الفكرية</w:t>
            </w:r>
            <w:r w:rsidR="00776043" w:rsidRPr="00E56CD5">
              <w:rPr>
                <w:rFonts w:ascii="Arabic Typesetting" w:eastAsia="SimSun" w:hAnsi="Arabic Typesetting" w:cs="Arabic Typesetting" w:hint="cs"/>
                <w:sz w:val="30"/>
                <w:szCs w:val="30"/>
                <w:rtl/>
                <w:lang w:eastAsia="zh-CN"/>
              </w:rPr>
              <w:t>،</w:t>
            </w:r>
            <w:r w:rsidR="00342471">
              <w:rPr>
                <w:rFonts w:ascii="Arabic Typesetting" w:eastAsia="SimSun" w:hAnsi="Arabic Typesetting" w:cs="Arabic Typesetting" w:hint="cs"/>
                <w:sz w:val="30"/>
                <w:szCs w:val="30"/>
                <w:rtl/>
                <w:lang w:eastAsia="zh-CN"/>
              </w:rPr>
              <w:t xml:space="preserve"> </w:t>
            </w:r>
            <w:r w:rsidR="00342471">
              <w:rPr>
                <w:rFonts w:ascii="Arabic Typesetting" w:eastAsia="SimSun" w:hAnsi="Arabic Typesetting" w:cs="Arabic Typesetting"/>
                <w:sz w:val="30"/>
                <w:szCs w:val="30"/>
                <w:rtl/>
                <w:lang w:eastAsia="zh-CN"/>
              </w:rPr>
              <w:br/>
            </w:r>
            <w:r w:rsidR="00776043" w:rsidRPr="00E56CD5">
              <w:rPr>
                <w:rFonts w:ascii="Arabic Typesetting" w:eastAsia="SimSun" w:hAnsi="Arabic Typesetting" w:cs="Arabic Typesetting" w:hint="cs"/>
                <w:sz w:val="30"/>
                <w:szCs w:val="30"/>
                <w:rtl/>
                <w:lang w:eastAsia="zh-CN"/>
              </w:rPr>
              <w:t xml:space="preserve">نظَّمته </w:t>
            </w:r>
            <w:r w:rsidR="00342471">
              <w:rPr>
                <w:rFonts w:ascii="Arabic Typesetting" w:eastAsia="SimSun" w:hAnsi="Arabic Typesetting" w:cs="Arabic Typesetting" w:hint="cs"/>
                <w:sz w:val="30"/>
                <w:szCs w:val="30"/>
                <w:rtl/>
                <w:lang w:eastAsia="zh-CN"/>
              </w:rPr>
              <w:t xml:space="preserve">واستضافته </w:t>
            </w:r>
            <w:r w:rsidR="00776043" w:rsidRPr="00E56CD5">
              <w:rPr>
                <w:rFonts w:ascii="Arabic Typesetting" w:eastAsia="SimSun" w:hAnsi="Arabic Typesetting" w:cs="Arabic Typesetting" w:hint="cs"/>
                <w:sz w:val="30"/>
                <w:szCs w:val="30"/>
                <w:rtl/>
                <w:lang w:eastAsia="zh-CN"/>
              </w:rPr>
              <w:t>جامعة الدول العربية</w:t>
            </w:r>
            <w:r w:rsidR="00342471">
              <w:rPr>
                <w:rFonts w:ascii="Arabic Typesetting" w:eastAsia="SimSun" w:hAnsi="Arabic Typesetting" w:cs="Arabic Typesetting" w:hint="cs"/>
                <w:sz w:val="30"/>
                <w:szCs w:val="30"/>
                <w:rtl/>
                <w:lang w:eastAsia="zh-CN"/>
              </w:rPr>
              <w:t xml:space="preserve"> </w:t>
            </w:r>
            <w:r w:rsidR="00776043" w:rsidRPr="00E56CD5">
              <w:rPr>
                <w:rFonts w:ascii="Arabic Typesetting" w:eastAsia="SimSun" w:hAnsi="Arabic Typesetting" w:cs="Arabic Typesetting" w:hint="cs"/>
                <w:sz w:val="30"/>
                <w:szCs w:val="30"/>
                <w:rtl/>
                <w:lang w:eastAsia="zh-CN"/>
              </w:rPr>
              <w:t>بمناسبة اليوم العالمي للملكية</w:t>
            </w:r>
            <w:r w:rsidR="00357484">
              <w:rPr>
                <w:rFonts w:ascii="Arabic Typesetting" w:eastAsia="SimSun" w:hAnsi="Arabic Typesetting" w:cs="Arabic Typesetting" w:hint="eastAsia"/>
                <w:sz w:val="30"/>
                <w:szCs w:val="30"/>
                <w:rtl/>
                <w:lang w:eastAsia="zh-CN"/>
              </w:rPr>
              <w:t> </w:t>
            </w:r>
            <w:r w:rsidR="00776043" w:rsidRPr="00E56CD5">
              <w:rPr>
                <w:rFonts w:ascii="Arabic Typesetting" w:eastAsia="SimSun" w:hAnsi="Arabic Typesetting" w:cs="Arabic Typesetting" w:hint="cs"/>
                <w:sz w:val="30"/>
                <w:szCs w:val="30"/>
                <w:rtl/>
                <w:lang w:eastAsia="zh-CN"/>
              </w:rPr>
              <w:t>الفكرية</w:t>
            </w:r>
          </w:p>
        </w:tc>
        <w:tc>
          <w:tcPr>
            <w:tcW w:w="604" w:type="pct"/>
          </w:tcPr>
          <w:p w:rsidR="00B97C38" w:rsidRPr="00E56CD5" w:rsidRDefault="00776043"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26 أبريل 2017</w:t>
            </w:r>
          </w:p>
        </w:tc>
        <w:tc>
          <w:tcPr>
            <w:tcW w:w="603" w:type="pct"/>
          </w:tcPr>
          <w:p w:rsidR="00B97C38" w:rsidRPr="00E56CD5" w:rsidRDefault="00776043"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القاهرة، مصر</w:t>
            </w:r>
          </w:p>
        </w:tc>
        <w:tc>
          <w:tcPr>
            <w:tcW w:w="830" w:type="pct"/>
          </w:tcPr>
          <w:p w:rsidR="00B97C38" w:rsidRPr="00E56CD5" w:rsidRDefault="00776043"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بعض المكاتب الوطنية للملكية الفكرية وممثلون لبعض البعثات الدائمة المعتمدة لدى جامعة الدول العربية، ومدير مجلس التعاون لدول الخليج العربية، ومركز التدريب على الملكية الفكرية، وبعض الجهات المعنية في المنطقة منها ممثلون من جامعات ومؤسسات بحث والقطاع الخاص ومنظمات غير حكومية</w:t>
            </w:r>
          </w:p>
        </w:tc>
        <w:tc>
          <w:tcPr>
            <w:tcW w:w="880" w:type="pct"/>
          </w:tcPr>
          <w:p w:rsidR="00B97C38" w:rsidRPr="00E56CD5" w:rsidRDefault="00776043"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100 مشارك تقريباً</w:t>
            </w:r>
          </w:p>
        </w:tc>
        <w:tc>
          <w:tcPr>
            <w:tcW w:w="436" w:type="pct"/>
          </w:tcPr>
          <w:p w:rsidR="00B97C38" w:rsidRPr="00E56CD5" w:rsidRDefault="00776043"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العربية</w:t>
            </w:r>
          </w:p>
        </w:tc>
      </w:tr>
      <w:tr w:rsidR="00357484" w:rsidRPr="00E56CD5" w:rsidTr="00357484">
        <w:trPr>
          <w:cantSplit/>
          <w:trHeight w:val="142"/>
        </w:trPr>
        <w:tc>
          <w:tcPr>
            <w:tcW w:w="1646" w:type="pct"/>
          </w:tcPr>
          <w:p w:rsidR="00776043" w:rsidRPr="00E56CD5" w:rsidRDefault="00776043"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الترويج على الشبكات الاجتماعية (تويتر)</w:t>
            </w:r>
          </w:p>
        </w:tc>
        <w:tc>
          <w:tcPr>
            <w:tcW w:w="604" w:type="pct"/>
          </w:tcPr>
          <w:p w:rsidR="00776043" w:rsidRPr="00E56CD5" w:rsidRDefault="00776043"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11 أبريل 2017</w:t>
            </w:r>
          </w:p>
        </w:tc>
        <w:tc>
          <w:tcPr>
            <w:tcW w:w="603" w:type="pct"/>
          </w:tcPr>
          <w:p w:rsidR="00776043" w:rsidRPr="00E56CD5" w:rsidRDefault="00776043"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w:t>
            </w:r>
          </w:p>
        </w:tc>
        <w:tc>
          <w:tcPr>
            <w:tcW w:w="830" w:type="pct"/>
          </w:tcPr>
          <w:p w:rsidR="00776043" w:rsidRPr="00E56CD5" w:rsidRDefault="00776043"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الجمهور العام</w:t>
            </w:r>
          </w:p>
        </w:tc>
        <w:tc>
          <w:tcPr>
            <w:tcW w:w="880" w:type="pct"/>
          </w:tcPr>
          <w:p w:rsidR="00776043" w:rsidRPr="00E56CD5" w:rsidRDefault="00776043"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4697</w:t>
            </w:r>
            <w:r w:rsidR="00342471">
              <w:rPr>
                <w:rFonts w:ascii="Arabic Typesetting" w:eastAsia="SimSun" w:hAnsi="Arabic Typesetting" w:cs="Arabic Typesetting" w:hint="cs"/>
                <w:sz w:val="30"/>
                <w:szCs w:val="30"/>
                <w:rtl/>
                <w:lang w:eastAsia="zh-CN"/>
              </w:rPr>
              <w:t xml:space="preserve"> مشاهدة </w:t>
            </w:r>
            <w:r w:rsidR="00342471">
              <w:rPr>
                <w:rFonts w:ascii="Arabic Typesetting" w:eastAsia="SimSun" w:hAnsi="Arabic Typesetting" w:cs="Arabic Typesetting"/>
                <w:sz w:val="30"/>
                <w:szCs w:val="30"/>
                <w:rtl/>
                <w:lang w:eastAsia="zh-CN"/>
              </w:rPr>
              <w:br/>
            </w:r>
            <w:r w:rsidRPr="00E56CD5">
              <w:rPr>
                <w:rFonts w:ascii="Arabic Typesetting" w:eastAsia="SimSun" w:hAnsi="Arabic Typesetting" w:cs="Arabic Typesetting" w:hint="cs"/>
                <w:sz w:val="30"/>
                <w:szCs w:val="30"/>
                <w:rtl/>
                <w:lang w:eastAsia="zh-CN"/>
              </w:rPr>
              <w:t>و95 تفاعلاً مع</w:t>
            </w:r>
            <w:r w:rsidR="00342471">
              <w:rPr>
                <w:rFonts w:ascii="Arabic Typesetting" w:eastAsia="SimSun" w:hAnsi="Arabic Typesetting" w:cs="Arabic Typesetting" w:hint="eastAsia"/>
                <w:sz w:val="30"/>
                <w:szCs w:val="30"/>
                <w:rtl/>
                <w:lang w:eastAsia="zh-CN"/>
              </w:rPr>
              <w:t> </w:t>
            </w:r>
            <w:r w:rsidRPr="00E56CD5">
              <w:rPr>
                <w:rFonts w:ascii="Arabic Typesetting" w:eastAsia="SimSun" w:hAnsi="Arabic Typesetting" w:cs="Arabic Typesetting" w:hint="cs"/>
                <w:sz w:val="30"/>
                <w:szCs w:val="30"/>
                <w:rtl/>
                <w:lang w:eastAsia="zh-CN"/>
              </w:rPr>
              <w:t>المحتوى المنشور</w:t>
            </w:r>
          </w:p>
        </w:tc>
        <w:tc>
          <w:tcPr>
            <w:tcW w:w="436" w:type="pct"/>
          </w:tcPr>
          <w:p w:rsidR="00776043" w:rsidRPr="00E56CD5" w:rsidRDefault="00776043"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الإنكليزية</w:t>
            </w:r>
          </w:p>
        </w:tc>
      </w:tr>
      <w:tr w:rsidR="00357484" w:rsidRPr="00E56CD5" w:rsidTr="00357484">
        <w:trPr>
          <w:cantSplit/>
          <w:trHeight w:val="142"/>
        </w:trPr>
        <w:tc>
          <w:tcPr>
            <w:tcW w:w="1646" w:type="pct"/>
          </w:tcPr>
          <w:p w:rsidR="00342471" w:rsidRPr="00E56CD5" w:rsidRDefault="00776043" w:rsidP="002B419F">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جلسة إعلامية عن</w:t>
            </w:r>
            <w:r w:rsidR="002B419F">
              <w:rPr>
                <w:rFonts w:ascii="Arabic Typesetting" w:eastAsia="SimSun" w:hAnsi="Arabic Typesetting" w:cs="Arabic Typesetting" w:hint="cs"/>
                <w:sz w:val="30"/>
                <w:szCs w:val="30"/>
                <w:rtl/>
                <w:lang w:eastAsia="zh-CN"/>
              </w:rPr>
              <w:t xml:space="preserve"> مواطن المرونة المتعلقة بالبراءات في</w:t>
            </w:r>
            <w:r w:rsidRPr="00E56CD5">
              <w:rPr>
                <w:rFonts w:ascii="Arabic Typesetting" w:eastAsia="SimSun" w:hAnsi="Arabic Typesetting" w:cs="Arabic Typesetting" w:hint="cs"/>
                <w:sz w:val="30"/>
                <w:szCs w:val="30"/>
                <w:rtl/>
                <w:lang w:eastAsia="zh-CN"/>
              </w:rPr>
              <w:t xml:space="preserve"> الإطار القانوني المتعدد الأطراف </w:t>
            </w:r>
            <w:r w:rsidR="002B419F">
              <w:rPr>
                <w:rFonts w:ascii="Arabic Typesetting" w:eastAsia="SimSun" w:hAnsi="Arabic Typesetting" w:cs="Arabic Typesetting" w:hint="cs"/>
                <w:sz w:val="30"/>
                <w:szCs w:val="30"/>
                <w:rtl/>
                <w:lang w:eastAsia="zh-CN"/>
              </w:rPr>
              <w:t>وتنفيذها التشريعي على الصعيدين الوطني والإقليمي</w:t>
            </w:r>
            <w:r w:rsidR="00342471">
              <w:rPr>
                <w:rFonts w:ascii="Arabic Typesetting" w:eastAsia="SimSun" w:hAnsi="Arabic Typesetting" w:cs="Arabic Typesetting" w:hint="cs"/>
                <w:sz w:val="30"/>
                <w:szCs w:val="30"/>
                <w:rtl/>
                <w:lang w:eastAsia="zh-CN"/>
              </w:rPr>
              <w:t xml:space="preserve">، </w:t>
            </w:r>
            <w:r w:rsidR="00342471">
              <w:rPr>
                <w:rFonts w:ascii="Arabic Typesetting" w:eastAsia="SimSun" w:hAnsi="Arabic Typesetting" w:cs="Arabic Typesetting" w:hint="cs"/>
                <w:sz w:val="30"/>
                <w:szCs w:val="30"/>
                <w:rtl/>
                <w:lang w:eastAsia="zh-CN"/>
              </w:rPr>
              <w:br/>
              <w:t>نظَّمتها الويبو</w:t>
            </w:r>
          </w:p>
        </w:tc>
        <w:tc>
          <w:tcPr>
            <w:tcW w:w="604" w:type="pct"/>
          </w:tcPr>
          <w:p w:rsidR="00B97C38" w:rsidRPr="00E56CD5" w:rsidRDefault="00776043"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16 مارس 2017</w:t>
            </w:r>
          </w:p>
        </w:tc>
        <w:tc>
          <w:tcPr>
            <w:tcW w:w="603" w:type="pct"/>
          </w:tcPr>
          <w:p w:rsidR="00B97C38" w:rsidRPr="00E56CD5" w:rsidRDefault="00776043"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مقر الويبو</w:t>
            </w:r>
          </w:p>
        </w:tc>
        <w:tc>
          <w:tcPr>
            <w:tcW w:w="830" w:type="pct"/>
          </w:tcPr>
          <w:p w:rsidR="00B97C38" w:rsidRPr="00E56CD5" w:rsidRDefault="00776043" w:rsidP="00357484">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 xml:space="preserve">المستشار القانوني </w:t>
            </w:r>
            <w:r w:rsidR="00C44011">
              <w:rPr>
                <w:rFonts w:ascii="Arabic Typesetting" w:eastAsia="SimSun" w:hAnsi="Arabic Typesetting" w:cs="Arabic Typesetting" w:hint="cs"/>
                <w:sz w:val="30"/>
                <w:szCs w:val="30"/>
                <w:rtl/>
                <w:lang w:eastAsia="zh-CN"/>
              </w:rPr>
              <w:t>للبعثة الدائمة</w:t>
            </w:r>
            <w:r w:rsidRPr="00E56CD5">
              <w:rPr>
                <w:rFonts w:ascii="Arabic Typesetting" w:eastAsia="SimSun" w:hAnsi="Arabic Typesetting" w:cs="Arabic Typesetting" w:hint="cs"/>
                <w:sz w:val="30"/>
                <w:szCs w:val="30"/>
                <w:rtl/>
                <w:lang w:eastAsia="zh-CN"/>
              </w:rPr>
              <w:t xml:space="preserve"> </w:t>
            </w:r>
            <w:r w:rsidR="00C44011">
              <w:rPr>
                <w:rFonts w:ascii="Arabic Typesetting" w:eastAsia="SimSun" w:hAnsi="Arabic Typesetting" w:cs="Arabic Typesetting" w:hint="cs"/>
                <w:sz w:val="30"/>
                <w:szCs w:val="30"/>
                <w:rtl/>
                <w:lang w:eastAsia="zh-CN"/>
              </w:rPr>
              <w:t>ل</w:t>
            </w:r>
            <w:r w:rsidRPr="00E56CD5">
              <w:rPr>
                <w:rFonts w:ascii="Arabic Typesetting" w:eastAsia="SimSun" w:hAnsi="Arabic Typesetting" w:cs="Arabic Typesetting" w:hint="cs"/>
                <w:sz w:val="30"/>
                <w:szCs w:val="30"/>
                <w:rtl/>
                <w:lang w:eastAsia="zh-CN"/>
              </w:rPr>
              <w:t>جزر</w:t>
            </w:r>
            <w:r w:rsidR="00357484">
              <w:rPr>
                <w:rFonts w:ascii="Arabic Typesetting" w:eastAsia="SimSun" w:hAnsi="Arabic Typesetting" w:cs="Arabic Typesetting" w:hint="eastAsia"/>
                <w:sz w:val="30"/>
                <w:szCs w:val="30"/>
                <w:rtl/>
                <w:lang w:eastAsia="zh-CN"/>
              </w:rPr>
              <w:t> </w:t>
            </w:r>
            <w:r w:rsidRPr="00E56CD5">
              <w:rPr>
                <w:rFonts w:ascii="Arabic Typesetting" w:eastAsia="SimSun" w:hAnsi="Arabic Typesetting" w:cs="Arabic Typesetting" w:hint="cs"/>
                <w:sz w:val="30"/>
                <w:szCs w:val="30"/>
                <w:rtl/>
                <w:lang w:eastAsia="zh-CN"/>
              </w:rPr>
              <w:t>القمر في</w:t>
            </w:r>
            <w:r w:rsidR="00C44011">
              <w:rPr>
                <w:rFonts w:ascii="Arabic Typesetting" w:eastAsia="SimSun" w:hAnsi="Arabic Typesetting" w:cs="Arabic Typesetting" w:hint="eastAsia"/>
                <w:sz w:val="30"/>
                <w:szCs w:val="30"/>
                <w:rtl/>
                <w:lang w:eastAsia="zh-CN"/>
              </w:rPr>
              <w:t> </w:t>
            </w:r>
            <w:r w:rsidRPr="00E56CD5">
              <w:rPr>
                <w:rFonts w:ascii="Arabic Typesetting" w:eastAsia="SimSun" w:hAnsi="Arabic Typesetting" w:cs="Arabic Typesetting" w:hint="cs"/>
                <w:sz w:val="30"/>
                <w:szCs w:val="30"/>
                <w:rtl/>
                <w:lang w:eastAsia="zh-CN"/>
              </w:rPr>
              <w:t>جنيف</w:t>
            </w:r>
          </w:p>
        </w:tc>
        <w:tc>
          <w:tcPr>
            <w:tcW w:w="880" w:type="pct"/>
          </w:tcPr>
          <w:p w:rsidR="00B97C38" w:rsidRPr="00E56CD5" w:rsidRDefault="000E434C"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غير منطبق</w:t>
            </w:r>
          </w:p>
        </w:tc>
        <w:tc>
          <w:tcPr>
            <w:tcW w:w="436" w:type="pct"/>
          </w:tcPr>
          <w:p w:rsidR="00B97C38" w:rsidRPr="00E56CD5" w:rsidRDefault="00776043"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الفرنسية</w:t>
            </w:r>
          </w:p>
        </w:tc>
      </w:tr>
      <w:tr w:rsidR="00357484" w:rsidRPr="00E56CD5" w:rsidTr="00357484">
        <w:trPr>
          <w:cantSplit/>
          <w:trHeight w:val="142"/>
        </w:trPr>
        <w:tc>
          <w:tcPr>
            <w:tcW w:w="1646" w:type="pct"/>
          </w:tcPr>
          <w:p w:rsidR="00B97C38" w:rsidRPr="00E56CD5" w:rsidRDefault="000E434C" w:rsidP="00C4401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 xml:space="preserve">حلقة عمل </w:t>
            </w:r>
            <w:r w:rsidR="00C44011">
              <w:rPr>
                <w:rFonts w:ascii="Arabic Typesetting" w:eastAsia="SimSun" w:hAnsi="Arabic Typesetting" w:cs="Arabic Typesetting" w:hint="cs"/>
                <w:sz w:val="30"/>
                <w:szCs w:val="30"/>
                <w:rtl/>
                <w:lang w:eastAsia="zh-CN"/>
              </w:rPr>
              <w:t>عن</w:t>
            </w:r>
            <w:r w:rsidRPr="00E56CD5">
              <w:rPr>
                <w:rFonts w:ascii="Arabic Typesetting" w:eastAsia="SimSun" w:hAnsi="Arabic Typesetting" w:cs="Arabic Typesetting" w:hint="cs"/>
                <w:sz w:val="30"/>
                <w:szCs w:val="30"/>
                <w:rtl/>
                <w:lang w:eastAsia="zh-CN"/>
              </w:rPr>
              <w:t xml:space="preserve"> قانون البراءات: الإطار القانوني المتعدد الأطراف وتنفيذه على الصعيد الوطني</w:t>
            </w:r>
            <w:r w:rsidR="00C44011">
              <w:rPr>
                <w:rFonts w:ascii="Arabic Typesetting" w:eastAsia="SimSun" w:hAnsi="Arabic Typesetting" w:cs="Arabic Typesetting" w:hint="cs"/>
                <w:sz w:val="30"/>
                <w:szCs w:val="30"/>
                <w:rtl/>
                <w:lang w:eastAsia="zh-CN"/>
              </w:rPr>
              <w:t xml:space="preserve">، </w:t>
            </w:r>
            <w:r w:rsidR="00C44011">
              <w:rPr>
                <w:rFonts w:ascii="Arabic Typesetting" w:eastAsia="SimSun" w:hAnsi="Arabic Typesetting" w:cs="Arabic Typesetting" w:hint="cs"/>
                <w:sz w:val="30"/>
                <w:szCs w:val="30"/>
                <w:rtl/>
                <w:lang w:eastAsia="zh-CN"/>
              </w:rPr>
              <w:br/>
              <w:t xml:space="preserve">نظَّمتها </w:t>
            </w:r>
            <w:r w:rsidR="00C44011" w:rsidRPr="00E56CD5">
              <w:rPr>
                <w:rFonts w:ascii="Arabic Typesetting" w:eastAsia="SimSun" w:hAnsi="Arabic Typesetting" w:cs="Arabic Typesetting" w:hint="cs"/>
                <w:sz w:val="30"/>
                <w:szCs w:val="30"/>
                <w:rtl/>
                <w:lang w:eastAsia="zh-CN"/>
              </w:rPr>
              <w:t>الويبو</w:t>
            </w:r>
          </w:p>
        </w:tc>
        <w:tc>
          <w:tcPr>
            <w:tcW w:w="604" w:type="pct"/>
          </w:tcPr>
          <w:p w:rsidR="00B97C38" w:rsidRPr="00E56CD5" w:rsidRDefault="000E434C"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21 فبراير 2017</w:t>
            </w:r>
          </w:p>
        </w:tc>
        <w:tc>
          <w:tcPr>
            <w:tcW w:w="603" w:type="pct"/>
          </w:tcPr>
          <w:p w:rsidR="00B97C38" w:rsidRPr="00E56CD5" w:rsidRDefault="000E434C"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sz w:val="30"/>
                <w:szCs w:val="30"/>
                <w:rtl/>
                <w:lang w:eastAsia="zh-CN"/>
              </w:rPr>
              <w:t>أولنباتار</w:t>
            </w:r>
            <w:r w:rsidRPr="00E56CD5">
              <w:rPr>
                <w:rFonts w:ascii="Arabic Typesetting" w:eastAsia="SimSun" w:hAnsi="Arabic Typesetting" w:cs="Arabic Typesetting" w:hint="cs"/>
                <w:sz w:val="30"/>
                <w:szCs w:val="30"/>
                <w:rtl/>
                <w:lang w:eastAsia="zh-CN"/>
              </w:rPr>
              <w:t xml:space="preserve">، </w:t>
            </w:r>
            <w:r w:rsidRPr="00E56CD5">
              <w:rPr>
                <w:rFonts w:ascii="Arabic Typesetting" w:eastAsia="SimSun" w:hAnsi="Arabic Typesetting" w:cs="Arabic Typesetting"/>
                <w:sz w:val="30"/>
                <w:szCs w:val="30"/>
                <w:rtl/>
                <w:lang w:eastAsia="zh-CN"/>
              </w:rPr>
              <w:t>منغوليا</w:t>
            </w:r>
          </w:p>
        </w:tc>
        <w:tc>
          <w:tcPr>
            <w:tcW w:w="830" w:type="pct"/>
          </w:tcPr>
          <w:p w:rsidR="00B97C38" w:rsidRPr="00E56CD5" w:rsidRDefault="000E434C" w:rsidP="00357484">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موظفون حكوميون وممارسون خاصون وممثلون لشركات وجمعيات</w:t>
            </w:r>
            <w:r w:rsidR="00357484">
              <w:rPr>
                <w:rFonts w:ascii="Arabic Typesetting" w:eastAsia="SimSun" w:hAnsi="Arabic Typesetting" w:cs="Arabic Typesetting" w:hint="eastAsia"/>
                <w:sz w:val="30"/>
                <w:szCs w:val="30"/>
                <w:rtl/>
                <w:lang w:eastAsia="zh-CN"/>
              </w:rPr>
              <w:t> </w:t>
            </w:r>
            <w:r w:rsidRPr="00E56CD5">
              <w:rPr>
                <w:rFonts w:ascii="Arabic Typesetting" w:eastAsia="SimSun" w:hAnsi="Arabic Typesetting" w:cs="Arabic Typesetting" w:hint="cs"/>
                <w:sz w:val="30"/>
                <w:szCs w:val="30"/>
                <w:rtl/>
                <w:lang w:eastAsia="zh-CN"/>
              </w:rPr>
              <w:t>وطنية</w:t>
            </w:r>
          </w:p>
        </w:tc>
        <w:tc>
          <w:tcPr>
            <w:tcW w:w="880" w:type="pct"/>
          </w:tcPr>
          <w:p w:rsidR="00B97C38" w:rsidRPr="00E56CD5" w:rsidRDefault="000E434C"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20 مشاركاً تقريباً</w:t>
            </w:r>
          </w:p>
        </w:tc>
        <w:tc>
          <w:tcPr>
            <w:tcW w:w="436" w:type="pct"/>
          </w:tcPr>
          <w:p w:rsidR="00B97C38" w:rsidRPr="00E56CD5" w:rsidRDefault="00DF4839"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الإنكليزية</w:t>
            </w:r>
          </w:p>
        </w:tc>
      </w:tr>
      <w:tr w:rsidR="002B419F" w:rsidRPr="00E56CD5" w:rsidTr="00357484">
        <w:trPr>
          <w:cantSplit/>
          <w:trHeight w:val="142"/>
        </w:trPr>
        <w:tc>
          <w:tcPr>
            <w:tcW w:w="1646" w:type="pct"/>
          </w:tcPr>
          <w:p w:rsidR="002B419F" w:rsidRPr="00E56CD5" w:rsidRDefault="002B419F" w:rsidP="002018EC">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lastRenderedPageBreak/>
              <w:t>ندوة وطنية بشأن اتفا</w:t>
            </w:r>
            <w:r>
              <w:rPr>
                <w:rFonts w:ascii="Arabic Typesetting" w:eastAsia="SimSun" w:hAnsi="Arabic Typesetting" w:cs="Arabic Typesetting" w:hint="cs"/>
                <w:sz w:val="30"/>
                <w:szCs w:val="30"/>
                <w:rtl/>
                <w:lang w:eastAsia="zh-CN"/>
              </w:rPr>
              <w:t xml:space="preserve">ق تريبس، </w:t>
            </w:r>
            <w:r>
              <w:rPr>
                <w:rFonts w:ascii="Arabic Typesetting" w:eastAsia="SimSun" w:hAnsi="Arabic Typesetting" w:cs="Arabic Typesetting" w:hint="cs"/>
                <w:sz w:val="30"/>
                <w:szCs w:val="30"/>
                <w:rtl/>
                <w:lang w:eastAsia="zh-CN"/>
              </w:rPr>
              <w:br/>
              <w:t>نظَّمتها منظمة التجارة العالمية</w:t>
            </w:r>
          </w:p>
        </w:tc>
        <w:tc>
          <w:tcPr>
            <w:tcW w:w="604" w:type="pct"/>
          </w:tcPr>
          <w:p w:rsidR="002B419F" w:rsidRPr="00E56CD5" w:rsidRDefault="002B419F" w:rsidP="002018EC">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7 إلى 9 فبراير 2017</w:t>
            </w:r>
          </w:p>
        </w:tc>
        <w:tc>
          <w:tcPr>
            <w:tcW w:w="603" w:type="pct"/>
          </w:tcPr>
          <w:p w:rsidR="002B419F" w:rsidRPr="00E56CD5" w:rsidRDefault="002B419F" w:rsidP="002018EC">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 xml:space="preserve">كينغستاون، </w:t>
            </w:r>
            <w:r w:rsidRPr="00E56CD5">
              <w:rPr>
                <w:rFonts w:ascii="Arabic Typesetting" w:eastAsia="SimSun" w:hAnsi="Arabic Typesetting" w:cs="Arabic Typesetting"/>
                <w:sz w:val="30"/>
                <w:szCs w:val="30"/>
                <w:rtl/>
                <w:lang w:eastAsia="zh-CN"/>
              </w:rPr>
              <w:t>سانت</w:t>
            </w:r>
            <w:r w:rsidRPr="00E56CD5">
              <w:rPr>
                <w:rFonts w:ascii="Arabic Typesetting" w:eastAsia="SimSun" w:hAnsi="Arabic Typesetting" w:cs="Arabic Typesetting" w:hint="cs"/>
                <w:sz w:val="30"/>
                <w:szCs w:val="30"/>
                <w:rtl/>
                <w:lang w:eastAsia="zh-CN"/>
              </w:rPr>
              <w:t> </w:t>
            </w:r>
            <w:r w:rsidRPr="00E56CD5">
              <w:rPr>
                <w:rFonts w:ascii="Arabic Typesetting" w:eastAsia="SimSun" w:hAnsi="Arabic Typesetting" w:cs="Arabic Typesetting"/>
                <w:sz w:val="30"/>
                <w:szCs w:val="30"/>
                <w:rtl/>
                <w:lang w:eastAsia="zh-CN"/>
              </w:rPr>
              <w:t>فنسنت وجزر</w:t>
            </w:r>
            <w:r w:rsidRPr="00E56CD5">
              <w:rPr>
                <w:rFonts w:ascii="Arabic Typesetting" w:eastAsia="SimSun" w:hAnsi="Arabic Typesetting" w:cs="Arabic Typesetting" w:hint="cs"/>
                <w:sz w:val="30"/>
                <w:szCs w:val="30"/>
                <w:rtl/>
                <w:lang w:eastAsia="zh-CN"/>
              </w:rPr>
              <w:t> </w:t>
            </w:r>
            <w:r w:rsidRPr="00E56CD5">
              <w:rPr>
                <w:rFonts w:ascii="Arabic Typesetting" w:eastAsia="SimSun" w:hAnsi="Arabic Typesetting" w:cs="Arabic Typesetting"/>
                <w:sz w:val="30"/>
                <w:szCs w:val="30"/>
                <w:rtl/>
                <w:lang w:eastAsia="zh-CN"/>
              </w:rPr>
              <w:t>غرينادين</w:t>
            </w:r>
          </w:p>
        </w:tc>
        <w:tc>
          <w:tcPr>
            <w:tcW w:w="830" w:type="pct"/>
          </w:tcPr>
          <w:p w:rsidR="002B419F" w:rsidRPr="00E56CD5" w:rsidRDefault="002B419F" w:rsidP="002018EC">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موظفون حكوميون وممارسون خاصون وممثلون لشركات وجمعيات</w:t>
            </w:r>
            <w:r>
              <w:rPr>
                <w:rFonts w:ascii="Arabic Typesetting" w:eastAsia="SimSun" w:hAnsi="Arabic Typesetting" w:cs="Arabic Typesetting" w:hint="eastAsia"/>
                <w:sz w:val="30"/>
                <w:szCs w:val="30"/>
                <w:rtl/>
                <w:lang w:eastAsia="zh-CN"/>
              </w:rPr>
              <w:t> </w:t>
            </w:r>
            <w:r w:rsidRPr="00E56CD5">
              <w:rPr>
                <w:rFonts w:ascii="Arabic Typesetting" w:eastAsia="SimSun" w:hAnsi="Arabic Typesetting" w:cs="Arabic Typesetting" w:hint="cs"/>
                <w:sz w:val="30"/>
                <w:szCs w:val="30"/>
                <w:rtl/>
                <w:lang w:eastAsia="zh-CN"/>
              </w:rPr>
              <w:t>وطنية</w:t>
            </w:r>
          </w:p>
        </w:tc>
        <w:tc>
          <w:tcPr>
            <w:tcW w:w="880" w:type="pct"/>
          </w:tcPr>
          <w:p w:rsidR="002B419F" w:rsidRPr="00E56CD5" w:rsidRDefault="002B419F" w:rsidP="002018EC">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30 مشاركاً</w:t>
            </w:r>
          </w:p>
        </w:tc>
        <w:tc>
          <w:tcPr>
            <w:tcW w:w="436" w:type="pct"/>
          </w:tcPr>
          <w:p w:rsidR="002B419F" w:rsidRPr="00E56CD5" w:rsidRDefault="002B419F" w:rsidP="002018EC">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الإنكليزية</w:t>
            </w:r>
          </w:p>
        </w:tc>
      </w:tr>
      <w:tr w:rsidR="00357484" w:rsidRPr="00E56CD5" w:rsidTr="00357484">
        <w:trPr>
          <w:cantSplit/>
          <w:trHeight w:val="142"/>
        </w:trPr>
        <w:tc>
          <w:tcPr>
            <w:tcW w:w="1646" w:type="pct"/>
          </w:tcPr>
          <w:p w:rsidR="00B97C38" w:rsidRPr="00E56CD5" w:rsidRDefault="000E434C" w:rsidP="002B419F">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 xml:space="preserve">مؤتمر "الملكية الفكرية في مجال الأدوية الأحيائية"، </w:t>
            </w:r>
            <w:r w:rsidR="00C44011">
              <w:rPr>
                <w:rFonts w:ascii="Arabic Typesetting" w:eastAsia="SimSun" w:hAnsi="Arabic Typesetting" w:cs="Arabic Typesetting"/>
                <w:sz w:val="30"/>
                <w:szCs w:val="30"/>
                <w:rtl/>
                <w:lang w:eastAsia="zh-CN"/>
              </w:rPr>
              <w:br/>
            </w:r>
            <w:r w:rsidRPr="00E56CD5">
              <w:rPr>
                <w:rFonts w:ascii="Arabic Typesetting" w:eastAsia="SimSun" w:hAnsi="Arabic Typesetting" w:cs="Arabic Typesetting" w:hint="cs"/>
                <w:sz w:val="30"/>
                <w:szCs w:val="30"/>
                <w:rtl/>
                <w:lang w:eastAsia="zh-CN"/>
              </w:rPr>
              <w:t>نظَّمه</w:t>
            </w:r>
            <w:r w:rsidR="002B419F">
              <w:rPr>
                <w:rFonts w:ascii="Arabic Typesetting" w:eastAsia="SimSun" w:hAnsi="Arabic Typesetting" w:cs="Arabic Typesetting" w:hint="cs"/>
                <w:sz w:val="30"/>
                <w:szCs w:val="30"/>
                <w:rtl/>
                <w:lang w:eastAsia="zh-CN"/>
              </w:rPr>
              <w:t xml:space="preserve"> المكتب الحكومي للبراءات في جمهورية ليتوانيا بالتعاون مع </w:t>
            </w:r>
            <w:r w:rsidRPr="00E56CD5">
              <w:rPr>
                <w:rFonts w:ascii="Arabic Typesetting" w:eastAsia="SimSun" w:hAnsi="Arabic Typesetting" w:cs="Arabic Typesetting" w:hint="cs"/>
                <w:sz w:val="30"/>
                <w:szCs w:val="30"/>
                <w:rtl/>
                <w:lang w:eastAsia="zh-CN"/>
              </w:rPr>
              <w:t>المكتب الأوروبي للبراءات والجامعة الليتوانية لعلوم الصحة</w:t>
            </w:r>
            <w:r w:rsidR="002B419F">
              <w:rPr>
                <w:rFonts w:ascii="Arabic Typesetting" w:eastAsia="SimSun" w:hAnsi="Arabic Typesetting" w:cs="Arabic Typesetting" w:hint="cs"/>
                <w:sz w:val="30"/>
                <w:szCs w:val="30"/>
                <w:rtl/>
                <w:lang w:eastAsia="zh-CN"/>
              </w:rPr>
              <w:t xml:space="preserve"> ومستشفى كاونو كلينيكوس التابعة للجامعة الليتوانية لعلوم الصحة</w:t>
            </w:r>
          </w:p>
        </w:tc>
        <w:tc>
          <w:tcPr>
            <w:tcW w:w="604" w:type="pct"/>
          </w:tcPr>
          <w:p w:rsidR="00B97C38" w:rsidRPr="00E56CD5" w:rsidRDefault="000E434C"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10 نوفمبر 2016</w:t>
            </w:r>
          </w:p>
        </w:tc>
        <w:tc>
          <w:tcPr>
            <w:tcW w:w="603" w:type="pct"/>
          </w:tcPr>
          <w:p w:rsidR="00B97C38" w:rsidRPr="00E56CD5" w:rsidRDefault="000E434C"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كاوناس، ليتوانيا</w:t>
            </w:r>
          </w:p>
        </w:tc>
        <w:tc>
          <w:tcPr>
            <w:tcW w:w="830" w:type="pct"/>
          </w:tcPr>
          <w:p w:rsidR="00B97C38" w:rsidRPr="00E56CD5" w:rsidRDefault="000E434C" w:rsidP="00C4401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موظفون حكوميون ومهنيون في مجالات الأدوية والكيمياء الأحيائية والمستحضرات الصيدلانية والأوساط الأكاديمية وطلاب</w:t>
            </w:r>
          </w:p>
        </w:tc>
        <w:tc>
          <w:tcPr>
            <w:tcW w:w="880" w:type="pct"/>
          </w:tcPr>
          <w:p w:rsidR="00B97C38" w:rsidRPr="00E56CD5" w:rsidRDefault="000E434C"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100 مشارك تقريباً</w:t>
            </w:r>
          </w:p>
        </w:tc>
        <w:tc>
          <w:tcPr>
            <w:tcW w:w="436" w:type="pct"/>
          </w:tcPr>
          <w:p w:rsidR="00B97C38" w:rsidRPr="00E56CD5" w:rsidRDefault="00DF4839"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الليتوانية والإنكليزية</w:t>
            </w:r>
          </w:p>
        </w:tc>
      </w:tr>
      <w:tr w:rsidR="00357484" w:rsidRPr="00E56CD5" w:rsidTr="00357484">
        <w:trPr>
          <w:cantSplit/>
          <w:trHeight w:val="75"/>
        </w:trPr>
        <w:tc>
          <w:tcPr>
            <w:tcW w:w="1646" w:type="pct"/>
          </w:tcPr>
          <w:p w:rsidR="00B97C38" w:rsidRPr="00E56CD5" w:rsidRDefault="000E434C" w:rsidP="002B419F">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أول منتدى</w:t>
            </w:r>
            <w:r w:rsidR="002B419F">
              <w:rPr>
                <w:rFonts w:ascii="Arabic Typesetting" w:eastAsia="SimSun" w:hAnsi="Arabic Typesetting" w:cs="Arabic Typesetting" w:hint="cs"/>
                <w:sz w:val="30"/>
                <w:szCs w:val="30"/>
                <w:rtl/>
                <w:lang w:eastAsia="zh-CN"/>
              </w:rPr>
              <w:t xml:space="preserve"> إقليمي</w:t>
            </w:r>
            <w:r w:rsidRPr="00E56CD5">
              <w:rPr>
                <w:rFonts w:ascii="Arabic Typesetting" w:eastAsia="SimSun" w:hAnsi="Arabic Typesetting" w:cs="Arabic Typesetting" w:hint="cs"/>
                <w:sz w:val="30"/>
                <w:szCs w:val="30"/>
                <w:rtl/>
                <w:lang w:eastAsia="zh-CN"/>
              </w:rPr>
              <w:t xml:space="preserve"> عن </w:t>
            </w:r>
            <w:r w:rsidR="002B419F">
              <w:rPr>
                <w:rFonts w:ascii="Arabic Typesetting" w:eastAsia="SimSun" w:hAnsi="Arabic Typesetting" w:cs="Arabic Typesetting" w:hint="cs"/>
                <w:sz w:val="30"/>
                <w:szCs w:val="30"/>
                <w:rtl/>
                <w:lang w:eastAsia="zh-CN"/>
              </w:rPr>
              <w:t>الملكية الفكرية لفائدة المحاكم المتخصصة</w:t>
            </w:r>
            <w:r w:rsidRPr="00E56CD5">
              <w:rPr>
                <w:rFonts w:ascii="Arabic Typesetting" w:eastAsia="SimSun" w:hAnsi="Arabic Typesetting" w:cs="Arabic Typesetting" w:hint="cs"/>
                <w:sz w:val="30"/>
                <w:szCs w:val="30"/>
                <w:rtl/>
                <w:lang w:eastAsia="zh-CN"/>
              </w:rPr>
              <w:t xml:space="preserve"> في أمريكا</w:t>
            </w:r>
            <w:r w:rsidR="002B419F">
              <w:rPr>
                <w:rFonts w:ascii="Arabic Typesetting" w:eastAsia="SimSun" w:hAnsi="Arabic Typesetting" w:cs="Arabic Typesetting" w:hint="eastAsia"/>
                <w:sz w:val="30"/>
                <w:szCs w:val="30"/>
                <w:rtl/>
                <w:lang w:eastAsia="zh-CN"/>
              </w:rPr>
              <w:t> </w:t>
            </w:r>
            <w:r w:rsidRPr="00E56CD5">
              <w:rPr>
                <w:rFonts w:ascii="Arabic Typesetting" w:eastAsia="SimSun" w:hAnsi="Arabic Typesetting" w:cs="Arabic Typesetting" w:hint="cs"/>
                <w:sz w:val="30"/>
                <w:szCs w:val="30"/>
                <w:rtl/>
                <w:lang w:eastAsia="zh-CN"/>
              </w:rPr>
              <w:t>اللاتينية،</w:t>
            </w:r>
            <w:r w:rsidR="00C44011">
              <w:rPr>
                <w:rFonts w:ascii="Arabic Typesetting" w:eastAsia="SimSun" w:hAnsi="Arabic Typesetting" w:cs="Arabic Typesetting" w:hint="cs"/>
                <w:sz w:val="30"/>
                <w:szCs w:val="30"/>
                <w:rtl/>
                <w:lang w:eastAsia="zh-CN"/>
              </w:rPr>
              <w:t xml:space="preserve"> </w:t>
            </w:r>
            <w:r w:rsidR="00C44011">
              <w:rPr>
                <w:rFonts w:ascii="Arabic Typesetting" w:eastAsia="SimSun" w:hAnsi="Arabic Typesetting" w:cs="Arabic Typesetting"/>
                <w:sz w:val="30"/>
                <w:szCs w:val="30"/>
                <w:rtl/>
                <w:lang w:eastAsia="zh-CN"/>
              </w:rPr>
              <w:br/>
            </w:r>
            <w:r w:rsidRPr="00E56CD5">
              <w:rPr>
                <w:rFonts w:ascii="Arabic Typesetting" w:eastAsia="SimSun" w:hAnsi="Arabic Typesetting" w:cs="Arabic Typesetting" w:hint="cs"/>
                <w:sz w:val="30"/>
                <w:szCs w:val="30"/>
                <w:rtl/>
                <w:lang w:eastAsia="zh-CN"/>
              </w:rPr>
              <w:t xml:space="preserve">نظَّمته الويبو </w:t>
            </w:r>
            <w:r w:rsidR="002B419F">
              <w:rPr>
                <w:rFonts w:ascii="Arabic Typesetting" w:eastAsia="SimSun" w:hAnsi="Arabic Typesetting" w:cs="Arabic Typesetting" w:hint="cs"/>
                <w:sz w:val="30"/>
                <w:szCs w:val="30"/>
                <w:rtl/>
                <w:lang w:eastAsia="zh-CN"/>
              </w:rPr>
              <w:t>بالتعاون</w:t>
            </w:r>
            <w:r w:rsidRPr="00E56CD5">
              <w:rPr>
                <w:rFonts w:ascii="Arabic Typesetting" w:eastAsia="SimSun" w:hAnsi="Arabic Typesetting" w:cs="Arabic Typesetting" w:hint="cs"/>
                <w:sz w:val="30"/>
                <w:szCs w:val="30"/>
                <w:rtl/>
                <w:lang w:eastAsia="zh-CN"/>
              </w:rPr>
              <w:t xml:space="preserve"> مع محكمة الملكية الصناعية في شيلي ومحكمة التسجيل الإداري في كوستاريكا</w:t>
            </w:r>
          </w:p>
        </w:tc>
        <w:tc>
          <w:tcPr>
            <w:tcW w:w="604" w:type="pct"/>
          </w:tcPr>
          <w:p w:rsidR="00B97C38" w:rsidRPr="00E56CD5" w:rsidRDefault="000E434C"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9 إلى 11 نوفمبر 2016</w:t>
            </w:r>
          </w:p>
        </w:tc>
        <w:tc>
          <w:tcPr>
            <w:tcW w:w="603" w:type="pct"/>
          </w:tcPr>
          <w:p w:rsidR="00B97C38" w:rsidRPr="00E56CD5" w:rsidRDefault="000E434C"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سانتياغو، شيلي</w:t>
            </w:r>
          </w:p>
        </w:tc>
        <w:tc>
          <w:tcPr>
            <w:tcW w:w="830" w:type="pct"/>
          </w:tcPr>
          <w:p w:rsidR="00B97C38" w:rsidRPr="00E56CD5" w:rsidRDefault="00E56CD5" w:rsidP="00C4401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 xml:space="preserve">قضاة من محاكم متخصصة في الملكية الفكرية </w:t>
            </w:r>
            <w:r w:rsidR="00C44011">
              <w:rPr>
                <w:rFonts w:ascii="Arabic Typesetting" w:eastAsia="SimSun" w:hAnsi="Arabic Typesetting" w:cs="Arabic Typesetting" w:hint="cs"/>
                <w:sz w:val="30"/>
                <w:szCs w:val="30"/>
                <w:rtl/>
                <w:lang w:eastAsia="zh-CN"/>
              </w:rPr>
              <w:t>من</w:t>
            </w:r>
            <w:r w:rsidRPr="00E56CD5">
              <w:rPr>
                <w:rFonts w:ascii="Arabic Typesetting" w:eastAsia="SimSun" w:hAnsi="Arabic Typesetting" w:cs="Arabic Typesetting" w:hint="cs"/>
                <w:sz w:val="30"/>
                <w:szCs w:val="30"/>
                <w:rtl/>
                <w:lang w:eastAsia="zh-CN"/>
              </w:rPr>
              <w:t xml:space="preserve"> بلدان أمريكا اللاتينية</w:t>
            </w:r>
          </w:p>
        </w:tc>
        <w:tc>
          <w:tcPr>
            <w:tcW w:w="880" w:type="pct"/>
          </w:tcPr>
          <w:p w:rsidR="00B97C38" w:rsidRPr="00E56CD5" w:rsidRDefault="00E56CD5"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30 مشاركاً تقريباً</w:t>
            </w:r>
          </w:p>
        </w:tc>
        <w:tc>
          <w:tcPr>
            <w:tcW w:w="436" w:type="pct"/>
          </w:tcPr>
          <w:p w:rsidR="00B97C38" w:rsidRPr="00E56CD5" w:rsidRDefault="00DF4839"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الإسبانية</w:t>
            </w:r>
          </w:p>
        </w:tc>
      </w:tr>
      <w:tr w:rsidR="00357484" w:rsidRPr="00DF4839" w:rsidTr="00357484">
        <w:trPr>
          <w:cantSplit/>
          <w:trHeight w:val="142"/>
        </w:trPr>
        <w:tc>
          <w:tcPr>
            <w:tcW w:w="1646" w:type="pct"/>
          </w:tcPr>
          <w:p w:rsidR="00B97C38" w:rsidRPr="00E56CD5" w:rsidRDefault="00E56CD5" w:rsidP="00C4401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 xml:space="preserve">ندوة إقليمية عن التوجهات الحالية في قانون البراءات، </w:t>
            </w:r>
            <w:r w:rsidR="00C44011">
              <w:rPr>
                <w:rFonts w:ascii="Arabic Typesetting" w:eastAsia="SimSun" w:hAnsi="Arabic Typesetting" w:cs="Arabic Typesetting"/>
                <w:sz w:val="30"/>
                <w:szCs w:val="30"/>
                <w:rtl/>
                <w:lang w:eastAsia="zh-CN"/>
              </w:rPr>
              <w:br/>
            </w:r>
            <w:r w:rsidRPr="00E56CD5">
              <w:rPr>
                <w:rFonts w:ascii="Arabic Typesetting" w:eastAsia="SimSun" w:hAnsi="Arabic Typesetting" w:cs="Arabic Typesetting" w:hint="cs"/>
                <w:sz w:val="30"/>
                <w:szCs w:val="30"/>
                <w:rtl/>
                <w:lang w:eastAsia="zh-CN"/>
              </w:rPr>
              <w:t xml:space="preserve">نظَّمتها الويبو </w:t>
            </w:r>
            <w:r w:rsidR="00C44011">
              <w:rPr>
                <w:rFonts w:ascii="Arabic Typesetting" w:eastAsia="SimSun" w:hAnsi="Arabic Typesetting" w:cs="Arabic Typesetting" w:hint="cs"/>
                <w:sz w:val="30"/>
                <w:szCs w:val="30"/>
                <w:rtl/>
                <w:lang w:eastAsia="zh-CN"/>
              </w:rPr>
              <w:t xml:space="preserve">بالاشتراك مع </w:t>
            </w:r>
            <w:r w:rsidRPr="00E56CD5">
              <w:rPr>
                <w:rFonts w:ascii="Arabic Typesetting" w:eastAsia="SimSun" w:hAnsi="Arabic Typesetting" w:cs="Arabic Typesetting"/>
                <w:sz w:val="30"/>
                <w:szCs w:val="30"/>
                <w:rtl/>
                <w:lang w:eastAsia="zh-CN"/>
              </w:rPr>
              <w:t>المنظمة الأوروبية الآسيوية للبراءات</w:t>
            </w:r>
          </w:p>
        </w:tc>
        <w:tc>
          <w:tcPr>
            <w:tcW w:w="604" w:type="pct"/>
          </w:tcPr>
          <w:p w:rsidR="00B97C38" w:rsidRPr="00E56CD5" w:rsidRDefault="00E56CD5"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val="en-GB" w:eastAsia="zh-CN"/>
              </w:rPr>
              <w:t>25 و26 أكتوبر 2016</w:t>
            </w:r>
          </w:p>
        </w:tc>
        <w:tc>
          <w:tcPr>
            <w:tcW w:w="603" w:type="pct"/>
          </w:tcPr>
          <w:p w:rsidR="00E56CD5" w:rsidRPr="00E56CD5" w:rsidRDefault="00E56CD5"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باكو، أذربيجان</w:t>
            </w:r>
          </w:p>
        </w:tc>
        <w:tc>
          <w:tcPr>
            <w:tcW w:w="830" w:type="pct"/>
          </w:tcPr>
          <w:p w:rsidR="00B97C38" w:rsidRPr="00E56CD5" w:rsidRDefault="00E56CD5"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موظفون حكوميون وممارسون قانونيون وقطاع الأعمال والأوساط الأكاديمية وغيرها</w:t>
            </w:r>
          </w:p>
        </w:tc>
        <w:tc>
          <w:tcPr>
            <w:tcW w:w="880" w:type="pct"/>
          </w:tcPr>
          <w:p w:rsidR="00B97C38" w:rsidRPr="00E56CD5" w:rsidRDefault="00E56CD5"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60 مشاركاً</w:t>
            </w:r>
          </w:p>
        </w:tc>
        <w:tc>
          <w:tcPr>
            <w:tcW w:w="436" w:type="pct"/>
          </w:tcPr>
          <w:p w:rsidR="00B97C38" w:rsidRPr="00DF4839" w:rsidRDefault="00DF4839" w:rsidP="00342471">
            <w:pPr>
              <w:bidi/>
              <w:spacing w:before="60" w:after="60"/>
              <w:rPr>
                <w:rFonts w:ascii="Arabic Typesetting" w:eastAsia="SimSun" w:hAnsi="Arabic Typesetting" w:cs="Arabic Typesetting"/>
                <w:sz w:val="30"/>
                <w:szCs w:val="30"/>
                <w:lang w:eastAsia="zh-CN"/>
              </w:rPr>
            </w:pPr>
            <w:r w:rsidRPr="00E56CD5">
              <w:rPr>
                <w:rFonts w:ascii="Arabic Typesetting" w:eastAsia="SimSun" w:hAnsi="Arabic Typesetting" w:cs="Arabic Typesetting" w:hint="cs"/>
                <w:sz w:val="30"/>
                <w:szCs w:val="30"/>
                <w:rtl/>
                <w:lang w:eastAsia="zh-CN"/>
              </w:rPr>
              <w:t>الروسية والإنكليزية</w:t>
            </w:r>
          </w:p>
        </w:tc>
      </w:tr>
    </w:tbl>
    <w:p w:rsidR="00B97C38" w:rsidRPr="00B97C38" w:rsidRDefault="00B70FFD" w:rsidP="00357484">
      <w:pPr>
        <w:pStyle w:val="EndofDocumentAR"/>
        <w:spacing w:before="600"/>
        <w:rPr>
          <w:rFonts w:eastAsia="SimSun"/>
          <w:lang w:eastAsia="zh-CN"/>
        </w:rPr>
      </w:pPr>
      <w:r>
        <w:rPr>
          <w:rFonts w:eastAsia="SimSun" w:hint="cs"/>
          <w:rtl/>
          <w:lang w:eastAsia="zh-CN"/>
        </w:rPr>
        <w:t>[</w:t>
      </w:r>
      <w:r w:rsidRPr="00357484">
        <w:rPr>
          <w:rFonts w:eastAsia="SimSun" w:hint="cs"/>
          <w:rtl/>
        </w:rPr>
        <w:t>نهاية</w:t>
      </w:r>
      <w:r>
        <w:rPr>
          <w:rFonts w:eastAsia="SimSun" w:hint="cs"/>
          <w:rtl/>
          <w:lang w:eastAsia="zh-CN"/>
        </w:rPr>
        <w:t xml:space="preserve"> المرفق الثاني والوثيقة]</w:t>
      </w:r>
    </w:p>
    <w:sectPr w:rsidR="00B97C38" w:rsidRPr="00B97C38" w:rsidSect="00B97C38">
      <w:headerReference w:type="default" r:id="rId15"/>
      <w:headerReference w:type="first" r:id="rId16"/>
      <w:pgSz w:w="16840" w:h="11907" w:orient="landscape" w:code="9"/>
      <w:pgMar w:top="1134" w:right="567"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789" w:rsidRDefault="00CB3789">
      <w:r>
        <w:separator/>
      </w:r>
    </w:p>
  </w:endnote>
  <w:endnote w:type="continuationSeparator" w:id="0">
    <w:p w:rsidR="00CB3789" w:rsidRDefault="00CB3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789" w:rsidRDefault="00CB3789" w:rsidP="009622BF">
      <w:pPr>
        <w:bidi/>
      </w:pPr>
      <w:bookmarkStart w:id="0" w:name="OLE_LINK1"/>
      <w:bookmarkStart w:id="1" w:name="OLE_LINK2"/>
      <w:r>
        <w:separator/>
      </w:r>
      <w:bookmarkEnd w:id="0"/>
      <w:bookmarkEnd w:id="1"/>
    </w:p>
  </w:footnote>
  <w:footnote w:type="continuationSeparator" w:id="0">
    <w:p w:rsidR="00CB3789" w:rsidRDefault="00CB3789" w:rsidP="009622BF">
      <w:pPr>
        <w:bidi/>
      </w:pPr>
      <w:r>
        <w:separator/>
      </w:r>
    </w:p>
  </w:footnote>
  <w:footnote w:id="1">
    <w:p w:rsidR="00733B6B" w:rsidRDefault="00733B6B" w:rsidP="005C7FEF">
      <w:pPr>
        <w:pStyle w:val="FootnoteText"/>
        <w:spacing w:after="120"/>
        <w:ind w:left="283" w:hanging="283"/>
      </w:pPr>
      <w:r>
        <w:rPr>
          <w:rStyle w:val="FootnoteReference"/>
        </w:rPr>
        <w:footnoteRef/>
      </w:r>
      <w:r w:rsidR="005C7FEF">
        <w:rPr>
          <w:rFonts w:hint="cs"/>
          <w:rtl/>
        </w:rPr>
        <w:tab/>
      </w:r>
      <w:r>
        <w:rPr>
          <w:rFonts w:hint="cs"/>
          <w:rtl/>
        </w:rPr>
        <w:t>تتناول تلك الأحكام مواطن المرونة الأربعة عشرة التالية: "1"</w:t>
      </w:r>
      <w:r>
        <w:rPr>
          <w:rFonts w:hint="eastAsia"/>
          <w:rtl/>
        </w:rPr>
        <w:t> </w:t>
      </w:r>
      <w:r w:rsidRPr="00733B6B">
        <w:rPr>
          <w:rtl/>
        </w:rPr>
        <w:t xml:space="preserve">التراخيص الإجبارية والاستعمال الحكومي؛ </w:t>
      </w:r>
      <w:r>
        <w:rPr>
          <w:rFonts w:hint="cs"/>
          <w:rtl/>
        </w:rPr>
        <w:t>"2" </w:t>
      </w:r>
      <w:r w:rsidRPr="00733B6B">
        <w:rPr>
          <w:rtl/>
        </w:rPr>
        <w:t>استنفاد الحقوق؛</w:t>
      </w:r>
      <w:r>
        <w:rPr>
          <w:rFonts w:hint="cs"/>
          <w:rtl/>
        </w:rPr>
        <w:t xml:space="preserve"> "3" </w:t>
      </w:r>
      <w:r w:rsidRPr="00733B6B">
        <w:rPr>
          <w:rtl/>
        </w:rPr>
        <w:t>الاستثناء لأغراض الفحص الإداري؛</w:t>
      </w:r>
      <w:r>
        <w:rPr>
          <w:rFonts w:hint="cs"/>
          <w:rtl/>
        </w:rPr>
        <w:t xml:space="preserve"> "4" </w:t>
      </w:r>
      <w:r>
        <w:rPr>
          <w:rtl/>
        </w:rPr>
        <w:t>الإعفاء لأغراض البحث؛</w:t>
      </w:r>
      <w:r>
        <w:rPr>
          <w:rFonts w:hint="cs"/>
          <w:rtl/>
        </w:rPr>
        <w:t xml:space="preserve"> "5" </w:t>
      </w:r>
      <w:r>
        <w:rPr>
          <w:rtl/>
        </w:rPr>
        <w:t>الاستثناء من الحماية كنماذج منفعة؛</w:t>
      </w:r>
      <w:r>
        <w:rPr>
          <w:rFonts w:hint="cs"/>
          <w:rtl/>
        </w:rPr>
        <w:t xml:space="preserve"> "6" </w:t>
      </w:r>
      <w:r>
        <w:rPr>
          <w:rtl/>
        </w:rPr>
        <w:t>الفترات الانتقالية؛</w:t>
      </w:r>
      <w:r>
        <w:rPr>
          <w:rFonts w:hint="cs"/>
          <w:rtl/>
        </w:rPr>
        <w:t xml:space="preserve"> "7" </w:t>
      </w:r>
      <w:r>
        <w:rPr>
          <w:rtl/>
        </w:rPr>
        <w:t>إمكانية منح البراءات في المواد الموجودة في الطبيعة؛</w:t>
      </w:r>
      <w:r>
        <w:rPr>
          <w:rFonts w:hint="cs"/>
          <w:rtl/>
        </w:rPr>
        <w:t xml:space="preserve"> "8" </w:t>
      </w:r>
      <w:r>
        <w:rPr>
          <w:rtl/>
        </w:rPr>
        <w:t>مواطن المرونة المتعلقة بالكشف؛</w:t>
      </w:r>
      <w:r>
        <w:rPr>
          <w:rFonts w:hint="cs"/>
          <w:rtl/>
        </w:rPr>
        <w:t xml:space="preserve"> "9" </w:t>
      </w:r>
      <w:r>
        <w:rPr>
          <w:rtl/>
        </w:rPr>
        <w:t>الفحص الموضوعي؛</w:t>
      </w:r>
      <w:r>
        <w:rPr>
          <w:rFonts w:hint="cs"/>
          <w:rtl/>
        </w:rPr>
        <w:t xml:space="preserve"> "10" </w:t>
      </w:r>
      <w:r>
        <w:rPr>
          <w:rtl/>
        </w:rPr>
        <w:t>الرقابة التلقائية من مكاتب البراءات على البنود التعاقدية المنافية للمنافسة المشـروعة؛</w:t>
      </w:r>
      <w:r>
        <w:rPr>
          <w:rFonts w:hint="cs"/>
          <w:rtl/>
        </w:rPr>
        <w:t xml:space="preserve"> "11" </w:t>
      </w:r>
      <w:r>
        <w:rPr>
          <w:rtl/>
        </w:rPr>
        <w:t>نطاق استبعاد النباتات من إمكانية الحماية ببراءة؛</w:t>
      </w:r>
      <w:r>
        <w:rPr>
          <w:rFonts w:hint="cs"/>
          <w:rtl/>
        </w:rPr>
        <w:t xml:space="preserve"> "12" </w:t>
      </w:r>
      <w:r>
        <w:rPr>
          <w:rtl/>
        </w:rPr>
        <w:t>إمكانية حماية الاختراعات المتعلقة بالبرمجيات أو استبعادها من ذلك؛</w:t>
      </w:r>
      <w:r>
        <w:rPr>
          <w:rFonts w:hint="cs"/>
          <w:rtl/>
        </w:rPr>
        <w:t xml:space="preserve"> "13" </w:t>
      </w:r>
      <w:r>
        <w:rPr>
          <w:rtl/>
        </w:rPr>
        <w:t>المرونة في تنفيذ العقوبات الجنائية في إنفاذ البراءات؛</w:t>
      </w:r>
      <w:r>
        <w:rPr>
          <w:rFonts w:hint="cs"/>
          <w:rtl/>
        </w:rPr>
        <w:t xml:space="preserve"> "14" </w:t>
      </w:r>
      <w:r>
        <w:rPr>
          <w:rtl/>
        </w:rPr>
        <w:t>الإجراءات المتصلة بالأمن الوطني (ما يسمى "الاستثناء الأمني").</w:t>
      </w:r>
    </w:p>
  </w:footnote>
  <w:footnote w:id="2">
    <w:p w:rsidR="00733B6B" w:rsidRDefault="00733B6B" w:rsidP="005C7FEF">
      <w:pPr>
        <w:pStyle w:val="FootnoteText"/>
        <w:ind w:left="283" w:hanging="283"/>
        <w:rPr>
          <w:rtl/>
          <w:lang w:bidi="ar-EG"/>
        </w:rPr>
      </w:pPr>
      <w:r>
        <w:rPr>
          <w:rStyle w:val="FootnoteReference"/>
        </w:rPr>
        <w:footnoteRef/>
      </w:r>
      <w:r w:rsidR="005C7FEF">
        <w:rPr>
          <w:rFonts w:hint="cs"/>
          <w:rtl/>
        </w:rPr>
        <w:tab/>
      </w:r>
      <w:r>
        <w:rPr>
          <w:rFonts w:hint="cs"/>
          <w:rtl/>
        </w:rPr>
        <w:t>استجابة لطلب اللجنة في دورتها السادسة</w:t>
      </w:r>
      <w:r w:rsidR="00F465CB">
        <w:rPr>
          <w:rFonts w:hint="cs"/>
          <w:rtl/>
        </w:rPr>
        <w:t xml:space="preserve"> عشرة، ناقشت اللجنة اقتراحات بشأ</w:t>
      </w:r>
      <w:r>
        <w:rPr>
          <w:rFonts w:hint="cs"/>
          <w:rtl/>
        </w:rPr>
        <w:t xml:space="preserve">ن آلية لإجراء تحديث منتظم لقاعدة البيانات بناء على الوثيقة </w:t>
      </w:r>
      <w:r>
        <w:t>CDIP/17/5</w:t>
      </w:r>
      <w:r>
        <w:rPr>
          <w:rFonts w:hint="cs"/>
          <w:rtl/>
          <w:lang w:bidi="ar-EG"/>
        </w:rPr>
        <w:t xml:space="preserve"> في دورتها السابعة عشرة والوثيقة </w:t>
      </w:r>
      <w:r>
        <w:rPr>
          <w:lang w:bidi="ar-EG"/>
        </w:rPr>
        <w:t>CDIP/18/5</w:t>
      </w:r>
      <w:r>
        <w:rPr>
          <w:rFonts w:hint="cs"/>
          <w:rtl/>
          <w:lang w:bidi="ar-EG"/>
        </w:rPr>
        <w:t xml:space="preserve"> في دورتها الثامنة عشرة.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B6B" w:rsidRDefault="00733B6B" w:rsidP="008F262E">
    <w:r>
      <w:t>CDIP/20/5</w:t>
    </w:r>
  </w:p>
  <w:p w:rsidR="00733B6B" w:rsidRDefault="00733B6B" w:rsidP="00D61541">
    <w:r>
      <w:fldChar w:fldCharType="begin"/>
    </w:r>
    <w:r>
      <w:instrText xml:space="preserve"> PAGE  \* MERGEFORMAT </w:instrText>
    </w:r>
    <w:r>
      <w:fldChar w:fldCharType="separate"/>
    </w:r>
    <w:r w:rsidR="007F4D9F">
      <w:rPr>
        <w:noProof/>
      </w:rPr>
      <w:t>1</w:t>
    </w:r>
    <w:r>
      <w:fldChar w:fldCharType="end"/>
    </w:r>
  </w:p>
  <w:p w:rsidR="00733B6B" w:rsidRDefault="00733B6B"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B6B" w:rsidRDefault="00733B6B" w:rsidP="008F262E">
    <w:r>
      <w:t>CDIP/20/5</w:t>
    </w:r>
  </w:p>
  <w:p w:rsidR="00733B6B" w:rsidRDefault="00733B6B" w:rsidP="008F262E">
    <w:r>
      <w:t>Annex I</w:t>
    </w:r>
  </w:p>
  <w:p w:rsidR="00733B6B" w:rsidRDefault="00733B6B" w:rsidP="00D61541">
    <w:r>
      <w:fldChar w:fldCharType="begin"/>
    </w:r>
    <w:r>
      <w:instrText xml:space="preserve"> PAGE  \* MERGEFORMAT </w:instrText>
    </w:r>
    <w:r>
      <w:fldChar w:fldCharType="separate"/>
    </w:r>
    <w:r w:rsidR="00D56FCD">
      <w:rPr>
        <w:noProof/>
      </w:rPr>
      <w:t>3</w:t>
    </w:r>
    <w:r>
      <w:fldChar w:fldCharType="end"/>
    </w:r>
  </w:p>
  <w:p w:rsidR="00733B6B" w:rsidRDefault="00733B6B"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B6B" w:rsidRDefault="00733B6B" w:rsidP="00B97C38">
    <w:r>
      <w:t>CDIP/20/5</w:t>
    </w:r>
  </w:p>
  <w:p w:rsidR="00733B6B" w:rsidRDefault="00733B6B" w:rsidP="00B97C38">
    <w:r>
      <w:t>ANNEX I</w:t>
    </w:r>
  </w:p>
  <w:p w:rsidR="00733B6B" w:rsidRPr="00B97C38" w:rsidRDefault="00733B6B" w:rsidP="00B97C38">
    <w:pPr>
      <w:rPr>
        <w:rFonts w:ascii="Arabic Typesetting" w:hAnsi="Arabic Typesetting" w:cs="Arabic Typesetting"/>
        <w:sz w:val="36"/>
        <w:szCs w:val="36"/>
        <w:rtl/>
        <w:lang w:bidi="ar-EG"/>
      </w:rPr>
    </w:pPr>
    <w:r w:rsidRPr="00B97C38">
      <w:rPr>
        <w:rFonts w:ascii="Arabic Typesetting" w:hAnsi="Arabic Typesetting" w:cs="Arabic Typesetting"/>
        <w:sz w:val="36"/>
        <w:szCs w:val="36"/>
        <w:rtl/>
        <w:lang w:bidi="ar-EG"/>
      </w:rPr>
      <w:t>المرفق الأول</w:t>
    </w:r>
  </w:p>
  <w:p w:rsidR="00733B6B" w:rsidRDefault="00733B6B" w:rsidP="00B97C38">
    <w:r>
      <w:fldChar w:fldCharType="begin"/>
    </w:r>
    <w:r>
      <w:instrText xml:space="preserve"> PAGE  \* MERGEFORMAT </w:instrText>
    </w:r>
    <w:r>
      <w:fldChar w:fldCharType="separate"/>
    </w:r>
    <w:r w:rsidR="00D56FCD">
      <w:rPr>
        <w:noProof/>
      </w:rPr>
      <w:t>2</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B6B" w:rsidRDefault="00733B6B" w:rsidP="008F262E">
    <w:r>
      <w:t>CDIP/20/5</w:t>
    </w:r>
  </w:p>
  <w:p w:rsidR="00733B6B" w:rsidRDefault="00733B6B" w:rsidP="008F262E">
    <w:r>
      <w:t>Annex II</w:t>
    </w:r>
  </w:p>
  <w:p w:rsidR="00733B6B" w:rsidRDefault="00733B6B" w:rsidP="00D61541">
    <w:r>
      <w:fldChar w:fldCharType="begin"/>
    </w:r>
    <w:r>
      <w:instrText xml:space="preserve"> PAGE  \* MERGEFORMAT </w:instrText>
    </w:r>
    <w:r>
      <w:fldChar w:fldCharType="separate"/>
    </w:r>
    <w:r w:rsidR="00D56FCD">
      <w:rPr>
        <w:noProof/>
      </w:rPr>
      <w:t>6</w:t>
    </w:r>
    <w:r>
      <w:fldChar w:fldCharType="end"/>
    </w:r>
  </w:p>
  <w:p w:rsidR="00733B6B" w:rsidRDefault="00733B6B"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B6B" w:rsidRDefault="00733B6B" w:rsidP="00B97C38">
    <w:r>
      <w:t>CDIP/20/5</w:t>
    </w:r>
  </w:p>
  <w:p w:rsidR="00733B6B" w:rsidRDefault="00733B6B" w:rsidP="00B97C38">
    <w:r>
      <w:t>ANNEX II</w:t>
    </w:r>
  </w:p>
  <w:p w:rsidR="00733B6B" w:rsidRPr="00B97C38" w:rsidRDefault="00733B6B" w:rsidP="00B97C38">
    <w:pPr>
      <w:rPr>
        <w:rFonts w:ascii="Arabic Typesetting" w:hAnsi="Arabic Typesetting" w:cs="Arabic Typesetting"/>
        <w:sz w:val="36"/>
        <w:szCs w:val="36"/>
        <w:rtl/>
        <w:lang w:bidi="ar-EG"/>
      </w:rPr>
    </w:pPr>
    <w:r w:rsidRPr="00B97C38">
      <w:rPr>
        <w:rFonts w:ascii="Arabic Typesetting" w:hAnsi="Arabic Typesetting" w:cs="Arabic Typesetting"/>
        <w:sz w:val="36"/>
        <w:szCs w:val="36"/>
        <w:rtl/>
        <w:lang w:bidi="ar-EG"/>
      </w:rPr>
      <w:t xml:space="preserve">المرفق </w:t>
    </w:r>
    <w:r>
      <w:rPr>
        <w:rFonts w:ascii="Arabic Typesetting" w:hAnsi="Arabic Typesetting" w:cs="Arabic Typesetting" w:hint="cs"/>
        <w:sz w:val="36"/>
        <w:szCs w:val="36"/>
        <w:rtl/>
        <w:lang w:bidi="ar-EG"/>
      </w:rPr>
      <w:t>الثاني</w:t>
    </w:r>
  </w:p>
  <w:p w:rsidR="00733B6B" w:rsidRDefault="00733B6B" w:rsidP="00B97C38">
    <w:r>
      <w:fldChar w:fldCharType="begin"/>
    </w:r>
    <w:r>
      <w:instrText xml:space="preserve"> PAGE  \* MERGEFORMAT </w:instrText>
    </w:r>
    <w:r>
      <w:fldChar w:fldCharType="separate"/>
    </w:r>
    <w:r w:rsidR="00D56FCD">
      <w:rPr>
        <w:noProof/>
      </w:rPr>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lvlOverride w:ilvl="0">
      <w:startOverride w:val="1"/>
    </w:lvlOverride>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C38"/>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434C"/>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7FC9"/>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04F"/>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419F"/>
    <w:rsid w:val="002B53D3"/>
    <w:rsid w:val="002B6202"/>
    <w:rsid w:val="002C014C"/>
    <w:rsid w:val="002C060C"/>
    <w:rsid w:val="002C0BA6"/>
    <w:rsid w:val="002C12A7"/>
    <w:rsid w:val="002C2B6F"/>
    <w:rsid w:val="002C2BC4"/>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2471"/>
    <w:rsid w:val="003433E5"/>
    <w:rsid w:val="00344082"/>
    <w:rsid w:val="0034582C"/>
    <w:rsid w:val="00345916"/>
    <w:rsid w:val="00345CAC"/>
    <w:rsid w:val="0034789E"/>
    <w:rsid w:val="003501DA"/>
    <w:rsid w:val="003503E2"/>
    <w:rsid w:val="00351DC1"/>
    <w:rsid w:val="003534EE"/>
    <w:rsid w:val="00357484"/>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5"/>
    <w:rsid w:val="003A37F7"/>
    <w:rsid w:val="003A54E9"/>
    <w:rsid w:val="003A5E7C"/>
    <w:rsid w:val="003A78C7"/>
    <w:rsid w:val="003A7E9A"/>
    <w:rsid w:val="003B15FE"/>
    <w:rsid w:val="003B1C41"/>
    <w:rsid w:val="003B2D1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5BF5"/>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2ABC"/>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5CF2"/>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C7FEF"/>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8703B"/>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B6B"/>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043"/>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4D9F"/>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68B0"/>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06C0"/>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97F91"/>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62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0E1D"/>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0154"/>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6363"/>
    <w:rsid w:val="00B672E3"/>
    <w:rsid w:val="00B675F9"/>
    <w:rsid w:val="00B70849"/>
    <w:rsid w:val="00B70FFD"/>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97C38"/>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011"/>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3789"/>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6FCD"/>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BD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4839"/>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6CD5"/>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5CB"/>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04E"/>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75BF5"/>
    <w:rPr>
      <w:rFonts w:ascii="Tahoma" w:hAnsi="Tahoma" w:cs="Tahoma"/>
      <w:sz w:val="16"/>
      <w:szCs w:val="16"/>
    </w:rPr>
  </w:style>
  <w:style w:type="character" w:customStyle="1" w:styleId="BalloonTextChar">
    <w:name w:val="Balloon Text Char"/>
    <w:basedOn w:val="DefaultParagraphFont"/>
    <w:link w:val="BalloonText"/>
    <w:rsid w:val="00475BF5"/>
    <w:rPr>
      <w:rFonts w:ascii="Tahoma" w:hAnsi="Tahoma" w:cs="Tahoma"/>
      <w:sz w:val="16"/>
      <w:szCs w:val="16"/>
    </w:rPr>
  </w:style>
  <w:style w:type="table" w:customStyle="1" w:styleId="TableGrid1">
    <w:name w:val="Table Grid1"/>
    <w:basedOn w:val="TableNormal"/>
    <w:next w:val="TableGrid"/>
    <w:rsid w:val="00B97C3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B97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33B6B"/>
    <w:rPr>
      <w:color w:val="0000FF" w:themeColor="hyperlink"/>
      <w:u w:val="single"/>
    </w:rPr>
  </w:style>
  <w:style w:type="character" w:styleId="FollowedHyperlink">
    <w:name w:val="FollowedHyperlink"/>
    <w:basedOn w:val="DefaultParagraphFont"/>
    <w:rsid w:val="002B419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75BF5"/>
    <w:rPr>
      <w:rFonts w:ascii="Tahoma" w:hAnsi="Tahoma" w:cs="Tahoma"/>
      <w:sz w:val="16"/>
      <w:szCs w:val="16"/>
    </w:rPr>
  </w:style>
  <w:style w:type="character" w:customStyle="1" w:styleId="BalloonTextChar">
    <w:name w:val="Balloon Text Char"/>
    <w:basedOn w:val="DefaultParagraphFont"/>
    <w:link w:val="BalloonText"/>
    <w:rsid w:val="00475BF5"/>
    <w:rPr>
      <w:rFonts w:ascii="Tahoma" w:hAnsi="Tahoma" w:cs="Tahoma"/>
      <w:sz w:val="16"/>
      <w:szCs w:val="16"/>
    </w:rPr>
  </w:style>
  <w:style w:type="table" w:customStyle="1" w:styleId="TableGrid1">
    <w:name w:val="Table Grid1"/>
    <w:basedOn w:val="TableNormal"/>
    <w:next w:val="TableGrid"/>
    <w:rsid w:val="00B97C3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B97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33B6B"/>
    <w:rPr>
      <w:color w:val="0000FF" w:themeColor="hyperlink"/>
      <w:u w:val="single"/>
    </w:rPr>
  </w:style>
  <w:style w:type="character" w:styleId="FollowedHyperlink">
    <w:name w:val="FollowedHyperlink"/>
    <w:basedOn w:val="DefaultParagraphFont"/>
    <w:rsid w:val="002B41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ip-development/ar/agend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ip-development/en/agenda/flexibilities/database.html"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1AEDE-1656-4B58-8774-BEF8F4807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1145</Words>
  <Characters>6813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CDIP/20/5 (Arabic)</vt:lpstr>
    </vt:vector>
  </TitlesOfParts>
  <Company>World Intellectual Property Organization</Company>
  <LinksUpToDate>false</LinksUpToDate>
  <CharactersWithSpaces>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CDIP/20/5 (Arabic)</dc:title>
  <dc:creator>Ahmed Hassan</dc:creator>
  <cp:lastModifiedBy>LIZARZABURU AGUILAR María Daniela</cp:lastModifiedBy>
  <cp:revision>2</cp:revision>
  <cp:lastPrinted>2017-10-24T14:37:00Z</cp:lastPrinted>
  <dcterms:created xsi:type="dcterms:W3CDTF">2017-10-24T14:46:00Z</dcterms:created>
  <dcterms:modified xsi:type="dcterms:W3CDTF">2017-10-24T14:46:00Z</dcterms:modified>
</cp:coreProperties>
</file>