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31127B" w:rsidTr="00E45410">
        <w:tc>
          <w:tcPr>
            <w:tcW w:w="4843" w:type="dxa"/>
            <w:tcBorders>
              <w:bottom w:val="single" w:sz="4" w:space="0" w:color="auto"/>
            </w:tcBorders>
          </w:tcPr>
          <w:p w:rsidR="0031127B" w:rsidRDefault="0031127B" w:rsidP="00E4541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31127B" w:rsidRDefault="0031127B" w:rsidP="00E4541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4C939D" wp14:editId="21C7E3FA">
                  <wp:extent cx="1327150" cy="1263650"/>
                  <wp:effectExtent l="0" t="0" r="6350" b="0"/>
                  <wp:docPr id="8" name="Picture 8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31127B" w:rsidRPr="001667B6" w:rsidRDefault="0031127B" w:rsidP="00E45410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31127B" w:rsidTr="00E4541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31127B" w:rsidRPr="00B6101C" w:rsidRDefault="0031127B" w:rsidP="00E45410">
            <w:pPr>
              <w:pStyle w:val="DocumentCodeAR"/>
              <w:bidi/>
              <w:rPr>
                <w:rtl/>
              </w:rPr>
            </w:pPr>
            <w:r>
              <w:t>CDIP/</w:t>
            </w:r>
            <w:r w:rsidR="00676FC7">
              <w:t>18</w:t>
            </w:r>
            <w:r w:rsidRPr="00B6101C">
              <w:t>/</w:t>
            </w:r>
            <w:r>
              <w:t>5</w:t>
            </w:r>
          </w:p>
        </w:tc>
      </w:tr>
      <w:tr w:rsidR="0031127B" w:rsidTr="00E45410">
        <w:tc>
          <w:tcPr>
            <w:tcW w:w="9571" w:type="dxa"/>
            <w:gridSpan w:val="3"/>
          </w:tcPr>
          <w:p w:rsidR="0031127B" w:rsidRPr="00B6101C" w:rsidRDefault="0031127B" w:rsidP="00E45410">
            <w:pPr>
              <w:pStyle w:val="DocumentLanguageAR"/>
              <w:bidi/>
              <w:rPr>
                <w:rtl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31127B" w:rsidTr="00E45410">
        <w:tc>
          <w:tcPr>
            <w:tcW w:w="9571" w:type="dxa"/>
            <w:gridSpan w:val="3"/>
          </w:tcPr>
          <w:p w:rsidR="0031127B" w:rsidRPr="00B6101C" w:rsidRDefault="0031127B" w:rsidP="0081170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76FC7">
              <w:rPr>
                <w:rFonts w:hint="cs"/>
                <w:rtl/>
              </w:rPr>
              <w:t>8 أغسطس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2016</w:t>
            </w:r>
          </w:p>
        </w:tc>
      </w:tr>
    </w:tbl>
    <w:p w:rsidR="00151493" w:rsidRPr="0031127B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100F97" w:rsidRDefault="00151493" w:rsidP="00151493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>المعنية بالتنمية والملكية الفكرية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783D11" w:rsidRDefault="00151493" w:rsidP="0031664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316641">
        <w:rPr>
          <w:rFonts w:ascii="Cambria Math" w:hAnsi="Cambria Math" w:hint="cs"/>
          <w:rtl/>
        </w:rPr>
        <w:t>الثامنة</w:t>
      </w:r>
      <w:r>
        <w:rPr>
          <w:rFonts w:ascii="Cambria Math" w:hAnsi="Cambria Math" w:hint="cs"/>
          <w:rtl/>
        </w:rPr>
        <w:t xml:space="preserve"> عشرة</w:t>
      </w:r>
    </w:p>
    <w:p w:rsidR="00151493" w:rsidRPr="00D61541" w:rsidRDefault="00151493" w:rsidP="00E12F1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E12F1D">
        <w:rPr>
          <w:rFonts w:hint="cs"/>
          <w:rtl/>
        </w:rPr>
        <w:t>31 أكتوبر</w:t>
      </w:r>
      <w:r>
        <w:rPr>
          <w:rFonts w:hint="cs"/>
          <w:rtl/>
        </w:rPr>
        <w:t xml:space="preserve"> إلى </w:t>
      </w:r>
      <w:r w:rsidR="00E12F1D">
        <w:rPr>
          <w:rFonts w:hint="cs"/>
          <w:rtl/>
        </w:rPr>
        <w:t>4 نوفمبر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2016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D61541" w:rsidRDefault="008F4874" w:rsidP="00151493">
      <w:pPr>
        <w:pStyle w:val="DocumentTitleAR"/>
        <w:bidi/>
        <w:rPr>
          <w:rtl/>
        </w:rPr>
      </w:pPr>
      <w:r>
        <w:rPr>
          <w:rFonts w:hint="cs"/>
          <w:rtl/>
        </w:rPr>
        <w:t xml:space="preserve">الاقتراح المعدل بشأن </w:t>
      </w:r>
      <w:r w:rsidR="00477DBB">
        <w:rPr>
          <w:rFonts w:hint="cs"/>
          <w:rtl/>
        </w:rPr>
        <w:t>آلية لتحديث قاعدة البيانات بشأن المرونة</w:t>
      </w:r>
    </w:p>
    <w:p w:rsidR="00151493" w:rsidRDefault="00151493" w:rsidP="00151493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007BD">
        <w:rPr>
          <w:rFonts w:hint="cs"/>
          <w:rtl/>
        </w:rPr>
        <w:t xml:space="preserve"> الأمانة</w:t>
      </w:r>
    </w:p>
    <w:p w:rsidR="00040DA2" w:rsidRPr="00AA2D01" w:rsidRDefault="00821D33" w:rsidP="0081170A">
      <w:pPr>
        <w:pStyle w:val="NumberedParaAR"/>
      </w:pPr>
      <w:r>
        <w:rPr>
          <w:rFonts w:hint="cs"/>
          <w:rtl/>
        </w:rPr>
        <w:t xml:space="preserve">ناقشت </w:t>
      </w:r>
      <w:r w:rsidR="00477DBB" w:rsidRPr="00477DBB">
        <w:rPr>
          <w:rtl/>
        </w:rPr>
        <w:t xml:space="preserve">اللجنة المعنية بالتنمية والملكية الفكرية (اللجنة) في دورتها </w:t>
      </w:r>
      <w:r>
        <w:rPr>
          <w:rFonts w:hint="cs"/>
          <w:rtl/>
        </w:rPr>
        <w:t>السابعة</w:t>
      </w:r>
      <w:r w:rsidRPr="00477DBB">
        <w:rPr>
          <w:rtl/>
        </w:rPr>
        <w:t xml:space="preserve"> </w:t>
      </w:r>
      <w:r w:rsidR="00477DBB" w:rsidRPr="00477DBB">
        <w:rPr>
          <w:rtl/>
        </w:rPr>
        <w:t>عشرة</w:t>
      </w:r>
      <w:r>
        <w:rPr>
          <w:rFonts w:hint="cs"/>
          <w:rtl/>
        </w:rPr>
        <w:t xml:space="preserve"> الوثيقة</w:t>
      </w:r>
      <w:r>
        <w:rPr>
          <w:rFonts w:hint="eastAsia"/>
          <w:rtl/>
        </w:rPr>
        <w:t> </w:t>
      </w:r>
      <w:r w:rsidRPr="00821D33">
        <w:t xml:space="preserve"> CDIP/17/5</w:t>
      </w:r>
      <w:r>
        <w:rPr>
          <w:rFonts w:hint="cs"/>
          <w:rtl/>
        </w:rPr>
        <w:t>بعنوان "</w:t>
      </w:r>
      <w:r w:rsidR="00040DA2" w:rsidRPr="00040DA2">
        <w:rPr>
          <w:rtl/>
        </w:rPr>
        <w:t>آلية لتحديث قاعدة البيانات بشأن المرونة</w:t>
      </w:r>
      <w:r w:rsidR="00040DA2">
        <w:rPr>
          <w:rFonts w:hint="cs"/>
          <w:rtl/>
        </w:rPr>
        <w:t>".</w:t>
      </w:r>
      <w:r w:rsidRPr="00821D33">
        <w:rPr>
          <w:rtl/>
        </w:rPr>
        <w:t xml:space="preserve"> </w:t>
      </w:r>
      <w:r w:rsidR="00040DA2">
        <w:rPr>
          <w:rFonts w:hint="cs"/>
          <w:rtl/>
        </w:rPr>
        <w:t>و</w:t>
      </w:r>
      <w:r w:rsidR="00DF63E8">
        <w:rPr>
          <w:rFonts w:hint="cs"/>
          <w:rtl/>
        </w:rPr>
        <w:t xml:space="preserve">التمست </w:t>
      </w:r>
      <w:r w:rsidR="00775510">
        <w:rPr>
          <w:rFonts w:hint="cs"/>
          <w:rtl/>
        </w:rPr>
        <w:t>اللجنة</w:t>
      </w:r>
      <w:r w:rsidR="00040DA2">
        <w:rPr>
          <w:rFonts w:hint="cs"/>
          <w:rtl/>
        </w:rPr>
        <w:t xml:space="preserve"> </w:t>
      </w:r>
      <w:r w:rsidR="00040DA2" w:rsidRPr="00AA2D01">
        <w:rPr>
          <w:rFonts w:hint="eastAsia"/>
          <w:rtl/>
        </w:rPr>
        <w:t>من</w:t>
      </w:r>
      <w:r w:rsidR="00040DA2" w:rsidRPr="00AA2D01">
        <w:rPr>
          <w:rtl/>
        </w:rPr>
        <w:t xml:space="preserve"> الأمانة أن تراجع </w:t>
      </w:r>
      <w:r w:rsidR="00040DA2" w:rsidRPr="00AA2D01">
        <w:rPr>
          <w:rFonts w:hint="eastAsia"/>
          <w:rtl/>
        </w:rPr>
        <w:t>الوثيقة</w:t>
      </w:r>
      <w:r w:rsidR="00040DA2" w:rsidRPr="00AA2D01">
        <w:rPr>
          <w:rtl/>
        </w:rPr>
        <w:t xml:space="preserve"> لإضافة التداعيات المالية الناشئة عن الخيارين الواردين فيها و</w:t>
      </w:r>
      <w:r w:rsidR="00BA074C" w:rsidRPr="00AA2D01">
        <w:rPr>
          <w:rFonts w:hint="eastAsia"/>
          <w:rtl/>
        </w:rPr>
        <w:t>أيضا</w:t>
      </w:r>
      <w:r w:rsidR="00BA074C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البحث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عن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خيار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ثالث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في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ضوء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ما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أبدته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الدول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الأعضاء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من</w:t>
      </w:r>
      <w:r w:rsidR="00040DA2" w:rsidRPr="00AA2D01">
        <w:rPr>
          <w:rtl/>
        </w:rPr>
        <w:t xml:space="preserve"> </w:t>
      </w:r>
      <w:r w:rsidR="00040DA2" w:rsidRPr="00AA2D01">
        <w:rPr>
          <w:rFonts w:hint="eastAsia"/>
          <w:rtl/>
        </w:rPr>
        <w:t>ملاحظات</w:t>
      </w:r>
      <w:r w:rsidR="00040DA2" w:rsidRPr="00AA2D01">
        <w:rPr>
          <w:rtl/>
        </w:rPr>
        <w:t>.</w:t>
      </w:r>
    </w:p>
    <w:p w:rsidR="00A361E8" w:rsidRDefault="00573B39" w:rsidP="0081170A">
      <w:pPr>
        <w:pStyle w:val="NumberedParaAR"/>
      </w:pPr>
      <w:r w:rsidRPr="00AA2D01">
        <w:rPr>
          <w:rFonts w:hint="eastAsia"/>
          <w:rtl/>
        </w:rPr>
        <w:t>ويجدر</w:t>
      </w:r>
      <w:r w:rsidRPr="00AA2D01">
        <w:rPr>
          <w:rtl/>
        </w:rPr>
        <w:t xml:space="preserve"> التذكير بأن </w:t>
      </w:r>
      <w:r w:rsidR="00477DBB" w:rsidRPr="00AA2D01">
        <w:rPr>
          <w:rtl/>
        </w:rPr>
        <w:t xml:space="preserve">الأمانة </w:t>
      </w:r>
      <w:r w:rsidRPr="00AA2D01">
        <w:rPr>
          <w:rFonts w:hint="eastAsia"/>
          <w:rtl/>
        </w:rPr>
        <w:t>أعدت</w:t>
      </w:r>
      <w:r w:rsidRPr="00AA2D01">
        <w:rPr>
          <w:rtl/>
        </w:rPr>
        <w:t xml:space="preserve"> </w:t>
      </w:r>
      <w:r w:rsidRPr="00AA2D01">
        <w:rPr>
          <w:rFonts w:hint="eastAsia"/>
          <w:rtl/>
        </w:rPr>
        <w:t>الوثيقة </w:t>
      </w:r>
      <w:r w:rsidRPr="00AA2D01">
        <w:t>CDIP/17/5</w:t>
      </w:r>
      <w:r w:rsidRPr="00AA2D01">
        <w:rPr>
          <w:rtl/>
        </w:rPr>
        <w:t xml:space="preserve"> </w:t>
      </w:r>
      <w:r w:rsidRPr="00AA2D01">
        <w:rPr>
          <w:rFonts w:hint="eastAsia"/>
          <w:rtl/>
        </w:rPr>
        <w:t>استجابة</w:t>
      </w:r>
      <w:r w:rsidR="00BA074C" w:rsidRPr="00AA2D01">
        <w:rPr>
          <w:rFonts w:hint="eastAsia"/>
          <w:rtl/>
        </w:rPr>
        <w:t>ً</w:t>
      </w:r>
      <w:r w:rsidRPr="00AA2D01">
        <w:rPr>
          <w:rtl/>
        </w:rPr>
        <w:t xml:space="preserve"> </w:t>
      </w:r>
      <w:r w:rsidRPr="00AA2D01">
        <w:rPr>
          <w:rFonts w:hint="eastAsia"/>
          <w:rtl/>
        </w:rPr>
        <w:t>لطلب</w:t>
      </w:r>
      <w:r w:rsidRPr="00AA2D01">
        <w:rPr>
          <w:rtl/>
        </w:rPr>
        <w:t xml:space="preserve"> من </w:t>
      </w:r>
      <w:r w:rsidRPr="00AA2D01">
        <w:rPr>
          <w:rFonts w:hint="eastAsia"/>
          <w:rtl/>
        </w:rPr>
        <w:t>اللجنة</w:t>
      </w:r>
      <w:r w:rsidRPr="00AA2D01">
        <w:rPr>
          <w:rtl/>
        </w:rPr>
        <w:t xml:space="preserve"> في دورتها السادسة عشرة </w:t>
      </w:r>
      <w:r w:rsidR="00BA074C" w:rsidRPr="00AA2D01">
        <w:rPr>
          <w:rFonts w:hint="eastAsia"/>
          <w:rtl/>
        </w:rPr>
        <w:t>ل</w:t>
      </w:r>
      <w:r w:rsidR="00A91D95" w:rsidRPr="00AA2D01">
        <w:rPr>
          <w:rFonts w:hint="eastAsia"/>
          <w:rtl/>
        </w:rPr>
        <w:t>اقتراح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آلية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تسمح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ب</w:t>
      </w:r>
      <w:r w:rsidR="00477DBB" w:rsidRPr="00AA2D01">
        <w:rPr>
          <w:rtl/>
        </w:rPr>
        <w:t xml:space="preserve">تحديث قاعدة البيانات بشأن المرونة </w:t>
      </w:r>
      <w:r w:rsidR="00A91D95" w:rsidRPr="00AA2D01">
        <w:rPr>
          <w:rFonts w:hint="eastAsia"/>
          <w:rtl/>
        </w:rPr>
        <w:t>في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نظام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الملكية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الفكرية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تحديثا</w:t>
      </w:r>
      <w:r w:rsidR="00A91D95" w:rsidRPr="00AA2D01">
        <w:rPr>
          <w:rtl/>
        </w:rPr>
        <w:t xml:space="preserve"> </w:t>
      </w:r>
      <w:r w:rsidR="00A91D95" w:rsidRPr="00AA2D01">
        <w:rPr>
          <w:rFonts w:hint="eastAsia"/>
          <w:rtl/>
        </w:rPr>
        <w:t>منتظما</w:t>
      </w:r>
      <w:r w:rsidR="00A91D95">
        <w:rPr>
          <w:rFonts w:hint="cs"/>
          <w:rtl/>
        </w:rPr>
        <w:t xml:space="preserve"> يأخذ في الحسبان </w:t>
      </w:r>
      <w:r w:rsidR="00BE0BA9">
        <w:rPr>
          <w:rFonts w:hint="cs"/>
          <w:rtl/>
        </w:rPr>
        <w:t>ال</w:t>
      </w:r>
      <w:r w:rsidR="00A91D95">
        <w:rPr>
          <w:rFonts w:hint="cs"/>
          <w:rtl/>
        </w:rPr>
        <w:t>تعليقات</w:t>
      </w:r>
      <w:r w:rsidR="00BE0BA9">
        <w:rPr>
          <w:rFonts w:hint="cs"/>
          <w:rtl/>
        </w:rPr>
        <w:t xml:space="preserve"> الواردة من</w:t>
      </w:r>
      <w:r w:rsidR="00A91D95">
        <w:rPr>
          <w:rFonts w:hint="cs"/>
          <w:rtl/>
        </w:rPr>
        <w:t xml:space="preserve"> الدول</w:t>
      </w:r>
      <w:r w:rsidR="00BE0BA9">
        <w:rPr>
          <w:rFonts w:hint="eastAsia"/>
          <w:rtl/>
        </w:rPr>
        <w:t> </w:t>
      </w:r>
      <w:r w:rsidR="00A91D95">
        <w:rPr>
          <w:rFonts w:hint="cs"/>
          <w:rtl/>
        </w:rPr>
        <w:t>الأعضاء</w:t>
      </w:r>
      <w:r w:rsidR="00477DBB" w:rsidRPr="00477DBB">
        <w:rPr>
          <w:rtl/>
        </w:rPr>
        <w:t>.</w:t>
      </w:r>
    </w:p>
    <w:p w:rsidR="00F007BD" w:rsidRDefault="00477DBB" w:rsidP="0081170A">
      <w:pPr>
        <w:pStyle w:val="NumberedParaAR"/>
      </w:pPr>
      <w:r>
        <w:rPr>
          <w:rFonts w:hint="cs"/>
          <w:rtl/>
        </w:rPr>
        <w:t xml:space="preserve">وعليه، </w:t>
      </w:r>
      <w:r w:rsidR="001A2748">
        <w:rPr>
          <w:rFonts w:hint="cs"/>
          <w:rtl/>
        </w:rPr>
        <w:t>يرد</w:t>
      </w:r>
      <w:r w:rsidR="00A91D95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مرفق هذه الوثيقة </w:t>
      </w:r>
      <w:r w:rsidR="001A2748">
        <w:rPr>
          <w:rFonts w:hint="cs"/>
          <w:rtl/>
        </w:rPr>
        <w:t xml:space="preserve">اقتراح معدل </w:t>
      </w:r>
      <w:r w:rsidR="00A91D95">
        <w:rPr>
          <w:rFonts w:hint="cs"/>
          <w:rtl/>
        </w:rPr>
        <w:t>لتحديث قاعدة البيانات</w:t>
      </w:r>
      <w:r w:rsidR="00BA074C">
        <w:rPr>
          <w:rFonts w:hint="cs"/>
          <w:rtl/>
        </w:rPr>
        <w:t xml:space="preserve"> المذكورة</w:t>
      </w:r>
      <w:r>
        <w:rPr>
          <w:rFonts w:hint="cs"/>
          <w:rtl/>
        </w:rPr>
        <w:t>.</w:t>
      </w:r>
    </w:p>
    <w:p w:rsidR="00F007BD" w:rsidRDefault="00477DBB" w:rsidP="0081170A">
      <w:pPr>
        <w:pStyle w:val="DecisionParaAR"/>
      </w:pPr>
      <w:r>
        <w:rPr>
          <w:rFonts w:hint="cs"/>
          <w:rtl/>
        </w:rPr>
        <w:t xml:space="preserve">إن اللجنة مدعوة إلى </w:t>
      </w:r>
      <w:r w:rsidR="00A975FF">
        <w:rPr>
          <w:rFonts w:hint="cs"/>
          <w:rtl/>
        </w:rPr>
        <w:t xml:space="preserve">النظر في </w:t>
      </w:r>
      <w:r>
        <w:rPr>
          <w:rFonts w:hint="cs"/>
          <w:rtl/>
        </w:rPr>
        <w:t>المعلومات الواردة في مرفق هذه الوثيقة.</w:t>
      </w:r>
    </w:p>
    <w:p w:rsidR="00F007BD" w:rsidRPr="00F007BD" w:rsidRDefault="00F007BD" w:rsidP="0081170A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F007BD" w:rsidRDefault="00F007BD" w:rsidP="0081170A">
      <w:pPr>
        <w:pStyle w:val="NormalParaAR"/>
        <w:rPr>
          <w:rtl/>
        </w:rPr>
        <w:sectPr w:rsidR="00F007BD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8804E0" w:rsidRDefault="00F007BD" w:rsidP="001707FA">
      <w:pPr>
        <w:pStyle w:val="Heading1AR"/>
        <w:keepNext w:val="0"/>
        <w:spacing w:after="480" w:line="360" w:lineRule="exact"/>
        <w:rPr>
          <w:rtl/>
        </w:rPr>
      </w:pPr>
      <w:r>
        <w:rPr>
          <w:rFonts w:hint="cs"/>
          <w:rtl/>
        </w:rPr>
        <w:lastRenderedPageBreak/>
        <w:t>أولاً.</w:t>
      </w:r>
      <w:r>
        <w:rPr>
          <w:rFonts w:hint="cs"/>
          <w:rtl/>
        </w:rPr>
        <w:tab/>
      </w:r>
      <w:r w:rsidR="009E78AA">
        <w:rPr>
          <w:rFonts w:hint="cs"/>
          <w:rtl/>
        </w:rPr>
        <w:t>خلفية</w:t>
      </w:r>
    </w:p>
    <w:p w:rsidR="00C00829" w:rsidRPr="00AA2D01" w:rsidRDefault="00AC4B54" w:rsidP="001707FA">
      <w:pPr>
        <w:pStyle w:val="NumberedParaAR"/>
        <w:numPr>
          <w:ilvl w:val="0"/>
          <w:numId w:val="21"/>
        </w:numPr>
        <w:spacing w:after="480"/>
      </w:pPr>
      <w:r w:rsidRPr="00AA2D01">
        <w:rPr>
          <w:rFonts w:hint="eastAsia"/>
          <w:rtl/>
        </w:rPr>
        <w:t>ن</w:t>
      </w:r>
      <w:r w:rsidR="00EF70FA" w:rsidRPr="00AA2D01">
        <w:rPr>
          <w:rFonts w:hint="eastAsia"/>
          <w:rtl/>
        </w:rPr>
        <w:t>ُ</w:t>
      </w:r>
      <w:r w:rsidRPr="00AA2D01">
        <w:rPr>
          <w:rFonts w:hint="eastAsia"/>
          <w:rtl/>
        </w:rPr>
        <w:t>شرت</w:t>
      </w:r>
      <w:r w:rsidR="009E78AA" w:rsidRPr="00AA2D01">
        <w:rPr>
          <w:rtl/>
        </w:rPr>
        <w:t xml:space="preserve"> قاعدة البيانات بشأن المرونة في نظام الملكية الفكرية (المشار إليها لاحقا بعبارة "قاعدة البيانات") في</w:t>
      </w:r>
      <w:r w:rsidR="00BE0BA9" w:rsidRPr="00AA2D01">
        <w:rPr>
          <w:rFonts w:hint="eastAsia"/>
          <w:rtl/>
        </w:rPr>
        <w:t> </w:t>
      </w:r>
      <w:r w:rsidR="009E78AA" w:rsidRPr="00AA2D01">
        <w:rPr>
          <w:rFonts w:hint="eastAsia"/>
          <w:rtl/>
        </w:rPr>
        <w:t>يونيو </w:t>
      </w:r>
      <w:r w:rsidR="009E78AA" w:rsidRPr="00AA2D01">
        <w:rPr>
          <w:rtl/>
        </w:rPr>
        <w:t xml:space="preserve">2013 </w:t>
      </w:r>
      <w:r w:rsidR="009E78AA" w:rsidRPr="00AA2D01">
        <w:rPr>
          <w:rFonts w:hint="eastAsia"/>
          <w:rtl/>
        </w:rPr>
        <w:t>كما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اتفقت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عليه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اللجنة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في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دورتها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السادسة</w:t>
      </w:r>
      <w:r w:rsidR="009E78AA" w:rsidRPr="00AA2D01">
        <w:rPr>
          <w:rtl/>
        </w:rPr>
        <w:t xml:space="preserve"> </w:t>
      </w:r>
      <w:r w:rsidR="009E78AA" w:rsidRPr="00AA2D01">
        <w:rPr>
          <w:rFonts w:hint="eastAsia"/>
          <w:rtl/>
        </w:rPr>
        <w:t>عشرة</w:t>
      </w:r>
      <w:r w:rsidR="009E78AA" w:rsidRPr="00AA2D01">
        <w:rPr>
          <w:rtl/>
        </w:rPr>
        <w:t>:</w:t>
      </w:r>
      <w:r w:rsidR="00AE7B6D" w:rsidRPr="00AA2D01">
        <w:rPr>
          <w:rtl/>
        </w:rPr>
        <w:br/>
      </w:r>
      <w:r w:rsidR="00C00829" w:rsidRPr="00C06E13">
        <w:rPr>
          <w:u w:val="single"/>
        </w:rPr>
        <w:t>http://www.wipo.int/ip-development/en/agenda/flexibilities/search.jsp</w:t>
      </w:r>
    </w:p>
    <w:p w:rsidR="0090215A" w:rsidRDefault="00E024AA" w:rsidP="001707FA">
      <w:pPr>
        <w:pStyle w:val="NumberedParaAR"/>
        <w:numPr>
          <w:ilvl w:val="0"/>
          <w:numId w:val="21"/>
        </w:numPr>
      </w:pPr>
      <w:r w:rsidRPr="00AA2D01">
        <w:rPr>
          <w:rFonts w:hint="eastAsia"/>
          <w:rtl/>
        </w:rPr>
        <w:t>ونفذّت</w:t>
      </w:r>
      <w:r w:rsidRPr="00AA2D01">
        <w:rPr>
          <w:rtl/>
        </w:rPr>
        <w:t xml:space="preserve"> الأمانة التماس اللجنة</w:t>
      </w:r>
      <w:r>
        <w:rPr>
          <w:rFonts w:hint="cs"/>
          <w:rtl/>
        </w:rPr>
        <w:t xml:space="preserve"> في دورتها الخامسة عشرة بتحديث قاعدة البيانات </w:t>
      </w:r>
      <w:r w:rsidR="0090215A">
        <w:rPr>
          <w:rFonts w:hint="cs"/>
          <w:rtl/>
        </w:rPr>
        <w:t xml:space="preserve">وعرضت على اللجنة في دورتها السادسة عشرة تقريرا عن التحديث </w:t>
      </w:r>
      <w:r w:rsidR="00AE7B6D">
        <w:rPr>
          <w:rFonts w:hint="cs"/>
          <w:rtl/>
        </w:rPr>
        <w:t>يرد</w:t>
      </w:r>
      <w:r w:rsidR="0090215A">
        <w:rPr>
          <w:rFonts w:hint="cs"/>
          <w:rtl/>
        </w:rPr>
        <w:t xml:space="preserve"> في الوثيقة</w:t>
      </w:r>
      <w:r w:rsidR="0090215A">
        <w:rPr>
          <w:rFonts w:hint="eastAsia"/>
          <w:rtl/>
        </w:rPr>
        <w:t> </w:t>
      </w:r>
      <w:r w:rsidR="000F3579">
        <w:t>CDIP/16/</w:t>
      </w:r>
      <w:bookmarkStart w:id="2" w:name="_GoBack"/>
      <w:bookmarkEnd w:id="2"/>
      <w:r w:rsidR="0090215A" w:rsidRPr="0090215A">
        <w:t>5</w:t>
      </w:r>
      <w:r w:rsidR="0090215A">
        <w:rPr>
          <w:rFonts w:hint="cs"/>
          <w:rtl/>
        </w:rPr>
        <w:t>.</w:t>
      </w:r>
    </w:p>
    <w:p w:rsidR="0090215A" w:rsidRDefault="00B41277" w:rsidP="0081170A">
      <w:pPr>
        <w:pStyle w:val="NumberedParaAR"/>
        <w:numPr>
          <w:ilvl w:val="0"/>
          <w:numId w:val="21"/>
        </w:numPr>
      </w:pPr>
      <w:r>
        <w:rPr>
          <w:rFonts w:hint="cs"/>
          <w:rtl/>
        </w:rPr>
        <w:t xml:space="preserve">وألقى التقرير الضوء على جملة من الأمور منها </w:t>
      </w:r>
      <w:r w:rsidR="00037859">
        <w:rPr>
          <w:rFonts w:hint="cs"/>
          <w:rtl/>
        </w:rPr>
        <w:t>محتوى القاعدة</w:t>
      </w:r>
      <w:r>
        <w:rPr>
          <w:rFonts w:hint="cs"/>
          <w:rtl/>
        </w:rPr>
        <w:t xml:space="preserve"> </w:t>
      </w:r>
      <w:r w:rsidR="00037859">
        <w:rPr>
          <w:rFonts w:hint="cs"/>
          <w:rtl/>
        </w:rPr>
        <w:t>الحالي الذي يضم</w:t>
      </w:r>
      <w:r>
        <w:rPr>
          <w:rFonts w:hint="cs"/>
          <w:rtl/>
        </w:rPr>
        <w:t xml:space="preserve"> 1371 حكما من 202 ولاية قضائية مختارة مستمدة من الوثائق التالية:</w:t>
      </w:r>
      <w:r w:rsidR="00037859">
        <w:rPr>
          <w:rFonts w:hint="cs"/>
          <w:rtl/>
        </w:rPr>
        <w:t xml:space="preserve"> </w:t>
      </w:r>
      <w:r w:rsidR="00037859" w:rsidRPr="00037859">
        <w:t>CDIP/5/4 Rev</w:t>
      </w:r>
      <w:r w:rsidR="0078720C">
        <w:t>.</w:t>
      </w:r>
      <w:r w:rsidR="00037859">
        <w:rPr>
          <w:rFonts w:hint="cs"/>
          <w:rtl/>
        </w:rPr>
        <w:t xml:space="preserve"> و</w:t>
      </w:r>
      <w:r w:rsidR="00037859" w:rsidRPr="00037859">
        <w:t>CDIP/7/3 Add</w:t>
      </w:r>
      <w:r w:rsidR="0078720C">
        <w:t>.</w:t>
      </w:r>
      <w:r>
        <w:rPr>
          <w:rFonts w:hint="cs"/>
          <w:rtl/>
        </w:rPr>
        <w:t xml:space="preserve"> </w:t>
      </w:r>
      <w:r w:rsidR="00E024AA">
        <w:rPr>
          <w:rFonts w:hint="cs"/>
          <w:rtl/>
        </w:rPr>
        <w:t>و</w:t>
      </w:r>
      <w:r w:rsidR="00E024AA" w:rsidRPr="00E024AA">
        <w:t>CDIP/13/10 Rev</w:t>
      </w:r>
      <w:r w:rsidR="0078720C">
        <w:t>.</w:t>
      </w:r>
      <w:r w:rsidR="00AE7B6D">
        <w:rPr>
          <w:rFonts w:hint="cs"/>
          <w:rtl/>
        </w:rPr>
        <w:br/>
        <w:t>و .</w:t>
      </w:r>
      <w:r w:rsidR="00AE7B6D" w:rsidRPr="00AE7B6D">
        <w:t xml:space="preserve">CDIP/15/6 </w:t>
      </w:r>
      <w:proofErr w:type="spellStart"/>
      <w:r w:rsidR="00AE7B6D" w:rsidRPr="00AE7B6D">
        <w:t>Corr</w:t>
      </w:r>
      <w:proofErr w:type="spellEnd"/>
      <w:r w:rsidR="00AE7B6D">
        <w:rPr>
          <w:rFonts w:hint="cs"/>
          <w:rtl/>
        </w:rPr>
        <w:t xml:space="preserve"> </w:t>
      </w:r>
      <w:r w:rsidR="00813138">
        <w:rPr>
          <w:rFonts w:hint="cs"/>
          <w:rtl/>
        </w:rPr>
        <w:t xml:space="preserve">بشأن </w:t>
      </w:r>
      <w:r w:rsidR="00813138" w:rsidRPr="00813138">
        <w:rPr>
          <w:rtl/>
        </w:rPr>
        <w:t>مواطن المرونة المتعلقة بالبراءات في الإطار القانوني متعدد الأطراف وتنفيذها التشريعي على الصعيد الوطني والإقليمي</w:t>
      </w:r>
      <w:r w:rsidR="00AE7B6D">
        <w:rPr>
          <w:rFonts w:hint="cs"/>
          <w:rtl/>
        </w:rPr>
        <w:t>.</w:t>
      </w:r>
      <w:r w:rsidR="00813138">
        <w:rPr>
          <w:rFonts w:hint="cs"/>
          <w:rtl/>
        </w:rPr>
        <w:t xml:space="preserve"> </w:t>
      </w:r>
      <w:r w:rsidR="00037859">
        <w:rPr>
          <w:rFonts w:hint="cs"/>
          <w:rtl/>
        </w:rPr>
        <w:t>وت</w:t>
      </w:r>
      <w:r w:rsidR="00AE7B6D">
        <w:rPr>
          <w:rFonts w:hint="cs"/>
          <w:rtl/>
        </w:rPr>
        <w:t>ُ</w:t>
      </w:r>
      <w:r w:rsidR="00037859">
        <w:rPr>
          <w:rFonts w:hint="cs"/>
          <w:rtl/>
        </w:rPr>
        <w:t>عنى تلك الأحكام بمواطن المرونة الأربعة عشرة التالية</w:t>
      </w:r>
      <w:r w:rsidR="00AE7B6D">
        <w:rPr>
          <w:rFonts w:hint="cs"/>
          <w:rtl/>
        </w:rPr>
        <w:t>:</w:t>
      </w:r>
    </w:p>
    <w:p w:rsidR="0090215A" w:rsidRDefault="0090215A" w:rsidP="00C06E13">
      <w:pPr>
        <w:pStyle w:val="NumberedParaAR"/>
        <w:numPr>
          <w:ilvl w:val="0"/>
          <w:numId w:val="22"/>
        </w:numPr>
        <w:spacing w:after="60"/>
        <w:ind w:left="1134" w:hanging="567"/>
        <w:rPr>
          <w:rtl/>
        </w:rPr>
      </w:pPr>
      <w:r>
        <w:rPr>
          <w:rtl/>
        </w:rPr>
        <w:t>التراخيص الإجبارية والاستعمال الحكومي</w:t>
      </w:r>
      <w:r>
        <w:rPr>
          <w:rFonts w:hint="cs"/>
          <w:rtl/>
        </w:rPr>
        <w:t>؛</w:t>
      </w:r>
    </w:p>
    <w:p w:rsidR="0090215A" w:rsidRDefault="0090215A" w:rsidP="00C06E13">
      <w:pPr>
        <w:pStyle w:val="NumberedParaAR"/>
        <w:numPr>
          <w:ilvl w:val="0"/>
          <w:numId w:val="22"/>
        </w:numPr>
        <w:spacing w:after="60"/>
        <w:ind w:left="708" w:hanging="142"/>
        <w:rPr>
          <w:rtl/>
        </w:rPr>
      </w:pPr>
      <w:r>
        <w:rPr>
          <w:rtl/>
        </w:rPr>
        <w:t>استنفاد الحقوق</w:t>
      </w:r>
      <w:r>
        <w:rPr>
          <w:rFonts w:hint="cs"/>
          <w:rtl/>
        </w:rPr>
        <w:t>؛</w:t>
      </w:r>
    </w:p>
    <w:p w:rsidR="0090215A" w:rsidRDefault="0090215A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(ج</w:t>
      </w:r>
      <w:r>
        <w:rPr>
          <w:rFonts w:hint="cs"/>
          <w:rtl/>
        </w:rPr>
        <w:tab/>
      </w:r>
      <w:r>
        <w:rPr>
          <w:rtl/>
        </w:rPr>
        <w:t>الاستثناء لأغراض الفحص الإداري</w:t>
      </w:r>
      <w:r>
        <w:rPr>
          <w:rFonts w:hint="cs"/>
          <w:rtl/>
        </w:rPr>
        <w:t>؛</w:t>
      </w:r>
    </w:p>
    <w:p w:rsidR="0090215A" w:rsidRDefault="0090215A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</w:r>
      <w:r>
        <w:rPr>
          <w:rtl/>
        </w:rPr>
        <w:t>الإعفاء لأغراض البحث</w:t>
      </w:r>
      <w:r>
        <w:rPr>
          <w:rFonts w:hint="cs"/>
          <w:rtl/>
        </w:rPr>
        <w:t>؛</w:t>
      </w:r>
    </w:p>
    <w:p w:rsidR="0090215A" w:rsidRDefault="0090215A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(ه)</w:t>
      </w:r>
      <w:r>
        <w:rPr>
          <w:rFonts w:hint="cs"/>
          <w:rtl/>
        </w:rPr>
        <w:tab/>
      </w:r>
      <w:r>
        <w:rPr>
          <w:rtl/>
        </w:rPr>
        <w:t>الاستثناء من الحماية كنماذج منفعة</w:t>
      </w:r>
      <w:r w:rsidR="00037859">
        <w:rPr>
          <w:rFonts w:hint="cs"/>
          <w:rtl/>
        </w:rPr>
        <w:t>؛</w:t>
      </w:r>
    </w:p>
    <w:p w:rsidR="00560EAC" w:rsidRDefault="00813138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</w:t>
      </w:r>
      <w:r w:rsidR="00560EAC">
        <w:rPr>
          <w:rFonts w:hint="cs"/>
          <w:rtl/>
        </w:rPr>
        <w:t>و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 w:rsidR="00560EAC" w:rsidRPr="00F870B3">
        <w:rPr>
          <w:rtl/>
        </w:rPr>
        <w:t>الفترات الانتقالية</w:t>
      </w:r>
      <w:r w:rsidR="00541DF0">
        <w:rPr>
          <w:rFonts w:hint="cs"/>
          <w:rtl/>
        </w:rPr>
        <w:t>؛</w:t>
      </w:r>
    </w:p>
    <w:p w:rsidR="00560EAC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(ز)</w:t>
      </w:r>
      <w:r>
        <w:rPr>
          <w:rFonts w:hint="cs"/>
          <w:rtl/>
        </w:rPr>
        <w:tab/>
      </w:r>
      <w:r w:rsidRPr="00F870B3">
        <w:rPr>
          <w:rtl/>
        </w:rPr>
        <w:t>إمكانية منح البراءات في المواد الموجودة في الطبيعة</w:t>
      </w:r>
      <w:r w:rsidR="00541DF0">
        <w:rPr>
          <w:rFonts w:hint="cs"/>
          <w:rtl/>
        </w:rPr>
        <w:t>؛</w:t>
      </w:r>
    </w:p>
    <w:p w:rsidR="00560EAC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(ح)</w:t>
      </w:r>
      <w:r>
        <w:rPr>
          <w:rFonts w:hint="cs"/>
          <w:rtl/>
        </w:rPr>
        <w:tab/>
      </w:r>
      <w:r w:rsidRPr="00560EAC">
        <w:rPr>
          <w:rtl/>
        </w:rPr>
        <w:t>مواطن المرونة المتعلقة بالكشف</w:t>
      </w:r>
      <w:r w:rsidR="00541DF0">
        <w:rPr>
          <w:rFonts w:hint="cs"/>
          <w:rtl/>
        </w:rPr>
        <w:t>؛</w:t>
      </w:r>
    </w:p>
    <w:p w:rsidR="00560EAC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 w:rsidRPr="00560EAC">
        <w:rPr>
          <w:rtl/>
        </w:rPr>
        <w:t>(ط)</w:t>
      </w:r>
      <w:r>
        <w:rPr>
          <w:rFonts w:hint="cs"/>
          <w:rtl/>
        </w:rPr>
        <w:tab/>
      </w:r>
      <w:r w:rsidRPr="00560EAC">
        <w:rPr>
          <w:rtl/>
        </w:rPr>
        <w:t>الفحص الموضوعي</w:t>
      </w:r>
      <w:r w:rsidR="00541DF0">
        <w:rPr>
          <w:rFonts w:hint="cs"/>
          <w:rtl/>
        </w:rPr>
        <w:t>؛</w:t>
      </w:r>
    </w:p>
    <w:p w:rsidR="00813138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(ي)</w:t>
      </w:r>
      <w:r>
        <w:rPr>
          <w:rFonts w:hint="cs"/>
          <w:rtl/>
        </w:rPr>
        <w:tab/>
      </w:r>
      <w:r w:rsidR="00813138">
        <w:rPr>
          <w:rtl/>
        </w:rPr>
        <w:t>الرقابة التلقائية من مكاتب البراءات على البنود التعاقدية المنافية للمنافسة المشـروعة</w:t>
      </w:r>
      <w:r w:rsidR="00541DF0">
        <w:rPr>
          <w:rFonts w:hint="cs"/>
          <w:rtl/>
        </w:rPr>
        <w:t>؛</w:t>
      </w:r>
    </w:p>
    <w:p w:rsidR="00813138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(ك)</w:t>
      </w:r>
      <w:r>
        <w:rPr>
          <w:rFonts w:hint="cs"/>
          <w:rtl/>
        </w:rPr>
        <w:tab/>
      </w:r>
      <w:r w:rsidR="00813138">
        <w:rPr>
          <w:rtl/>
        </w:rPr>
        <w:t>نطاق استبعاد النباتات من إمكانية الحماية ببراءة</w:t>
      </w:r>
      <w:r w:rsidR="00541DF0">
        <w:rPr>
          <w:rFonts w:hint="cs"/>
          <w:rtl/>
        </w:rPr>
        <w:t>؛</w:t>
      </w:r>
    </w:p>
    <w:p w:rsidR="00813138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(ل)</w:t>
      </w:r>
      <w:r>
        <w:rPr>
          <w:rFonts w:hint="cs"/>
          <w:rtl/>
        </w:rPr>
        <w:tab/>
      </w:r>
      <w:r w:rsidR="00813138">
        <w:rPr>
          <w:rtl/>
        </w:rPr>
        <w:t>إمكانية حماية الاختراعات المتعلقة بالبرمجيات أو استبعادها من ذلك</w:t>
      </w:r>
      <w:r w:rsidR="00541DF0">
        <w:rPr>
          <w:rFonts w:hint="cs"/>
          <w:rtl/>
        </w:rPr>
        <w:t>؛</w:t>
      </w:r>
    </w:p>
    <w:p w:rsidR="00813138" w:rsidRDefault="00560EAC" w:rsidP="00C06E13">
      <w:pPr>
        <w:pStyle w:val="NumberedParaAR"/>
        <w:numPr>
          <w:ilvl w:val="0"/>
          <w:numId w:val="0"/>
        </w:numPr>
        <w:spacing w:after="60"/>
        <w:ind w:left="708" w:hanging="142"/>
        <w:rPr>
          <w:rtl/>
        </w:rPr>
      </w:pPr>
      <w:r>
        <w:rPr>
          <w:rFonts w:hint="cs"/>
          <w:rtl/>
        </w:rPr>
        <w:t>(م)</w:t>
      </w:r>
      <w:r>
        <w:rPr>
          <w:rFonts w:hint="cs"/>
          <w:rtl/>
        </w:rPr>
        <w:tab/>
      </w:r>
      <w:r w:rsidR="00813138">
        <w:rPr>
          <w:rtl/>
        </w:rPr>
        <w:t>المرونة في تنفيذ العقوبات الجنائية في إنفاذ البراءات</w:t>
      </w:r>
      <w:r w:rsidR="00541DF0">
        <w:rPr>
          <w:rFonts w:hint="cs"/>
          <w:rtl/>
        </w:rPr>
        <w:t>؛</w:t>
      </w:r>
      <w:r w:rsidR="00813138">
        <w:rPr>
          <w:rtl/>
        </w:rPr>
        <w:t xml:space="preserve"> </w:t>
      </w:r>
    </w:p>
    <w:p w:rsidR="00813138" w:rsidRDefault="00560EAC" w:rsidP="00651248">
      <w:pPr>
        <w:pStyle w:val="NumberedParaAR"/>
        <w:numPr>
          <w:ilvl w:val="0"/>
          <w:numId w:val="0"/>
        </w:numPr>
        <w:ind w:left="708" w:hanging="142"/>
        <w:rPr>
          <w:rtl/>
        </w:rPr>
      </w:pPr>
      <w:r>
        <w:rPr>
          <w:rFonts w:hint="cs"/>
          <w:rtl/>
        </w:rPr>
        <w:t>(ن)</w:t>
      </w:r>
      <w:r>
        <w:rPr>
          <w:rFonts w:hint="cs"/>
          <w:rtl/>
        </w:rPr>
        <w:tab/>
      </w:r>
      <w:r w:rsidR="00813138">
        <w:rPr>
          <w:rtl/>
        </w:rPr>
        <w:t>الإجراءات المتصلة بالأمن الوطني (ما يسمى "الاستثناء الأمني")</w:t>
      </w:r>
      <w:r w:rsidR="00541DF0">
        <w:rPr>
          <w:rFonts w:hint="cs"/>
          <w:rtl/>
        </w:rPr>
        <w:t>.</w:t>
      </w:r>
    </w:p>
    <w:p w:rsidR="00037859" w:rsidRDefault="00037859" w:rsidP="00651248">
      <w:pPr>
        <w:pStyle w:val="NumberedParaAR"/>
      </w:pPr>
      <w:r>
        <w:rPr>
          <w:rFonts w:hint="cs"/>
          <w:rtl/>
        </w:rPr>
        <w:t xml:space="preserve">وعند مناقشة التقرير المذكور أعلاه، التمست اللجنة من الأمانة أن تقترح في دورتها التالية </w:t>
      </w:r>
      <w:r w:rsidRPr="00037859">
        <w:rPr>
          <w:rtl/>
        </w:rPr>
        <w:t>آلية تسمح بتحديث قاعدة البيانات بشأن المرونة في نظام الملكية الفكرية تحديثا منتظما يأخذ في الحسبان التعليقات الواردة من الدول الأعضاء</w:t>
      </w:r>
      <w:r w:rsidR="00775510">
        <w:rPr>
          <w:rFonts w:hint="cs"/>
          <w:rtl/>
        </w:rPr>
        <w:t>.</w:t>
      </w:r>
    </w:p>
    <w:p w:rsidR="00541DF0" w:rsidRDefault="00B068DA" w:rsidP="00775510">
      <w:pPr>
        <w:pStyle w:val="NumberedParaAR"/>
      </w:pPr>
      <w:r>
        <w:rPr>
          <w:rFonts w:hint="cs"/>
          <w:rtl/>
        </w:rPr>
        <w:t xml:space="preserve">وقدمت الأمانة إلى اللجنة في دورتها السابعة عشرة خيارين محتملين لتحديث قاعدة البيانات </w:t>
      </w:r>
      <w:r w:rsidR="00A27736">
        <w:rPr>
          <w:rFonts w:hint="cs"/>
          <w:rtl/>
        </w:rPr>
        <w:t xml:space="preserve">بشأن المرونة </w:t>
      </w:r>
      <w:r w:rsidR="005E094B">
        <w:rPr>
          <w:rFonts w:hint="cs"/>
          <w:rtl/>
        </w:rPr>
        <w:t>يردان</w:t>
      </w:r>
      <w:r w:rsidR="004908AD">
        <w:rPr>
          <w:rFonts w:hint="cs"/>
          <w:rtl/>
        </w:rPr>
        <w:t xml:space="preserve"> في الوثيقة</w:t>
      </w:r>
      <w:r w:rsidR="004908AD">
        <w:rPr>
          <w:rFonts w:hint="eastAsia"/>
          <w:rtl/>
        </w:rPr>
        <w:t> </w:t>
      </w:r>
      <w:r w:rsidR="004908AD" w:rsidRPr="004908AD">
        <w:t>CDIP/17/5</w:t>
      </w:r>
      <w:r w:rsidR="004908AD">
        <w:rPr>
          <w:rFonts w:hint="cs"/>
          <w:rtl/>
        </w:rPr>
        <w:t xml:space="preserve">. </w:t>
      </w:r>
      <w:r w:rsidR="00C92CEF">
        <w:rPr>
          <w:rFonts w:hint="cs"/>
          <w:rtl/>
        </w:rPr>
        <w:t>وبعد النظر في الوثيقة التمست اللجنة من الأمانة</w:t>
      </w:r>
      <w:r w:rsidR="009A4D60">
        <w:rPr>
          <w:rFonts w:hint="cs"/>
          <w:rtl/>
        </w:rPr>
        <w:t xml:space="preserve"> أن تراجع الاقتراح</w:t>
      </w:r>
      <w:r w:rsidR="009A4D60" w:rsidRPr="009A4D60">
        <w:rPr>
          <w:rtl/>
        </w:rPr>
        <w:t xml:space="preserve"> لإضافة التداعيات المالية الناشئة عن </w:t>
      </w:r>
      <w:r w:rsidR="00BA4A9C">
        <w:rPr>
          <w:rFonts w:hint="cs"/>
          <w:rtl/>
        </w:rPr>
        <w:t xml:space="preserve">كل من </w:t>
      </w:r>
      <w:r w:rsidR="009A4D60" w:rsidRPr="009A4D60">
        <w:rPr>
          <w:rtl/>
        </w:rPr>
        <w:t>الخيارين والبحث عن خيار ثالث في ضوء ما أبدته الدول الأعضاء من ملاحظات</w:t>
      </w:r>
      <w:r w:rsidR="00BA4A9C">
        <w:rPr>
          <w:rFonts w:hint="cs"/>
          <w:rtl/>
        </w:rPr>
        <w:t>.</w:t>
      </w:r>
    </w:p>
    <w:p w:rsidR="00CF7E85" w:rsidRDefault="00CF7E85" w:rsidP="0081170A">
      <w:pPr>
        <w:pStyle w:val="NumberedParaAR"/>
        <w:rPr>
          <w:rtl/>
        </w:rPr>
      </w:pPr>
      <w:r>
        <w:rPr>
          <w:rFonts w:hint="cs"/>
          <w:rtl/>
        </w:rPr>
        <w:lastRenderedPageBreak/>
        <w:t xml:space="preserve">ونظرا إلى أن من غير الممكن حاليا تقييم انتظام التحديث </w:t>
      </w:r>
      <w:r w:rsidR="00D3125A">
        <w:rPr>
          <w:rFonts w:hint="cs"/>
          <w:rtl/>
        </w:rPr>
        <w:t>الذي</w:t>
      </w:r>
      <w:r>
        <w:rPr>
          <w:rFonts w:hint="cs"/>
          <w:rtl/>
        </w:rPr>
        <w:t xml:space="preserve"> </w:t>
      </w:r>
      <w:r w:rsidR="00D3125A">
        <w:rPr>
          <w:rFonts w:hint="cs"/>
          <w:rtl/>
        </w:rPr>
        <w:t>سي</w:t>
      </w:r>
      <w:r>
        <w:rPr>
          <w:rFonts w:hint="cs"/>
          <w:rtl/>
        </w:rPr>
        <w:t xml:space="preserve">ُدرج في قاعدة البيانات، من </w:t>
      </w:r>
      <w:r w:rsidR="00862163">
        <w:rPr>
          <w:rFonts w:hint="cs"/>
          <w:rtl/>
        </w:rPr>
        <w:t xml:space="preserve">المهم بمكان ضمان ألا تؤدي آلية </w:t>
      </w:r>
      <w:r>
        <w:rPr>
          <w:rFonts w:hint="cs"/>
          <w:rtl/>
        </w:rPr>
        <w:t>تحديث</w:t>
      </w:r>
      <w:r w:rsidR="00862163">
        <w:rPr>
          <w:rFonts w:hint="cs"/>
          <w:rtl/>
        </w:rPr>
        <w:t xml:space="preserve"> قاعدة البيانات</w:t>
      </w:r>
      <w:r>
        <w:rPr>
          <w:rFonts w:hint="cs"/>
          <w:rtl/>
        </w:rPr>
        <w:t xml:space="preserve"> إلى استخدام موارد المنظمة البشرية والمالية استخداما غير فعّال. وعليه، </w:t>
      </w:r>
      <w:r w:rsidR="00D3125A" w:rsidRPr="0081170A">
        <w:rPr>
          <w:rFonts w:hint="eastAsia"/>
          <w:rtl/>
        </w:rPr>
        <w:t>ت</w:t>
      </w:r>
      <w:r w:rsidRPr="00D3125A">
        <w:rPr>
          <w:rFonts w:hint="eastAsia"/>
          <w:rtl/>
        </w:rPr>
        <w:t>ُعتبر</w:t>
      </w:r>
      <w:r w:rsidRPr="00D3125A">
        <w:rPr>
          <w:rtl/>
        </w:rPr>
        <w:t xml:space="preserve"> </w:t>
      </w:r>
      <w:r w:rsidR="00D3125A">
        <w:rPr>
          <w:rFonts w:hint="cs"/>
          <w:rtl/>
        </w:rPr>
        <w:t xml:space="preserve">الخيارات </w:t>
      </w:r>
      <w:r>
        <w:rPr>
          <w:rFonts w:hint="cs"/>
          <w:rtl/>
        </w:rPr>
        <w:t>التالي</w:t>
      </w:r>
      <w:r w:rsidR="00D3125A">
        <w:rPr>
          <w:rFonts w:hint="cs"/>
          <w:rtl/>
        </w:rPr>
        <w:t>ة</w:t>
      </w:r>
      <w:r>
        <w:rPr>
          <w:rFonts w:hint="cs"/>
          <w:rtl/>
        </w:rPr>
        <w:t xml:space="preserve"> </w:t>
      </w:r>
      <w:r w:rsidR="00B426DB">
        <w:rPr>
          <w:rFonts w:hint="cs"/>
          <w:rtl/>
        </w:rPr>
        <w:t>آل</w:t>
      </w:r>
      <w:r w:rsidR="00D3125A">
        <w:rPr>
          <w:rFonts w:hint="cs"/>
          <w:rtl/>
        </w:rPr>
        <w:t>يات</w:t>
      </w:r>
      <w:r w:rsidR="00B426DB">
        <w:rPr>
          <w:rFonts w:hint="cs"/>
          <w:rtl/>
        </w:rPr>
        <w:t xml:space="preserve"> </w:t>
      </w:r>
      <w:r w:rsidR="00520AA4">
        <w:rPr>
          <w:rFonts w:hint="cs"/>
          <w:rtl/>
        </w:rPr>
        <w:t>خفيف</w:t>
      </w:r>
      <w:r w:rsidR="00D3125A">
        <w:rPr>
          <w:rFonts w:hint="cs"/>
          <w:rtl/>
        </w:rPr>
        <w:t>ة</w:t>
      </w:r>
      <w:r w:rsidR="00B426DB">
        <w:rPr>
          <w:rFonts w:hint="cs"/>
          <w:rtl/>
        </w:rPr>
        <w:t xml:space="preserve"> ولكنه</w:t>
      </w:r>
      <w:r w:rsidR="00D3125A">
        <w:rPr>
          <w:rFonts w:hint="cs"/>
          <w:rtl/>
        </w:rPr>
        <w:t>ا</w:t>
      </w:r>
      <w:r w:rsidR="00B426DB">
        <w:rPr>
          <w:rFonts w:hint="cs"/>
          <w:rtl/>
        </w:rPr>
        <w:t xml:space="preserve"> م</w:t>
      </w:r>
      <w:r w:rsidR="00394EBB">
        <w:rPr>
          <w:rFonts w:hint="cs"/>
          <w:rtl/>
        </w:rPr>
        <w:t>ُ</w:t>
      </w:r>
      <w:r w:rsidR="00B426DB">
        <w:rPr>
          <w:rFonts w:hint="cs"/>
          <w:rtl/>
        </w:rPr>
        <w:t>حكم</w:t>
      </w:r>
      <w:r w:rsidR="00D3125A">
        <w:rPr>
          <w:rFonts w:hint="cs"/>
          <w:rtl/>
        </w:rPr>
        <w:t>ة</w:t>
      </w:r>
      <w:r w:rsidR="00862163">
        <w:rPr>
          <w:rFonts w:hint="cs"/>
          <w:rtl/>
        </w:rPr>
        <w:t xml:space="preserve"> </w:t>
      </w:r>
      <w:r w:rsidR="001476F5">
        <w:rPr>
          <w:rFonts w:hint="cs"/>
          <w:rtl/>
        </w:rPr>
        <w:t>و</w:t>
      </w:r>
      <w:r w:rsidR="00862163">
        <w:rPr>
          <w:rFonts w:hint="cs"/>
          <w:rtl/>
        </w:rPr>
        <w:t>ت</w:t>
      </w:r>
      <w:r w:rsidR="00B426DB">
        <w:rPr>
          <w:rFonts w:hint="cs"/>
          <w:rtl/>
        </w:rPr>
        <w:t>ستجيب لاحتياجات الدول الأعضاء.</w:t>
      </w:r>
    </w:p>
    <w:p w:rsidR="00813138" w:rsidRDefault="00813138" w:rsidP="0081170A">
      <w:pPr>
        <w:pStyle w:val="Heading1AR"/>
        <w:spacing w:after="240" w:line="360" w:lineRule="exact"/>
        <w:rPr>
          <w:rtl/>
        </w:rPr>
      </w:pPr>
      <w:r>
        <w:rPr>
          <w:rtl/>
        </w:rPr>
        <w:t>ثانيا</w:t>
      </w:r>
      <w:r w:rsidR="00156C47">
        <w:rPr>
          <w:rFonts w:hint="cs"/>
          <w:rtl/>
        </w:rPr>
        <w:t>.</w:t>
      </w:r>
      <w:r>
        <w:rPr>
          <w:rtl/>
        </w:rPr>
        <w:tab/>
      </w:r>
      <w:r w:rsidR="00156C47">
        <w:rPr>
          <w:rFonts w:hint="cs"/>
          <w:rtl/>
        </w:rPr>
        <w:t>آلية لتحديث قاعدة البيانات بشأن المرونة</w:t>
      </w:r>
    </w:p>
    <w:p w:rsidR="00F007BD" w:rsidRPr="00E37915" w:rsidRDefault="00E37915" w:rsidP="0081170A">
      <w:pPr>
        <w:pStyle w:val="Heading3AR"/>
        <w:spacing w:after="240"/>
        <w:rPr>
          <w:rtl/>
        </w:rPr>
      </w:pPr>
      <w:r>
        <w:rPr>
          <w:rFonts w:hint="cs"/>
          <w:rtl/>
        </w:rPr>
        <w:t>الخيار الأول</w:t>
      </w:r>
    </w:p>
    <w:p w:rsidR="00F007BD" w:rsidRDefault="00666869" w:rsidP="0081170A">
      <w:pPr>
        <w:pStyle w:val="NumberedParaAR"/>
        <w:spacing w:before="240"/>
      </w:pPr>
      <w:r>
        <w:rPr>
          <w:rFonts w:hint="cs"/>
          <w:rtl/>
        </w:rPr>
        <w:t>تزوِّد</w:t>
      </w:r>
      <w:r w:rsidR="00DE59D6">
        <w:rPr>
          <w:rFonts w:hint="cs"/>
          <w:rtl/>
        </w:rPr>
        <w:t xml:space="preserve"> الدول الأعضاء الأمانة </w:t>
      </w:r>
      <w:r>
        <w:rPr>
          <w:rFonts w:hint="cs"/>
          <w:rtl/>
        </w:rPr>
        <w:t>بتحديثات</w:t>
      </w:r>
      <w:r w:rsidR="00DE59D6">
        <w:rPr>
          <w:rFonts w:hint="cs"/>
          <w:rtl/>
        </w:rPr>
        <w:t xml:space="preserve"> أحكامها الوطنية المتعلقة ب</w:t>
      </w:r>
      <w:r>
        <w:rPr>
          <w:rFonts w:hint="cs"/>
          <w:rtl/>
        </w:rPr>
        <w:t xml:space="preserve">مواطن </w:t>
      </w:r>
      <w:r w:rsidR="00DE59D6">
        <w:rPr>
          <w:rFonts w:hint="cs"/>
          <w:rtl/>
        </w:rPr>
        <w:t xml:space="preserve">المرونة </w:t>
      </w:r>
      <w:r w:rsidR="009C37A9">
        <w:rPr>
          <w:rFonts w:hint="cs"/>
          <w:rtl/>
        </w:rPr>
        <w:t xml:space="preserve">والواردة في قاعدة البيانات، </w:t>
      </w:r>
      <w:r w:rsidR="000E4080">
        <w:rPr>
          <w:rFonts w:hint="cs"/>
          <w:rtl/>
        </w:rPr>
        <w:t>بموجب</w:t>
      </w:r>
      <w:r w:rsidR="009C37A9">
        <w:rPr>
          <w:rFonts w:hint="cs"/>
          <w:rtl/>
        </w:rPr>
        <w:t xml:space="preserve"> تبليغ</w:t>
      </w:r>
      <w:r w:rsidR="009C37A9">
        <w:rPr>
          <w:rFonts w:hint="eastAsia"/>
          <w:rtl/>
        </w:rPr>
        <w:t> </w:t>
      </w:r>
      <w:r w:rsidR="009C37A9">
        <w:rPr>
          <w:rFonts w:hint="cs"/>
          <w:rtl/>
        </w:rPr>
        <w:t>رسمي.</w:t>
      </w:r>
    </w:p>
    <w:p w:rsidR="00AC7959" w:rsidRDefault="001D1331" w:rsidP="00CB6B1E">
      <w:pPr>
        <w:pStyle w:val="NumberedParaAR"/>
      </w:pPr>
      <w:r>
        <w:rPr>
          <w:rFonts w:hint="cs"/>
          <w:rtl/>
        </w:rPr>
        <w:t xml:space="preserve">ويمكن أن </w:t>
      </w:r>
      <w:r w:rsidR="00CB6B1E">
        <w:rPr>
          <w:rFonts w:hint="cs"/>
          <w:rtl/>
        </w:rPr>
        <w:t xml:space="preserve">يشير التحديث (أو التحديثات) المبلّغ </w:t>
      </w:r>
      <w:r>
        <w:rPr>
          <w:rFonts w:hint="cs"/>
          <w:rtl/>
        </w:rPr>
        <w:t xml:space="preserve">من </w:t>
      </w:r>
      <w:r w:rsidR="004061FC">
        <w:rPr>
          <w:rFonts w:hint="cs"/>
          <w:rtl/>
        </w:rPr>
        <w:t xml:space="preserve">الدول الأعضاء </w:t>
      </w:r>
      <w:r w:rsidR="00476B01">
        <w:rPr>
          <w:rFonts w:hint="cs"/>
          <w:rtl/>
        </w:rPr>
        <w:t>إلى</w:t>
      </w:r>
      <w:r w:rsidR="004061FC">
        <w:rPr>
          <w:rFonts w:hint="cs"/>
          <w:rtl/>
        </w:rPr>
        <w:t xml:space="preserve"> </w:t>
      </w:r>
      <w:r w:rsidR="00C53275">
        <w:rPr>
          <w:rFonts w:hint="cs"/>
          <w:rtl/>
        </w:rPr>
        <w:t>ما يلي</w:t>
      </w:r>
      <w:r w:rsidR="004061FC">
        <w:rPr>
          <w:rFonts w:hint="cs"/>
          <w:rtl/>
        </w:rPr>
        <w:t>:</w:t>
      </w:r>
    </w:p>
    <w:p w:rsidR="004061FC" w:rsidRDefault="00D260D3" w:rsidP="0081170A">
      <w:pPr>
        <w:pStyle w:val="NumberedParaAR"/>
        <w:numPr>
          <w:ilvl w:val="0"/>
          <w:numId w:val="0"/>
        </w:numPr>
        <w:ind w:firstLine="567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="00C53275" w:rsidRPr="00C53275">
        <w:rPr>
          <w:rtl/>
        </w:rPr>
        <w:t>تعديل مادة أو أكثر سبق إدراجها في قاعدة البيانات</w:t>
      </w:r>
      <w:r w:rsidR="004061FC">
        <w:rPr>
          <w:rFonts w:hint="cs"/>
          <w:rtl/>
        </w:rPr>
        <w:t>؛</w:t>
      </w:r>
    </w:p>
    <w:p w:rsidR="004061FC" w:rsidRDefault="00DC0228" w:rsidP="001476F5">
      <w:pPr>
        <w:pStyle w:val="NumberedParaAR"/>
        <w:numPr>
          <w:ilvl w:val="0"/>
          <w:numId w:val="0"/>
        </w:numPr>
        <w:ind w:firstLine="567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1476F5" w:rsidRPr="00C53275">
        <w:rPr>
          <w:rtl/>
        </w:rPr>
        <w:t xml:space="preserve">مادة أو أكثر </w:t>
      </w:r>
      <w:r w:rsidR="00C53275" w:rsidRPr="00C53275">
        <w:rPr>
          <w:rtl/>
        </w:rPr>
        <w:t xml:space="preserve">لا سابق لها ومعتمدة </w:t>
      </w:r>
      <w:r w:rsidR="001476F5">
        <w:rPr>
          <w:rFonts w:hint="cs"/>
          <w:rtl/>
        </w:rPr>
        <w:t>حديثا</w:t>
      </w:r>
      <w:r w:rsidR="00C53275" w:rsidRPr="00C53275">
        <w:rPr>
          <w:rtl/>
        </w:rPr>
        <w:t xml:space="preserve"> في القانون الوطني وتتعلق بمواطن المرونة الواردة في قاعدة البيانات</w:t>
      </w:r>
      <w:r w:rsidR="00D3299C">
        <w:rPr>
          <w:rFonts w:hint="cs"/>
          <w:rtl/>
        </w:rPr>
        <w:t>.</w:t>
      </w:r>
    </w:p>
    <w:p w:rsidR="009C37A9" w:rsidRDefault="009C37A9" w:rsidP="0081170A">
      <w:pPr>
        <w:pStyle w:val="NumberedParaAR"/>
      </w:pPr>
      <w:r>
        <w:rPr>
          <w:rFonts w:hint="cs"/>
          <w:rtl/>
        </w:rPr>
        <w:t xml:space="preserve">ويُدرج التحديث المبلّغ </w:t>
      </w:r>
      <w:r w:rsidR="00A8467F">
        <w:rPr>
          <w:rFonts w:hint="cs"/>
          <w:rtl/>
        </w:rPr>
        <w:t xml:space="preserve">فورا </w:t>
      </w:r>
      <w:r>
        <w:rPr>
          <w:rFonts w:hint="cs"/>
          <w:rtl/>
        </w:rPr>
        <w:t xml:space="preserve">في قاعدة البيانات تحت ركن جديد يسمّى </w:t>
      </w:r>
      <w:r>
        <w:t>“Updates by Member States”</w:t>
      </w:r>
      <w:r>
        <w:rPr>
          <w:rFonts w:hint="cs"/>
          <w:rtl/>
        </w:rPr>
        <w:t xml:space="preserve">. ويُذكر في ذلك الركن بوضوح أن الأمانة لم تفحص الأحكام المبلّغة للتأكد من </w:t>
      </w:r>
      <w:r w:rsidR="00D260D3">
        <w:rPr>
          <w:rFonts w:hint="cs"/>
          <w:rtl/>
        </w:rPr>
        <w:t>النطاق والمعايير التي اعتمدتها اللجنة عند مناقشة أوجه المرونة المحددة</w:t>
      </w:r>
      <w:r w:rsidR="000A4828">
        <w:rPr>
          <w:rStyle w:val="FootnoteReference"/>
          <w:rtl/>
        </w:rPr>
        <w:footnoteReference w:id="1"/>
      </w:r>
      <w:r w:rsidR="00D260D3">
        <w:rPr>
          <w:rFonts w:hint="cs"/>
          <w:rtl/>
        </w:rPr>
        <w:t>.</w:t>
      </w:r>
    </w:p>
    <w:p w:rsidR="00F007BD" w:rsidRDefault="005F6636" w:rsidP="0081170A">
      <w:pPr>
        <w:pStyle w:val="NumberedParaAR"/>
      </w:pPr>
      <w:r>
        <w:rPr>
          <w:rFonts w:hint="cs"/>
          <w:rtl/>
        </w:rPr>
        <w:t xml:space="preserve">وترفع الأمانة تقريرا سنويا </w:t>
      </w:r>
      <w:r w:rsidR="00A8467F">
        <w:rPr>
          <w:rFonts w:hint="cs"/>
          <w:rtl/>
        </w:rPr>
        <w:t xml:space="preserve">إلى اللجنة </w:t>
      </w:r>
      <w:r w:rsidR="00527DB3">
        <w:rPr>
          <w:rFonts w:hint="cs"/>
          <w:rtl/>
        </w:rPr>
        <w:t>بالتحديثات</w:t>
      </w:r>
      <w:r>
        <w:rPr>
          <w:rFonts w:hint="cs"/>
          <w:rtl/>
        </w:rPr>
        <w:t xml:space="preserve"> </w:t>
      </w:r>
      <w:r w:rsidR="00E512B0">
        <w:rPr>
          <w:rFonts w:hint="cs"/>
          <w:rtl/>
        </w:rPr>
        <w:t xml:space="preserve">التي أضافتها الدول الأعضاء </w:t>
      </w:r>
      <w:r>
        <w:rPr>
          <w:rFonts w:hint="cs"/>
          <w:rtl/>
        </w:rPr>
        <w:t xml:space="preserve">إلى </w:t>
      </w:r>
      <w:r w:rsidR="00AC4B54">
        <w:rPr>
          <w:rFonts w:hint="cs"/>
          <w:rtl/>
        </w:rPr>
        <w:t>قاعدة</w:t>
      </w:r>
      <w:r>
        <w:rPr>
          <w:rFonts w:hint="cs"/>
          <w:rtl/>
        </w:rPr>
        <w:t xml:space="preserve"> البيانات.</w:t>
      </w:r>
    </w:p>
    <w:p w:rsidR="00E512B0" w:rsidRDefault="00E512B0" w:rsidP="0081170A">
      <w:pPr>
        <w:pStyle w:val="NumberedParaAR"/>
      </w:pPr>
      <w:r>
        <w:rPr>
          <w:rFonts w:hint="cs"/>
          <w:rtl/>
        </w:rPr>
        <w:t>وفيما يلي تقدير بالميزانية اللازمة لتنفيذ هذا الخيار: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722B" w:rsidRPr="001332B3" w:rsidTr="0081170A">
        <w:trPr>
          <w:trHeight w:val="310"/>
        </w:trPr>
        <w:tc>
          <w:tcPr>
            <w:tcW w:w="4785" w:type="dxa"/>
          </w:tcPr>
          <w:p w:rsidR="0082722B" w:rsidRPr="0081170A" w:rsidRDefault="0082722B" w:rsidP="0081170A">
            <w:pPr>
              <w:tabs>
                <w:tab w:val="num" w:pos="1134"/>
              </w:tabs>
              <w:bidi/>
              <w:spacing w:after="240" w:line="360" w:lineRule="exact"/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>تكلفة غير متكررة</w:t>
            </w:r>
          </w:p>
        </w:tc>
        <w:tc>
          <w:tcPr>
            <w:tcW w:w="4786" w:type="dxa"/>
          </w:tcPr>
          <w:p w:rsidR="0082722B" w:rsidRPr="0081170A" w:rsidRDefault="0082722B" w:rsidP="0081170A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 xml:space="preserve">تكلفة متكررة لخمسة تحديثات في </w:t>
            </w:r>
            <w:r w:rsidR="00A546A8"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>السنة</w:t>
            </w:r>
          </w:p>
        </w:tc>
      </w:tr>
      <w:tr w:rsidR="0082722B" w:rsidRPr="0082722B" w:rsidTr="0081170A">
        <w:trPr>
          <w:trHeight w:val="310"/>
        </w:trPr>
        <w:tc>
          <w:tcPr>
            <w:tcW w:w="4785" w:type="dxa"/>
          </w:tcPr>
          <w:p w:rsidR="0082722B" w:rsidRPr="0081170A" w:rsidRDefault="0082722B" w:rsidP="0081170A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التطوير التقني: 36</w:t>
            </w:r>
            <w:r w:rsidR="00A8467F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833 فرنكا سويسريا</w:t>
            </w:r>
          </w:p>
        </w:tc>
        <w:tc>
          <w:tcPr>
            <w:tcW w:w="4786" w:type="dxa"/>
          </w:tcPr>
          <w:p w:rsidR="0082722B" w:rsidRPr="0081170A" w:rsidRDefault="0071454F" w:rsidP="0081170A">
            <w:pPr>
              <w:bidi/>
              <w:spacing w:after="240" w:line="360" w:lineRule="exact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الأعمال</w:t>
            </w:r>
            <w:r w:rsidR="0082722B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 الإداري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ة</w:t>
            </w:r>
            <w:r w:rsidR="0082722B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: 4</w:t>
            </w:r>
            <w:r w:rsidR="00A8467F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 w:rsidR="0082722B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120 فرنكا سويسريا</w:t>
            </w:r>
          </w:p>
        </w:tc>
      </w:tr>
    </w:tbl>
    <w:p w:rsidR="00E512B0" w:rsidRDefault="00965ECA" w:rsidP="0081170A">
      <w:pPr>
        <w:pStyle w:val="NumberedParaAR"/>
        <w:spacing w:before="240"/>
      </w:pPr>
      <w:r>
        <w:rPr>
          <w:rFonts w:hint="cs"/>
          <w:rtl/>
        </w:rPr>
        <w:t>وتغطي الكلفة غير المتكررة الهجرة من قاعدة البيانات إلى منصة جديدة. ونذك</w:t>
      </w:r>
      <w:r w:rsidR="00A8467F">
        <w:rPr>
          <w:rFonts w:hint="cs"/>
          <w:rtl/>
        </w:rPr>
        <w:t>ِّ</w:t>
      </w:r>
      <w:r>
        <w:rPr>
          <w:rFonts w:hint="cs"/>
          <w:rtl/>
        </w:rPr>
        <w:t xml:space="preserve">ر بأنه كما أشارت الأمانة في الدورة السابعة عشرة للجنة، هذه الهجرة ضرورية لإضافة </w:t>
      </w:r>
      <w:r w:rsidR="00A8467F">
        <w:rPr>
          <w:rFonts w:hint="cs"/>
          <w:rtl/>
        </w:rPr>
        <w:t>أركان</w:t>
      </w:r>
      <w:r>
        <w:rPr>
          <w:rFonts w:hint="cs"/>
          <w:rtl/>
        </w:rPr>
        <w:t xml:space="preserve"> جديدة إلى قاعدة البيانات وإضافة بيانات جديدة على نحو </w:t>
      </w:r>
      <w:r w:rsidR="00B01C42">
        <w:rPr>
          <w:rFonts w:hint="cs"/>
          <w:rtl/>
        </w:rPr>
        <w:t>أسرع</w:t>
      </w:r>
      <w:r w:rsidR="001476F5">
        <w:rPr>
          <w:rFonts w:hint="eastAsia"/>
          <w:rtl/>
        </w:rPr>
        <w:t> </w:t>
      </w:r>
      <w:r w:rsidR="00B01C42">
        <w:rPr>
          <w:rFonts w:hint="cs"/>
          <w:rtl/>
        </w:rPr>
        <w:t>وأعظم.</w:t>
      </w:r>
    </w:p>
    <w:p w:rsidR="00B01C42" w:rsidRDefault="00C53BE6" w:rsidP="0081170A">
      <w:pPr>
        <w:pStyle w:val="NumberedParaAR"/>
        <w:spacing w:before="240"/>
      </w:pPr>
      <w:r>
        <w:rPr>
          <w:rFonts w:hint="cs"/>
          <w:rtl/>
        </w:rPr>
        <w:t xml:space="preserve">أما التكلفة المتكررة فتغطي </w:t>
      </w:r>
      <w:r w:rsidR="0071454F">
        <w:rPr>
          <w:rFonts w:hint="cs"/>
          <w:rtl/>
        </w:rPr>
        <w:t>الأعمال</w:t>
      </w:r>
      <w:r>
        <w:rPr>
          <w:rFonts w:hint="cs"/>
          <w:rtl/>
        </w:rPr>
        <w:t xml:space="preserve"> الإداري</w:t>
      </w:r>
      <w:r w:rsidR="0071454F">
        <w:rPr>
          <w:rFonts w:hint="cs"/>
          <w:rtl/>
        </w:rPr>
        <w:t>ة</w:t>
      </w:r>
      <w:r>
        <w:rPr>
          <w:rFonts w:hint="cs"/>
          <w:rtl/>
        </w:rPr>
        <w:t xml:space="preserve"> المتوقع</w:t>
      </w:r>
      <w:r w:rsidR="0071454F">
        <w:rPr>
          <w:rFonts w:hint="cs"/>
          <w:rtl/>
        </w:rPr>
        <w:t>ة</w:t>
      </w:r>
      <w:r>
        <w:rPr>
          <w:rFonts w:hint="cs"/>
          <w:rtl/>
        </w:rPr>
        <w:t xml:space="preserve"> عند إضافة خمسة تحديثات </w:t>
      </w:r>
      <w:r w:rsidR="004B5232">
        <w:rPr>
          <w:rFonts w:hint="cs"/>
          <w:rtl/>
        </w:rPr>
        <w:t xml:space="preserve">افتراضية </w:t>
      </w:r>
      <w:r>
        <w:rPr>
          <w:rFonts w:hint="cs"/>
          <w:rtl/>
        </w:rPr>
        <w:t xml:space="preserve">في </w:t>
      </w:r>
      <w:r w:rsidR="004B5232">
        <w:rPr>
          <w:rFonts w:hint="cs"/>
          <w:rtl/>
        </w:rPr>
        <w:t>السنة</w:t>
      </w:r>
      <w:r>
        <w:rPr>
          <w:rFonts w:hint="cs"/>
          <w:rtl/>
        </w:rPr>
        <w:t>.</w:t>
      </w:r>
    </w:p>
    <w:p w:rsidR="00F007BD" w:rsidRDefault="005F6636" w:rsidP="0081170A">
      <w:pPr>
        <w:pStyle w:val="Heading3AR"/>
        <w:spacing w:after="240"/>
      </w:pPr>
      <w:r>
        <w:rPr>
          <w:rFonts w:hint="cs"/>
          <w:rtl/>
        </w:rPr>
        <w:t>الخيار الثاني</w:t>
      </w:r>
    </w:p>
    <w:p w:rsidR="00F007BD" w:rsidRDefault="00FE02C0" w:rsidP="0081170A">
      <w:pPr>
        <w:pStyle w:val="NumberedParaAR"/>
        <w:spacing w:before="240"/>
      </w:pPr>
      <w:r>
        <w:rPr>
          <w:rFonts w:hint="cs"/>
          <w:rtl/>
        </w:rPr>
        <w:t xml:space="preserve">تزوِّد الدول الأعضاء الأمانة </w:t>
      </w:r>
      <w:r w:rsidR="000E4080">
        <w:rPr>
          <w:rFonts w:hint="cs"/>
          <w:rtl/>
        </w:rPr>
        <w:t xml:space="preserve">بتحديثات </w:t>
      </w:r>
      <w:r>
        <w:rPr>
          <w:rFonts w:hint="cs"/>
          <w:rtl/>
        </w:rPr>
        <w:t>أحكامها الوطنية المتعلقة ب</w:t>
      </w:r>
      <w:r w:rsidR="000E4080">
        <w:rPr>
          <w:rFonts w:hint="cs"/>
          <w:rtl/>
        </w:rPr>
        <w:t xml:space="preserve">مواطن </w:t>
      </w:r>
      <w:r>
        <w:rPr>
          <w:rFonts w:hint="cs"/>
          <w:rtl/>
        </w:rPr>
        <w:t xml:space="preserve">المرونة الواردة في قاعدة البيانات، </w:t>
      </w:r>
      <w:r w:rsidR="000E4080">
        <w:rPr>
          <w:rFonts w:hint="cs"/>
          <w:rtl/>
        </w:rPr>
        <w:t>بموجب</w:t>
      </w:r>
      <w:r>
        <w:rPr>
          <w:rFonts w:hint="cs"/>
          <w:rtl/>
        </w:rPr>
        <w:t xml:space="preserve"> تبليغ</w:t>
      </w:r>
      <w:r>
        <w:rPr>
          <w:rFonts w:hint="eastAsia"/>
          <w:rtl/>
        </w:rPr>
        <w:t> </w:t>
      </w:r>
      <w:r>
        <w:rPr>
          <w:rFonts w:hint="cs"/>
          <w:rtl/>
        </w:rPr>
        <w:t>رسمي.</w:t>
      </w:r>
    </w:p>
    <w:p w:rsidR="00F007BD" w:rsidRDefault="0025431B" w:rsidP="00F8058A">
      <w:pPr>
        <w:pStyle w:val="NumberedParaAR"/>
      </w:pPr>
      <w:r>
        <w:rPr>
          <w:rFonts w:hint="cs"/>
          <w:rtl/>
        </w:rPr>
        <w:lastRenderedPageBreak/>
        <w:t>و</w:t>
      </w:r>
      <w:r w:rsidR="00FE02C0">
        <w:rPr>
          <w:rFonts w:hint="cs"/>
          <w:rtl/>
        </w:rPr>
        <w:t xml:space="preserve">يمكن أن </w:t>
      </w:r>
      <w:r w:rsidR="00CB6B1E">
        <w:rPr>
          <w:rFonts w:hint="cs"/>
          <w:rtl/>
        </w:rPr>
        <w:t>ي</w:t>
      </w:r>
      <w:r w:rsidR="00FE02C0">
        <w:rPr>
          <w:rFonts w:hint="cs"/>
          <w:rtl/>
        </w:rPr>
        <w:t xml:space="preserve">شير </w:t>
      </w:r>
      <w:r w:rsidR="00CB6B1E">
        <w:rPr>
          <w:rFonts w:hint="cs"/>
          <w:rtl/>
        </w:rPr>
        <w:t xml:space="preserve">التحديث (أو التحديثات) </w:t>
      </w:r>
      <w:r w:rsidR="00FE02C0">
        <w:rPr>
          <w:rFonts w:hint="cs"/>
          <w:rtl/>
        </w:rPr>
        <w:t>المبلّغ من الدول الأعضاء إلى</w:t>
      </w:r>
      <w:r w:rsidR="00341935">
        <w:rPr>
          <w:rFonts w:hint="cs"/>
          <w:rtl/>
        </w:rPr>
        <w:t xml:space="preserve"> ما يلي</w:t>
      </w:r>
      <w:r w:rsidR="00527DB3">
        <w:rPr>
          <w:rFonts w:hint="cs"/>
          <w:rtl/>
        </w:rPr>
        <w:t>:</w:t>
      </w:r>
    </w:p>
    <w:p w:rsidR="00F007BD" w:rsidRDefault="00FE02C0" w:rsidP="00FB05C1">
      <w:pPr>
        <w:pStyle w:val="NumberedParaAR"/>
        <w:numPr>
          <w:ilvl w:val="0"/>
          <w:numId w:val="0"/>
        </w:numPr>
        <w:ind w:firstLine="567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تعديل مادة أو أكثر سبق إدراجها في قاعدة البيانات؛</w:t>
      </w:r>
    </w:p>
    <w:p w:rsidR="00FE02C0" w:rsidRDefault="00FE02C0" w:rsidP="00CB6B1E">
      <w:pPr>
        <w:pStyle w:val="NumberedParaAR"/>
        <w:numPr>
          <w:ilvl w:val="0"/>
          <w:numId w:val="0"/>
        </w:numPr>
        <w:ind w:left="566"/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CB6B1E" w:rsidRPr="00C53275">
        <w:rPr>
          <w:rtl/>
        </w:rPr>
        <w:t xml:space="preserve">مادة أو أكثر </w:t>
      </w:r>
      <w:r>
        <w:rPr>
          <w:rFonts w:hint="cs"/>
          <w:rtl/>
        </w:rPr>
        <w:t xml:space="preserve">لا سابق لها ومعتمدة </w:t>
      </w:r>
      <w:r w:rsidR="00CB6B1E">
        <w:rPr>
          <w:rFonts w:hint="cs"/>
          <w:rtl/>
        </w:rPr>
        <w:t>حديثا</w:t>
      </w:r>
      <w:r>
        <w:rPr>
          <w:rFonts w:hint="cs"/>
          <w:rtl/>
        </w:rPr>
        <w:t xml:space="preserve"> في القانون الوطني وتتعلق بمواطن المرونة الواردة في قاعدة البيانات.</w:t>
      </w:r>
    </w:p>
    <w:p w:rsidR="00F007BD" w:rsidRDefault="00F61BA4" w:rsidP="0081170A">
      <w:pPr>
        <w:pStyle w:val="NumberedParaAR"/>
      </w:pPr>
      <w:r>
        <w:rPr>
          <w:rFonts w:hint="cs"/>
          <w:rtl/>
        </w:rPr>
        <w:t>و</w:t>
      </w:r>
      <w:r w:rsidR="00A824C3">
        <w:rPr>
          <w:rFonts w:hint="cs"/>
          <w:rtl/>
        </w:rPr>
        <w:t xml:space="preserve">تفحص الأمانة </w:t>
      </w:r>
      <w:r w:rsidR="00D01844">
        <w:rPr>
          <w:rFonts w:hint="cs"/>
          <w:rtl/>
        </w:rPr>
        <w:t>التحديث الوارد</w:t>
      </w:r>
      <w:r w:rsidR="001D1331">
        <w:rPr>
          <w:rFonts w:hint="cs"/>
          <w:rtl/>
        </w:rPr>
        <w:t xml:space="preserve"> (أو التحديثات الواردة)</w:t>
      </w:r>
      <w:r w:rsidR="00D01844">
        <w:rPr>
          <w:rFonts w:hint="cs"/>
          <w:rtl/>
        </w:rPr>
        <w:t xml:space="preserve"> إليها لتتأكد من أنه</w:t>
      </w:r>
      <w:r w:rsidR="00A824C3">
        <w:rPr>
          <w:rFonts w:hint="cs"/>
          <w:rtl/>
        </w:rPr>
        <w:t xml:space="preserve"> </w:t>
      </w:r>
      <w:r w:rsidR="00D01844">
        <w:rPr>
          <w:rFonts w:hint="cs"/>
          <w:rtl/>
        </w:rPr>
        <w:t>ي</w:t>
      </w:r>
      <w:r w:rsidR="00A824C3">
        <w:rPr>
          <w:rFonts w:hint="cs"/>
          <w:rtl/>
        </w:rPr>
        <w:t>تماشى فعلا والنطاق والمعايير التي اتفقت عليها اللجنة أثناء مناقشة موطن المرونة المعني.</w:t>
      </w:r>
    </w:p>
    <w:p w:rsidR="001E2BCF" w:rsidRDefault="001E2BCF" w:rsidP="0081170A">
      <w:pPr>
        <w:pStyle w:val="NumberedParaAR"/>
      </w:pPr>
      <w:r>
        <w:rPr>
          <w:rFonts w:hint="cs"/>
          <w:rtl/>
        </w:rPr>
        <w:t>ف</w:t>
      </w:r>
      <w:r w:rsidRPr="001E2BCF">
        <w:rPr>
          <w:rtl/>
        </w:rPr>
        <w:t xml:space="preserve">إذا تبيّن أن المواد </w:t>
      </w:r>
      <w:r>
        <w:rPr>
          <w:rFonts w:hint="cs"/>
          <w:rtl/>
        </w:rPr>
        <w:t>المحدّثة</w:t>
      </w:r>
      <w:r w:rsidRPr="001E2BCF">
        <w:rPr>
          <w:rtl/>
        </w:rPr>
        <w:t xml:space="preserve"> تتماشى والنطاق والمعايير،</w:t>
      </w:r>
      <w:r>
        <w:rPr>
          <w:rFonts w:hint="cs"/>
          <w:rtl/>
        </w:rPr>
        <w:t xml:space="preserve"> </w:t>
      </w:r>
      <w:r w:rsidR="001D1331">
        <w:rPr>
          <w:rFonts w:hint="cs"/>
          <w:rtl/>
        </w:rPr>
        <w:t xml:space="preserve">تنشر </w:t>
      </w:r>
      <w:r>
        <w:rPr>
          <w:rFonts w:hint="cs"/>
          <w:rtl/>
        </w:rPr>
        <w:t>الأمانة تلك الأحكام في قاعدة البيانات في غضون ستة</w:t>
      </w:r>
      <w:r w:rsidR="001476F5">
        <w:rPr>
          <w:rFonts w:hint="eastAsia"/>
          <w:rtl/>
        </w:rPr>
        <w:t> </w:t>
      </w:r>
      <w:r>
        <w:rPr>
          <w:rFonts w:hint="cs"/>
          <w:rtl/>
        </w:rPr>
        <w:t>أشهر.</w:t>
      </w:r>
    </w:p>
    <w:p w:rsidR="001D1331" w:rsidRDefault="001D1331" w:rsidP="0081170A">
      <w:pPr>
        <w:pStyle w:val="NumberedParaAR"/>
      </w:pPr>
      <w:r>
        <w:rPr>
          <w:rFonts w:hint="cs"/>
          <w:rtl/>
        </w:rPr>
        <w:t>وإذا أشارت المواد المحدثة إلى تعديل في مادة أو أكثر ترد بالفعل في قاعدة البيانات، تحل المادة ا</w:t>
      </w:r>
      <w:r w:rsidR="00A8467F">
        <w:rPr>
          <w:rFonts w:hint="cs"/>
          <w:rtl/>
        </w:rPr>
        <w:t>لمحدثة محل المادة القائمة. وإن أ</w:t>
      </w:r>
      <w:r>
        <w:rPr>
          <w:rFonts w:hint="cs"/>
          <w:rtl/>
        </w:rPr>
        <w:t xml:space="preserve">شارت المواد المحدثة إلى </w:t>
      </w:r>
      <w:r w:rsidRPr="00F61BA4">
        <w:rPr>
          <w:rFonts w:hint="eastAsia"/>
          <w:rtl/>
        </w:rPr>
        <w:t>مادة</w:t>
      </w:r>
      <w:r w:rsidRPr="00F61BA4">
        <w:rPr>
          <w:rtl/>
        </w:rPr>
        <w:t xml:space="preserve"> </w:t>
      </w:r>
      <w:r w:rsidR="00F61BA4" w:rsidRPr="0081170A">
        <w:rPr>
          <w:rFonts w:hint="eastAsia"/>
          <w:rtl/>
        </w:rPr>
        <w:t>لا</w:t>
      </w:r>
      <w:r w:rsidRPr="00F61BA4">
        <w:rPr>
          <w:rtl/>
        </w:rPr>
        <w:t xml:space="preserve"> سابق</w:t>
      </w:r>
      <w:r w:rsidR="00F61BA4" w:rsidRPr="00F61BA4">
        <w:rPr>
          <w:rtl/>
        </w:rPr>
        <w:t xml:space="preserve"> لها</w:t>
      </w:r>
      <w:r>
        <w:rPr>
          <w:rFonts w:hint="cs"/>
          <w:rtl/>
        </w:rPr>
        <w:t>، فإنها تضاف تحت أوجه المرونة ذات الصلة الواردة في قاعدة البيانات.</w:t>
      </w:r>
    </w:p>
    <w:p w:rsidR="00F007BD" w:rsidRDefault="001E2BCF" w:rsidP="0081170A">
      <w:pPr>
        <w:pStyle w:val="NumberedParaAR"/>
      </w:pPr>
      <w:r>
        <w:rPr>
          <w:rFonts w:hint="cs"/>
          <w:rtl/>
        </w:rPr>
        <w:t xml:space="preserve">وإذا تبيّن أن المواد المحدثة لا </w:t>
      </w:r>
      <w:r w:rsidRPr="001E2BCF">
        <w:rPr>
          <w:rtl/>
        </w:rPr>
        <w:t>تتماشى والنطاق والمعايير</w:t>
      </w:r>
      <w:r>
        <w:rPr>
          <w:rFonts w:hint="cs"/>
          <w:rtl/>
        </w:rPr>
        <w:t xml:space="preserve"> المشار إليه</w:t>
      </w:r>
      <w:r w:rsidR="00F61BA4">
        <w:rPr>
          <w:rFonts w:hint="cs"/>
          <w:rtl/>
        </w:rPr>
        <w:t>م</w:t>
      </w:r>
      <w:r>
        <w:rPr>
          <w:rFonts w:hint="cs"/>
          <w:rtl/>
        </w:rPr>
        <w:t>ا أعلاه، تبلّغ الأمانة الدولة العضو المعنية الأسباب الداعية إلى العدول عن إدراجها في قاعدة البيانات.</w:t>
      </w:r>
    </w:p>
    <w:p w:rsidR="00F007BD" w:rsidRDefault="00527DB3" w:rsidP="0081170A">
      <w:pPr>
        <w:pStyle w:val="NumberedParaAR"/>
      </w:pPr>
      <w:r w:rsidRPr="00527DB3">
        <w:rPr>
          <w:rtl/>
        </w:rPr>
        <w:t xml:space="preserve">وترفع الأمانة تقريرا سنويا إلى اللجنة </w:t>
      </w:r>
      <w:r w:rsidR="001D1331">
        <w:rPr>
          <w:rFonts w:hint="cs"/>
          <w:rtl/>
        </w:rPr>
        <w:t>بنتائج الفحص</w:t>
      </w:r>
      <w:r w:rsidRPr="00527DB3">
        <w:rPr>
          <w:rtl/>
        </w:rPr>
        <w:t>.</w:t>
      </w:r>
    </w:p>
    <w:p w:rsidR="003E05B6" w:rsidRPr="003E05B6" w:rsidRDefault="003E05B6" w:rsidP="0081170A">
      <w:pPr>
        <w:pStyle w:val="NumberedParaAR"/>
      </w:pPr>
      <w:r w:rsidRPr="003E05B6">
        <w:rPr>
          <w:rtl/>
        </w:rPr>
        <w:t>وفيما يلي تقدير بالميزانية اللازمة لتنفيذ هذا الخيار</w:t>
      </w:r>
      <w:r w:rsidRPr="003E05B6">
        <w:t>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718"/>
        <w:gridCol w:w="4718"/>
      </w:tblGrid>
      <w:tr w:rsidR="00243A31" w:rsidRPr="001400A3" w:rsidTr="0081170A">
        <w:trPr>
          <w:trHeight w:val="257"/>
        </w:trPr>
        <w:tc>
          <w:tcPr>
            <w:tcW w:w="4718" w:type="dxa"/>
          </w:tcPr>
          <w:p w:rsidR="00243A31" w:rsidRPr="0081170A" w:rsidRDefault="00243A31" w:rsidP="0081170A">
            <w:pPr>
              <w:tabs>
                <w:tab w:val="num" w:pos="1134"/>
              </w:tabs>
              <w:bidi/>
              <w:spacing w:after="240" w:line="360" w:lineRule="exact"/>
              <w:rPr>
                <w:rFonts w:eastAsia="SimSun"/>
                <w:bCs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>تكلفة غير متكررة</w:t>
            </w:r>
          </w:p>
        </w:tc>
        <w:tc>
          <w:tcPr>
            <w:tcW w:w="4718" w:type="dxa"/>
          </w:tcPr>
          <w:p w:rsidR="00243A31" w:rsidRPr="0081170A" w:rsidRDefault="00243A31" w:rsidP="0081170A">
            <w:pPr>
              <w:bidi/>
              <w:spacing w:after="240" w:line="360" w:lineRule="exact"/>
              <w:rPr>
                <w:rFonts w:eastAsia="SimSun"/>
                <w:bCs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>تكلفة متكررة لخمسة تحديثات في السنة</w:t>
            </w:r>
          </w:p>
        </w:tc>
      </w:tr>
      <w:tr w:rsidR="003E05B6" w:rsidRPr="00925E7F" w:rsidTr="0081170A">
        <w:trPr>
          <w:trHeight w:val="1160"/>
        </w:trPr>
        <w:tc>
          <w:tcPr>
            <w:tcW w:w="4718" w:type="dxa"/>
            <w:vMerge w:val="restart"/>
          </w:tcPr>
          <w:p w:rsidR="003E05B6" w:rsidRPr="00925E7F" w:rsidRDefault="0071454F" w:rsidP="0081170A">
            <w:pPr>
              <w:bidi/>
              <w:spacing w:after="240" w:line="360" w:lineRule="exact"/>
              <w:rPr>
                <w:rFonts w:eastAsia="SimSun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التطوير التقني: 36</w:t>
            </w:r>
            <w:r w:rsidR="00F61BA4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833 فرنكا سويسريا</w:t>
            </w:r>
          </w:p>
          <w:p w:rsidR="003E05B6" w:rsidRPr="00925E7F" w:rsidRDefault="003E05B6" w:rsidP="0081170A">
            <w:pPr>
              <w:tabs>
                <w:tab w:val="num" w:pos="1134"/>
              </w:tabs>
              <w:bidi/>
              <w:spacing w:after="240" w:line="360" w:lineRule="exact"/>
              <w:rPr>
                <w:rFonts w:eastAsia="SimSun"/>
                <w:b/>
                <w:u w:val="single"/>
                <w:lang w:eastAsia="zh-CN"/>
              </w:rPr>
            </w:pPr>
          </w:p>
        </w:tc>
        <w:tc>
          <w:tcPr>
            <w:tcW w:w="4718" w:type="dxa"/>
          </w:tcPr>
          <w:p w:rsidR="003E05B6" w:rsidRDefault="0071454F" w:rsidP="0081170A">
            <w:pPr>
              <w:tabs>
                <w:tab w:val="num" w:pos="1134"/>
              </w:tabs>
              <w:bidi/>
              <w:spacing w:after="240" w:line="360" w:lineRule="exact"/>
              <w:contextualSpacing/>
              <w:rPr>
                <w:rFonts w:eastAsia="SimSun"/>
                <w:rtl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الأعمال القانونية: 16</w:t>
            </w:r>
            <w:r w:rsidR="00F61BA4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767 فرنكا سويسريا</w:t>
            </w:r>
          </w:p>
          <w:p w:rsidR="0071454F" w:rsidRPr="00925E7F" w:rsidRDefault="00F61BA4" w:rsidP="0081170A">
            <w:pPr>
              <w:tabs>
                <w:tab w:val="num" w:pos="1134"/>
              </w:tabs>
              <w:bidi/>
              <w:spacing w:after="240" w:line="360" w:lineRule="exact"/>
              <w:contextualSpacing/>
              <w:rPr>
                <w:rFonts w:eastAsia="SimSun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الأعمال الإدارية</w:t>
            </w:r>
            <w:r w:rsidR="0071454F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: 16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 w:rsidR="0071454F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283 فرنكا سويسريا</w:t>
            </w:r>
          </w:p>
          <w:p w:rsidR="003E05B6" w:rsidRPr="00925E7F" w:rsidRDefault="003E05B6" w:rsidP="0081170A">
            <w:pPr>
              <w:bidi/>
              <w:spacing w:after="240" w:line="360" w:lineRule="exact"/>
              <w:rPr>
                <w:rFonts w:eastAsia="SimSun"/>
                <w:lang w:eastAsia="zh-CN"/>
              </w:rPr>
            </w:pPr>
          </w:p>
        </w:tc>
      </w:tr>
      <w:tr w:rsidR="003E05B6" w:rsidRPr="00925E7F" w:rsidTr="0081170A">
        <w:trPr>
          <w:trHeight w:val="838"/>
        </w:trPr>
        <w:tc>
          <w:tcPr>
            <w:tcW w:w="4718" w:type="dxa"/>
            <w:vMerge/>
            <w:tcBorders>
              <w:bottom w:val="single" w:sz="4" w:space="0" w:color="auto"/>
            </w:tcBorders>
          </w:tcPr>
          <w:p w:rsidR="003E05B6" w:rsidRPr="00925E7F" w:rsidRDefault="003E05B6" w:rsidP="0081170A">
            <w:pPr>
              <w:bidi/>
              <w:spacing w:after="240" w:line="360" w:lineRule="exact"/>
              <w:rPr>
                <w:rFonts w:eastAsia="SimSun"/>
                <w:lang w:eastAsia="zh-CN"/>
              </w:rPr>
            </w:pP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3E05B6" w:rsidRPr="0081170A" w:rsidRDefault="0071454F" w:rsidP="0081170A">
            <w:pPr>
              <w:tabs>
                <w:tab w:val="num" w:pos="1134"/>
              </w:tabs>
              <w:bidi/>
              <w:spacing w:after="240" w:line="360" w:lineRule="exact"/>
              <w:contextualSpacing/>
              <w:rPr>
                <w:rFonts w:eastAsia="SimSun"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>الإجمالي: 33</w:t>
            </w:r>
            <w:r w:rsidR="00F61BA4" w:rsidRPr="0081170A"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>,</w:t>
            </w:r>
            <w:r w:rsidRPr="0081170A"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>050 فرنكا سويسريا</w:t>
            </w:r>
          </w:p>
        </w:tc>
      </w:tr>
    </w:tbl>
    <w:p w:rsidR="00FA29B6" w:rsidRPr="00FA29B6" w:rsidRDefault="00FA29B6" w:rsidP="00775510">
      <w:pPr>
        <w:pStyle w:val="NumberedParaAR"/>
        <w:spacing w:before="240"/>
      </w:pPr>
      <w:r>
        <w:rPr>
          <w:rFonts w:hint="cs"/>
          <w:rtl/>
        </w:rPr>
        <w:t xml:space="preserve">وجدير بالذكر أن هذا الخيار لا يتضمن أساسا هجرة قاعدة البيانات إلى منصة جديدة، ولكن لاتزال الهجرة مستحبة لأن </w:t>
      </w:r>
      <w:r w:rsidR="00FE3237">
        <w:rPr>
          <w:rFonts w:hint="cs"/>
          <w:rtl/>
        </w:rPr>
        <w:t xml:space="preserve">إضافة البيانات الجديدة </w:t>
      </w:r>
      <w:r w:rsidR="00E16A14">
        <w:rPr>
          <w:rFonts w:hint="cs"/>
          <w:rtl/>
        </w:rPr>
        <w:t>باستخدام</w:t>
      </w:r>
      <w:r w:rsidR="00FE3237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النظام الحالي </w:t>
      </w:r>
      <w:r w:rsidR="00FE3237">
        <w:rPr>
          <w:rFonts w:hint="cs"/>
          <w:rtl/>
        </w:rPr>
        <w:t>مهمة شاقة</w:t>
      </w:r>
      <w:r>
        <w:rPr>
          <w:rFonts w:hint="cs"/>
          <w:rtl/>
        </w:rPr>
        <w:t xml:space="preserve"> وبطيئة. وإن وافقت اللجنة ع</w:t>
      </w:r>
      <w:r w:rsidR="00E16A14">
        <w:rPr>
          <w:rFonts w:hint="cs"/>
          <w:rtl/>
        </w:rPr>
        <w:t>لى هذا الخيار فعليها أن ترشد الأ</w:t>
      </w:r>
      <w:r>
        <w:rPr>
          <w:rFonts w:hint="cs"/>
          <w:rtl/>
        </w:rPr>
        <w:t xml:space="preserve">مانة </w:t>
      </w:r>
      <w:r w:rsidR="00775510">
        <w:rPr>
          <w:rFonts w:hint="cs"/>
          <w:rtl/>
        </w:rPr>
        <w:t>بشأن</w:t>
      </w:r>
      <w:r>
        <w:rPr>
          <w:rFonts w:hint="cs"/>
          <w:rtl/>
        </w:rPr>
        <w:t xml:space="preserve"> إمكانية إنشاء منصة جديدة كما هو مقدر في التكلفة غير المتكررة المذكورة أعلاه.</w:t>
      </w:r>
    </w:p>
    <w:p w:rsidR="00FA29B6" w:rsidRDefault="00FA29B6" w:rsidP="00775510">
      <w:pPr>
        <w:pStyle w:val="NumberedParaAR"/>
        <w:spacing w:before="240"/>
      </w:pPr>
      <w:r>
        <w:rPr>
          <w:rFonts w:hint="cs"/>
          <w:rtl/>
        </w:rPr>
        <w:t>وح</w:t>
      </w:r>
      <w:r w:rsidR="00BE0D59">
        <w:rPr>
          <w:rFonts w:hint="cs"/>
          <w:rtl/>
        </w:rPr>
        <w:t>ُ</w:t>
      </w:r>
      <w:r>
        <w:rPr>
          <w:rFonts w:hint="cs"/>
          <w:rtl/>
        </w:rPr>
        <w:t xml:space="preserve">سبت الكلفة المتكررة </w:t>
      </w:r>
      <w:r w:rsidR="00BE0D59">
        <w:rPr>
          <w:rFonts w:hint="cs"/>
          <w:rtl/>
        </w:rPr>
        <w:t>ل</w:t>
      </w:r>
      <w:r>
        <w:rPr>
          <w:rFonts w:hint="cs"/>
          <w:rtl/>
        </w:rPr>
        <w:t xml:space="preserve">خمسة تحديثات </w:t>
      </w:r>
      <w:r w:rsidR="00BE0D59">
        <w:rPr>
          <w:rFonts w:hint="cs"/>
          <w:rtl/>
        </w:rPr>
        <w:t xml:space="preserve">افتراضية </w:t>
      </w:r>
      <w:r>
        <w:rPr>
          <w:rFonts w:hint="cs"/>
          <w:rtl/>
        </w:rPr>
        <w:t xml:space="preserve">في السنة وقد يختلف </w:t>
      </w:r>
      <w:r w:rsidR="00BE0D59">
        <w:rPr>
          <w:rFonts w:hint="cs"/>
          <w:rtl/>
        </w:rPr>
        <w:t xml:space="preserve">هذا الرقم </w:t>
      </w:r>
      <w:r>
        <w:rPr>
          <w:rFonts w:hint="cs"/>
          <w:rtl/>
        </w:rPr>
        <w:t>حسب طول الحكم المبلغ وتعقي</w:t>
      </w:r>
      <w:r w:rsidR="00BE0D59">
        <w:rPr>
          <w:rFonts w:hint="cs"/>
          <w:rtl/>
        </w:rPr>
        <w:t>د</w:t>
      </w:r>
      <w:r>
        <w:rPr>
          <w:rFonts w:hint="cs"/>
          <w:rtl/>
        </w:rPr>
        <w:t>ه أو أي عناصر أخرى غير متوقعة قد تطرأ أثناء التقييم.</w:t>
      </w:r>
    </w:p>
    <w:p w:rsidR="00DE2201" w:rsidRDefault="00F34D51" w:rsidP="0081170A">
      <w:pPr>
        <w:pStyle w:val="Heading3AR"/>
        <w:spacing w:after="240"/>
        <w:rPr>
          <w:rtl/>
        </w:rPr>
      </w:pPr>
      <w:r>
        <w:rPr>
          <w:rFonts w:hint="cs"/>
          <w:rtl/>
        </w:rPr>
        <w:t>الخيار الثالث</w:t>
      </w:r>
    </w:p>
    <w:p w:rsidR="00DE2201" w:rsidRDefault="000A3556" w:rsidP="0081170A">
      <w:pPr>
        <w:pStyle w:val="NumberedParaAR"/>
        <w:numPr>
          <w:ilvl w:val="0"/>
          <w:numId w:val="0"/>
        </w:numPr>
        <w:spacing w:before="240"/>
        <w:rPr>
          <w:rtl/>
        </w:rPr>
      </w:pPr>
      <w:r>
        <w:rPr>
          <w:rFonts w:hint="cs"/>
          <w:rtl/>
        </w:rPr>
        <w:t>أُعِّد</w:t>
      </w:r>
      <w:r w:rsidR="00DE2201">
        <w:rPr>
          <w:rFonts w:hint="cs"/>
          <w:rtl/>
        </w:rPr>
        <w:t xml:space="preserve"> هذا الخيار استجابة لالتماس </w:t>
      </w:r>
      <w:r>
        <w:rPr>
          <w:rFonts w:hint="cs"/>
          <w:rtl/>
        </w:rPr>
        <w:t xml:space="preserve">من </w:t>
      </w:r>
      <w:r w:rsidR="00DE2201">
        <w:rPr>
          <w:rFonts w:hint="cs"/>
          <w:rtl/>
        </w:rPr>
        <w:t xml:space="preserve">اللجنة في دورتها السابعة عشرة للبحث عن خيار ثالث </w:t>
      </w:r>
      <w:r>
        <w:rPr>
          <w:rFonts w:hint="cs"/>
          <w:rtl/>
        </w:rPr>
        <w:t>في</w:t>
      </w:r>
      <w:r w:rsidR="004E5EE0">
        <w:rPr>
          <w:rFonts w:hint="cs"/>
          <w:rtl/>
        </w:rPr>
        <w:t xml:space="preserve"> ضوء ما </w:t>
      </w:r>
      <w:r w:rsidR="004E5EE0" w:rsidRPr="004E5EE0">
        <w:rPr>
          <w:rtl/>
        </w:rPr>
        <w:t>أبدته الدول الأعضاء من ملاحظات</w:t>
      </w:r>
      <w:r w:rsidR="004E5EE0">
        <w:rPr>
          <w:rFonts w:hint="cs"/>
          <w:rtl/>
        </w:rPr>
        <w:t xml:space="preserve">. ويمزج هذه الخيار بين عناصر من الخيارين الأول والثاني </w:t>
      </w:r>
      <w:r>
        <w:rPr>
          <w:rFonts w:hint="cs"/>
          <w:rtl/>
        </w:rPr>
        <w:t>لأنه</w:t>
      </w:r>
      <w:r w:rsidR="004E5EE0">
        <w:rPr>
          <w:rFonts w:hint="cs"/>
          <w:rtl/>
        </w:rPr>
        <w:t xml:space="preserve"> يسعى إلى إضافة التحديثات المضافة من الدول الأعضاء في </w:t>
      </w:r>
      <w:r w:rsidR="000F0FF7">
        <w:rPr>
          <w:rFonts w:hint="cs"/>
          <w:rtl/>
        </w:rPr>
        <w:t>ركن</w:t>
      </w:r>
      <w:r w:rsidR="004E5EE0">
        <w:rPr>
          <w:rFonts w:hint="cs"/>
          <w:rtl/>
        </w:rPr>
        <w:t xml:space="preserve"> جديد في قاعدة البيانات وفحص هذه الأحكام لاحقا من جانب الأمانة.</w:t>
      </w:r>
    </w:p>
    <w:p w:rsidR="00AA1FA7" w:rsidRDefault="00AA1FA7" w:rsidP="0081170A">
      <w:pPr>
        <w:pStyle w:val="NumberedParaAR"/>
        <w:spacing w:before="240"/>
      </w:pPr>
      <w:r>
        <w:rPr>
          <w:rtl/>
        </w:rPr>
        <w:lastRenderedPageBreak/>
        <w:t>تزوِّد الدول الأعضاء الأمانة بتحديثات أحكامها الوطنية المتعلقة بمواطن المرونة الواردة في قاعدة البيانات، بموجب تبليغ رسمي.</w:t>
      </w:r>
    </w:p>
    <w:p w:rsidR="00AA1FA7" w:rsidRDefault="00501CF2" w:rsidP="0081170A">
      <w:pPr>
        <w:pStyle w:val="NumberedParaAR"/>
        <w:keepNext/>
        <w:spacing w:before="240"/>
      </w:pPr>
      <w:r>
        <w:rPr>
          <w:rtl/>
        </w:rPr>
        <w:t xml:space="preserve">ويمكن أن </w:t>
      </w:r>
      <w:r>
        <w:rPr>
          <w:rFonts w:hint="cs"/>
          <w:rtl/>
        </w:rPr>
        <w:t>ي</w:t>
      </w:r>
      <w:r w:rsidR="00AA1FA7">
        <w:rPr>
          <w:rtl/>
        </w:rPr>
        <w:t xml:space="preserve">شير </w:t>
      </w:r>
      <w:r>
        <w:rPr>
          <w:rFonts w:hint="cs"/>
          <w:rtl/>
        </w:rPr>
        <w:t xml:space="preserve">التحديث (أو </w:t>
      </w:r>
      <w:r w:rsidR="00AA1FA7">
        <w:rPr>
          <w:rtl/>
        </w:rPr>
        <w:t>التحديثات</w:t>
      </w:r>
      <w:r>
        <w:rPr>
          <w:rFonts w:hint="cs"/>
          <w:rtl/>
        </w:rPr>
        <w:t>)</w:t>
      </w:r>
      <w:r>
        <w:rPr>
          <w:rtl/>
        </w:rPr>
        <w:t xml:space="preserve"> المبلّغ</w:t>
      </w:r>
      <w:r w:rsidR="00AA1FA7">
        <w:rPr>
          <w:rtl/>
        </w:rPr>
        <w:t xml:space="preserve"> من الدول الأعضاء إلى</w:t>
      </w:r>
      <w:r w:rsidR="000A3556">
        <w:rPr>
          <w:rFonts w:hint="cs"/>
          <w:rtl/>
        </w:rPr>
        <w:t xml:space="preserve"> ما يلي</w:t>
      </w:r>
      <w:r w:rsidR="00AA1FA7">
        <w:rPr>
          <w:rtl/>
        </w:rPr>
        <w:t>:</w:t>
      </w:r>
    </w:p>
    <w:p w:rsidR="00AA1FA7" w:rsidRDefault="00AA1FA7" w:rsidP="00FB05C1">
      <w:pPr>
        <w:pStyle w:val="NumberedParaAR"/>
        <w:numPr>
          <w:ilvl w:val="0"/>
          <w:numId w:val="0"/>
        </w:numPr>
        <w:ind w:firstLine="567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>
        <w:rPr>
          <w:rtl/>
        </w:rPr>
        <w:t>تعديل مادة أو أكثر سبق إدراجها في قاعدة البيانات؛</w:t>
      </w:r>
    </w:p>
    <w:p w:rsidR="00F007BD" w:rsidRDefault="00AA1FA7" w:rsidP="00BB0AEA">
      <w:pPr>
        <w:pStyle w:val="NumberedParaAR"/>
        <w:numPr>
          <w:ilvl w:val="0"/>
          <w:numId w:val="0"/>
        </w:numPr>
        <w:ind w:left="1134" w:hanging="567"/>
      </w:pPr>
      <w:r>
        <w:rPr>
          <w:rtl/>
        </w:rPr>
        <w:t>"2"</w:t>
      </w:r>
      <w:r>
        <w:rPr>
          <w:rtl/>
        </w:rPr>
        <w:tab/>
      </w:r>
      <w:r w:rsidR="00501CF2" w:rsidRPr="00C53275">
        <w:rPr>
          <w:rtl/>
        </w:rPr>
        <w:t xml:space="preserve">مادة أو أكثر </w:t>
      </w:r>
      <w:r>
        <w:rPr>
          <w:rtl/>
        </w:rPr>
        <w:t xml:space="preserve">لا سابق لها ومعتمدة </w:t>
      </w:r>
      <w:r w:rsidR="00501CF2">
        <w:rPr>
          <w:rFonts w:hint="cs"/>
          <w:rtl/>
        </w:rPr>
        <w:t>حديثا</w:t>
      </w:r>
      <w:r>
        <w:rPr>
          <w:rtl/>
        </w:rPr>
        <w:t xml:space="preserve"> في القانون الوطني وتتعلق بمواطن المرونة الواردة في قاعدة البيانات.</w:t>
      </w:r>
    </w:p>
    <w:p w:rsidR="004345C6" w:rsidRPr="00AA2D01" w:rsidRDefault="004345C6" w:rsidP="0081170A">
      <w:pPr>
        <w:pStyle w:val="NumberedParaAR"/>
      </w:pPr>
      <w:r>
        <w:rPr>
          <w:rFonts w:hint="cs"/>
          <w:rtl/>
        </w:rPr>
        <w:t xml:space="preserve">ويُدرج التحديث المبلّغ فورا في قاعدة البيانات </w:t>
      </w:r>
      <w:r w:rsidR="000A3556">
        <w:rPr>
          <w:rFonts w:hint="cs"/>
          <w:rtl/>
        </w:rPr>
        <w:t>تحت</w:t>
      </w:r>
      <w:r>
        <w:rPr>
          <w:rFonts w:hint="cs"/>
          <w:rtl/>
        </w:rPr>
        <w:t xml:space="preserve"> ركن جديد يسمّى </w:t>
      </w:r>
      <w:r w:rsidR="002C0864">
        <w:rPr>
          <w:rFonts w:hint="cs"/>
          <w:rtl/>
        </w:rPr>
        <w:t>"</w:t>
      </w:r>
      <w:r>
        <w:t>Updates by Member States</w:t>
      </w:r>
      <w:r w:rsidR="002C0864">
        <w:rPr>
          <w:rFonts w:hint="cs"/>
          <w:rtl/>
        </w:rPr>
        <w:t>"</w:t>
      </w:r>
      <w:r>
        <w:rPr>
          <w:rFonts w:hint="cs"/>
          <w:rtl/>
        </w:rPr>
        <w:t xml:space="preserve">. ويُذكر في ذلك الركن بوضوح أن </w:t>
      </w:r>
      <w:r w:rsidR="00617E59">
        <w:rPr>
          <w:rFonts w:hint="cs"/>
          <w:rtl/>
        </w:rPr>
        <w:t>هذه الأحكام أدرجت بناء على التماس من الدولة العضو و</w:t>
      </w:r>
      <w:r w:rsidR="000A3556">
        <w:rPr>
          <w:rFonts w:hint="cs"/>
          <w:rtl/>
        </w:rPr>
        <w:t xml:space="preserve">هذا </w:t>
      </w:r>
      <w:r w:rsidR="00617E59">
        <w:rPr>
          <w:rFonts w:hint="cs"/>
          <w:rtl/>
        </w:rPr>
        <w:t>لا يعكس</w:t>
      </w:r>
      <w:r w:rsidR="000A3556">
        <w:rPr>
          <w:rFonts w:hint="cs"/>
          <w:rtl/>
        </w:rPr>
        <w:t xml:space="preserve"> </w:t>
      </w:r>
      <w:r w:rsidR="00617E59">
        <w:rPr>
          <w:rFonts w:hint="cs"/>
          <w:rtl/>
        </w:rPr>
        <w:t xml:space="preserve">بأي شكل </w:t>
      </w:r>
      <w:r w:rsidR="00775510">
        <w:rPr>
          <w:rFonts w:hint="cs"/>
          <w:rtl/>
        </w:rPr>
        <w:t xml:space="preserve">من الأشكال </w:t>
      </w:r>
      <w:r w:rsidR="00617E59">
        <w:rPr>
          <w:rFonts w:hint="cs"/>
          <w:rtl/>
        </w:rPr>
        <w:t>تقييم</w:t>
      </w:r>
      <w:r w:rsidR="000A3556">
        <w:rPr>
          <w:rFonts w:hint="cs"/>
          <w:rtl/>
        </w:rPr>
        <w:t>ا</w:t>
      </w:r>
      <w:r w:rsidR="00617E59">
        <w:rPr>
          <w:rFonts w:hint="cs"/>
          <w:rtl/>
        </w:rPr>
        <w:t xml:space="preserve"> أجرته المنظمة </w:t>
      </w:r>
      <w:r>
        <w:rPr>
          <w:rFonts w:hint="cs"/>
          <w:rtl/>
        </w:rPr>
        <w:t xml:space="preserve">للتأكد من النطاق والمعايير التي اعتمدتها </w:t>
      </w:r>
      <w:r w:rsidRPr="00AA2D01">
        <w:rPr>
          <w:rFonts w:hint="eastAsia"/>
          <w:rtl/>
        </w:rPr>
        <w:t>اللجنة</w:t>
      </w:r>
      <w:r w:rsidRPr="00AA2D01">
        <w:rPr>
          <w:rtl/>
        </w:rPr>
        <w:t xml:space="preserve"> </w:t>
      </w:r>
      <w:r w:rsidR="000A3556" w:rsidRPr="00AA2D01">
        <w:rPr>
          <w:rFonts w:hint="eastAsia"/>
          <w:rtl/>
        </w:rPr>
        <w:t>أثناء</w:t>
      </w:r>
      <w:r w:rsidRPr="00AA2D01">
        <w:rPr>
          <w:rtl/>
        </w:rPr>
        <w:t xml:space="preserve"> مناقشة أوجه المرونة المحددة.</w:t>
      </w:r>
    </w:p>
    <w:p w:rsidR="00617E59" w:rsidRDefault="000A3556" w:rsidP="0081170A">
      <w:pPr>
        <w:pStyle w:val="NumberedParaAR"/>
      </w:pPr>
      <w:r>
        <w:rPr>
          <w:rFonts w:hint="cs"/>
          <w:rtl/>
        </w:rPr>
        <w:t>و</w:t>
      </w:r>
      <w:r w:rsidR="00617E59">
        <w:rPr>
          <w:rFonts w:hint="cs"/>
          <w:rtl/>
        </w:rPr>
        <w:t>تجري</w:t>
      </w:r>
      <w:r w:rsidR="00617E59">
        <w:rPr>
          <w:rtl/>
        </w:rPr>
        <w:t xml:space="preserve"> الأمانة </w:t>
      </w:r>
      <w:r w:rsidR="00617E59">
        <w:rPr>
          <w:rFonts w:hint="cs"/>
          <w:rtl/>
        </w:rPr>
        <w:t xml:space="preserve">الفحص </w:t>
      </w:r>
      <w:r w:rsidR="00617E59">
        <w:rPr>
          <w:rtl/>
        </w:rPr>
        <w:t xml:space="preserve">لتتأكد من أنه يتماشى فعلا والنطاق والمعايير </w:t>
      </w:r>
      <w:r>
        <w:rPr>
          <w:rFonts w:hint="cs"/>
          <w:rtl/>
        </w:rPr>
        <w:t>المذكور</w:t>
      </w:r>
      <w:r w:rsidR="00617E59">
        <w:rPr>
          <w:rFonts w:hint="cs"/>
          <w:rtl/>
        </w:rPr>
        <w:t>ين أعلاه.</w:t>
      </w:r>
    </w:p>
    <w:p w:rsidR="00617E59" w:rsidRDefault="00617E59" w:rsidP="0081170A">
      <w:pPr>
        <w:pStyle w:val="NumberedParaAR"/>
      </w:pPr>
      <w:r>
        <w:rPr>
          <w:rtl/>
        </w:rPr>
        <w:t xml:space="preserve">فإذا تبيّن أن المواد المحدّثة تتماشى والنطاق والمعايير، </w:t>
      </w:r>
      <w:r>
        <w:rPr>
          <w:rFonts w:hint="cs"/>
          <w:rtl/>
        </w:rPr>
        <w:t>تنقل</w:t>
      </w:r>
      <w:r>
        <w:rPr>
          <w:rtl/>
        </w:rPr>
        <w:t xml:space="preserve"> الأمانة في غضون ستة أشهر تلك </w:t>
      </w:r>
      <w:r>
        <w:rPr>
          <w:rFonts w:hint="cs"/>
          <w:rtl/>
        </w:rPr>
        <w:t>المواد المحدثة من ركن "</w:t>
      </w:r>
      <w:r>
        <w:t>Updates by Member States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 xml:space="preserve">إلى </w:t>
      </w:r>
      <w:r w:rsidR="000A3556">
        <w:rPr>
          <w:rFonts w:hint="cs"/>
          <w:rtl/>
        </w:rPr>
        <w:t>ال</w:t>
      </w:r>
      <w:r>
        <w:rPr>
          <w:rFonts w:hint="cs"/>
          <w:rtl/>
        </w:rPr>
        <w:t xml:space="preserve">قسم </w:t>
      </w:r>
      <w:r w:rsidR="000A3556">
        <w:rPr>
          <w:rFonts w:hint="cs"/>
          <w:rtl/>
        </w:rPr>
        <w:t>المخصص ل</w:t>
      </w:r>
      <w:r>
        <w:rPr>
          <w:rFonts w:hint="cs"/>
          <w:rtl/>
        </w:rPr>
        <w:t>لأحكام القائمة</w:t>
      </w:r>
      <w:r w:rsidR="000A3556" w:rsidRPr="000A3556">
        <w:rPr>
          <w:rFonts w:hint="cs"/>
          <w:rtl/>
        </w:rPr>
        <w:t xml:space="preserve"> </w:t>
      </w:r>
      <w:r w:rsidR="000A3556">
        <w:rPr>
          <w:rFonts w:hint="cs"/>
          <w:rtl/>
        </w:rPr>
        <w:t xml:space="preserve">في </w:t>
      </w:r>
      <w:r w:rsidR="000A3556">
        <w:rPr>
          <w:rtl/>
        </w:rPr>
        <w:t>قاعدة البيانات</w:t>
      </w:r>
      <w:r>
        <w:rPr>
          <w:rtl/>
        </w:rPr>
        <w:t>.</w:t>
      </w:r>
    </w:p>
    <w:p w:rsidR="0022609E" w:rsidRDefault="0022609E" w:rsidP="0081170A">
      <w:pPr>
        <w:pStyle w:val="NumberedParaAR"/>
      </w:pPr>
      <w:r>
        <w:rPr>
          <w:rtl/>
        </w:rPr>
        <w:t>وإذا أشارت المواد المحدثة إلى تعديل في مادة أو أكثر ترد بالفعل في قاعدة البيانات، تحل المادة ا</w:t>
      </w:r>
      <w:r w:rsidR="00697420">
        <w:rPr>
          <w:rtl/>
        </w:rPr>
        <w:t xml:space="preserve">لمحدثة محل المادة القائمة. وإن </w:t>
      </w:r>
      <w:r w:rsidR="00697420">
        <w:rPr>
          <w:rFonts w:hint="cs"/>
          <w:rtl/>
        </w:rPr>
        <w:t>أ</w:t>
      </w:r>
      <w:r>
        <w:rPr>
          <w:rtl/>
        </w:rPr>
        <w:t>شارت المواد المحدثة إلى مادة غير سابقة، فإنها تضاف تحت أوجه المرونة ذات الصلة الواردة في قاعدة البيانات.</w:t>
      </w:r>
    </w:p>
    <w:p w:rsidR="0022609E" w:rsidRDefault="0022609E" w:rsidP="00775510">
      <w:pPr>
        <w:pStyle w:val="NumberedParaAR"/>
      </w:pPr>
      <w:r>
        <w:rPr>
          <w:rtl/>
        </w:rPr>
        <w:t xml:space="preserve">وإذا تبيّن أن المواد المحدثة لا تتماشى والنطاق والمعايير </w:t>
      </w:r>
      <w:r w:rsidR="002C0864">
        <w:rPr>
          <w:rFonts w:hint="cs"/>
          <w:rtl/>
        </w:rPr>
        <w:t xml:space="preserve">فإنها تبقى في ركن </w:t>
      </w:r>
      <w:r w:rsidR="002C0864" w:rsidRPr="002C0864">
        <w:rPr>
          <w:rtl/>
        </w:rPr>
        <w:t>"</w:t>
      </w:r>
      <w:r w:rsidR="002C0864" w:rsidRPr="002C0864">
        <w:t>Updates by Member States</w:t>
      </w:r>
      <w:r w:rsidR="002C0864" w:rsidRPr="002C0864">
        <w:rPr>
          <w:rtl/>
        </w:rPr>
        <w:t>"</w:t>
      </w:r>
      <w:r w:rsidR="002C0864">
        <w:rPr>
          <w:rFonts w:hint="cs"/>
          <w:rtl/>
        </w:rPr>
        <w:t xml:space="preserve"> ما لم تلتمس الدولة العضو المعنية </w:t>
      </w:r>
      <w:r w:rsidR="00775510">
        <w:rPr>
          <w:rFonts w:hint="cs"/>
          <w:rtl/>
        </w:rPr>
        <w:t xml:space="preserve">صراحة </w:t>
      </w:r>
      <w:r w:rsidR="002C0864">
        <w:rPr>
          <w:rFonts w:hint="cs"/>
          <w:rtl/>
        </w:rPr>
        <w:t>إزالتها.</w:t>
      </w:r>
    </w:p>
    <w:p w:rsidR="002C0864" w:rsidRDefault="002C0864" w:rsidP="0081170A">
      <w:pPr>
        <w:pStyle w:val="NumberedParaAR"/>
      </w:pPr>
      <w:r>
        <w:rPr>
          <w:rtl/>
        </w:rPr>
        <w:t xml:space="preserve">وترفع الأمانة تقريرا سنويا </w:t>
      </w:r>
      <w:r w:rsidR="00697420">
        <w:rPr>
          <w:rtl/>
        </w:rPr>
        <w:t xml:space="preserve">إلى اللجنة </w:t>
      </w:r>
      <w:r>
        <w:rPr>
          <w:rtl/>
        </w:rPr>
        <w:t xml:space="preserve">بالتحديثات </w:t>
      </w:r>
      <w:r>
        <w:rPr>
          <w:rFonts w:hint="cs"/>
          <w:rtl/>
        </w:rPr>
        <w:t>التي قدمتها</w:t>
      </w:r>
      <w:r>
        <w:rPr>
          <w:rtl/>
        </w:rPr>
        <w:t xml:space="preserve"> الدول الأعضاء </w:t>
      </w:r>
      <w:r>
        <w:rPr>
          <w:rFonts w:hint="cs"/>
          <w:rtl/>
        </w:rPr>
        <w:t xml:space="preserve">وإضافتها إلى مختلف أركان </w:t>
      </w:r>
      <w:r>
        <w:rPr>
          <w:rtl/>
        </w:rPr>
        <w:t>قاعدة البيانات.</w:t>
      </w:r>
    </w:p>
    <w:p w:rsidR="00617E59" w:rsidRDefault="002C0864" w:rsidP="0081170A">
      <w:pPr>
        <w:pStyle w:val="NumberedParaAR"/>
      </w:pPr>
      <w:r>
        <w:rPr>
          <w:rtl/>
        </w:rPr>
        <w:t>وفيما يلي تقدير بالميزانية اللازمة لتنفيذ هذا الخيار: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718"/>
        <w:gridCol w:w="4718"/>
      </w:tblGrid>
      <w:tr w:rsidR="002C0864" w:rsidRPr="003F1CA3" w:rsidTr="00345B01">
        <w:trPr>
          <w:trHeight w:val="257"/>
        </w:trPr>
        <w:tc>
          <w:tcPr>
            <w:tcW w:w="4718" w:type="dxa"/>
          </w:tcPr>
          <w:p w:rsidR="002C0864" w:rsidRPr="0081170A" w:rsidRDefault="002C0864" w:rsidP="0081170A">
            <w:pPr>
              <w:tabs>
                <w:tab w:val="num" w:pos="1134"/>
              </w:tabs>
              <w:bidi/>
              <w:spacing w:after="240" w:line="360" w:lineRule="exact"/>
              <w:rPr>
                <w:rFonts w:eastAsia="SimSun"/>
                <w:bCs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>تكلفة غير متكررة</w:t>
            </w:r>
          </w:p>
        </w:tc>
        <w:tc>
          <w:tcPr>
            <w:tcW w:w="4718" w:type="dxa"/>
          </w:tcPr>
          <w:p w:rsidR="002C0864" w:rsidRPr="0081170A" w:rsidRDefault="002C0864" w:rsidP="0081170A">
            <w:pPr>
              <w:bidi/>
              <w:spacing w:after="240" w:line="360" w:lineRule="exact"/>
              <w:rPr>
                <w:rFonts w:eastAsia="SimSun"/>
                <w:bCs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rtl/>
                <w:lang w:eastAsia="zh-CN"/>
              </w:rPr>
              <w:t>تكلفة متكررة لخمسة تحديثات في السنة</w:t>
            </w:r>
          </w:p>
        </w:tc>
      </w:tr>
      <w:tr w:rsidR="002C0864" w:rsidRPr="00925E7F" w:rsidTr="00345B01">
        <w:trPr>
          <w:trHeight w:val="1160"/>
        </w:trPr>
        <w:tc>
          <w:tcPr>
            <w:tcW w:w="4718" w:type="dxa"/>
            <w:vMerge w:val="restart"/>
          </w:tcPr>
          <w:p w:rsidR="002C0864" w:rsidRPr="00925E7F" w:rsidRDefault="002C0864" w:rsidP="0081170A">
            <w:pPr>
              <w:bidi/>
              <w:spacing w:after="240" w:line="360" w:lineRule="exact"/>
              <w:rPr>
                <w:rFonts w:eastAsia="SimSun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التطوير التقني: 36</w:t>
            </w:r>
            <w:r w:rsidR="00697420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833 فرنكا سويسريا</w:t>
            </w:r>
          </w:p>
          <w:p w:rsidR="002C0864" w:rsidRPr="00925E7F" w:rsidRDefault="002C0864" w:rsidP="0081170A">
            <w:pPr>
              <w:tabs>
                <w:tab w:val="num" w:pos="1134"/>
              </w:tabs>
              <w:bidi/>
              <w:spacing w:after="240" w:line="360" w:lineRule="exact"/>
              <w:rPr>
                <w:rFonts w:eastAsia="SimSun"/>
                <w:b/>
                <w:u w:val="single"/>
                <w:lang w:eastAsia="zh-CN"/>
              </w:rPr>
            </w:pPr>
          </w:p>
        </w:tc>
        <w:tc>
          <w:tcPr>
            <w:tcW w:w="4718" w:type="dxa"/>
          </w:tcPr>
          <w:p w:rsidR="002C0864" w:rsidRDefault="002C0864" w:rsidP="0081170A">
            <w:pPr>
              <w:tabs>
                <w:tab w:val="num" w:pos="1134"/>
              </w:tabs>
              <w:bidi/>
              <w:spacing w:after="240" w:line="360" w:lineRule="exact"/>
              <w:contextualSpacing/>
              <w:rPr>
                <w:rFonts w:eastAsia="SimSun"/>
                <w:rtl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الأعمال القانونية: 16</w:t>
            </w:r>
            <w:r w:rsidR="00697420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767 فرنكا سويسريا</w:t>
            </w:r>
          </w:p>
          <w:p w:rsidR="002C0864" w:rsidRPr="00697420" w:rsidRDefault="00697420" w:rsidP="0081170A">
            <w:pPr>
              <w:tabs>
                <w:tab w:val="num" w:pos="1134"/>
              </w:tabs>
              <w:bidi/>
              <w:spacing w:after="240" w:line="360" w:lineRule="exact"/>
              <w:contextualSpacing/>
              <w:rPr>
                <w:rFonts w:eastAsia="SimSun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الأعمال الإدارية</w:t>
            </w:r>
            <w:r w:rsidR="002C0864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: 16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,</w:t>
            </w:r>
            <w:r w:rsidR="002C0864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283 فرنكا سويسريا</w:t>
            </w:r>
          </w:p>
        </w:tc>
      </w:tr>
      <w:tr w:rsidR="002C0864" w:rsidRPr="005C2604" w:rsidTr="00345B01">
        <w:trPr>
          <w:trHeight w:val="838"/>
        </w:trPr>
        <w:tc>
          <w:tcPr>
            <w:tcW w:w="4718" w:type="dxa"/>
            <w:vMerge/>
            <w:tcBorders>
              <w:bottom w:val="single" w:sz="4" w:space="0" w:color="auto"/>
            </w:tcBorders>
          </w:tcPr>
          <w:p w:rsidR="002C0864" w:rsidRPr="00925E7F" w:rsidRDefault="002C0864" w:rsidP="0081170A">
            <w:pPr>
              <w:bidi/>
              <w:spacing w:after="240" w:line="360" w:lineRule="exact"/>
              <w:rPr>
                <w:rFonts w:eastAsia="SimSun"/>
                <w:lang w:eastAsia="zh-CN"/>
              </w:rPr>
            </w:pP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2C0864" w:rsidRPr="003F1CA3" w:rsidRDefault="002C0864" w:rsidP="0081170A">
            <w:pPr>
              <w:tabs>
                <w:tab w:val="num" w:pos="1134"/>
              </w:tabs>
              <w:bidi/>
              <w:spacing w:after="240" w:line="360" w:lineRule="exact"/>
              <w:contextualSpacing/>
              <w:rPr>
                <w:rFonts w:eastAsia="SimSun"/>
                <w:u w:val="single"/>
                <w:lang w:eastAsia="zh-CN"/>
              </w:rPr>
            </w:pPr>
            <w:r w:rsidRPr="0081170A"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>الإجمالي: 33</w:t>
            </w:r>
            <w:r w:rsidR="00697420" w:rsidRPr="0081170A"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>,</w:t>
            </w:r>
            <w:r w:rsidRPr="0081170A"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rtl/>
                <w:lang w:eastAsia="zh-CN"/>
              </w:rPr>
              <w:t>050 فرنكا سويسريا</w:t>
            </w:r>
          </w:p>
        </w:tc>
      </w:tr>
    </w:tbl>
    <w:p w:rsidR="005D0F08" w:rsidRDefault="00BF19AB" w:rsidP="0081170A">
      <w:pPr>
        <w:pStyle w:val="NumberedParaAR"/>
        <w:spacing w:before="240"/>
      </w:pPr>
      <w:r>
        <w:rPr>
          <w:rtl/>
        </w:rPr>
        <w:t>و</w:t>
      </w:r>
      <w:r>
        <w:rPr>
          <w:rFonts w:hint="cs"/>
          <w:rtl/>
        </w:rPr>
        <w:t xml:space="preserve">يشمل الجدول أعلاه </w:t>
      </w:r>
      <w:r>
        <w:rPr>
          <w:rtl/>
        </w:rPr>
        <w:t>ال</w:t>
      </w:r>
      <w:r>
        <w:rPr>
          <w:rFonts w:hint="cs"/>
          <w:rtl/>
        </w:rPr>
        <w:t>ت</w:t>
      </w:r>
      <w:r>
        <w:rPr>
          <w:rtl/>
        </w:rPr>
        <w:t>كلفة غير المتكررة</w:t>
      </w:r>
      <w:r>
        <w:rPr>
          <w:rFonts w:hint="cs"/>
          <w:rtl/>
        </w:rPr>
        <w:t xml:space="preserve"> المتعلقة بالتطوير التقني لمنصة جديدة والتكلفة المتكررة ل</w:t>
      </w:r>
      <w:r>
        <w:rPr>
          <w:rtl/>
        </w:rPr>
        <w:t xml:space="preserve">خمسة تحديثات </w:t>
      </w:r>
      <w:r>
        <w:rPr>
          <w:rFonts w:hint="cs"/>
          <w:rtl/>
        </w:rPr>
        <w:t xml:space="preserve">افتراضية </w:t>
      </w:r>
      <w:r>
        <w:rPr>
          <w:rtl/>
        </w:rPr>
        <w:t xml:space="preserve">في </w:t>
      </w:r>
      <w:r>
        <w:rPr>
          <w:rFonts w:hint="cs"/>
          <w:rtl/>
        </w:rPr>
        <w:t>السنة</w:t>
      </w:r>
      <w:r>
        <w:rPr>
          <w:rtl/>
        </w:rPr>
        <w:t>.</w:t>
      </w:r>
      <w:r w:rsidR="005D0F08">
        <w:rPr>
          <w:rFonts w:hint="cs"/>
          <w:rtl/>
        </w:rPr>
        <w:t xml:space="preserve"> وقد تختلف الكلفة المتكررة حسب طول الحكم المبلغ وتعق</w:t>
      </w:r>
      <w:r w:rsidR="00775510">
        <w:rPr>
          <w:rFonts w:hint="cs"/>
          <w:rtl/>
        </w:rPr>
        <w:t>يد</w:t>
      </w:r>
      <w:r w:rsidR="005D0F08">
        <w:rPr>
          <w:rFonts w:hint="cs"/>
          <w:rtl/>
        </w:rPr>
        <w:t xml:space="preserve">ه أو </w:t>
      </w:r>
      <w:r w:rsidR="00697420">
        <w:rPr>
          <w:rFonts w:hint="cs"/>
          <w:rtl/>
        </w:rPr>
        <w:t xml:space="preserve">حسب </w:t>
      </w:r>
      <w:r w:rsidR="005D0F08">
        <w:rPr>
          <w:rFonts w:hint="cs"/>
          <w:rtl/>
        </w:rPr>
        <w:t>أي عناصر أخرى غير متوقعة قد تطرأ أثناء التقييم.</w:t>
      </w:r>
    </w:p>
    <w:p w:rsidR="005D0F08" w:rsidRDefault="00775510" w:rsidP="00110EBF">
      <w:pPr>
        <w:pStyle w:val="NumberedParaAR"/>
        <w:spacing w:before="240"/>
      </w:pPr>
      <w:r>
        <w:rPr>
          <w:rFonts w:hint="cs"/>
          <w:rtl/>
        </w:rPr>
        <w:lastRenderedPageBreak/>
        <w:t xml:space="preserve">ويمكن أن تستوعب الموارد الحالية في المنظمة </w:t>
      </w:r>
      <w:r w:rsidR="005D0F08">
        <w:rPr>
          <w:rFonts w:hint="cs"/>
          <w:rtl/>
        </w:rPr>
        <w:t xml:space="preserve">التكلفة المتكررة </w:t>
      </w:r>
      <w:r w:rsidR="00345B01">
        <w:rPr>
          <w:rFonts w:hint="cs"/>
          <w:rtl/>
        </w:rPr>
        <w:t xml:space="preserve">الواردة في الخيارات الثلاثة أعلاه </w:t>
      </w:r>
      <w:r>
        <w:rPr>
          <w:rFonts w:hint="cs"/>
          <w:rtl/>
        </w:rPr>
        <w:t>القائمة</w:t>
      </w:r>
      <w:r w:rsidR="00697420">
        <w:rPr>
          <w:rFonts w:hint="cs"/>
          <w:rtl/>
        </w:rPr>
        <w:t xml:space="preserve"> على فرضية</w:t>
      </w:r>
      <w:r w:rsidR="00345B01">
        <w:rPr>
          <w:rFonts w:hint="cs"/>
          <w:rtl/>
        </w:rPr>
        <w:t xml:space="preserve"> خمسة تحديثات في السنة </w:t>
      </w:r>
      <w:r>
        <w:rPr>
          <w:rFonts w:hint="cs"/>
          <w:rtl/>
        </w:rPr>
        <w:t xml:space="preserve">ولكن </w:t>
      </w:r>
      <w:r w:rsidR="00697420">
        <w:rPr>
          <w:rFonts w:hint="cs"/>
          <w:rtl/>
        </w:rPr>
        <w:t xml:space="preserve">إن زادت التحديثات الواجب معالجتها في </w:t>
      </w:r>
      <w:r w:rsidR="00345B01">
        <w:rPr>
          <w:rFonts w:hint="cs"/>
          <w:rtl/>
        </w:rPr>
        <w:t xml:space="preserve">أي من الخيارات الموضحة أعلاه، قد </w:t>
      </w:r>
      <w:r w:rsidR="00110EBF">
        <w:rPr>
          <w:rFonts w:hint="cs"/>
          <w:rtl/>
        </w:rPr>
        <w:t>تطرأ</w:t>
      </w:r>
      <w:r w:rsidR="00697420">
        <w:rPr>
          <w:rFonts w:hint="cs"/>
          <w:rtl/>
        </w:rPr>
        <w:t xml:space="preserve"> حاجة إلى </w:t>
      </w:r>
      <w:r w:rsidR="00345B01">
        <w:rPr>
          <w:rFonts w:hint="cs"/>
          <w:rtl/>
        </w:rPr>
        <w:t>موارد بشرية ومالية إضافية.</w:t>
      </w:r>
    </w:p>
    <w:p w:rsidR="00423720" w:rsidRDefault="00C32C2E" w:rsidP="0081170A">
      <w:pPr>
        <w:pStyle w:val="NumberedParaAR"/>
      </w:pPr>
      <w:r>
        <w:rPr>
          <w:rFonts w:hint="cs"/>
          <w:rtl/>
        </w:rPr>
        <w:t xml:space="preserve">وأيّاً كان قرار اللجنة في </w:t>
      </w:r>
      <w:r w:rsidR="00345B01">
        <w:rPr>
          <w:rFonts w:hint="cs"/>
          <w:rtl/>
        </w:rPr>
        <w:t xml:space="preserve">الخيارات </w:t>
      </w:r>
      <w:r>
        <w:rPr>
          <w:rFonts w:hint="cs"/>
          <w:rtl/>
        </w:rPr>
        <w:t>الوارد</w:t>
      </w:r>
      <w:r w:rsidR="00345B01">
        <w:rPr>
          <w:rFonts w:hint="cs"/>
          <w:rtl/>
        </w:rPr>
        <w:t>ة</w:t>
      </w:r>
      <w:r>
        <w:rPr>
          <w:rFonts w:hint="cs"/>
          <w:rtl/>
        </w:rPr>
        <w:t xml:space="preserve"> أعلاه،</w:t>
      </w:r>
      <w:r w:rsidR="00697420">
        <w:rPr>
          <w:rFonts w:hint="cs"/>
          <w:rtl/>
        </w:rPr>
        <w:t xml:space="preserve"> </w:t>
      </w:r>
      <w:r w:rsidR="00345B01">
        <w:rPr>
          <w:rFonts w:hint="cs"/>
          <w:rtl/>
        </w:rPr>
        <w:t xml:space="preserve">تجدر الإشارة إلى أن التحديثات ستضاف </w:t>
      </w:r>
      <w:r w:rsidR="00697420">
        <w:rPr>
          <w:rFonts w:hint="cs"/>
          <w:rtl/>
        </w:rPr>
        <w:t>فقط</w:t>
      </w:r>
      <w:r w:rsidR="00345B01">
        <w:rPr>
          <w:rFonts w:hint="cs"/>
          <w:rtl/>
        </w:rPr>
        <w:t xml:space="preserve"> إلى قاعدة البيانات وأن الوثائق المرجعية الحالية وأية وثائق أخرى ذات صلة ستظل </w:t>
      </w:r>
      <w:r w:rsidR="009E4056">
        <w:rPr>
          <w:rFonts w:hint="cs"/>
          <w:rtl/>
        </w:rPr>
        <w:t>على حالها</w:t>
      </w:r>
      <w:r w:rsidR="00345B01">
        <w:rPr>
          <w:rFonts w:hint="cs"/>
          <w:rtl/>
        </w:rPr>
        <w:t>.</w:t>
      </w:r>
    </w:p>
    <w:p w:rsidR="00925E7F" w:rsidRDefault="00F007BD" w:rsidP="0081170A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p w:rsidR="00F007BD" w:rsidRPr="00F007BD" w:rsidRDefault="00F007BD" w:rsidP="0081170A">
      <w:pPr>
        <w:rPr>
          <w:rtl/>
        </w:rPr>
      </w:pPr>
      <w:bookmarkStart w:id="3" w:name="TitleOfDoc"/>
      <w:bookmarkStart w:id="4" w:name="Prepared"/>
      <w:bookmarkEnd w:id="3"/>
      <w:bookmarkEnd w:id="4"/>
    </w:p>
    <w:sectPr w:rsidR="00F007BD" w:rsidRPr="00F007BD" w:rsidSect="00F007BD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01" w:rsidRDefault="00345B01">
      <w:r>
        <w:separator/>
      </w:r>
    </w:p>
  </w:endnote>
  <w:endnote w:type="continuationSeparator" w:id="0">
    <w:p w:rsidR="00345B01" w:rsidRDefault="0034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01" w:rsidRDefault="00345B0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45B01" w:rsidRDefault="00345B01" w:rsidP="009622BF">
      <w:pPr>
        <w:bidi/>
      </w:pPr>
      <w:r>
        <w:separator/>
      </w:r>
    </w:p>
  </w:footnote>
  <w:footnote w:id="1">
    <w:p w:rsidR="00345B01" w:rsidRDefault="00345B01" w:rsidP="000671C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أشرنا أعلاه إلى أن قاعدة البيانات تتضمن حاليا أحكاما مستمدة من الوثائق المعدّة بشأن </w:t>
      </w:r>
      <w:r w:rsidRPr="009C37A9">
        <w:rPr>
          <w:rtl/>
        </w:rPr>
        <w:t>مواطن المرونة المتعلقة بالبراءات في الإطار القانوني متعدد الأطراف وتنفيذها التشريعي على الصعيد الوطني والإقليمي</w:t>
      </w:r>
      <w:r>
        <w:rPr>
          <w:rFonts w:hint="cs"/>
          <w:rtl/>
        </w:rPr>
        <w:t xml:space="preserve">، أي </w:t>
      </w:r>
      <w:r w:rsidRPr="002F2EBD">
        <w:rPr>
          <w:rtl/>
        </w:rPr>
        <w:t>الوثائق</w:t>
      </w:r>
      <w:r w:rsidR="000671C4">
        <w:rPr>
          <w:rFonts w:hint="cs"/>
          <w:rtl/>
        </w:rPr>
        <w:t> </w:t>
      </w:r>
      <w:r>
        <w:t>CDIP/5/4</w:t>
      </w:r>
      <w:r w:rsidRPr="002F2EBD">
        <w:rPr>
          <w:rtl/>
        </w:rPr>
        <w:t xml:space="preserve"> </w:t>
      </w:r>
      <w:r>
        <w:rPr>
          <w:rFonts w:hint="cs"/>
          <w:rtl/>
          <w:lang w:bidi="ar-EG"/>
        </w:rPr>
        <w:t>و</w:t>
      </w:r>
      <w:r w:rsidRPr="002F2EBD">
        <w:t>CDIP/7/3 Add</w:t>
      </w:r>
      <w:r w:rsidR="001400A3">
        <w:t>.</w:t>
      </w:r>
      <w:r w:rsidRPr="002F2EBD">
        <w:rPr>
          <w:rtl/>
        </w:rPr>
        <w:t xml:space="preserve"> و</w:t>
      </w:r>
      <w:r w:rsidRPr="002F2EBD">
        <w:t>CDIP/13/10 Rev</w:t>
      </w:r>
      <w:r>
        <w:rPr>
          <w:rFonts w:hint="cs"/>
          <w:rtl/>
        </w:rPr>
        <w:t xml:space="preserve"> </w:t>
      </w:r>
      <w:r w:rsidRPr="002F2EBD">
        <w:rPr>
          <w:rtl/>
        </w:rPr>
        <w:t>و</w:t>
      </w:r>
      <w:r w:rsidRPr="002F2EBD">
        <w:t>CDIP/15/6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1" w:rsidRDefault="00345B01" w:rsidP="00A361E8">
    <w:r>
      <w:t>CDIP/17/--</w:t>
    </w:r>
  </w:p>
  <w:p w:rsidR="00345B01" w:rsidRDefault="00345B01" w:rsidP="00D61541">
    <w:r>
      <w:fldChar w:fldCharType="begin"/>
    </w:r>
    <w:r>
      <w:instrText xml:space="preserve"> PAGE  \* MERGEFORMAT </w:instrText>
    </w:r>
    <w:r>
      <w:fldChar w:fldCharType="separate"/>
    </w:r>
    <w:r w:rsidR="001707FA">
      <w:rPr>
        <w:noProof/>
      </w:rPr>
      <w:t>5</w:t>
    </w:r>
    <w:r>
      <w:fldChar w:fldCharType="end"/>
    </w:r>
  </w:p>
  <w:p w:rsidR="00345B01" w:rsidRDefault="00345B01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1" w:rsidRDefault="00345B01" w:rsidP="00F007BD">
    <w:pPr>
      <w:rPr>
        <w:szCs w:val="22"/>
        <w:rtl/>
      </w:rPr>
    </w:pPr>
    <w:r w:rsidRPr="00F007BD">
      <w:rPr>
        <w:szCs w:val="22"/>
      </w:rPr>
      <w:t>CDIP/1</w:t>
    </w:r>
    <w:r w:rsidR="00AC4B54">
      <w:rPr>
        <w:szCs w:val="22"/>
      </w:rPr>
      <w:t>8</w:t>
    </w:r>
    <w:r w:rsidRPr="00F007BD">
      <w:rPr>
        <w:szCs w:val="22"/>
      </w:rPr>
      <w:t>/</w:t>
    </w:r>
    <w:r w:rsidRPr="00F007BD">
      <w:rPr>
        <w:rFonts w:hint="cs"/>
        <w:szCs w:val="22"/>
        <w:rtl/>
      </w:rPr>
      <w:t>5</w:t>
    </w:r>
  </w:p>
  <w:p w:rsidR="00AC4B54" w:rsidRDefault="00AC4B54" w:rsidP="00D61541">
    <w:pPr>
      <w:rPr>
        <w:szCs w:val="22"/>
      </w:rPr>
    </w:pPr>
    <w:r>
      <w:rPr>
        <w:szCs w:val="22"/>
      </w:rPr>
      <w:t>Annex</w:t>
    </w:r>
  </w:p>
  <w:p w:rsidR="00345B01" w:rsidRDefault="00345B01" w:rsidP="00D61541">
    <w:r>
      <w:fldChar w:fldCharType="begin"/>
    </w:r>
    <w:r>
      <w:instrText xml:space="preserve"> PAGE  \* MERGEFORMAT </w:instrText>
    </w:r>
    <w:r>
      <w:fldChar w:fldCharType="separate"/>
    </w:r>
    <w:r w:rsidR="000F3579">
      <w:rPr>
        <w:noProof/>
      </w:rPr>
      <w:t>2</w:t>
    </w:r>
    <w:r>
      <w:fldChar w:fldCharType="end"/>
    </w:r>
  </w:p>
  <w:p w:rsidR="00345B01" w:rsidRDefault="00345B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01" w:rsidRDefault="00345B01">
    <w:pPr>
      <w:pStyle w:val="Header"/>
    </w:pPr>
    <w:r>
      <w:t>CDIP/1</w:t>
    </w:r>
    <w:r w:rsidR="00AC4B54">
      <w:t>8</w:t>
    </w:r>
    <w:r>
      <w:t>/5</w:t>
    </w:r>
  </w:p>
  <w:p w:rsidR="00345B01" w:rsidRDefault="00345B01">
    <w:pPr>
      <w:pStyle w:val="Header"/>
    </w:pPr>
    <w:r>
      <w:t>ANNEX</w:t>
    </w:r>
  </w:p>
  <w:p w:rsidR="00345B01" w:rsidRPr="00F007BD" w:rsidRDefault="00345B01" w:rsidP="0081170A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F007BD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44F6FD9A"/>
    <w:lvl w:ilvl="0" w:tplc="8BA6FAE8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209B4"/>
    <w:multiLevelType w:val="multilevel"/>
    <w:tmpl w:val="03C043D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6930DE"/>
    <w:multiLevelType w:val="hybridMultilevel"/>
    <w:tmpl w:val="08FC0712"/>
    <w:lvl w:ilvl="0" w:tplc="A60CAD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66CA"/>
    <w:multiLevelType w:val="hybridMultilevel"/>
    <w:tmpl w:val="5FD6218E"/>
    <w:lvl w:ilvl="0" w:tplc="59BC0176">
      <w:start w:val="1"/>
      <w:numFmt w:val="arabicAlpha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3"/>
  </w:num>
  <w:num w:numId="8">
    <w:abstractNumId w:val="19"/>
  </w:num>
  <w:num w:numId="9">
    <w:abstractNumId w:val="18"/>
  </w:num>
  <w:num w:numId="10">
    <w:abstractNumId w:val="22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  <w:num w:numId="22">
    <w:abstractNumId w:val="17"/>
  </w:num>
  <w:num w:numId="23">
    <w:abstractNumId w:val="12"/>
  </w:num>
  <w:num w:numId="24">
    <w:abstractNumId w:val="12"/>
  </w:num>
  <w:num w:numId="25">
    <w:abstractNumId w:val="16"/>
  </w:num>
  <w:num w:numId="26">
    <w:abstractNumId w:val="14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E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37859"/>
    <w:rsid w:val="00040637"/>
    <w:rsid w:val="00040688"/>
    <w:rsid w:val="0004070F"/>
    <w:rsid w:val="00040DA2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1C4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556"/>
    <w:rsid w:val="000A3A57"/>
    <w:rsid w:val="000A4828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05B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080"/>
    <w:rsid w:val="000E591F"/>
    <w:rsid w:val="000E5A23"/>
    <w:rsid w:val="000E6045"/>
    <w:rsid w:val="000E7872"/>
    <w:rsid w:val="000F0772"/>
    <w:rsid w:val="000F0BE5"/>
    <w:rsid w:val="000F0F0D"/>
    <w:rsid w:val="000F0FF7"/>
    <w:rsid w:val="000F1B52"/>
    <w:rsid w:val="000F1C70"/>
    <w:rsid w:val="000F1EAA"/>
    <w:rsid w:val="000F30D5"/>
    <w:rsid w:val="000F33C5"/>
    <w:rsid w:val="000F3579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0C4D"/>
    <w:rsid w:val="00110EBF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2B3"/>
    <w:rsid w:val="00135C24"/>
    <w:rsid w:val="00136389"/>
    <w:rsid w:val="00136A1A"/>
    <w:rsid w:val="00136A96"/>
    <w:rsid w:val="001376B6"/>
    <w:rsid w:val="001400A3"/>
    <w:rsid w:val="00140A35"/>
    <w:rsid w:val="00142682"/>
    <w:rsid w:val="00142F4D"/>
    <w:rsid w:val="00143428"/>
    <w:rsid w:val="0014412C"/>
    <w:rsid w:val="00144713"/>
    <w:rsid w:val="00144CC3"/>
    <w:rsid w:val="00145FD6"/>
    <w:rsid w:val="001476F5"/>
    <w:rsid w:val="0015009D"/>
    <w:rsid w:val="00151493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0C5"/>
    <w:rsid w:val="001550DF"/>
    <w:rsid w:val="00155CEA"/>
    <w:rsid w:val="00156153"/>
    <w:rsid w:val="001563D9"/>
    <w:rsid w:val="00156428"/>
    <w:rsid w:val="001568F4"/>
    <w:rsid w:val="00156C47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07FA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748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08DD"/>
    <w:rsid w:val="001D1331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2BCF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09E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3A31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31B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9C4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864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BD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27B"/>
    <w:rsid w:val="00311453"/>
    <w:rsid w:val="003114C9"/>
    <w:rsid w:val="0031229D"/>
    <w:rsid w:val="00314E12"/>
    <w:rsid w:val="00316641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37CD3"/>
    <w:rsid w:val="0034007D"/>
    <w:rsid w:val="00341935"/>
    <w:rsid w:val="003433E5"/>
    <w:rsid w:val="00344082"/>
    <w:rsid w:val="0034582C"/>
    <w:rsid w:val="00345916"/>
    <w:rsid w:val="00345B01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4EBB"/>
    <w:rsid w:val="00395987"/>
    <w:rsid w:val="00396375"/>
    <w:rsid w:val="00396801"/>
    <w:rsid w:val="00396E82"/>
    <w:rsid w:val="00397BF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E1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5B6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1CA3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1E9"/>
    <w:rsid w:val="004058B4"/>
    <w:rsid w:val="00405C45"/>
    <w:rsid w:val="004061FC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3720"/>
    <w:rsid w:val="00424BB4"/>
    <w:rsid w:val="004258CD"/>
    <w:rsid w:val="004261D2"/>
    <w:rsid w:val="004303D1"/>
    <w:rsid w:val="00433C0A"/>
    <w:rsid w:val="004345C6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6B01"/>
    <w:rsid w:val="004773F7"/>
    <w:rsid w:val="00477DBB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8AD"/>
    <w:rsid w:val="00490ED4"/>
    <w:rsid w:val="00491B91"/>
    <w:rsid w:val="00491C21"/>
    <w:rsid w:val="00491C66"/>
    <w:rsid w:val="004935D6"/>
    <w:rsid w:val="00494195"/>
    <w:rsid w:val="004945FB"/>
    <w:rsid w:val="00497356"/>
    <w:rsid w:val="00497AFA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232"/>
    <w:rsid w:val="004B57B0"/>
    <w:rsid w:val="004B60CE"/>
    <w:rsid w:val="004B61C9"/>
    <w:rsid w:val="004C0B26"/>
    <w:rsid w:val="004C12FE"/>
    <w:rsid w:val="004C1D57"/>
    <w:rsid w:val="004C1F1E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5EE0"/>
    <w:rsid w:val="004E6B50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1CF2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AA4"/>
    <w:rsid w:val="005219E6"/>
    <w:rsid w:val="00521B4A"/>
    <w:rsid w:val="0052212E"/>
    <w:rsid w:val="00522E91"/>
    <w:rsid w:val="0052302D"/>
    <w:rsid w:val="005236A5"/>
    <w:rsid w:val="005266BD"/>
    <w:rsid w:val="0052772D"/>
    <w:rsid w:val="00527DB3"/>
    <w:rsid w:val="00530442"/>
    <w:rsid w:val="00534AF0"/>
    <w:rsid w:val="00535060"/>
    <w:rsid w:val="00535738"/>
    <w:rsid w:val="005409EB"/>
    <w:rsid w:val="00540F30"/>
    <w:rsid w:val="00541DD2"/>
    <w:rsid w:val="00541DF0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EAC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3B39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0F08"/>
    <w:rsid w:val="005D1103"/>
    <w:rsid w:val="005D276D"/>
    <w:rsid w:val="005D5912"/>
    <w:rsid w:val="005D6D9D"/>
    <w:rsid w:val="005D794C"/>
    <w:rsid w:val="005D7A9F"/>
    <w:rsid w:val="005D7AA2"/>
    <w:rsid w:val="005E094B"/>
    <w:rsid w:val="005E1843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63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17E5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248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869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6FC7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771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420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454F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5571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5510"/>
    <w:rsid w:val="00776A33"/>
    <w:rsid w:val="00776F15"/>
    <w:rsid w:val="007779ED"/>
    <w:rsid w:val="00780B1A"/>
    <w:rsid w:val="007810D3"/>
    <w:rsid w:val="0078264A"/>
    <w:rsid w:val="00783D11"/>
    <w:rsid w:val="00785E46"/>
    <w:rsid w:val="0078720C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4F4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4F9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0A"/>
    <w:rsid w:val="008117CC"/>
    <w:rsid w:val="00811AB3"/>
    <w:rsid w:val="00813138"/>
    <w:rsid w:val="0081421D"/>
    <w:rsid w:val="00814ADB"/>
    <w:rsid w:val="00815C5D"/>
    <w:rsid w:val="0081618F"/>
    <w:rsid w:val="008174D1"/>
    <w:rsid w:val="008178B2"/>
    <w:rsid w:val="0082165E"/>
    <w:rsid w:val="00821D33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22B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163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4E0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3FA4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060C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4874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15A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5E7F"/>
    <w:rsid w:val="00926344"/>
    <w:rsid w:val="00926929"/>
    <w:rsid w:val="00927301"/>
    <w:rsid w:val="00927E9D"/>
    <w:rsid w:val="009311EB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5ECA"/>
    <w:rsid w:val="009666E7"/>
    <w:rsid w:val="00967278"/>
    <w:rsid w:val="009674A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1D12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D60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37A9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056"/>
    <w:rsid w:val="009E4506"/>
    <w:rsid w:val="009E455E"/>
    <w:rsid w:val="009E487A"/>
    <w:rsid w:val="009E4FFB"/>
    <w:rsid w:val="009E78A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27736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1E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6A8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474"/>
    <w:rsid w:val="00A77523"/>
    <w:rsid w:val="00A824C3"/>
    <w:rsid w:val="00A83454"/>
    <w:rsid w:val="00A843FC"/>
    <w:rsid w:val="00A8467F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D95"/>
    <w:rsid w:val="00A92040"/>
    <w:rsid w:val="00A92065"/>
    <w:rsid w:val="00A92184"/>
    <w:rsid w:val="00A9334F"/>
    <w:rsid w:val="00A93D6F"/>
    <w:rsid w:val="00A9614E"/>
    <w:rsid w:val="00A963B5"/>
    <w:rsid w:val="00A96FA8"/>
    <w:rsid w:val="00A975FF"/>
    <w:rsid w:val="00A97665"/>
    <w:rsid w:val="00AA0504"/>
    <w:rsid w:val="00AA0909"/>
    <w:rsid w:val="00AA0E00"/>
    <w:rsid w:val="00AA1C72"/>
    <w:rsid w:val="00AA1E8D"/>
    <w:rsid w:val="00AA1FA7"/>
    <w:rsid w:val="00AA1FDE"/>
    <w:rsid w:val="00AA25AE"/>
    <w:rsid w:val="00AA291C"/>
    <w:rsid w:val="00AA2D01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4B54"/>
    <w:rsid w:val="00AC5E85"/>
    <w:rsid w:val="00AC7959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B6D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1C42"/>
    <w:rsid w:val="00B03B63"/>
    <w:rsid w:val="00B04B7C"/>
    <w:rsid w:val="00B0513A"/>
    <w:rsid w:val="00B0620B"/>
    <w:rsid w:val="00B068DA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269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1277"/>
    <w:rsid w:val="00B426DB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2C4D"/>
    <w:rsid w:val="00B63A9D"/>
    <w:rsid w:val="00B64888"/>
    <w:rsid w:val="00B672E3"/>
    <w:rsid w:val="00B675F9"/>
    <w:rsid w:val="00B70849"/>
    <w:rsid w:val="00B715D4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074C"/>
    <w:rsid w:val="00BA1987"/>
    <w:rsid w:val="00BA2682"/>
    <w:rsid w:val="00BA31E4"/>
    <w:rsid w:val="00BA3959"/>
    <w:rsid w:val="00BA47CC"/>
    <w:rsid w:val="00BA4A9C"/>
    <w:rsid w:val="00BA524B"/>
    <w:rsid w:val="00BA54F7"/>
    <w:rsid w:val="00BA576C"/>
    <w:rsid w:val="00BA6205"/>
    <w:rsid w:val="00BA6CE5"/>
    <w:rsid w:val="00BA6F38"/>
    <w:rsid w:val="00BB0AEA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0BA9"/>
    <w:rsid w:val="00BE0D59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9AB"/>
    <w:rsid w:val="00BF1AAF"/>
    <w:rsid w:val="00BF268B"/>
    <w:rsid w:val="00BF4D03"/>
    <w:rsid w:val="00BF4E85"/>
    <w:rsid w:val="00BF54BD"/>
    <w:rsid w:val="00BF5892"/>
    <w:rsid w:val="00C00829"/>
    <w:rsid w:val="00C01804"/>
    <w:rsid w:val="00C026BC"/>
    <w:rsid w:val="00C02AD4"/>
    <w:rsid w:val="00C03869"/>
    <w:rsid w:val="00C06852"/>
    <w:rsid w:val="00C06E13"/>
    <w:rsid w:val="00C07988"/>
    <w:rsid w:val="00C07AB3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4F0F"/>
    <w:rsid w:val="00C32151"/>
    <w:rsid w:val="00C3217A"/>
    <w:rsid w:val="00C32C2E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3275"/>
    <w:rsid w:val="00C53BE6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83B"/>
    <w:rsid w:val="00C86977"/>
    <w:rsid w:val="00C916C8"/>
    <w:rsid w:val="00C92CEF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6B1E"/>
    <w:rsid w:val="00CB79E4"/>
    <w:rsid w:val="00CB7BD7"/>
    <w:rsid w:val="00CC467A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E85"/>
    <w:rsid w:val="00D007D6"/>
    <w:rsid w:val="00D01844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7057"/>
    <w:rsid w:val="00D21D89"/>
    <w:rsid w:val="00D22522"/>
    <w:rsid w:val="00D22657"/>
    <w:rsid w:val="00D228DF"/>
    <w:rsid w:val="00D23557"/>
    <w:rsid w:val="00D2427F"/>
    <w:rsid w:val="00D24BB7"/>
    <w:rsid w:val="00D2506D"/>
    <w:rsid w:val="00D260D3"/>
    <w:rsid w:val="00D263AE"/>
    <w:rsid w:val="00D27855"/>
    <w:rsid w:val="00D27E5A"/>
    <w:rsid w:val="00D31021"/>
    <w:rsid w:val="00D3125A"/>
    <w:rsid w:val="00D3299C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A7EA1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228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8FB"/>
    <w:rsid w:val="00DE1F29"/>
    <w:rsid w:val="00DE2201"/>
    <w:rsid w:val="00DE3FEB"/>
    <w:rsid w:val="00DE4905"/>
    <w:rsid w:val="00DE510C"/>
    <w:rsid w:val="00DE59D6"/>
    <w:rsid w:val="00DE7822"/>
    <w:rsid w:val="00DF081A"/>
    <w:rsid w:val="00DF265D"/>
    <w:rsid w:val="00DF2EB0"/>
    <w:rsid w:val="00DF31C1"/>
    <w:rsid w:val="00DF427A"/>
    <w:rsid w:val="00DF45C5"/>
    <w:rsid w:val="00DF5A8C"/>
    <w:rsid w:val="00DF63E8"/>
    <w:rsid w:val="00DF71D8"/>
    <w:rsid w:val="00E00CCA"/>
    <w:rsid w:val="00E01623"/>
    <w:rsid w:val="00E024AA"/>
    <w:rsid w:val="00E03FE3"/>
    <w:rsid w:val="00E06951"/>
    <w:rsid w:val="00E10C94"/>
    <w:rsid w:val="00E10EC4"/>
    <w:rsid w:val="00E118D7"/>
    <w:rsid w:val="00E12F1D"/>
    <w:rsid w:val="00E13F46"/>
    <w:rsid w:val="00E15BD4"/>
    <w:rsid w:val="00E16458"/>
    <w:rsid w:val="00E16A14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2B65"/>
    <w:rsid w:val="00E363CD"/>
    <w:rsid w:val="00E365C4"/>
    <w:rsid w:val="00E36C7F"/>
    <w:rsid w:val="00E36CD9"/>
    <w:rsid w:val="00E37652"/>
    <w:rsid w:val="00E3768F"/>
    <w:rsid w:val="00E37915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2B0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DD7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473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70FA"/>
    <w:rsid w:val="00F004D1"/>
    <w:rsid w:val="00F007BD"/>
    <w:rsid w:val="00F00C0D"/>
    <w:rsid w:val="00F0128B"/>
    <w:rsid w:val="00F02663"/>
    <w:rsid w:val="00F03369"/>
    <w:rsid w:val="00F0382C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3F6"/>
    <w:rsid w:val="00F30790"/>
    <w:rsid w:val="00F31570"/>
    <w:rsid w:val="00F33355"/>
    <w:rsid w:val="00F34363"/>
    <w:rsid w:val="00F34CE9"/>
    <w:rsid w:val="00F34D51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BA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58A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B6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A7D75"/>
    <w:rsid w:val="00FB05C1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2C0"/>
    <w:rsid w:val="00FE03BB"/>
    <w:rsid w:val="00FE0BF0"/>
    <w:rsid w:val="00FE15A2"/>
    <w:rsid w:val="00FE3237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22B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007BD"/>
    <w:rPr>
      <w:rFonts w:ascii="Arial" w:hAnsi="Arial" w:cs="Arial"/>
      <w:sz w:val="22"/>
    </w:rPr>
  </w:style>
  <w:style w:type="character" w:styleId="Hyperlink">
    <w:name w:val="Hyperlink"/>
    <w:uiPriority w:val="99"/>
    <w:rsid w:val="00477DBB"/>
    <w:rPr>
      <w:color w:val="0000FF"/>
      <w:u w:val="single"/>
    </w:rPr>
  </w:style>
  <w:style w:type="paragraph" w:customStyle="1" w:styleId="Endofdocument-Annex">
    <w:name w:val="[End of document - Annex]"/>
    <w:basedOn w:val="Normal"/>
    <w:link w:val="Endofdocument-AnnexChar"/>
    <w:rsid w:val="00925E7F"/>
    <w:pPr>
      <w:ind w:left="5534"/>
    </w:pPr>
    <w:rPr>
      <w:rFonts w:eastAsia="SimSun"/>
      <w:lang w:eastAsia="zh-CN"/>
    </w:rPr>
  </w:style>
  <w:style w:type="character" w:customStyle="1" w:styleId="Endofdocument-AnnexChar">
    <w:name w:val="[End of document - Annex] Char"/>
    <w:link w:val="Endofdocument-Annex"/>
    <w:rsid w:val="00925E7F"/>
    <w:rPr>
      <w:rFonts w:ascii="Arial" w:eastAsia="SimSun" w:hAnsi="Arial" w:cs="Arial"/>
      <w:sz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925E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722B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007BD"/>
    <w:rPr>
      <w:rFonts w:ascii="Arial" w:hAnsi="Arial" w:cs="Arial"/>
      <w:sz w:val="22"/>
    </w:rPr>
  </w:style>
  <w:style w:type="character" w:styleId="Hyperlink">
    <w:name w:val="Hyperlink"/>
    <w:uiPriority w:val="99"/>
    <w:rsid w:val="00477DBB"/>
    <w:rPr>
      <w:color w:val="0000FF"/>
      <w:u w:val="single"/>
    </w:rPr>
  </w:style>
  <w:style w:type="paragraph" w:customStyle="1" w:styleId="Endofdocument-Annex">
    <w:name w:val="[End of document - Annex]"/>
    <w:basedOn w:val="Normal"/>
    <w:link w:val="Endofdocument-AnnexChar"/>
    <w:rsid w:val="00925E7F"/>
    <w:pPr>
      <w:ind w:left="5534"/>
    </w:pPr>
    <w:rPr>
      <w:rFonts w:eastAsia="SimSun"/>
      <w:lang w:eastAsia="zh-CN"/>
    </w:rPr>
  </w:style>
  <w:style w:type="character" w:customStyle="1" w:styleId="Endofdocument-AnnexChar">
    <w:name w:val="[End of document - Annex] Char"/>
    <w:link w:val="Endofdocument-Annex"/>
    <w:rsid w:val="00925E7F"/>
    <w:rPr>
      <w:rFonts w:ascii="Arial" w:eastAsia="SimSun" w:hAnsi="Arial" w:cs="Arial"/>
      <w:sz w:val="22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925E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85DB-E3F3-43D1-8652-4CD65196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7530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CDIP/15/-- (Arabic)</vt:lpstr>
    </vt:vector>
  </TitlesOfParts>
  <Company>World Intellectual Property Organization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CDIP/15/-- (Arabic)</dc:title>
  <dc:creator>YOUSSEF Randa</dc:creator>
  <cp:lastModifiedBy>LIZARZABURU AGUILAR María Daniela</cp:lastModifiedBy>
  <cp:revision>2</cp:revision>
  <cp:lastPrinted>2016-08-22T07:40:00Z</cp:lastPrinted>
  <dcterms:created xsi:type="dcterms:W3CDTF">2016-08-23T13:18:00Z</dcterms:created>
  <dcterms:modified xsi:type="dcterms:W3CDTF">2016-08-23T13:18:00Z</dcterms:modified>
</cp:coreProperties>
</file>