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RPr="00ED485F" w:rsidTr="00582A90">
        <w:tc>
          <w:tcPr>
            <w:tcW w:w="4843" w:type="dxa"/>
            <w:tcBorders>
              <w:bottom w:val="single" w:sz="4" w:space="0" w:color="auto"/>
            </w:tcBorders>
            <w:shd w:val="clear" w:color="auto" w:fill="auto"/>
          </w:tcPr>
          <w:p w:rsidR="001667B6" w:rsidRPr="00582A90" w:rsidRDefault="001667B6" w:rsidP="00582A90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  <w:shd w:val="clear" w:color="auto" w:fill="auto"/>
          </w:tcPr>
          <w:p w:rsidR="001667B6" w:rsidRPr="00ED485F" w:rsidRDefault="0039283A" w:rsidP="00582A90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ED485F">
              <w:rPr>
                <w:noProof/>
              </w:rPr>
              <w:drawing>
                <wp:inline distT="0" distB="0" distL="0" distR="0" wp14:anchorId="62B924D5" wp14:editId="73C6E1E8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</w:tcPr>
          <w:p w:rsidR="001667B6" w:rsidRPr="00ED485F" w:rsidRDefault="001667B6" w:rsidP="001667B6">
            <w:pPr>
              <w:rPr>
                <w:b/>
                <w:bCs/>
                <w:sz w:val="40"/>
                <w:szCs w:val="40"/>
              </w:rPr>
            </w:pPr>
            <w:r w:rsidRPr="00ED485F"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RPr="00ED485F" w:rsidTr="00582A90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6101C" w:rsidRPr="00ED485F" w:rsidRDefault="00470628" w:rsidP="00732715">
            <w:pPr>
              <w:pStyle w:val="DocumentCodeAR"/>
              <w:bidi/>
              <w:rPr>
                <w:rtl/>
              </w:rPr>
            </w:pPr>
            <w:r w:rsidRPr="00ED485F">
              <w:t>CDIP</w:t>
            </w:r>
            <w:r w:rsidR="00100F97" w:rsidRPr="00ED485F">
              <w:t>/</w:t>
            </w:r>
            <w:r w:rsidR="00A871F4" w:rsidRPr="00ED485F">
              <w:t>1</w:t>
            </w:r>
            <w:r w:rsidR="00A375CD" w:rsidRPr="00ED485F">
              <w:t>4</w:t>
            </w:r>
            <w:r w:rsidR="00B6101C" w:rsidRPr="00ED485F">
              <w:t>/</w:t>
            </w:r>
            <w:r w:rsidR="00FD168B" w:rsidRPr="00ED485F">
              <w:t>INF/</w:t>
            </w:r>
            <w:r w:rsidR="00732715" w:rsidRPr="00ED485F">
              <w:t>7</w:t>
            </w:r>
          </w:p>
        </w:tc>
      </w:tr>
      <w:tr w:rsidR="001667B6" w:rsidRPr="00ED485F" w:rsidTr="00582A90">
        <w:tc>
          <w:tcPr>
            <w:tcW w:w="9571" w:type="dxa"/>
            <w:gridSpan w:val="3"/>
            <w:shd w:val="clear" w:color="auto" w:fill="auto"/>
          </w:tcPr>
          <w:p w:rsidR="001667B6" w:rsidRPr="00ED485F" w:rsidRDefault="00B6101C" w:rsidP="00427652">
            <w:pPr>
              <w:pStyle w:val="DocumentLanguageAR"/>
              <w:bidi/>
              <w:rPr>
                <w:rtl/>
              </w:rPr>
            </w:pPr>
            <w:r w:rsidRPr="00ED485F">
              <w:rPr>
                <w:rFonts w:hint="cs"/>
                <w:rtl/>
              </w:rPr>
              <w:t xml:space="preserve">الأصل: </w:t>
            </w:r>
            <w:proofErr w:type="gramStart"/>
            <w:r w:rsidR="00427652" w:rsidRPr="00ED485F"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1667B6" w:rsidRPr="00ED485F" w:rsidTr="00582A90">
        <w:tc>
          <w:tcPr>
            <w:tcW w:w="9571" w:type="dxa"/>
            <w:gridSpan w:val="3"/>
            <w:shd w:val="clear" w:color="auto" w:fill="auto"/>
          </w:tcPr>
          <w:p w:rsidR="001667B6" w:rsidRPr="00ED485F" w:rsidRDefault="00B6101C" w:rsidP="00732715">
            <w:pPr>
              <w:pStyle w:val="DocumentDateAR"/>
              <w:bidi/>
              <w:rPr>
                <w:rtl/>
              </w:rPr>
            </w:pPr>
            <w:r w:rsidRPr="00ED485F">
              <w:rPr>
                <w:rFonts w:hint="cs"/>
                <w:rtl/>
              </w:rPr>
              <w:t xml:space="preserve">التاريخ: </w:t>
            </w:r>
            <w:r w:rsidR="00732715" w:rsidRPr="00ED485F">
              <w:t>22</w:t>
            </w:r>
            <w:r w:rsidRPr="00ED485F">
              <w:rPr>
                <w:rFonts w:hint="cs"/>
                <w:rtl/>
              </w:rPr>
              <w:t xml:space="preserve"> </w:t>
            </w:r>
            <w:proofErr w:type="gramStart"/>
            <w:r w:rsidR="00427652" w:rsidRPr="00ED485F">
              <w:rPr>
                <w:rFonts w:hint="cs"/>
                <w:rtl/>
              </w:rPr>
              <w:t>سبتمبر</w:t>
            </w:r>
            <w:proofErr w:type="gramEnd"/>
            <w:r w:rsidRPr="00ED485F">
              <w:rPr>
                <w:rFonts w:hint="cs"/>
                <w:rtl/>
              </w:rPr>
              <w:t xml:space="preserve"> </w:t>
            </w:r>
            <w:r w:rsidR="005804FC" w:rsidRPr="00ED485F">
              <w:rPr>
                <w:rFonts w:hint="cs"/>
                <w:rtl/>
              </w:rPr>
              <w:t>2014</w:t>
            </w:r>
          </w:p>
        </w:tc>
      </w:tr>
    </w:tbl>
    <w:p w:rsidR="000F5E56" w:rsidRPr="00ED485F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ED485F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Pr="00ED485F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ED485F" w:rsidRDefault="00100F97" w:rsidP="00470628">
      <w:pPr>
        <w:pStyle w:val="MeetingTitleAR"/>
        <w:bidi/>
        <w:ind w:right="550"/>
        <w:rPr>
          <w:rtl/>
        </w:rPr>
      </w:pPr>
      <w:r w:rsidRPr="00ED485F">
        <w:rPr>
          <w:rtl/>
        </w:rPr>
        <w:t xml:space="preserve">اللجنة </w:t>
      </w:r>
      <w:r w:rsidR="00470628" w:rsidRPr="00ED485F">
        <w:rPr>
          <w:rFonts w:hint="cs"/>
          <w:rtl/>
        </w:rPr>
        <w:t xml:space="preserve">المعنية بالتنمية </w:t>
      </w:r>
      <w:proofErr w:type="gramStart"/>
      <w:r w:rsidR="00470628" w:rsidRPr="00ED485F">
        <w:rPr>
          <w:rFonts w:hint="cs"/>
          <w:rtl/>
        </w:rPr>
        <w:t>والملكية</w:t>
      </w:r>
      <w:proofErr w:type="gramEnd"/>
      <w:r w:rsidR="00470628" w:rsidRPr="00ED485F">
        <w:rPr>
          <w:rFonts w:hint="cs"/>
          <w:rtl/>
        </w:rPr>
        <w:t xml:space="preserve"> الفكرية</w:t>
      </w:r>
    </w:p>
    <w:p w:rsidR="001667B6" w:rsidRPr="00ED485F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ED485F" w:rsidRDefault="00F27305" w:rsidP="00A375CD">
      <w:pPr>
        <w:pStyle w:val="MeetingSessionAR"/>
        <w:bidi/>
        <w:rPr>
          <w:rFonts w:ascii="Cambria Math" w:hAnsi="Cambria Math"/>
          <w:rtl/>
        </w:rPr>
      </w:pPr>
      <w:r w:rsidRPr="00ED485F">
        <w:rPr>
          <w:rFonts w:ascii="Cambria Math" w:hAnsi="Cambria Math"/>
          <w:rtl/>
        </w:rPr>
        <w:t xml:space="preserve">الدورة </w:t>
      </w:r>
      <w:proofErr w:type="gramStart"/>
      <w:r w:rsidR="00A375CD" w:rsidRPr="00ED485F">
        <w:rPr>
          <w:rFonts w:ascii="Cambria Math" w:hAnsi="Cambria Math" w:hint="cs"/>
          <w:rtl/>
        </w:rPr>
        <w:t>الرابعة</w:t>
      </w:r>
      <w:proofErr w:type="gramEnd"/>
      <w:r w:rsidR="00796CF7" w:rsidRPr="00ED485F">
        <w:rPr>
          <w:rFonts w:ascii="Cambria Math" w:hAnsi="Cambria Math" w:hint="cs"/>
          <w:rtl/>
        </w:rPr>
        <w:t xml:space="preserve"> عشرة</w:t>
      </w:r>
    </w:p>
    <w:p w:rsidR="00D61541" w:rsidRPr="00ED485F" w:rsidRDefault="00D61541" w:rsidP="00A375CD">
      <w:pPr>
        <w:pStyle w:val="MeetingDatesAR"/>
        <w:bidi/>
        <w:rPr>
          <w:rtl/>
        </w:rPr>
      </w:pPr>
      <w:r w:rsidRPr="00ED485F">
        <w:rPr>
          <w:rFonts w:hint="cs"/>
          <w:rtl/>
        </w:rPr>
        <w:t xml:space="preserve">جنيف، </w:t>
      </w:r>
      <w:proofErr w:type="gramStart"/>
      <w:r w:rsidRPr="00ED485F">
        <w:rPr>
          <w:rFonts w:hint="cs"/>
          <w:rtl/>
        </w:rPr>
        <w:t>من</w:t>
      </w:r>
      <w:proofErr w:type="gramEnd"/>
      <w:r w:rsidRPr="00ED485F">
        <w:rPr>
          <w:rFonts w:hint="cs"/>
          <w:rtl/>
        </w:rPr>
        <w:t xml:space="preserve"> </w:t>
      </w:r>
      <w:r w:rsidR="00A375CD" w:rsidRPr="00ED485F">
        <w:rPr>
          <w:rFonts w:hint="cs"/>
          <w:rtl/>
        </w:rPr>
        <w:t>10</w:t>
      </w:r>
      <w:r w:rsidR="00100F97" w:rsidRPr="00ED485F">
        <w:rPr>
          <w:rFonts w:hint="cs"/>
          <w:rtl/>
        </w:rPr>
        <w:t xml:space="preserve"> إلى </w:t>
      </w:r>
      <w:r w:rsidR="00A375CD" w:rsidRPr="00ED485F">
        <w:rPr>
          <w:rFonts w:hint="cs"/>
          <w:rtl/>
        </w:rPr>
        <w:t>14</w:t>
      </w:r>
      <w:r w:rsidR="00783D11" w:rsidRPr="00ED485F">
        <w:rPr>
          <w:rFonts w:hint="cs"/>
          <w:rtl/>
        </w:rPr>
        <w:t xml:space="preserve"> </w:t>
      </w:r>
      <w:r w:rsidR="00A375CD" w:rsidRPr="00ED485F">
        <w:rPr>
          <w:rFonts w:hint="cs"/>
          <w:rtl/>
        </w:rPr>
        <w:t>نوفمبر</w:t>
      </w:r>
      <w:r w:rsidR="00AE2328" w:rsidRPr="00ED485F">
        <w:rPr>
          <w:rFonts w:hint="cs"/>
          <w:rtl/>
        </w:rPr>
        <w:t xml:space="preserve"> </w:t>
      </w:r>
      <w:r w:rsidR="005804FC" w:rsidRPr="00ED485F">
        <w:rPr>
          <w:rFonts w:hint="cs"/>
          <w:rtl/>
        </w:rPr>
        <w:t>2014</w:t>
      </w:r>
    </w:p>
    <w:p w:rsidR="00D61541" w:rsidRPr="00ED485F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ED485F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ED485F" w:rsidRDefault="00F6433D" w:rsidP="00AC72E6">
      <w:pPr>
        <w:pStyle w:val="DocumentTitleAR"/>
        <w:bidi/>
        <w:rPr>
          <w:rtl/>
        </w:rPr>
      </w:pPr>
      <w:proofErr w:type="gramStart"/>
      <w:r w:rsidRPr="00ED485F">
        <w:rPr>
          <w:rFonts w:hint="cs"/>
          <w:rtl/>
        </w:rPr>
        <w:t>ملخص</w:t>
      </w:r>
      <w:proofErr w:type="gramEnd"/>
      <w:r w:rsidRPr="00ED485F">
        <w:rPr>
          <w:rFonts w:hint="cs"/>
          <w:rtl/>
        </w:rPr>
        <w:t xml:space="preserve"> دراسة بشأن اقتصاديات الملكية الفكرية ونقل التكنولوجيا على الصعيد الدولي</w:t>
      </w:r>
    </w:p>
    <w:p w:rsidR="00D61541" w:rsidRPr="00ED485F" w:rsidRDefault="00F6433D" w:rsidP="00AC72E6">
      <w:pPr>
        <w:pStyle w:val="PreparedbyAR"/>
        <w:bidi/>
        <w:rPr>
          <w:rtl/>
        </w:rPr>
      </w:pPr>
      <w:proofErr w:type="gramStart"/>
      <w:r w:rsidRPr="00ED485F">
        <w:rPr>
          <w:rFonts w:hint="cs"/>
          <w:rtl/>
        </w:rPr>
        <w:t>بطلب</w:t>
      </w:r>
      <w:proofErr w:type="gramEnd"/>
      <w:r w:rsidRPr="00ED485F">
        <w:rPr>
          <w:rFonts w:hint="cs"/>
          <w:rtl/>
        </w:rPr>
        <w:t xml:space="preserve"> من الأمانة</w:t>
      </w:r>
    </w:p>
    <w:p w:rsidR="00F6433D" w:rsidRPr="00ED485F" w:rsidRDefault="00F6433D" w:rsidP="005A42A1">
      <w:pPr>
        <w:pStyle w:val="NumberedParaAR"/>
      </w:pPr>
      <w:r w:rsidRPr="00ED485F">
        <w:rPr>
          <w:rFonts w:hint="cs"/>
          <w:rtl/>
          <w:lang w:bidi="ar-EG"/>
        </w:rPr>
        <w:t>تحتوي</w:t>
      </w:r>
      <w:r w:rsidRPr="00ED485F">
        <w:rPr>
          <w:rtl/>
          <w:lang w:bidi="ar-EG"/>
        </w:rPr>
        <w:t xml:space="preserve"> </w:t>
      </w:r>
      <w:r w:rsidRPr="00ED485F">
        <w:rPr>
          <w:rFonts w:hint="cs"/>
          <w:rtl/>
          <w:lang w:bidi="ar-EG"/>
        </w:rPr>
        <w:t>مرفقات</w:t>
      </w:r>
      <w:r w:rsidRPr="00ED485F">
        <w:rPr>
          <w:rtl/>
          <w:lang w:bidi="ar-EG"/>
        </w:rPr>
        <w:t xml:space="preserve"> </w:t>
      </w:r>
      <w:r w:rsidRPr="00ED485F">
        <w:rPr>
          <w:rFonts w:hint="cs"/>
          <w:rtl/>
          <w:lang w:bidi="ar-EG"/>
        </w:rPr>
        <w:t>هذه</w:t>
      </w:r>
      <w:r w:rsidRPr="00ED485F">
        <w:rPr>
          <w:rtl/>
          <w:lang w:bidi="ar-EG"/>
        </w:rPr>
        <w:t xml:space="preserve"> </w:t>
      </w:r>
      <w:r w:rsidRPr="00ED485F">
        <w:rPr>
          <w:rFonts w:hint="cs"/>
          <w:rtl/>
          <w:lang w:bidi="ar-EG"/>
        </w:rPr>
        <w:t>الوثيقة على</w:t>
      </w:r>
      <w:r w:rsidRPr="00ED485F">
        <w:rPr>
          <w:rtl/>
          <w:lang w:bidi="ar-EG"/>
        </w:rPr>
        <w:t xml:space="preserve"> </w:t>
      </w:r>
      <w:r w:rsidRPr="00ED485F">
        <w:rPr>
          <w:rFonts w:hint="cs"/>
          <w:rtl/>
          <w:lang w:bidi="ar-EG"/>
        </w:rPr>
        <w:t>(1) ملخص دراسة بشأن</w:t>
      </w:r>
      <w:r w:rsidRPr="00ED485F">
        <w:rPr>
          <w:rtl/>
          <w:lang w:bidi="ar-EG"/>
        </w:rPr>
        <w:t xml:space="preserve"> </w:t>
      </w:r>
      <w:r w:rsidRPr="00ED485F">
        <w:rPr>
          <w:rFonts w:hint="cs"/>
          <w:rtl/>
          <w:lang w:bidi="ar-EG"/>
        </w:rPr>
        <w:t>اقتصاديات</w:t>
      </w:r>
      <w:r w:rsidRPr="00ED485F">
        <w:rPr>
          <w:rtl/>
          <w:lang w:bidi="ar-EG"/>
        </w:rPr>
        <w:t xml:space="preserve"> </w:t>
      </w:r>
      <w:r w:rsidRPr="00ED485F">
        <w:rPr>
          <w:rFonts w:hint="cs"/>
          <w:rtl/>
          <w:lang w:bidi="ar-EG"/>
        </w:rPr>
        <w:t>الملكية</w:t>
      </w:r>
      <w:r w:rsidRPr="00ED485F">
        <w:rPr>
          <w:rtl/>
          <w:lang w:bidi="ar-EG"/>
        </w:rPr>
        <w:t xml:space="preserve"> </w:t>
      </w:r>
      <w:r w:rsidRPr="00ED485F">
        <w:rPr>
          <w:rFonts w:hint="cs"/>
          <w:rtl/>
          <w:lang w:bidi="ar-EG"/>
        </w:rPr>
        <w:t>الفكرية</w:t>
      </w:r>
      <w:r w:rsidRPr="00ED485F">
        <w:rPr>
          <w:rtl/>
          <w:lang w:bidi="ar-EG"/>
        </w:rPr>
        <w:t xml:space="preserve"> </w:t>
      </w:r>
      <w:r w:rsidRPr="00ED485F">
        <w:rPr>
          <w:rFonts w:hint="cs"/>
          <w:rtl/>
          <w:lang w:bidi="ar-EG"/>
        </w:rPr>
        <w:t>ونقل</w:t>
      </w:r>
      <w:r w:rsidRPr="00ED485F">
        <w:rPr>
          <w:rtl/>
          <w:lang w:bidi="ar-EG"/>
        </w:rPr>
        <w:t xml:space="preserve"> </w:t>
      </w:r>
      <w:r w:rsidRPr="00ED485F">
        <w:rPr>
          <w:rFonts w:hint="cs"/>
          <w:rtl/>
          <w:lang w:bidi="ar-EG"/>
        </w:rPr>
        <w:t>التكنولوجيا</w:t>
      </w:r>
      <w:r w:rsidRPr="00ED485F">
        <w:rPr>
          <w:rtl/>
          <w:lang w:bidi="ar-EG"/>
        </w:rPr>
        <w:t xml:space="preserve"> </w:t>
      </w:r>
      <w:r w:rsidRPr="00ED485F">
        <w:rPr>
          <w:rFonts w:hint="cs"/>
          <w:rtl/>
          <w:lang w:bidi="ar-EG"/>
        </w:rPr>
        <w:t>على</w:t>
      </w:r>
      <w:r w:rsidRPr="00ED485F">
        <w:rPr>
          <w:rtl/>
          <w:lang w:bidi="ar-EG"/>
        </w:rPr>
        <w:t xml:space="preserve"> </w:t>
      </w:r>
      <w:r w:rsidRPr="00ED485F">
        <w:rPr>
          <w:rFonts w:hint="cs"/>
          <w:rtl/>
          <w:lang w:bidi="ar-EG"/>
        </w:rPr>
        <w:t>الصعيد</w:t>
      </w:r>
      <w:r w:rsidRPr="00ED485F">
        <w:rPr>
          <w:rtl/>
          <w:lang w:bidi="ar-EG"/>
        </w:rPr>
        <w:t xml:space="preserve"> </w:t>
      </w:r>
      <w:r w:rsidRPr="00ED485F">
        <w:rPr>
          <w:rFonts w:hint="cs"/>
          <w:rtl/>
          <w:lang w:bidi="ar-EG"/>
        </w:rPr>
        <w:t xml:space="preserve">الدولي أجريت في إطار مشروع الملكية الفكرية ونقل التكنولوجيا: "تحديات عامة </w:t>
      </w:r>
      <w:r w:rsidRPr="00ED485F">
        <w:rPr>
          <w:rtl/>
          <w:lang w:bidi="ar-EG"/>
        </w:rPr>
        <w:t>–</w:t>
      </w:r>
      <w:r w:rsidRPr="00ED485F">
        <w:rPr>
          <w:rFonts w:hint="cs"/>
          <w:rtl/>
          <w:lang w:bidi="ar-EG"/>
        </w:rPr>
        <w:t xml:space="preserve"> بناء الحلول"</w:t>
      </w:r>
      <w:r w:rsidRPr="00ED485F">
        <w:rPr>
          <w:rtl/>
          <w:lang w:bidi="ar-EG"/>
        </w:rPr>
        <w:t>(</w:t>
      </w:r>
      <w:r w:rsidRPr="00ED485F">
        <w:t>CDIP/6/4 Rev</w:t>
      </w:r>
      <w:r w:rsidRPr="00ED485F">
        <w:rPr>
          <w:rtl/>
          <w:lang w:bidi="ar-EG"/>
        </w:rPr>
        <w:t>)</w:t>
      </w:r>
      <w:r w:rsidRPr="00ED485F">
        <w:rPr>
          <w:rFonts w:hint="cs"/>
          <w:rtl/>
          <w:lang w:bidi="ar-EG"/>
        </w:rPr>
        <w:t xml:space="preserve">، من إعداد الدكتور أ. </w:t>
      </w:r>
      <w:proofErr w:type="spellStart"/>
      <w:r w:rsidRPr="00ED485F">
        <w:rPr>
          <w:rFonts w:hint="cs"/>
          <w:rtl/>
          <w:lang w:bidi="ar-EG"/>
        </w:rPr>
        <w:t>دامودران</w:t>
      </w:r>
      <w:proofErr w:type="spellEnd"/>
      <w:r w:rsidRPr="00ED485F">
        <w:rPr>
          <w:rFonts w:hint="cs"/>
          <w:rtl/>
          <w:lang w:bidi="ar-EG"/>
        </w:rPr>
        <w:t xml:space="preserve"> الأستاذ بمعهد الإدارة، </w:t>
      </w:r>
      <w:proofErr w:type="spellStart"/>
      <w:r w:rsidRPr="00ED485F">
        <w:rPr>
          <w:rFonts w:hint="cs"/>
          <w:rtl/>
          <w:lang w:bidi="ar-EG"/>
        </w:rPr>
        <w:t>بنجلور</w:t>
      </w:r>
      <w:proofErr w:type="spellEnd"/>
      <w:r w:rsidRPr="00ED485F">
        <w:rPr>
          <w:rFonts w:hint="cs"/>
          <w:rtl/>
          <w:lang w:bidi="ar-EG"/>
        </w:rPr>
        <w:t>، الهند و(2) استعراض أقران للدراسة آنفة الذكر من إعداد الدكتور فرانسسكو ليسوني، جامعة بوكوني، ميلان</w:t>
      </w:r>
      <w:r w:rsidR="00A03585">
        <w:rPr>
          <w:rFonts w:hint="cs"/>
          <w:rtl/>
          <w:lang w:bidi="ar-EG"/>
        </w:rPr>
        <w:t>و</w:t>
      </w:r>
      <w:r w:rsidRPr="00ED485F">
        <w:rPr>
          <w:rFonts w:hint="cs"/>
          <w:rtl/>
          <w:lang w:bidi="ar-EG"/>
        </w:rPr>
        <w:t>، إيطاليا.</w:t>
      </w:r>
    </w:p>
    <w:p w:rsidR="00F6433D" w:rsidRPr="00ED485F" w:rsidRDefault="00F6433D" w:rsidP="00903FD0">
      <w:pPr>
        <w:pStyle w:val="DecisionParaAR"/>
      </w:pPr>
      <w:r w:rsidRPr="00ED485F">
        <w:rPr>
          <w:rFonts w:hint="cs"/>
          <w:rtl/>
          <w:lang w:bidi="ar-EG"/>
        </w:rPr>
        <w:t>واللجنة</w:t>
      </w:r>
      <w:r w:rsidRPr="00ED485F">
        <w:rPr>
          <w:rtl/>
          <w:lang w:bidi="ar-EG"/>
        </w:rPr>
        <w:t xml:space="preserve"> </w:t>
      </w:r>
      <w:r w:rsidRPr="00ED485F">
        <w:rPr>
          <w:rFonts w:hint="cs"/>
          <w:rtl/>
          <w:lang w:bidi="ar-EG"/>
        </w:rPr>
        <w:t>المعنية</w:t>
      </w:r>
      <w:r w:rsidRPr="00ED485F">
        <w:rPr>
          <w:rtl/>
          <w:lang w:bidi="ar-EG"/>
        </w:rPr>
        <w:t xml:space="preserve"> </w:t>
      </w:r>
      <w:r w:rsidRPr="00ED485F">
        <w:rPr>
          <w:rFonts w:hint="cs"/>
          <w:rtl/>
          <w:lang w:bidi="ar-EG"/>
        </w:rPr>
        <w:t>بالتنمية</w:t>
      </w:r>
      <w:r w:rsidRPr="00ED485F">
        <w:rPr>
          <w:rtl/>
          <w:lang w:bidi="ar-EG"/>
        </w:rPr>
        <w:t xml:space="preserve"> </w:t>
      </w:r>
      <w:r w:rsidRPr="00ED485F">
        <w:rPr>
          <w:rFonts w:hint="cs"/>
          <w:rtl/>
          <w:lang w:bidi="ar-EG"/>
        </w:rPr>
        <w:t>والملكية</w:t>
      </w:r>
      <w:r w:rsidRPr="00ED485F">
        <w:rPr>
          <w:rtl/>
          <w:lang w:bidi="ar-EG"/>
        </w:rPr>
        <w:t xml:space="preserve"> </w:t>
      </w:r>
      <w:r w:rsidRPr="00ED485F">
        <w:rPr>
          <w:rFonts w:hint="cs"/>
          <w:rtl/>
          <w:lang w:bidi="ar-EG"/>
        </w:rPr>
        <w:t>الفكرية</w:t>
      </w:r>
      <w:r w:rsidRPr="00ED485F">
        <w:rPr>
          <w:rtl/>
          <w:lang w:bidi="ar-EG"/>
        </w:rPr>
        <w:t xml:space="preserve"> (</w:t>
      </w:r>
      <w:r w:rsidRPr="00ED485F">
        <w:rPr>
          <w:rFonts w:hint="cs"/>
          <w:rtl/>
          <w:lang w:bidi="ar-EG"/>
        </w:rPr>
        <w:t>اللجنة</w:t>
      </w:r>
      <w:r w:rsidRPr="00ED485F">
        <w:rPr>
          <w:rtl/>
          <w:lang w:bidi="ar-EG"/>
        </w:rPr>
        <w:t>)</w:t>
      </w:r>
      <w:r w:rsidRPr="00ED485F">
        <w:rPr>
          <w:rFonts w:hint="cs"/>
          <w:rtl/>
          <w:lang w:bidi="ar-EG"/>
        </w:rPr>
        <w:t xml:space="preserve"> مدعوة للإحاطة علما بالمعلومات الواردة في مرفقات هذه الوثيقة.</w:t>
      </w:r>
    </w:p>
    <w:p w:rsidR="00287C4A" w:rsidRPr="00ED485F" w:rsidRDefault="00287C4A" w:rsidP="00287C4A">
      <w:pPr>
        <w:pStyle w:val="NumberedParaAR"/>
        <w:numPr>
          <w:ilvl w:val="0"/>
          <w:numId w:val="0"/>
        </w:numPr>
      </w:pPr>
    </w:p>
    <w:p w:rsidR="00287C4A" w:rsidRDefault="00F6433D" w:rsidP="00903FD0">
      <w:pPr>
        <w:pStyle w:val="EndofDocumentAR"/>
      </w:pPr>
      <w:r w:rsidRPr="00ED485F">
        <w:rPr>
          <w:rFonts w:hint="cs"/>
          <w:rtl/>
        </w:rPr>
        <w:t xml:space="preserve">[يلي ذلك </w:t>
      </w:r>
      <w:proofErr w:type="gramStart"/>
      <w:r w:rsidRPr="00ED485F">
        <w:rPr>
          <w:rFonts w:hint="cs"/>
          <w:rtl/>
        </w:rPr>
        <w:t>المرفقات</w:t>
      </w:r>
      <w:proofErr w:type="gramEnd"/>
      <w:r w:rsidRPr="00ED485F">
        <w:rPr>
          <w:rFonts w:hint="cs"/>
          <w:rtl/>
        </w:rPr>
        <w:t>]</w:t>
      </w:r>
    </w:p>
    <w:p w:rsidR="00891B1B" w:rsidRDefault="00891B1B" w:rsidP="00287C4A">
      <w:pPr>
        <w:pStyle w:val="NumberedParaAR"/>
        <w:numPr>
          <w:ilvl w:val="0"/>
          <w:numId w:val="0"/>
        </w:numPr>
        <w:ind w:left="567"/>
      </w:pPr>
    </w:p>
    <w:p w:rsidR="00287C4A" w:rsidRDefault="00F6433D" w:rsidP="00891B1B">
      <w:pPr>
        <w:pStyle w:val="NumberedParaAR"/>
        <w:numPr>
          <w:ilvl w:val="0"/>
          <w:numId w:val="0"/>
        </w:numPr>
        <w:rPr>
          <w:b/>
          <w:bCs/>
          <w:rtl/>
        </w:rPr>
      </w:pPr>
      <w:r w:rsidRPr="00ED485F">
        <w:rPr>
          <w:b/>
          <w:bCs/>
          <w:rtl/>
        </w:rPr>
        <w:t>ملحوظة: تمثل الآراء المعرب عنها في هذه الوثيقة آراء المؤلف وليست بالضرورة آراء الأ</w:t>
      </w:r>
      <w:r w:rsidR="00891B1B">
        <w:rPr>
          <w:b/>
          <w:bCs/>
          <w:rtl/>
        </w:rPr>
        <w:t>مانة أو الدول الأعضاء في الويبو</w:t>
      </w:r>
    </w:p>
    <w:p w:rsidR="00F834B6" w:rsidRDefault="00F834B6" w:rsidP="00891B1B">
      <w:pPr>
        <w:pStyle w:val="NumberedParaAR"/>
        <w:numPr>
          <w:ilvl w:val="0"/>
          <w:numId w:val="0"/>
        </w:numPr>
        <w:rPr>
          <w:b/>
          <w:bCs/>
          <w:rtl/>
        </w:rPr>
        <w:sectPr w:rsidR="00F834B6" w:rsidSect="00EB7752">
          <w:headerReference w:type="default" r:id="rId10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p w:rsidR="00950394" w:rsidRPr="00891B1B" w:rsidRDefault="00950394" w:rsidP="00287C4A">
      <w:pPr>
        <w:pStyle w:val="NumberedParaAR"/>
        <w:numPr>
          <w:ilvl w:val="0"/>
          <w:numId w:val="0"/>
        </w:numPr>
        <w:rPr>
          <w:b/>
          <w:bCs/>
          <w:sz w:val="40"/>
          <w:szCs w:val="40"/>
          <w:rtl/>
        </w:rPr>
      </w:pPr>
      <w:r w:rsidRPr="00891B1B">
        <w:rPr>
          <w:b/>
          <w:bCs/>
          <w:sz w:val="40"/>
          <w:szCs w:val="40"/>
          <w:rtl/>
        </w:rPr>
        <w:lastRenderedPageBreak/>
        <w:t xml:space="preserve">اقتصاديات الملكية الفكرية </w:t>
      </w:r>
      <w:proofErr w:type="gramStart"/>
      <w:r w:rsidRPr="00891B1B">
        <w:rPr>
          <w:b/>
          <w:bCs/>
          <w:sz w:val="40"/>
          <w:szCs w:val="40"/>
          <w:rtl/>
        </w:rPr>
        <w:t>ونقل</w:t>
      </w:r>
      <w:proofErr w:type="gramEnd"/>
      <w:r w:rsidRPr="00891B1B">
        <w:rPr>
          <w:b/>
          <w:bCs/>
          <w:sz w:val="40"/>
          <w:szCs w:val="40"/>
          <w:rtl/>
        </w:rPr>
        <w:t xml:space="preserve"> التكنولوجيا</w:t>
      </w:r>
    </w:p>
    <w:p w:rsidR="00950394" w:rsidRPr="00891B1B" w:rsidRDefault="00950394" w:rsidP="00287C4A">
      <w:pPr>
        <w:pStyle w:val="NumberedParaAR"/>
        <w:numPr>
          <w:ilvl w:val="0"/>
          <w:numId w:val="0"/>
        </w:numPr>
        <w:rPr>
          <w:b/>
          <w:bCs/>
          <w:sz w:val="40"/>
          <w:szCs w:val="40"/>
          <w:rtl/>
        </w:rPr>
      </w:pPr>
      <w:proofErr w:type="gramStart"/>
      <w:r w:rsidRPr="00891B1B">
        <w:rPr>
          <w:rFonts w:hint="cs"/>
          <w:b/>
          <w:bCs/>
          <w:sz w:val="40"/>
          <w:szCs w:val="40"/>
          <w:rtl/>
        </w:rPr>
        <w:t>معلومات</w:t>
      </w:r>
      <w:proofErr w:type="gramEnd"/>
      <w:r w:rsidRPr="00891B1B">
        <w:rPr>
          <w:rFonts w:hint="cs"/>
          <w:b/>
          <w:bCs/>
          <w:sz w:val="40"/>
          <w:szCs w:val="40"/>
          <w:rtl/>
        </w:rPr>
        <w:t xml:space="preserve"> أساسية وملخص عملي</w:t>
      </w:r>
    </w:p>
    <w:p w:rsidR="00A375CD" w:rsidRPr="00ED485F" w:rsidRDefault="00F6433D" w:rsidP="00D26D21">
      <w:pPr>
        <w:pStyle w:val="NumberedParaAR"/>
        <w:numPr>
          <w:ilvl w:val="0"/>
          <w:numId w:val="22"/>
        </w:numPr>
        <w:tabs>
          <w:tab w:val="right" w:pos="566"/>
        </w:tabs>
        <w:ind w:left="0" w:firstLine="0"/>
      </w:pPr>
      <w:r w:rsidRPr="00ED485F">
        <w:rPr>
          <w:rFonts w:hint="cs"/>
          <w:rtl/>
        </w:rPr>
        <w:t xml:space="preserve"> </w:t>
      </w:r>
      <w:r w:rsidR="00287C4A" w:rsidRPr="00ED485F">
        <w:rPr>
          <w:rFonts w:hint="cs"/>
          <w:rtl/>
        </w:rPr>
        <w:t>بُحثت</w:t>
      </w:r>
      <w:r w:rsidR="004F2AAB" w:rsidRPr="00ED485F">
        <w:rPr>
          <w:rFonts w:hint="cs"/>
          <w:rtl/>
        </w:rPr>
        <w:t>،</w:t>
      </w:r>
      <w:r w:rsidR="00950394" w:rsidRPr="00ED485F">
        <w:rPr>
          <w:rtl/>
        </w:rPr>
        <w:t xml:space="preserve"> </w:t>
      </w:r>
      <w:r w:rsidR="00287C4A" w:rsidRPr="00ED485F">
        <w:rPr>
          <w:rtl/>
        </w:rPr>
        <w:t xml:space="preserve">في </w:t>
      </w:r>
      <w:r w:rsidR="00287C4A" w:rsidRPr="00ED485F">
        <w:rPr>
          <w:rFonts w:hint="cs"/>
          <w:rtl/>
        </w:rPr>
        <w:t>ال</w:t>
      </w:r>
      <w:r w:rsidR="00287C4A" w:rsidRPr="00ED485F">
        <w:rPr>
          <w:rtl/>
        </w:rPr>
        <w:t>دور</w:t>
      </w:r>
      <w:r w:rsidR="00287C4A" w:rsidRPr="00ED485F">
        <w:rPr>
          <w:rFonts w:hint="cs"/>
          <w:rtl/>
        </w:rPr>
        <w:t>ة</w:t>
      </w:r>
      <w:r w:rsidR="00287C4A" w:rsidRPr="00ED485F">
        <w:rPr>
          <w:rtl/>
        </w:rPr>
        <w:t xml:space="preserve"> الثامنة </w:t>
      </w:r>
      <w:r w:rsidR="00950394" w:rsidRPr="00ED485F">
        <w:rPr>
          <w:rtl/>
        </w:rPr>
        <w:t>للجنة المعنية بالتنمية والملكية الفكرية</w:t>
      </w:r>
      <w:r w:rsidR="004B4BF6" w:rsidRPr="00ED485F">
        <w:rPr>
          <w:rFonts w:hint="cs"/>
          <w:rtl/>
        </w:rPr>
        <w:t xml:space="preserve"> بالمنظمة العالمية </w:t>
      </w:r>
      <w:r w:rsidR="00D26D21">
        <w:rPr>
          <w:rFonts w:hint="cs"/>
          <w:rtl/>
        </w:rPr>
        <w:t>ل</w:t>
      </w:r>
      <w:r w:rsidR="004B4BF6" w:rsidRPr="00ED485F">
        <w:rPr>
          <w:rFonts w:hint="cs"/>
          <w:rtl/>
        </w:rPr>
        <w:t>لملكية الفكرية</w:t>
      </w:r>
      <w:r w:rsidR="00950394" w:rsidRPr="00ED485F">
        <w:rPr>
          <w:rtl/>
        </w:rPr>
        <w:t xml:space="preserve"> </w:t>
      </w:r>
      <w:r w:rsidR="004B2C9A" w:rsidRPr="00ED485F">
        <w:rPr>
          <w:rFonts w:hint="cs"/>
          <w:rtl/>
        </w:rPr>
        <w:t>المنعقدة</w:t>
      </w:r>
      <w:r w:rsidR="00BB77D7" w:rsidRPr="00ED485F">
        <w:rPr>
          <w:rtl/>
        </w:rPr>
        <w:t xml:space="preserve"> </w:t>
      </w:r>
      <w:r w:rsidR="00950394" w:rsidRPr="00ED485F">
        <w:rPr>
          <w:rtl/>
        </w:rPr>
        <w:t xml:space="preserve">في جنيف </w:t>
      </w:r>
      <w:r w:rsidR="004F2AAB" w:rsidRPr="00ED485F">
        <w:rPr>
          <w:rFonts w:hint="cs"/>
          <w:rtl/>
        </w:rPr>
        <w:t xml:space="preserve">في الفترة </w:t>
      </w:r>
      <w:r w:rsidR="00950394" w:rsidRPr="00ED485F">
        <w:rPr>
          <w:rtl/>
        </w:rPr>
        <w:t>من 14 إلى 18 نوفمبر 2011</w:t>
      </w:r>
      <w:r w:rsidR="004F2AAB" w:rsidRPr="00ED485F">
        <w:rPr>
          <w:rFonts w:hint="cs"/>
          <w:rtl/>
        </w:rPr>
        <w:t>،</w:t>
      </w:r>
      <w:r w:rsidR="00950394" w:rsidRPr="00ED485F">
        <w:rPr>
          <w:rtl/>
        </w:rPr>
        <w:t xml:space="preserve"> ورقة </w:t>
      </w:r>
      <w:r w:rsidR="004F2AAB" w:rsidRPr="00ED485F">
        <w:rPr>
          <w:rFonts w:hint="cs"/>
          <w:rtl/>
        </w:rPr>
        <w:t>حول</w:t>
      </w:r>
      <w:r w:rsidR="00950394" w:rsidRPr="00ED485F">
        <w:rPr>
          <w:rtl/>
        </w:rPr>
        <w:t xml:space="preserve"> </w:t>
      </w:r>
      <w:r w:rsidR="005A1B0A" w:rsidRPr="00ED485F">
        <w:rPr>
          <w:rFonts w:hint="cs"/>
          <w:rtl/>
        </w:rPr>
        <w:t>ال</w:t>
      </w:r>
      <w:r w:rsidR="00950394" w:rsidRPr="00ED485F">
        <w:rPr>
          <w:rtl/>
        </w:rPr>
        <w:t>مشروع</w:t>
      </w:r>
      <w:r w:rsidR="00287C4A" w:rsidRPr="00ED485F">
        <w:rPr>
          <w:rFonts w:hint="cs"/>
          <w:rtl/>
        </w:rPr>
        <w:t xml:space="preserve"> بشأن</w:t>
      </w:r>
      <w:r w:rsidR="00950394" w:rsidRPr="00ED485F">
        <w:rPr>
          <w:rtl/>
        </w:rPr>
        <w:t xml:space="preserve"> الملكية الفكرية ونقل التكنولوجيا (الويبو،2011). وأشارت ورقة المشروع</w:t>
      </w:r>
      <w:r w:rsidR="003B12F8" w:rsidRPr="00ED485F">
        <w:rPr>
          <w:rFonts w:hint="cs"/>
          <w:rtl/>
        </w:rPr>
        <w:t xml:space="preserve"> المذكور</w:t>
      </w:r>
      <w:r w:rsidR="00950394" w:rsidRPr="00ED485F">
        <w:rPr>
          <w:rtl/>
        </w:rPr>
        <w:t xml:space="preserve">، بعد </w:t>
      </w:r>
      <w:r w:rsidR="003B12F8" w:rsidRPr="00ED485F">
        <w:rPr>
          <w:rFonts w:hint="cs"/>
          <w:rtl/>
        </w:rPr>
        <w:t>مراعاة</w:t>
      </w:r>
      <w:r w:rsidR="00950394" w:rsidRPr="00ED485F">
        <w:rPr>
          <w:rtl/>
        </w:rPr>
        <w:t xml:space="preserve"> الشواغل المتعلقة </w:t>
      </w:r>
      <w:r w:rsidR="003B12F8" w:rsidRPr="00ED485F">
        <w:rPr>
          <w:rFonts w:hint="cs"/>
          <w:rtl/>
        </w:rPr>
        <w:t>بالحصول على</w:t>
      </w:r>
      <w:r w:rsidR="00950394" w:rsidRPr="00ED485F">
        <w:rPr>
          <w:rtl/>
        </w:rPr>
        <w:t xml:space="preserve"> التكنولوجيا ونقلها بين مختلف الأطراف الفاعلة على </w:t>
      </w:r>
      <w:r w:rsidR="00147420" w:rsidRPr="00ED485F">
        <w:rPr>
          <w:rFonts w:hint="cs"/>
          <w:rtl/>
        </w:rPr>
        <w:t>المستو</w:t>
      </w:r>
      <w:r w:rsidR="005A1B0A" w:rsidRPr="00ED485F">
        <w:rPr>
          <w:rFonts w:hint="cs"/>
          <w:rtl/>
        </w:rPr>
        <w:t>يات</w:t>
      </w:r>
      <w:r w:rsidR="00950394" w:rsidRPr="00ED485F">
        <w:rPr>
          <w:rtl/>
        </w:rPr>
        <w:t xml:space="preserve"> الوطني</w:t>
      </w:r>
      <w:r w:rsidR="005A1B0A" w:rsidRPr="00ED485F">
        <w:rPr>
          <w:rFonts w:hint="cs"/>
          <w:rtl/>
        </w:rPr>
        <w:t>ة</w:t>
      </w:r>
      <w:r w:rsidR="00950394" w:rsidRPr="00ED485F">
        <w:rPr>
          <w:rtl/>
        </w:rPr>
        <w:t xml:space="preserve"> والإقليمي</w:t>
      </w:r>
      <w:r w:rsidR="005A1B0A" w:rsidRPr="00ED485F">
        <w:rPr>
          <w:rFonts w:hint="cs"/>
          <w:rtl/>
        </w:rPr>
        <w:t>ة</w:t>
      </w:r>
      <w:r w:rsidR="00950394" w:rsidRPr="00ED485F">
        <w:rPr>
          <w:rtl/>
        </w:rPr>
        <w:t>/ الدولي</w:t>
      </w:r>
      <w:r w:rsidR="005A1B0A" w:rsidRPr="00ED485F">
        <w:rPr>
          <w:rFonts w:hint="cs"/>
          <w:rtl/>
        </w:rPr>
        <w:t>ة</w:t>
      </w:r>
      <w:r w:rsidR="00950394" w:rsidRPr="00ED485F">
        <w:rPr>
          <w:rtl/>
        </w:rPr>
        <w:t xml:space="preserve">، إلى أهمية </w:t>
      </w:r>
      <w:r w:rsidR="002B62F3" w:rsidRPr="00ED485F">
        <w:rPr>
          <w:rFonts w:hint="cs"/>
          <w:rtl/>
        </w:rPr>
        <w:t>معالجة</w:t>
      </w:r>
      <w:r w:rsidR="00950394" w:rsidRPr="00ED485F">
        <w:rPr>
          <w:rtl/>
        </w:rPr>
        <w:t xml:space="preserve"> المسائل المطروحة من خلال خطة عمل </w:t>
      </w:r>
      <w:r w:rsidR="002B62F3" w:rsidRPr="00ED485F">
        <w:rPr>
          <w:rFonts w:hint="cs"/>
          <w:rtl/>
        </w:rPr>
        <w:t>دقيقة</w:t>
      </w:r>
      <w:r w:rsidR="00E755E0" w:rsidRPr="00ED485F">
        <w:rPr>
          <w:rFonts w:hint="cs"/>
          <w:rtl/>
        </w:rPr>
        <w:t xml:space="preserve">. </w:t>
      </w:r>
      <w:r w:rsidR="002B62F3" w:rsidRPr="00ED485F">
        <w:rPr>
          <w:rFonts w:hint="cs"/>
          <w:rtl/>
        </w:rPr>
        <w:t>كما نوهت</w:t>
      </w:r>
      <w:r w:rsidR="00E755E0" w:rsidRPr="00ED485F">
        <w:rPr>
          <w:rFonts w:hint="cs"/>
          <w:rtl/>
        </w:rPr>
        <w:t xml:space="preserve"> </w:t>
      </w:r>
      <w:r w:rsidR="002B62F3" w:rsidRPr="00ED485F">
        <w:rPr>
          <w:rFonts w:hint="cs"/>
          <w:rtl/>
        </w:rPr>
        <w:t>ال</w:t>
      </w:r>
      <w:r w:rsidR="00E755E0" w:rsidRPr="00ED485F">
        <w:rPr>
          <w:rFonts w:hint="cs"/>
          <w:rtl/>
        </w:rPr>
        <w:t xml:space="preserve">ورقة </w:t>
      </w:r>
      <w:r w:rsidR="00147420" w:rsidRPr="00ED485F">
        <w:rPr>
          <w:rFonts w:hint="cs"/>
          <w:rtl/>
        </w:rPr>
        <w:t xml:space="preserve">إلى ضرورة </w:t>
      </w:r>
      <w:r w:rsidR="002B62F3" w:rsidRPr="00ED485F">
        <w:rPr>
          <w:rFonts w:hint="cs"/>
          <w:rtl/>
        </w:rPr>
        <w:t>مواصلة مشروع</w:t>
      </w:r>
      <w:r w:rsidR="00147420" w:rsidRPr="00ED485F">
        <w:rPr>
          <w:rFonts w:hint="cs"/>
          <w:rtl/>
        </w:rPr>
        <w:t xml:space="preserve"> </w:t>
      </w:r>
      <w:r w:rsidR="00147420" w:rsidRPr="00ED485F">
        <w:rPr>
          <w:rtl/>
        </w:rPr>
        <w:t xml:space="preserve">مدونة </w:t>
      </w:r>
      <w:proofErr w:type="spellStart"/>
      <w:r w:rsidR="00147420" w:rsidRPr="00ED485F">
        <w:rPr>
          <w:rtl/>
        </w:rPr>
        <w:t>الأونكتاد</w:t>
      </w:r>
      <w:proofErr w:type="spellEnd"/>
      <w:r w:rsidR="00147420" w:rsidRPr="00ED485F">
        <w:rPr>
          <w:rtl/>
        </w:rPr>
        <w:t xml:space="preserve"> لقواعد السلوك في نقل التكنولوجيا</w:t>
      </w:r>
      <w:r w:rsidR="00147420" w:rsidRPr="00ED485F">
        <w:rPr>
          <w:rFonts w:hint="cs"/>
          <w:rtl/>
        </w:rPr>
        <w:t xml:space="preserve"> من خلال</w:t>
      </w:r>
      <w:r w:rsidR="00147420" w:rsidRPr="00ED485F">
        <w:rPr>
          <w:rtl/>
        </w:rPr>
        <w:t xml:space="preserve"> </w:t>
      </w:r>
      <w:r w:rsidR="005F5CC9" w:rsidRPr="00ED485F">
        <w:rPr>
          <w:rFonts w:hint="cs"/>
          <w:rtl/>
        </w:rPr>
        <w:t>"</w:t>
      </w:r>
      <w:r w:rsidR="00147420" w:rsidRPr="00ED485F">
        <w:rPr>
          <w:rtl/>
        </w:rPr>
        <w:t>إقرار شرعية سياسات محلية معينة لتعزيز نقل التكنولوجيا</w:t>
      </w:r>
      <w:r w:rsidR="002B62F3" w:rsidRPr="00ED485F">
        <w:rPr>
          <w:rtl/>
        </w:rPr>
        <w:t xml:space="preserve"> ونشر</w:t>
      </w:r>
      <w:r w:rsidR="002B62F3" w:rsidRPr="00ED485F">
        <w:rPr>
          <w:rFonts w:hint="cs"/>
          <w:rtl/>
        </w:rPr>
        <w:t>ها</w:t>
      </w:r>
      <w:r w:rsidR="005F5CC9" w:rsidRPr="00ED485F">
        <w:rPr>
          <w:rFonts w:hint="cs"/>
          <w:rtl/>
        </w:rPr>
        <w:t>"،</w:t>
      </w:r>
      <w:r w:rsidR="00147420" w:rsidRPr="00ED485F">
        <w:rPr>
          <w:rtl/>
        </w:rPr>
        <w:t xml:space="preserve"> و</w:t>
      </w:r>
      <w:r w:rsidR="005F5CC9" w:rsidRPr="00ED485F">
        <w:rPr>
          <w:rFonts w:hint="cs"/>
          <w:rtl/>
        </w:rPr>
        <w:t>"</w:t>
      </w:r>
      <w:r w:rsidR="00147420" w:rsidRPr="00ED485F">
        <w:rPr>
          <w:rtl/>
        </w:rPr>
        <w:t>القواعد الحاكمة للشروط التعاقدية في عمليات نقل التكنولوجيا</w:t>
      </w:r>
      <w:r w:rsidR="005F5CC9" w:rsidRPr="00ED485F">
        <w:rPr>
          <w:rFonts w:hint="cs"/>
          <w:rtl/>
        </w:rPr>
        <w:t>"</w:t>
      </w:r>
      <w:r w:rsidR="00147420" w:rsidRPr="00ED485F">
        <w:rPr>
          <w:rtl/>
        </w:rPr>
        <w:t>، و</w:t>
      </w:r>
      <w:r w:rsidR="005F5CC9" w:rsidRPr="00ED485F">
        <w:rPr>
          <w:rFonts w:hint="cs"/>
          <w:rtl/>
        </w:rPr>
        <w:t>أخيرا النظر في "</w:t>
      </w:r>
      <w:r w:rsidR="00147420" w:rsidRPr="00ED485F">
        <w:rPr>
          <w:rtl/>
        </w:rPr>
        <w:t>التدابير الخاصة بشأن المعاملة التفاضلية للبلدان النامية، والتدابير التي من شأنها تعز</w:t>
      </w:r>
      <w:r w:rsidR="002B62F3" w:rsidRPr="00ED485F">
        <w:rPr>
          <w:rFonts w:hint="cs"/>
          <w:rtl/>
        </w:rPr>
        <w:t>ي</w:t>
      </w:r>
      <w:r w:rsidR="00147420" w:rsidRPr="00ED485F">
        <w:rPr>
          <w:rtl/>
        </w:rPr>
        <w:t>ز التعاون الدولي</w:t>
      </w:r>
      <w:r w:rsidR="005F5CC9" w:rsidRPr="00ED485F">
        <w:rPr>
          <w:rFonts w:hint="cs"/>
          <w:rtl/>
        </w:rPr>
        <w:t xml:space="preserve"> (الويبو، المرجع السابق، الفقرة 6)</w:t>
      </w:r>
      <w:r w:rsidR="00147420" w:rsidRPr="00ED485F">
        <w:rPr>
          <w:rtl/>
        </w:rPr>
        <w:t>.</w:t>
      </w:r>
    </w:p>
    <w:p w:rsidR="00513AC2" w:rsidRPr="00ED485F" w:rsidRDefault="002B62F3" w:rsidP="000B0066">
      <w:pPr>
        <w:pStyle w:val="NumberedParaAR"/>
        <w:numPr>
          <w:ilvl w:val="0"/>
          <w:numId w:val="22"/>
        </w:numPr>
        <w:tabs>
          <w:tab w:val="right" w:pos="566"/>
        </w:tabs>
        <w:ind w:left="0" w:firstLine="0"/>
      </w:pPr>
      <w:r w:rsidRPr="00ED485F">
        <w:rPr>
          <w:rFonts w:hint="cs"/>
          <w:rtl/>
        </w:rPr>
        <w:t>ولمتابعة</w:t>
      </w:r>
      <w:r w:rsidR="005F5CC9" w:rsidRPr="00ED485F">
        <w:rPr>
          <w:rFonts w:hint="cs"/>
          <w:rtl/>
        </w:rPr>
        <w:t xml:space="preserve"> جدول الأعمال بشأن نقل التكنولوجي</w:t>
      </w:r>
      <w:r w:rsidR="005F5CC9" w:rsidRPr="00ED485F">
        <w:rPr>
          <w:rFonts w:hint="eastAsia"/>
          <w:rtl/>
        </w:rPr>
        <w:t>ا</w:t>
      </w:r>
      <w:r w:rsidR="005F5CC9" w:rsidRPr="00ED485F">
        <w:rPr>
          <w:rFonts w:hint="cs"/>
          <w:rtl/>
        </w:rPr>
        <w:t xml:space="preserve"> اقترحت ورقة المشروع </w:t>
      </w:r>
      <w:r w:rsidR="00066D51" w:rsidRPr="00ED485F">
        <w:rPr>
          <w:rFonts w:hint="cs"/>
          <w:rtl/>
        </w:rPr>
        <w:t>القيام بعمل</w:t>
      </w:r>
      <w:r w:rsidR="00D34F87" w:rsidRPr="00ED485F">
        <w:rPr>
          <w:rFonts w:hint="cs"/>
          <w:rtl/>
        </w:rPr>
        <w:t xml:space="preserve"> تحضيري وأنشطة تتضمن استعراض</w:t>
      </w:r>
      <w:r w:rsidR="00AF1E2C" w:rsidRPr="00ED485F">
        <w:rPr>
          <w:rtl/>
        </w:rPr>
        <w:t xml:space="preserve"> </w:t>
      </w:r>
      <w:r w:rsidR="004A6D4F" w:rsidRPr="00ED485F">
        <w:rPr>
          <w:rFonts w:hint="cs"/>
          <w:rtl/>
        </w:rPr>
        <w:t>منشورات</w:t>
      </w:r>
      <w:r w:rsidR="00AF1E2C" w:rsidRPr="00ED485F">
        <w:rPr>
          <w:rtl/>
        </w:rPr>
        <w:t xml:space="preserve"> عن العمل المنجز في</w:t>
      </w:r>
      <w:r w:rsidR="00AF1E2C" w:rsidRPr="00ED485F">
        <w:rPr>
          <w:rFonts w:hint="cs"/>
          <w:rtl/>
        </w:rPr>
        <w:t xml:space="preserve"> الويبو وفي منظمات أخرى</w:t>
      </w:r>
      <w:r w:rsidR="00141667" w:rsidRPr="00ED485F">
        <w:rPr>
          <w:rFonts w:hint="cs"/>
          <w:rtl/>
        </w:rPr>
        <w:t>،</w:t>
      </w:r>
      <w:r w:rsidR="00AF1E2C" w:rsidRPr="00ED485F">
        <w:rPr>
          <w:rFonts w:hint="cs"/>
          <w:rtl/>
        </w:rPr>
        <w:t xml:space="preserve"> والتكليف </w:t>
      </w:r>
      <w:r w:rsidR="000B0066" w:rsidRPr="00ED485F">
        <w:rPr>
          <w:rFonts w:hint="cs"/>
          <w:rtl/>
        </w:rPr>
        <w:t>بإعداد</w:t>
      </w:r>
      <w:r w:rsidR="00AF1E2C" w:rsidRPr="00ED485F">
        <w:rPr>
          <w:rFonts w:hint="cs"/>
          <w:rtl/>
        </w:rPr>
        <w:t xml:space="preserve"> دراسات ودراسات إفرادية </w:t>
      </w:r>
      <w:r w:rsidR="00261277" w:rsidRPr="00ED485F">
        <w:rPr>
          <w:rFonts w:hint="cs"/>
          <w:rtl/>
        </w:rPr>
        <w:t>ي</w:t>
      </w:r>
      <w:r w:rsidR="00AF1E2C" w:rsidRPr="00ED485F">
        <w:rPr>
          <w:rFonts w:hint="cs"/>
          <w:rtl/>
        </w:rPr>
        <w:t>ستعرضها الأقران</w:t>
      </w:r>
      <w:r w:rsidR="00261277" w:rsidRPr="00ED485F">
        <w:rPr>
          <w:rFonts w:hint="cs"/>
          <w:rtl/>
        </w:rPr>
        <w:t xml:space="preserve">. </w:t>
      </w:r>
      <w:proofErr w:type="gramStart"/>
      <w:r w:rsidR="000B0066" w:rsidRPr="00ED485F">
        <w:rPr>
          <w:rFonts w:hint="cs"/>
          <w:rtl/>
        </w:rPr>
        <w:t>كما</w:t>
      </w:r>
      <w:proofErr w:type="gramEnd"/>
      <w:r w:rsidR="000B0066" w:rsidRPr="00ED485F">
        <w:rPr>
          <w:rFonts w:hint="cs"/>
          <w:rtl/>
        </w:rPr>
        <w:t xml:space="preserve"> </w:t>
      </w:r>
      <w:r w:rsidR="00261277" w:rsidRPr="00ED485F">
        <w:rPr>
          <w:rFonts w:hint="cs"/>
          <w:rtl/>
        </w:rPr>
        <w:t xml:space="preserve">اقتُرح أن </w:t>
      </w:r>
      <w:r w:rsidR="00141667" w:rsidRPr="00ED485F">
        <w:rPr>
          <w:rFonts w:hint="cs"/>
          <w:rtl/>
        </w:rPr>
        <w:t>الدراسات ب</w:t>
      </w:r>
      <w:r w:rsidR="00261277" w:rsidRPr="00ED485F">
        <w:rPr>
          <w:rFonts w:hint="cs"/>
          <w:rtl/>
        </w:rPr>
        <w:t>حاجة إلى أن تتضمن</w:t>
      </w:r>
      <w:r w:rsidR="00513AC2" w:rsidRPr="00ED485F">
        <w:rPr>
          <w:rFonts w:hint="cs"/>
          <w:rtl/>
        </w:rPr>
        <w:t xml:space="preserve"> "سلسلة من الدراسات الا</w:t>
      </w:r>
      <w:r w:rsidR="00141667" w:rsidRPr="00ED485F">
        <w:rPr>
          <w:rFonts w:hint="cs"/>
          <w:rtl/>
        </w:rPr>
        <w:t>قتصاد</w:t>
      </w:r>
      <w:r w:rsidR="00513AC2" w:rsidRPr="00ED485F">
        <w:rPr>
          <w:rFonts w:hint="cs"/>
          <w:rtl/>
        </w:rPr>
        <w:t>ية حول الملكية الفكرية ونقل التكنولوجيا على الصعيد الدولي</w:t>
      </w:r>
      <w:r w:rsidR="00141667" w:rsidRPr="00ED485F">
        <w:rPr>
          <w:rFonts w:hint="cs"/>
          <w:rtl/>
        </w:rPr>
        <w:t>"</w:t>
      </w:r>
      <w:r w:rsidR="00513AC2" w:rsidRPr="00ED485F">
        <w:rPr>
          <w:rFonts w:hint="cs"/>
          <w:rtl/>
        </w:rPr>
        <w:t xml:space="preserve">. </w:t>
      </w:r>
      <w:proofErr w:type="gramStart"/>
      <w:r w:rsidR="008A04A1" w:rsidRPr="00ED485F">
        <w:rPr>
          <w:rtl/>
        </w:rPr>
        <w:t>ستركز</w:t>
      </w:r>
      <w:proofErr w:type="gramEnd"/>
      <w:r w:rsidR="008A04A1" w:rsidRPr="00ED485F">
        <w:rPr>
          <w:rtl/>
        </w:rPr>
        <w:t xml:space="preserve"> </w:t>
      </w:r>
      <w:r w:rsidR="00513AC2" w:rsidRPr="00ED485F">
        <w:rPr>
          <w:rFonts w:hint="cs"/>
          <w:rtl/>
        </w:rPr>
        <w:t>الدراسات الاقتصادية</w:t>
      </w:r>
      <w:r w:rsidR="00513AC2" w:rsidRPr="00ED485F">
        <w:rPr>
          <w:rtl/>
        </w:rPr>
        <w:t xml:space="preserve"> على المجالات التي حظيت باهتمام أقل في </w:t>
      </w:r>
      <w:r w:rsidR="0009519F" w:rsidRPr="00ED485F">
        <w:rPr>
          <w:rFonts w:hint="cs"/>
          <w:rtl/>
        </w:rPr>
        <w:t>المنشورات</w:t>
      </w:r>
      <w:r w:rsidR="00513AC2" w:rsidRPr="00ED485F">
        <w:rPr>
          <w:rtl/>
        </w:rPr>
        <w:t xml:space="preserve"> الاقتصادية </w:t>
      </w:r>
      <w:r w:rsidR="00513AC2" w:rsidRPr="00ED485F">
        <w:rPr>
          <w:rFonts w:hint="cs"/>
          <w:rtl/>
        </w:rPr>
        <w:t>المتاحة</w:t>
      </w:r>
      <w:r w:rsidR="00513AC2" w:rsidRPr="00ED485F">
        <w:rPr>
          <w:rtl/>
        </w:rPr>
        <w:t xml:space="preserve"> وعلى تحديد العقبات </w:t>
      </w:r>
      <w:r w:rsidR="00513AC2" w:rsidRPr="00ED485F">
        <w:rPr>
          <w:rFonts w:hint="cs"/>
          <w:rtl/>
        </w:rPr>
        <w:t xml:space="preserve">المحتملة </w:t>
      </w:r>
      <w:r w:rsidR="00513AC2" w:rsidRPr="00ED485F">
        <w:rPr>
          <w:rtl/>
        </w:rPr>
        <w:t>أمام نقل التكنولوجيا واقتراح السبل التي من شأنها أن تنهض به</w:t>
      </w:r>
      <w:r w:rsidR="00513AC2" w:rsidRPr="00ED485F">
        <w:rPr>
          <w:rFonts w:hint="cs"/>
          <w:rtl/>
        </w:rPr>
        <w:t>.</w:t>
      </w:r>
    </w:p>
    <w:p w:rsidR="00EC5A30" w:rsidRPr="00ED485F" w:rsidRDefault="00ED38E6" w:rsidP="00111CBA">
      <w:pPr>
        <w:pStyle w:val="NumberedParaAR"/>
        <w:numPr>
          <w:ilvl w:val="0"/>
          <w:numId w:val="22"/>
        </w:numPr>
        <w:tabs>
          <w:tab w:val="right" w:pos="566"/>
          <w:tab w:val="right" w:pos="708"/>
        </w:tabs>
        <w:ind w:left="0" w:firstLine="0"/>
      </w:pPr>
      <w:r w:rsidRPr="00ED485F">
        <w:rPr>
          <w:rFonts w:hint="cs"/>
          <w:rtl/>
        </w:rPr>
        <w:t>و</w:t>
      </w:r>
      <w:r w:rsidR="00885B25" w:rsidRPr="00ED485F">
        <w:rPr>
          <w:rFonts w:hint="cs"/>
          <w:rtl/>
        </w:rPr>
        <w:t>أُسند العمل المتعلق بالدراسات الاقتصادية إلى مؤلف هذ</w:t>
      </w:r>
      <w:r w:rsidR="0009519F" w:rsidRPr="00ED485F">
        <w:rPr>
          <w:rFonts w:hint="cs"/>
          <w:rtl/>
        </w:rPr>
        <w:t>ا</w:t>
      </w:r>
      <w:r w:rsidR="00885B25" w:rsidRPr="00ED485F">
        <w:rPr>
          <w:rFonts w:hint="cs"/>
          <w:rtl/>
        </w:rPr>
        <w:t xml:space="preserve"> </w:t>
      </w:r>
      <w:r w:rsidR="0009519F" w:rsidRPr="00ED485F">
        <w:rPr>
          <w:rFonts w:hint="cs"/>
          <w:rtl/>
        </w:rPr>
        <w:t>المجلد</w:t>
      </w:r>
      <w:r w:rsidR="00833578" w:rsidRPr="00ED485F">
        <w:rPr>
          <w:rFonts w:hint="cs"/>
          <w:rtl/>
        </w:rPr>
        <w:t>. ونظرا إلى أن</w:t>
      </w:r>
      <w:r w:rsidR="00D350D4" w:rsidRPr="00ED485F">
        <w:t xml:space="preserve"> </w:t>
      </w:r>
      <w:r w:rsidR="00D350D4" w:rsidRPr="00ED485F">
        <w:rPr>
          <w:rFonts w:hint="cs"/>
          <w:rtl/>
          <w:lang w:bidi="ar-EG"/>
        </w:rPr>
        <w:t xml:space="preserve">اختصاصات تلك الدراسات </w:t>
      </w:r>
      <w:r w:rsidR="00055FFE" w:rsidRPr="00ED485F">
        <w:rPr>
          <w:rFonts w:hint="cs"/>
          <w:rtl/>
          <w:lang w:bidi="ar-EG"/>
        </w:rPr>
        <w:t>ل</w:t>
      </w:r>
      <w:r w:rsidR="00D350D4" w:rsidRPr="00ED485F">
        <w:rPr>
          <w:rFonts w:hint="cs"/>
          <w:rtl/>
          <w:lang w:bidi="ar-EG"/>
        </w:rPr>
        <w:t xml:space="preserve">م تحدد بوضوح في </w:t>
      </w:r>
      <w:r w:rsidR="00055FFE" w:rsidRPr="00ED485F">
        <w:rPr>
          <w:rFonts w:hint="cs"/>
          <w:rtl/>
        </w:rPr>
        <w:t>وثيقة الويبو (2011)</w:t>
      </w:r>
      <w:r w:rsidR="009653A7" w:rsidRPr="00ED485F">
        <w:rPr>
          <w:rFonts w:hint="cs"/>
          <w:rtl/>
        </w:rPr>
        <w:t xml:space="preserve"> فقد</w:t>
      </w:r>
      <w:r w:rsidR="00055FFE" w:rsidRPr="00ED485F">
        <w:rPr>
          <w:rFonts w:hint="cs"/>
          <w:rtl/>
        </w:rPr>
        <w:t xml:space="preserve"> أجرى المؤلف</w:t>
      </w:r>
      <w:r w:rsidR="00261277" w:rsidRPr="00ED485F">
        <w:rPr>
          <w:rFonts w:hint="cs"/>
          <w:rtl/>
        </w:rPr>
        <w:t xml:space="preserve"> </w:t>
      </w:r>
      <w:r w:rsidR="00D26D21">
        <w:rPr>
          <w:rFonts w:hint="cs"/>
          <w:rtl/>
        </w:rPr>
        <w:t>مناقشات مفصلة مع مسؤ</w:t>
      </w:r>
      <w:r w:rsidR="00055FFE" w:rsidRPr="00ED485F">
        <w:rPr>
          <w:rFonts w:hint="cs"/>
          <w:rtl/>
        </w:rPr>
        <w:t xml:space="preserve">ولي الويبو المعنيين بجدول الأعمال. </w:t>
      </w:r>
      <w:r w:rsidR="007A1E01" w:rsidRPr="00ED485F">
        <w:rPr>
          <w:rFonts w:hint="cs"/>
          <w:rtl/>
        </w:rPr>
        <w:t>ونظرا إلى أن</w:t>
      </w:r>
      <w:r w:rsidR="002E6393" w:rsidRPr="00ED485F">
        <w:rPr>
          <w:rFonts w:hint="cs"/>
          <w:rtl/>
        </w:rPr>
        <w:t xml:space="preserve"> السياسة الدولية هي محور تركيز أنشطة الويبو، </w:t>
      </w:r>
      <w:r w:rsidR="00111CBA" w:rsidRPr="00ED485F">
        <w:rPr>
          <w:rFonts w:hint="cs"/>
          <w:rtl/>
        </w:rPr>
        <w:t xml:space="preserve">وأن </w:t>
      </w:r>
      <w:r w:rsidR="00912DD2" w:rsidRPr="00ED485F">
        <w:rPr>
          <w:rFonts w:hint="cs"/>
          <w:rtl/>
        </w:rPr>
        <w:t>حقوق الملكية الفكرية ونقل التكنولوجيا</w:t>
      </w:r>
      <w:r w:rsidR="00111CBA" w:rsidRPr="00ED485F">
        <w:rPr>
          <w:rFonts w:hint="cs"/>
          <w:rtl/>
        </w:rPr>
        <w:t xml:space="preserve"> من الأهمية بمكان</w:t>
      </w:r>
      <w:r w:rsidR="00912DD2" w:rsidRPr="00ED485F">
        <w:rPr>
          <w:rFonts w:hint="cs"/>
          <w:rtl/>
        </w:rPr>
        <w:t xml:space="preserve"> في جدول أعمال الويبو بشأن التنمية</w:t>
      </w:r>
      <w:r w:rsidR="007A1E01" w:rsidRPr="00ED485F">
        <w:rPr>
          <w:rFonts w:hint="cs"/>
          <w:rtl/>
        </w:rPr>
        <w:t>،</w:t>
      </w:r>
      <w:r w:rsidR="00912DD2" w:rsidRPr="00ED485F">
        <w:rPr>
          <w:rFonts w:hint="cs"/>
          <w:rtl/>
        </w:rPr>
        <w:t xml:space="preserve"> </w:t>
      </w:r>
      <w:r w:rsidR="00001177" w:rsidRPr="00ED485F">
        <w:rPr>
          <w:rFonts w:hint="cs"/>
          <w:rtl/>
        </w:rPr>
        <w:t>ساد اعتقاد بأن هذه</w:t>
      </w:r>
      <w:r w:rsidR="00504540" w:rsidRPr="00ED485F">
        <w:rPr>
          <w:rFonts w:hint="cs"/>
          <w:rtl/>
        </w:rPr>
        <w:t xml:space="preserve"> الدراسات يمكن أن تُختصر</w:t>
      </w:r>
      <w:r w:rsidR="00001177" w:rsidRPr="00ED485F">
        <w:rPr>
          <w:rFonts w:hint="cs"/>
          <w:rtl/>
        </w:rPr>
        <w:t xml:space="preserve"> إلى</w:t>
      </w:r>
      <w:r w:rsidR="00504540" w:rsidRPr="00ED485F">
        <w:rPr>
          <w:rFonts w:hint="cs"/>
          <w:rtl/>
        </w:rPr>
        <w:t xml:space="preserve"> أجزاء رئيسية</w:t>
      </w:r>
      <w:r w:rsidR="008F097B" w:rsidRPr="00ED485F">
        <w:rPr>
          <w:rFonts w:hint="cs"/>
          <w:rtl/>
        </w:rPr>
        <w:t xml:space="preserve"> </w:t>
      </w:r>
      <w:r w:rsidR="00E34448" w:rsidRPr="00ED485F">
        <w:rPr>
          <w:rFonts w:hint="cs"/>
          <w:rtl/>
        </w:rPr>
        <w:t>ل</w:t>
      </w:r>
      <w:r w:rsidR="00001177" w:rsidRPr="00ED485F">
        <w:rPr>
          <w:rFonts w:hint="cs"/>
          <w:rtl/>
        </w:rPr>
        <w:t xml:space="preserve">سياسة </w:t>
      </w:r>
      <w:r w:rsidR="00867EA4" w:rsidRPr="00ED485F">
        <w:rPr>
          <w:rFonts w:hint="cs"/>
          <w:rtl/>
        </w:rPr>
        <w:t xml:space="preserve">دولية </w:t>
      </w:r>
      <w:r w:rsidR="009463B0" w:rsidRPr="00ED485F">
        <w:rPr>
          <w:rFonts w:hint="cs"/>
          <w:rtl/>
        </w:rPr>
        <w:t xml:space="preserve">كلية </w:t>
      </w:r>
      <w:r w:rsidR="00867EA4" w:rsidRPr="00ED485F">
        <w:rPr>
          <w:rFonts w:hint="cs"/>
          <w:rtl/>
        </w:rPr>
        <w:t xml:space="preserve">من شأنها أن </w:t>
      </w:r>
      <w:r w:rsidR="00726430" w:rsidRPr="00ED485F">
        <w:rPr>
          <w:rFonts w:hint="cs"/>
          <w:rtl/>
        </w:rPr>
        <w:t>توجه</w:t>
      </w:r>
      <w:r w:rsidR="00726430" w:rsidRPr="00ED485F">
        <w:rPr>
          <w:rFonts w:ascii="Arial" w:hAnsi="Arial" w:cs="Arial" w:hint="cs"/>
          <w:sz w:val="22"/>
          <w:szCs w:val="20"/>
          <w:rtl/>
        </w:rPr>
        <w:t xml:space="preserve"> </w:t>
      </w:r>
      <w:r w:rsidR="00726430" w:rsidRPr="00ED485F">
        <w:rPr>
          <w:rFonts w:hint="cs"/>
          <w:rtl/>
        </w:rPr>
        <w:t xml:space="preserve">جدول أعمال الويبو بشأن التنمية في السنوات التالية. </w:t>
      </w:r>
      <w:r w:rsidR="00A35BA9" w:rsidRPr="00ED485F">
        <w:rPr>
          <w:rFonts w:hint="cs"/>
          <w:rtl/>
        </w:rPr>
        <w:t xml:space="preserve"> </w:t>
      </w:r>
      <w:r w:rsidR="008E3AFC" w:rsidRPr="00ED485F">
        <w:rPr>
          <w:rFonts w:hint="cs"/>
          <w:rtl/>
        </w:rPr>
        <w:t xml:space="preserve">وتعد </w:t>
      </w:r>
      <w:r w:rsidR="00A35BA9" w:rsidRPr="00ED485F">
        <w:rPr>
          <w:rFonts w:hint="cs"/>
          <w:rtl/>
        </w:rPr>
        <w:t xml:space="preserve">أنظمة </w:t>
      </w:r>
      <w:r w:rsidR="00390C41" w:rsidRPr="00ED485F">
        <w:rPr>
          <w:rFonts w:hint="cs"/>
          <w:rtl/>
        </w:rPr>
        <w:t>التمويل المستدامة التي تحفز نقل</w:t>
      </w:r>
      <w:r w:rsidR="00381802" w:rsidRPr="00ED485F">
        <w:rPr>
          <w:rFonts w:hint="cs"/>
          <w:rtl/>
        </w:rPr>
        <w:t xml:space="preserve"> </w:t>
      </w:r>
      <w:r w:rsidR="00390C41" w:rsidRPr="00ED485F">
        <w:rPr>
          <w:rFonts w:hint="cs"/>
          <w:rtl/>
        </w:rPr>
        <w:t>التكنولوجيا</w:t>
      </w:r>
      <w:r w:rsidR="00381802" w:rsidRPr="00ED485F">
        <w:rPr>
          <w:rFonts w:hint="cs"/>
          <w:rtl/>
        </w:rPr>
        <w:t>ت</w:t>
      </w:r>
      <w:r w:rsidR="00390C41" w:rsidRPr="00ED485F">
        <w:rPr>
          <w:rFonts w:hint="cs"/>
          <w:rtl/>
        </w:rPr>
        <w:t xml:space="preserve"> المنخفضة الكربون</w:t>
      </w:r>
      <w:r w:rsidR="00381802" w:rsidRPr="00ED485F">
        <w:rPr>
          <w:rFonts w:hint="cs"/>
          <w:rtl/>
        </w:rPr>
        <w:t xml:space="preserve"> </w:t>
      </w:r>
      <w:r w:rsidR="008E3AFC" w:rsidRPr="00ED485F">
        <w:rPr>
          <w:rFonts w:hint="cs"/>
          <w:rtl/>
        </w:rPr>
        <w:t xml:space="preserve">وتوفر </w:t>
      </w:r>
      <w:r w:rsidR="00381802" w:rsidRPr="00ED485F">
        <w:rPr>
          <w:rFonts w:hint="cs"/>
          <w:rtl/>
        </w:rPr>
        <w:t xml:space="preserve">أدوية فعالة وميسورة التكلفة للفقراء في البلدان النامية التي تعاني من الأمراض المعدية الخطيرة، </w:t>
      </w:r>
      <w:r w:rsidR="00E34448" w:rsidRPr="00ED485F">
        <w:rPr>
          <w:rFonts w:hint="cs"/>
          <w:rtl/>
        </w:rPr>
        <w:t>و</w:t>
      </w:r>
      <w:r w:rsidR="00381802" w:rsidRPr="00ED485F">
        <w:rPr>
          <w:rFonts w:hint="cs"/>
          <w:rtl/>
        </w:rPr>
        <w:t xml:space="preserve">تعزز </w:t>
      </w:r>
      <w:r w:rsidR="00E34448" w:rsidRPr="00ED485F">
        <w:rPr>
          <w:rFonts w:hint="cs"/>
          <w:rtl/>
        </w:rPr>
        <w:t>أ</w:t>
      </w:r>
      <w:r w:rsidR="00381802" w:rsidRPr="00ED485F">
        <w:rPr>
          <w:rFonts w:hint="cs"/>
          <w:rtl/>
        </w:rPr>
        <w:t>نظم</w:t>
      </w:r>
      <w:r w:rsidR="00E34448" w:rsidRPr="00ED485F">
        <w:rPr>
          <w:rFonts w:hint="cs"/>
          <w:rtl/>
        </w:rPr>
        <w:t>ة</w:t>
      </w:r>
      <w:r w:rsidR="00381802" w:rsidRPr="00ED485F">
        <w:rPr>
          <w:rFonts w:hint="cs"/>
          <w:rtl/>
        </w:rPr>
        <w:t xml:space="preserve"> معيشية مستدامة للمجتمعات الأكثر فقرا هي </w:t>
      </w:r>
      <w:r w:rsidR="008E3AFC" w:rsidRPr="00ED485F">
        <w:rPr>
          <w:rFonts w:hint="cs"/>
          <w:rtl/>
        </w:rPr>
        <w:t>ال</w:t>
      </w:r>
      <w:r w:rsidR="00EC5A30" w:rsidRPr="00ED485F">
        <w:rPr>
          <w:rFonts w:hint="cs"/>
          <w:rtl/>
        </w:rPr>
        <w:t xml:space="preserve">عنصر </w:t>
      </w:r>
      <w:r w:rsidR="008E3AFC" w:rsidRPr="00ED485F">
        <w:rPr>
          <w:rFonts w:hint="cs"/>
          <w:rtl/>
        </w:rPr>
        <w:t>ال</w:t>
      </w:r>
      <w:r w:rsidR="00EC5A30" w:rsidRPr="00ED485F">
        <w:rPr>
          <w:rFonts w:hint="cs"/>
          <w:rtl/>
        </w:rPr>
        <w:t xml:space="preserve">أساسي </w:t>
      </w:r>
      <w:r w:rsidR="008E3AFC" w:rsidRPr="00ED485F">
        <w:rPr>
          <w:rFonts w:hint="cs"/>
          <w:rtl/>
        </w:rPr>
        <w:t xml:space="preserve">لتطور </w:t>
      </w:r>
      <w:r w:rsidR="00EC5A30" w:rsidRPr="00ED485F">
        <w:rPr>
          <w:rFonts w:hint="cs"/>
          <w:rtl/>
        </w:rPr>
        <w:t xml:space="preserve">جدول أعمال الويبو </w:t>
      </w:r>
      <w:r w:rsidR="008E3AFC" w:rsidRPr="00ED485F">
        <w:rPr>
          <w:rFonts w:hint="cs"/>
          <w:rtl/>
        </w:rPr>
        <w:t>في المستقبل</w:t>
      </w:r>
      <w:r w:rsidR="00D67FB3" w:rsidRPr="00ED485F">
        <w:rPr>
          <w:rFonts w:hint="cs"/>
          <w:rtl/>
        </w:rPr>
        <w:t xml:space="preserve">؛ </w:t>
      </w:r>
      <w:r w:rsidR="007A1E01" w:rsidRPr="00ED485F">
        <w:rPr>
          <w:rFonts w:hint="cs"/>
          <w:rtl/>
        </w:rPr>
        <w:t>ومن ثمّ فقد</w:t>
      </w:r>
      <w:r w:rsidR="006827B1" w:rsidRPr="00ED485F">
        <w:rPr>
          <w:rFonts w:hint="cs"/>
          <w:rtl/>
        </w:rPr>
        <w:t xml:space="preserve"> </w:t>
      </w:r>
      <w:r w:rsidR="00D67FB3" w:rsidRPr="00ED485F">
        <w:rPr>
          <w:rFonts w:hint="cs"/>
          <w:rtl/>
        </w:rPr>
        <w:t xml:space="preserve">رُئي </w:t>
      </w:r>
      <w:r w:rsidR="006827B1" w:rsidRPr="00ED485F">
        <w:rPr>
          <w:rFonts w:hint="cs"/>
          <w:rtl/>
        </w:rPr>
        <w:t xml:space="preserve">أن الدراسات التي تركز على هذه الجوانب </w:t>
      </w:r>
      <w:r w:rsidR="007A1E01" w:rsidRPr="00ED485F">
        <w:rPr>
          <w:rFonts w:hint="cs"/>
          <w:rtl/>
        </w:rPr>
        <w:t>ستقدم دعما كبيرا للسياس</w:t>
      </w:r>
      <w:r w:rsidR="006827B1" w:rsidRPr="00ED485F">
        <w:rPr>
          <w:rFonts w:hint="cs"/>
          <w:rtl/>
        </w:rPr>
        <w:t xml:space="preserve">ة العامة </w:t>
      </w:r>
      <w:r w:rsidR="00111CBA" w:rsidRPr="00ED485F">
        <w:rPr>
          <w:rFonts w:hint="cs"/>
          <w:rtl/>
        </w:rPr>
        <w:t>لجدول أعمال الويبو</w:t>
      </w:r>
      <w:r w:rsidR="000B0066" w:rsidRPr="00ED485F">
        <w:rPr>
          <w:rFonts w:hint="cs"/>
          <w:rtl/>
        </w:rPr>
        <w:t>،</w:t>
      </w:r>
      <w:r w:rsidR="00BD5CAC" w:rsidRPr="00ED485F">
        <w:rPr>
          <w:rFonts w:hint="cs"/>
          <w:rtl/>
        </w:rPr>
        <w:t xml:space="preserve"> وعليه تحددت الموضوعات الخمسة التالية للتوسع:</w:t>
      </w:r>
    </w:p>
    <w:p w:rsidR="00EC5A30" w:rsidRPr="00ED485F" w:rsidRDefault="006827B1" w:rsidP="00F5656E">
      <w:pPr>
        <w:pStyle w:val="NumberedParaAR"/>
        <w:numPr>
          <w:ilvl w:val="0"/>
          <w:numId w:val="26"/>
        </w:numPr>
        <w:tabs>
          <w:tab w:val="right" w:pos="1133"/>
          <w:tab w:val="right" w:pos="1275"/>
        </w:tabs>
        <w:ind w:left="567" w:firstLine="0"/>
      </w:pPr>
      <w:r w:rsidRPr="00ED485F">
        <w:rPr>
          <w:rFonts w:hint="cs"/>
          <w:rtl/>
        </w:rPr>
        <w:t>تفعيل</w:t>
      </w:r>
      <w:r w:rsidR="00EC5A30" w:rsidRPr="00ED485F">
        <w:rPr>
          <w:rFonts w:hint="cs"/>
          <w:rtl/>
        </w:rPr>
        <w:t xml:space="preserve"> المادة 7 من </w:t>
      </w:r>
      <w:r w:rsidR="00EC5A30" w:rsidRPr="00ED485F">
        <w:rPr>
          <w:rtl/>
        </w:rPr>
        <w:t xml:space="preserve">اتفاق </w:t>
      </w:r>
      <w:proofErr w:type="spellStart"/>
      <w:r w:rsidR="00EC5A30" w:rsidRPr="00ED485F">
        <w:rPr>
          <w:rtl/>
        </w:rPr>
        <w:t>تريبس</w:t>
      </w:r>
      <w:proofErr w:type="spellEnd"/>
      <w:r w:rsidR="00EC5A30" w:rsidRPr="00ED485F">
        <w:rPr>
          <w:rtl/>
        </w:rPr>
        <w:t xml:space="preserve"> التابع لمنظمة التجارة العالمية</w:t>
      </w:r>
      <w:r w:rsidRPr="00ED485F">
        <w:rPr>
          <w:rFonts w:hint="cs"/>
          <w:rtl/>
        </w:rPr>
        <w:t xml:space="preserve">: </w:t>
      </w:r>
      <w:r w:rsidR="00BD5CAC" w:rsidRPr="00ED485F">
        <w:rPr>
          <w:rFonts w:hint="cs"/>
          <w:rtl/>
        </w:rPr>
        <w:t xml:space="preserve">الحالة التقنية، </w:t>
      </w:r>
      <w:r w:rsidR="00F5656E" w:rsidRPr="00ED485F">
        <w:rPr>
          <w:rFonts w:hint="cs"/>
          <w:rtl/>
        </w:rPr>
        <w:t>العوائق</w:t>
      </w:r>
      <w:r w:rsidR="00BD5CAC" w:rsidRPr="00ED485F">
        <w:rPr>
          <w:rFonts w:hint="cs"/>
          <w:rtl/>
        </w:rPr>
        <w:t xml:space="preserve"> والتوقعات.</w:t>
      </w:r>
    </w:p>
    <w:p w:rsidR="00BD5CAC" w:rsidRPr="00ED485F" w:rsidRDefault="00BD5CAC" w:rsidP="0062043D">
      <w:pPr>
        <w:pStyle w:val="NumberedParaAR"/>
        <w:numPr>
          <w:ilvl w:val="0"/>
          <w:numId w:val="26"/>
        </w:numPr>
        <w:tabs>
          <w:tab w:val="right" w:pos="1133"/>
          <w:tab w:val="right" w:pos="1275"/>
        </w:tabs>
        <w:ind w:left="1133" w:hanging="567"/>
      </w:pPr>
      <w:r w:rsidRPr="00ED485F">
        <w:rPr>
          <w:rFonts w:hint="cs"/>
          <w:rtl/>
        </w:rPr>
        <w:t xml:space="preserve">الابتكار، آليات التمويل </w:t>
      </w:r>
      <w:proofErr w:type="gramStart"/>
      <w:r w:rsidRPr="00ED485F">
        <w:rPr>
          <w:rFonts w:hint="cs"/>
          <w:rtl/>
        </w:rPr>
        <w:t>ونقل</w:t>
      </w:r>
      <w:proofErr w:type="gramEnd"/>
      <w:r w:rsidRPr="00ED485F">
        <w:rPr>
          <w:rFonts w:hint="cs"/>
          <w:rtl/>
        </w:rPr>
        <w:t xml:space="preserve"> التكنولوجيا.</w:t>
      </w:r>
    </w:p>
    <w:p w:rsidR="00BD5CAC" w:rsidRPr="00ED485F" w:rsidRDefault="00485E70" w:rsidP="00C407FD">
      <w:pPr>
        <w:pStyle w:val="NumberedParaAR"/>
        <w:numPr>
          <w:ilvl w:val="0"/>
          <w:numId w:val="26"/>
        </w:numPr>
        <w:tabs>
          <w:tab w:val="right" w:pos="1133"/>
          <w:tab w:val="right" w:pos="1275"/>
        </w:tabs>
        <w:ind w:left="567" w:firstLine="0"/>
      </w:pPr>
      <w:r w:rsidRPr="00ED485F">
        <w:rPr>
          <w:rFonts w:hint="cs"/>
          <w:rtl/>
        </w:rPr>
        <w:t xml:space="preserve">وضع استراتيجية </w:t>
      </w:r>
      <w:r w:rsidR="00C407FD" w:rsidRPr="00ED485F">
        <w:rPr>
          <w:rFonts w:hint="cs"/>
          <w:rtl/>
        </w:rPr>
        <w:t>ل</w:t>
      </w:r>
      <w:r w:rsidR="00C407FD" w:rsidRPr="00ED485F">
        <w:rPr>
          <w:rFonts w:hint="cs"/>
          <w:rtl/>
          <w:lang w:bidi="ar-EG"/>
        </w:rPr>
        <w:t>تهيئة ظروف مواتية</w:t>
      </w:r>
      <w:r w:rsidR="00C407FD" w:rsidRPr="00ED485F">
        <w:rPr>
          <w:rFonts w:hint="cs"/>
          <w:rtl/>
        </w:rPr>
        <w:t xml:space="preserve"> مبتكرة</w:t>
      </w:r>
      <w:r w:rsidR="00BD5CAC" w:rsidRPr="00ED485F">
        <w:rPr>
          <w:rFonts w:hint="cs"/>
          <w:rtl/>
        </w:rPr>
        <w:t xml:space="preserve"> لنقل التكنولوجيا إلى البلدان النامية.</w:t>
      </w:r>
    </w:p>
    <w:p w:rsidR="00BD5CAC" w:rsidRPr="00ED485F" w:rsidRDefault="00D4573E" w:rsidP="00071947">
      <w:pPr>
        <w:pStyle w:val="NumberedParaAR"/>
        <w:numPr>
          <w:ilvl w:val="0"/>
          <w:numId w:val="26"/>
        </w:numPr>
        <w:tabs>
          <w:tab w:val="right" w:pos="1133"/>
          <w:tab w:val="right" w:pos="1275"/>
        </w:tabs>
        <w:ind w:left="1133" w:hanging="567"/>
      </w:pPr>
      <w:r w:rsidRPr="00ED485F">
        <w:rPr>
          <w:rFonts w:hint="cs"/>
          <w:rtl/>
        </w:rPr>
        <w:t xml:space="preserve">إجراء </w:t>
      </w:r>
      <w:r w:rsidR="00BD5CAC" w:rsidRPr="00ED485F">
        <w:rPr>
          <w:rFonts w:hint="cs"/>
          <w:rtl/>
        </w:rPr>
        <w:t xml:space="preserve">دراسة إفرادية </w:t>
      </w:r>
      <w:r w:rsidR="00071947" w:rsidRPr="00ED485F">
        <w:rPr>
          <w:rFonts w:hint="cs"/>
          <w:rtl/>
        </w:rPr>
        <w:t>لقطاع ا</w:t>
      </w:r>
      <w:r w:rsidR="00C407FD" w:rsidRPr="00ED485F">
        <w:rPr>
          <w:rFonts w:hint="cs"/>
          <w:rtl/>
        </w:rPr>
        <w:t>لأدوية</w:t>
      </w:r>
      <w:r w:rsidRPr="00ED485F">
        <w:rPr>
          <w:rFonts w:hint="cs"/>
          <w:rtl/>
        </w:rPr>
        <w:t xml:space="preserve"> </w:t>
      </w:r>
      <w:r w:rsidR="00071947" w:rsidRPr="00ED485F">
        <w:rPr>
          <w:rFonts w:hint="cs"/>
          <w:rtl/>
        </w:rPr>
        <w:t>و</w:t>
      </w:r>
      <w:r w:rsidRPr="00ED485F">
        <w:rPr>
          <w:rFonts w:hint="cs"/>
          <w:rtl/>
        </w:rPr>
        <w:t xml:space="preserve">المستحضرات </w:t>
      </w:r>
      <w:r w:rsidR="00BD5CAC" w:rsidRPr="00ED485F">
        <w:rPr>
          <w:rFonts w:hint="cs"/>
          <w:rtl/>
        </w:rPr>
        <w:t>الصيدلاني</w:t>
      </w:r>
      <w:r w:rsidRPr="00ED485F">
        <w:rPr>
          <w:rFonts w:hint="cs"/>
          <w:rtl/>
        </w:rPr>
        <w:t>ة</w:t>
      </w:r>
      <w:r w:rsidR="00BD5CAC" w:rsidRPr="00ED485F">
        <w:rPr>
          <w:rFonts w:hint="cs"/>
          <w:rtl/>
        </w:rPr>
        <w:t>.</w:t>
      </w:r>
    </w:p>
    <w:p w:rsidR="00BD5CAC" w:rsidRPr="00ED485F" w:rsidRDefault="00BD5CAC" w:rsidP="0062043D">
      <w:pPr>
        <w:pStyle w:val="NumberedParaAR"/>
        <w:numPr>
          <w:ilvl w:val="0"/>
          <w:numId w:val="26"/>
        </w:numPr>
        <w:tabs>
          <w:tab w:val="right" w:pos="1133"/>
          <w:tab w:val="right" w:pos="1275"/>
        </w:tabs>
        <w:ind w:left="1133" w:hanging="567"/>
      </w:pPr>
      <w:r w:rsidRPr="00ED485F">
        <w:rPr>
          <w:rFonts w:hint="cs"/>
          <w:rtl/>
        </w:rPr>
        <w:t xml:space="preserve"> </w:t>
      </w:r>
      <w:r w:rsidR="00485E70" w:rsidRPr="00ED485F">
        <w:rPr>
          <w:rFonts w:hint="cs"/>
          <w:rtl/>
        </w:rPr>
        <w:t>دراسة إفرادية للتكنولوجيات المتعلقة بتغير المناخ</w:t>
      </w:r>
      <w:r w:rsidR="00EC5BD8" w:rsidRPr="00ED485F">
        <w:rPr>
          <w:rFonts w:hint="cs"/>
          <w:rtl/>
        </w:rPr>
        <w:t>.</w:t>
      </w:r>
    </w:p>
    <w:p w:rsidR="006C5583" w:rsidRPr="00ED485F" w:rsidRDefault="00EC5BD8" w:rsidP="00EC5BD8">
      <w:pPr>
        <w:pStyle w:val="NumberedParaAR"/>
        <w:numPr>
          <w:ilvl w:val="0"/>
          <w:numId w:val="22"/>
        </w:numPr>
        <w:tabs>
          <w:tab w:val="right" w:pos="566"/>
        </w:tabs>
        <w:ind w:left="0" w:firstLine="0"/>
      </w:pPr>
      <w:r w:rsidRPr="00ED485F">
        <w:rPr>
          <w:rFonts w:hint="cs"/>
          <w:rtl/>
        </w:rPr>
        <w:t>يتضمن</w:t>
      </w:r>
      <w:r w:rsidR="00E01899" w:rsidRPr="00ED485F">
        <w:rPr>
          <w:rFonts w:hint="cs"/>
          <w:rtl/>
        </w:rPr>
        <w:t xml:space="preserve"> المجلد</w:t>
      </w:r>
      <w:r w:rsidR="00884095" w:rsidRPr="00ED485F">
        <w:rPr>
          <w:rFonts w:hint="cs"/>
          <w:rtl/>
        </w:rPr>
        <w:t xml:space="preserve"> </w:t>
      </w:r>
      <w:r w:rsidRPr="00ED485F">
        <w:rPr>
          <w:rFonts w:hint="cs"/>
          <w:rtl/>
        </w:rPr>
        <w:t>الحالي</w:t>
      </w:r>
      <w:r w:rsidR="00884095" w:rsidRPr="00ED485F">
        <w:rPr>
          <w:rFonts w:hint="cs"/>
          <w:rtl/>
        </w:rPr>
        <w:t xml:space="preserve"> أوراقا بشأن </w:t>
      </w:r>
      <w:proofErr w:type="gramStart"/>
      <w:r w:rsidRPr="00ED485F">
        <w:rPr>
          <w:rFonts w:hint="cs"/>
          <w:rtl/>
        </w:rPr>
        <w:t>أول</w:t>
      </w:r>
      <w:proofErr w:type="gramEnd"/>
      <w:r w:rsidRPr="00ED485F">
        <w:rPr>
          <w:rFonts w:hint="cs"/>
          <w:rtl/>
        </w:rPr>
        <w:t xml:space="preserve"> ثلاثة </w:t>
      </w:r>
      <w:r w:rsidR="00884095" w:rsidRPr="00ED485F">
        <w:rPr>
          <w:rFonts w:hint="cs"/>
          <w:rtl/>
        </w:rPr>
        <w:t xml:space="preserve">موضوعات </w:t>
      </w:r>
      <w:r w:rsidRPr="00ED485F">
        <w:rPr>
          <w:rFonts w:hint="cs"/>
          <w:rtl/>
        </w:rPr>
        <w:t>أساسية</w:t>
      </w:r>
      <w:r w:rsidR="00884095" w:rsidRPr="00ED485F">
        <w:rPr>
          <w:rFonts w:hint="cs"/>
          <w:rtl/>
        </w:rPr>
        <w:t xml:space="preserve">. </w:t>
      </w:r>
      <w:proofErr w:type="gramStart"/>
      <w:r w:rsidR="00884095" w:rsidRPr="00ED485F">
        <w:rPr>
          <w:rFonts w:hint="cs"/>
          <w:rtl/>
        </w:rPr>
        <w:t>ملخص</w:t>
      </w:r>
      <w:proofErr w:type="gramEnd"/>
      <w:r w:rsidR="00884095" w:rsidRPr="00ED485F">
        <w:rPr>
          <w:rFonts w:hint="cs"/>
          <w:rtl/>
        </w:rPr>
        <w:t xml:space="preserve"> هذه الورقات الثلاث كما يلي</w:t>
      </w:r>
      <w:r w:rsidR="006C5583" w:rsidRPr="00ED485F">
        <w:rPr>
          <w:rFonts w:hint="cs"/>
          <w:rtl/>
        </w:rPr>
        <w:t>:</w:t>
      </w:r>
    </w:p>
    <w:p w:rsidR="004E3CC3" w:rsidRPr="00891B1B" w:rsidRDefault="004E3CC3" w:rsidP="00B03CDB">
      <w:pPr>
        <w:pStyle w:val="NumberedParaAR"/>
        <w:numPr>
          <w:ilvl w:val="0"/>
          <w:numId w:val="27"/>
        </w:numPr>
        <w:tabs>
          <w:tab w:val="right" w:pos="566"/>
        </w:tabs>
        <w:ind w:left="566" w:hanging="567"/>
        <w:rPr>
          <w:b/>
          <w:bCs/>
          <w:sz w:val="40"/>
          <w:szCs w:val="40"/>
        </w:rPr>
      </w:pPr>
      <w:r w:rsidRPr="00891B1B">
        <w:rPr>
          <w:rFonts w:hint="cs"/>
          <w:b/>
          <w:bCs/>
          <w:sz w:val="40"/>
          <w:szCs w:val="40"/>
          <w:rtl/>
        </w:rPr>
        <w:t>تفعيل المادة 7 من</w:t>
      </w:r>
      <w:r w:rsidRPr="00891B1B">
        <w:rPr>
          <w:rFonts w:ascii="Arial" w:hAnsi="Arial" w:cs="Arial" w:hint="cs"/>
          <w:b/>
          <w:bCs/>
          <w:sz w:val="40"/>
          <w:szCs w:val="40"/>
          <w:rtl/>
        </w:rPr>
        <w:t xml:space="preserve"> </w:t>
      </w:r>
      <w:r w:rsidRPr="00891B1B">
        <w:rPr>
          <w:rFonts w:hint="cs"/>
          <w:b/>
          <w:bCs/>
          <w:sz w:val="40"/>
          <w:szCs w:val="40"/>
          <w:rtl/>
        </w:rPr>
        <w:t xml:space="preserve">اتفاق </w:t>
      </w:r>
      <w:proofErr w:type="spellStart"/>
      <w:r w:rsidRPr="00891B1B">
        <w:rPr>
          <w:rFonts w:hint="cs"/>
          <w:b/>
          <w:bCs/>
          <w:sz w:val="40"/>
          <w:szCs w:val="40"/>
          <w:rtl/>
        </w:rPr>
        <w:t>تريبس</w:t>
      </w:r>
      <w:proofErr w:type="spellEnd"/>
      <w:r w:rsidRPr="00891B1B">
        <w:rPr>
          <w:rFonts w:hint="cs"/>
          <w:b/>
          <w:bCs/>
          <w:sz w:val="40"/>
          <w:szCs w:val="40"/>
          <w:rtl/>
        </w:rPr>
        <w:t xml:space="preserve"> التابع لمنظمة العمل الدولية: الحالة التقنية، العوائق والتوقعات</w:t>
      </w:r>
    </w:p>
    <w:p w:rsidR="005F5CC9" w:rsidRPr="00ED485F" w:rsidRDefault="005A42A1" w:rsidP="005A42A1">
      <w:pPr>
        <w:pStyle w:val="NumberedParaAR"/>
        <w:numPr>
          <w:ilvl w:val="0"/>
          <w:numId w:val="22"/>
        </w:numPr>
        <w:tabs>
          <w:tab w:val="right" w:pos="566"/>
        </w:tabs>
        <w:ind w:left="0" w:firstLine="0"/>
      </w:pPr>
      <w:r>
        <w:rPr>
          <w:rFonts w:hint="cs"/>
          <w:rtl/>
        </w:rPr>
        <w:lastRenderedPageBreak/>
        <w:t>و</w:t>
      </w:r>
      <w:r w:rsidR="006B6B33" w:rsidRPr="00ED485F">
        <w:rPr>
          <w:rFonts w:hint="cs"/>
          <w:rtl/>
        </w:rPr>
        <w:t>من</w:t>
      </w:r>
      <w:r w:rsidR="00E01899" w:rsidRPr="00ED485F">
        <w:rPr>
          <w:rFonts w:hint="cs"/>
          <w:rtl/>
        </w:rPr>
        <w:t xml:space="preserve"> المسائل الرئيسية </w:t>
      </w:r>
      <w:r w:rsidR="00B03CDB" w:rsidRPr="00ED485F">
        <w:rPr>
          <w:rFonts w:hint="cs"/>
          <w:rtl/>
        </w:rPr>
        <w:t>و</w:t>
      </w:r>
      <w:r w:rsidR="00E01899" w:rsidRPr="00ED485F">
        <w:rPr>
          <w:rFonts w:hint="cs"/>
          <w:rtl/>
        </w:rPr>
        <w:t>المثيرة للجدل في مجلس الويبو وفي منتديات التجارة والبيئة ذات الصلة</w:t>
      </w:r>
      <w:r w:rsidR="00EC5A30" w:rsidRPr="00ED485F">
        <w:rPr>
          <w:rFonts w:hint="cs"/>
          <w:rtl/>
        </w:rPr>
        <w:t xml:space="preserve"> </w:t>
      </w:r>
      <w:r w:rsidR="00046B1D" w:rsidRPr="00ED485F">
        <w:rPr>
          <w:rFonts w:hint="cs"/>
          <w:rtl/>
        </w:rPr>
        <w:t xml:space="preserve">مسألة نقل التكنولوجيا من البلدان المتقدمة إلى البلدان النامية فيما يتعلق بالسلع العامة </w:t>
      </w:r>
      <w:r w:rsidR="00241940" w:rsidRPr="00ED485F">
        <w:rPr>
          <w:rFonts w:hint="cs"/>
          <w:rtl/>
        </w:rPr>
        <w:t>أ</w:t>
      </w:r>
      <w:r w:rsidR="00046B1D" w:rsidRPr="00ED485F">
        <w:rPr>
          <w:rFonts w:hint="cs"/>
          <w:rtl/>
        </w:rPr>
        <w:t xml:space="preserve">و السلع </w:t>
      </w:r>
      <w:r w:rsidR="00B03CDB" w:rsidRPr="00ED485F">
        <w:rPr>
          <w:rFonts w:hint="cs"/>
          <w:rtl/>
        </w:rPr>
        <w:t xml:space="preserve">التي تكتسي أهمية اجتماعية ومجتمعية </w:t>
      </w:r>
      <w:r w:rsidR="00046B1D" w:rsidRPr="00ED485F">
        <w:rPr>
          <w:rFonts w:hint="cs"/>
          <w:rtl/>
        </w:rPr>
        <w:t>كبيرة</w:t>
      </w:r>
      <w:r w:rsidR="00241940" w:rsidRPr="00ED485F">
        <w:rPr>
          <w:rFonts w:hint="cs"/>
          <w:rtl/>
        </w:rPr>
        <w:t>.</w:t>
      </w:r>
      <w:r w:rsidR="006B6B33" w:rsidRPr="00ED485F">
        <w:rPr>
          <w:rFonts w:hint="cs"/>
          <w:rtl/>
        </w:rPr>
        <w:t xml:space="preserve"> </w:t>
      </w:r>
      <w:proofErr w:type="gramStart"/>
      <w:r w:rsidR="006B6B33" w:rsidRPr="00ED485F">
        <w:rPr>
          <w:rFonts w:hint="cs"/>
          <w:rtl/>
        </w:rPr>
        <w:t>و</w:t>
      </w:r>
      <w:r w:rsidR="00241940" w:rsidRPr="00ED485F">
        <w:rPr>
          <w:rFonts w:hint="cs"/>
          <w:rtl/>
        </w:rPr>
        <w:t>تناقش</w:t>
      </w:r>
      <w:proofErr w:type="gramEnd"/>
      <w:r w:rsidR="00241940" w:rsidRPr="00ED485F">
        <w:rPr>
          <w:rFonts w:hint="cs"/>
          <w:rtl/>
        </w:rPr>
        <w:t xml:space="preserve"> هذه الورقة العلاقة المتبادلة بين حقوق الملكية الفكرية ونقل التكنولوجيا فيما يتعلق بالسلع العامة </w:t>
      </w:r>
      <w:r w:rsidR="006B6B33" w:rsidRPr="00ED485F">
        <w:rPr>
          <w:rFonts w:hint="cs"/>
          <w:rtl/>
        </w:rPr>
        <w:t>ذات</w:t>
      </w:r>
      <w:r w:rsidR="00241940" w:rsidRPr="00ED485F">
        <w:rPr>
          <w:rFonts w:hint="cs"/>
          <w:rtl/>
        </w:rPr>
        <w:t xml:space="preserve"> </w:t>
      </w:r>
      <w:r w:rsidR="006B6B33" w:rsidRPr="00ED485F">
        <w:rPr>
          <w:rFonts w:hint="cs"/>
          <w:rtl/>
        </w:rPr>
        <w:t>ال</w:t>
      </w:r>
      <w:r w:rsidR="00241940" w:rsidRPr="00ED485F">
        <w:rPr>
          <w:rFonts w:hint="cs"/>
          <w:rtl/>
        </w:rPr>
        <w:t xml:space="preserve">أهمية </w:t>
      </w:r>
      <w:r w:rsidR="006B6B33" w:rsidRPr="00ED485F">
        <w:rPr>
          <w:rFonts w:hint="cs"/>
          <w:rtl/>
        </w:rPr>
        <w:t>ال</w:t>
      </w:r>
      <w:r w:rsidR="00241940" w:rsidRPr="00ED485F">
        <w:rPr>
          <w:rFonts w:hint="cs"/>
          <w:rtl/>
        </w:rPr>
        <w:t xml:space="preserve">عامة. </w:t>
      </w:r>
      <w:r w:rsidR="000422DF" w:rsidRPr="00ED485F">
        <w:rPr>
          <w:rFonts w:hint="cs"/>
          <w:rtl/>
        </w:rPr>
        <w:t xml:space="preserve">وتذهب الورقة إلى ضرورة النظر إلى هذه المسألة </w:t>
      </w:r>
      <w:r w:rsidR="006B6B33" w:rsidRPr="00ED485F">
        <w:rPr>
          <w:rFonts w:hint="cs"/>
          <w:rtl/>
        </w:rPr>
        <w:t>على</w:t>
      </w:r>
      <w:r w:rsidR="000422DF" w:rsidRPr="00ED485F">
        <w:rPr>
          <w:rFonts w:hint="cs"/>
          <w:rtl/>
        </w:rPr>
        <w:t xml:space="preserve"> </w:t>
      </w:r>
      <w:proofErr w:type="gramStart"/>
      <w:r w:rsidR="000422DF" w:rsidRPr="00ED485F">
        <w:rPr>
          <w:rFonts w:hint="cs"/>
          <w:rtl/>
        </w:rPr>
        <w:t>مستويين</w:t>
      </w:r>
      <w:proofErr w:type="gramEnd"/>
      <w:r w:rsidR="000422DF" w:rsidRPr="00ED485F">
        <w:rPr>
          <w:rFonts w:hint="cs"/>
          <w:rtl/>
        </w:rPr>
        <w:t>: المستوى المعياري</w:t>
      </w:r>
      <w:r w:rsidR="00A673CE" w:rsidRPr="00ED485F">
        <w:rPr>
          <w:rFonts w:hint="cs"/>
          <w:rtl/>
        </w:rPr>
        <w:t xml:space="preserve"> والمستوى غير المعياري.</w:t>
      </w:r>
      <w:r w:rsidR="000422DF" w:rsidRPr="00ED485F">
        <w:rPr>
          <w:rFonts w:hint="cs"/>
          <w:rtl/>
        </w:rPr>
        <w:t xml:space="preserve"> </w:t>
      </w:r>
      <w:proofErr w:type="gramStart"/>
      <w:r w:rsidR="006B6B33" w:rsidRPr="00ED485F">
        <w:rPr>
          <w:rFonts w:hint="cs"/>
          <w:rtl/>
        </w:rPr>
        <w:t>و</w:t>
      </w:r>
      <w:r w:rsidR="00A673CE" w:rsidRPr="00ED485F">
        <w:rPr>
          <w:rFonts w:hint="cs"/>
          <w:rtl/>
        </w:rPr>
        <w:t>في</w:t>
      </w:r>
      <w:proofErr w:type="gramEnd"/>
      <w:r w:rsidR="00A673CE" w:rsidRPr="00ED485F">
        <w:rPr>
          <w:rFonts w:hint="cs"/>
          <w:rtl/>
        </w:rPr>
        <w:t xml:space="preserve"> حين يمثل المستوى الأول النظام المثالي لما "يجب أن يكون"، يمثل المستوى الثاني "الحالة الفعلية القائمة "</w:t>
      </w:r>
      <w:r w:rsidR="006147A3" w:rsidRPr="00ED485F">
        <w:rPr>
          <w:rFonts w:hint="cs"/>
          <w:rtl/>
        </w:rPr>
        <w:t>.</w:t>
      </w:r>
    </w:p>
    <w:p w:rsidR="006147A3" w:rsidRPr="00ED485F" w:rsidRDefault="006147A3" w:rsidP="006B6B33">
      <w:pPr>
        <w:pStyle w:val="NumberedParaAR"/>
        <w:numPr>
          <w:ilvl w:val="0"/>
          <w:numId w:val="22"/>
        </w:numPr>
        <w:tabs>
          <w:tab w:val="right" w:pos="566"/>
        </w:tabs>
        <w:ind w:left="0" w:firstLine="0"/>
      </w:pPr>
      <w:r w:rsidRPr="00ED485F">
        <w:rPr>
          <w:rFonts w:hint="cs"/>
          <w:rtl/>
        </w:rPr>
        <w:t>وأشارت الورقة إلى أن نمط العلاقة المتبادلة (بين حماية الملكية الفكرية ونقل التكنولوجيا)</w:t>
      </w:r>
      <w:r w:rsidR="006B6B33" w:rsidRPr="00ED485F">
        <w:rPr>
          <w:rFonts w:hint="cs"/>
          <w:rtl/>
        </w:rPr>
        <w:t xml:space="preserve"> </w:t>
      </w:r>
      <w:r w:rsidRPr="00ED485F">
        <w:rPr>
          <w:rFonts w:hint="cs"/>
          <w:rtl/>
        </w:rPr>
        <w:t>للسلع العامة العالمية مثل الأدوية المنقذة للحياة يختلف عن نمط العلاقة مع السلع البيئية العالمية (مثل المناخ والتنوع البيولوجي).</w:t>
      </w:r>
    </w:p>
    <w:p w:rsidR="00B20CAA" w:rsidRPr="00ED485F" w:rsidRDefault="00245540" w:rsidP="006B6B33">
      <w:pPr>
        <w:pStyle w:val="NumberedParaAR"/>
        <w:numPr>
          <w:ilvl w:val="0"/>
          <w:numId w:val="22"/>
        </w:numPr>
        <w:tabs>
          <w:tab w:val="right" w:pos="566"/>
        </w:tabs>
        <w:ind w:left="0" w:firstLine="0"/>
      </w:pPr>
      <w:r w:rsidRPr="00ED485F">
        <w:rPr>
          <w:rFonts w:hint="cs"/>
          <w:rtl/>
        </w:rPr>
        <w:t>و</w:t>
      </w:r>
      <w:r w:rsidR="006147A3" w:rsidRPr="00ED485F">
        <w:rPr>
          <w:rFonts w:hint="cs"/>
          <w:rtl/>
        </w:rPr>
        <w:t xml:space="preserve">تبدأ الورقة بمناقشة شروط </w:t>
      </w:r>
      <w:r w:rsidR="00482664" w:rsidRPr="00ED485F">
        <w:rPr>
          <w:rFonts w:hint="cs"/>
          <w:rtl/>
        </w:rPr>
        <w:t xml:space="preserve">اتفاق </w:t>
      </w:r>
      <w:proofErr w:type="spellStart"/>
      <w:r w:rsidR="00482664" w:rsidRPr="00ED485F">
        <w:rPr>
          <w:rFonts w:hint="cs"/>
          <w:rtl/>
        </w:rPr>
        <w:t>تريبس</w:t>
      </w:r>
      <w:proofErr w:type="spellEnd"/>
      <w:r w:rsidR="00482664" w:rsidRPr="00ED485F">
        <w:rPr>
          <w:rFonts w:hint="cs"/>
          <w:rtl/>
        </w:rPr>
        <w:t xml:space="preserve"> التابع لمنظمة العمل الدولية الذي يؤكد الترابط بين حقوق الملكية الفكرية والابتكار ونقل</w:t>
      </w:r>
      <w:r w:rsidR="006B6B33" w:rsidRPr="00ED485F">
        <w:rPr>
          <w:rFonts w:hint="cs"/>
          <w:rtl/>
        </w:rPr>
        <w:t>/</w:t>
      </w:r>
      <w:r w:rsidR="00482664" w:rsidRPr="00ED485F">
        <w:rPr>
          <w:rFonts w:hint="cs"/>
          <w:rtl/>
        </w:rPr>
        <w:t xml:space="preserve"> نشر التكنولوجيا. </w:t>
      </w:r>
      <w:r w:rsidRPr="00ED485F">
        <w:rPr>
          <w:rFonts w:hint="cs"/>
          <w:rtl/>
        </w:rPr>
        <w:t>تشدد</w:t>
      </w:r>
      <w:r w:rsidR="00482664" w:rsidRPr="00ED485F">
        <w:rPr>
          <w:rFonts w:hint="cs"/>
          <w:rtl/>
        </w:rPr>
        <w:t xml:space="preserve"> المادة 7 من اتفاق </w:t>
      </w:r>
      <w:proofErr w:type="spellStart"/>
      <w:r w:rsidR="00482664" w:rsidRPr="00ED485F">
        <w:rPr>
          <w:rFonts w:hint="cs"/>
          <w:rtl/>
        </w:rPr>
        <w:t>تريبس</w:t>
      </w:r>
      <w:proofErr w:type="spellEnd"/>
      <w:r w:rsidRPr="00ED485F">
        <w:rPr>
          <w:rFonts w:hint="cs"/>
          <w:rtl/>
        </w:rPr>
        <w:t xml:space="preserve"> على أن </w:t>
      </w:r>
      <w:r w:rsidR="006B6B33" w:rsidRPr="00ED485F">
        <w:rPr>
          <w:rFonts w:hint="cs"/>
          <w:rtl/>
        </w:rPr>
        <w:t xml:space="preserve">ضرورة أن تسهم </w:t>
      </w:r>
      <w:r w:rsidRPr="00ED485F">
        <w:rPr>
          <w:rFonts w:hint="cs"/>
          <w:rtl/>
        </w:rPr>
        <w:t>حماية حقوق الملكية الفكرية و</w:t>
      </w:r>
      <w:r w:rsidR="006B6B33" w:rsidRPr="00ED485F">
        <w:rPr>
          <w:rFonts w:hint="cs"/>
          <w:rtl/>
        </w:rPr>
        <w:t>إ</w:t>
      </w:r>
      <w:r w:rsidRPr="00ED485F">
        <w:rPr>
          <w:rFonts w:hint="cs"/>
          <w:rtl/>
        </w:rPr>
        <w:t>نفاذها في تعزيز الابتكار التكنولوجي وفي نشر التكنولوجيا</w:t>
      </w:r>
      <w:r w:rsidR="000A182F" w:rsidRPr="00ED485F">
        <w:rPr>
          <w:rFonts w:hint="cs"/>
          <w:rtl/>
        </w:rPr>
        <w:t xml:space="preserve"> بما يحقق المنفعة المتبادلة لمنتجي المعارف والمنتفعين بها. توضح الورقة العلاقة المتبادلة </w:t>
      </w:r>
      <w:r w:rsidR="006B6B33" w:rsidRPr="00ED485F">
        <w:rPr>
          <w:rFonts w:hint="cs"/>
          <w:rtl/>
        </w:rPr>
        <w:t xml:space="preserve">بين </w:t>
      </w:r>
      <w:r w:rsidR="000A182F" w:rsidRPr="00ED485F">
        <w:rPr>
          <w:rFonts w:hint="cs"/>
          <w:rtl/>
        </w:rPr>
        <w:t xml:space="preserve">الأدوية والمستحضرات الصيدلانية والتنوع البيولوجي وتكنولوجيات المناخ الذكية، وهي سلع عامة </w:t>
      </w:r>
      <w:r w:rsidR="006B6B33" w:rsidRPr="00ED485F">
        <w:rPr>
          <w:rFonts w:hint="cs"/>
          <w:rtl/>
        </w:rPr>
        <w:t>ذات أهمية بالغة</w:t>
      </w:r>
      <w:r w:rsidR="000A182F" w:rsidRPr="00ED485F">
        <w:rPr>
          <w:rFonts w:hint="cs"/>
          <w:rtl/>
        </w:rPr>
        <w:t xml:space="preserve"> للبلدان النامية. </w:t>
      </w:r>
      <w:r w:rsidR="006B6B33" w:rsidRPr="00ED485F">
        <w:rPr>
          <w:rFonts w:hint="cs"/>
          <w:rtl/>
        </w:rPr>
        <w:t>و</w:t>
      </w:r>
      <w:r w:rsidR="000A182F" w:rsidRPr="00ED485F">
        <w:rPr>
          <w:rFonts w:hint="cs"/>
          <w:rtl/>
        </w:rPr>
        <w:t>تواصل الورقة مناقشة أهمية نقل التكنولوجيا</w:t>
      </w:r>
      <w:r w:rsidR="00B20CAA" w:rsidRPr="00ED485F">
        <w:rPr>
          <w:rFonts w:ascii="Arial" w:hAnsi="Arial" w:cs="Arial" w:hint="cs"/>
          <w:sz w:val="22"/>
          <w:szCs w:val="20"/>
          <w:rtl/>
        </w:rPr>
        <w:t xml:space="preserve"> </w:t>
      </w:r>
      <w:r w:rsidR="006B6B33" w:rsidRPr="00ED485F">
        <w:rPr>
          <w:rFonts w:hint="cs"/>
          <w:rtl/>
        </w:rPr>
        <w:t>بالنسبة ل</w:t>
      </w:r>
      <w:r w:rsidR="00B20CAA" w:rsidRPr="00ED485F">
        <w:rPr>
          <w:rFonts w:hint="cs"/>
          <w:rtl/>
        </w:rPr>
        <w:t>جدول أعمال الويبو بشأن التنمية.</w:t>
      </w:r>
    </w:p>
    <w:p w:rsidR="004E3CC3" w:rsidRPr="00ED485F" w:rsidRDefault="006618B3" w:rsidP="006618B3">
      <w:pPr>
        <w:pStyle w:val="NumberedParaAR"/>
        <w:numPr>
          <w:ilvl w:val="0"/>
          <w:numId w:val="22"/>
        </w:numPr>
        <w:tabs>
          <w:tab w:val="right" w:pos="566"/>
        </w:tabs>
        <w:ind w:left="0" w:firstLine="0"/>
      </w:pPr>
      <w:r w:rsidRPr="00ED485F">
        <w:rPr>
          <w:rFonts w:hint="cs"/>
          <w:rtl/>
        </w:rPr>
        <w:t>ونوقش في</w:t>
      </w:r>
      <w:r w:rsidR="00B20CAA" w:rsidRPr="00ED485F">
        <w:rPr>
          <w:rFonts w:hint="cs"/>
          <w:rtl/>
        </w:rPr>
        <w:t xml:space="preserve"> الورقة نطاق نقل التكنولوجيا وطريقته وخطواته العملية وتأثيره مع الإشارة إلى الدراسات الاقتصادية التجريبية التي بحثت</w:t>
      </w:r>
      <w:r w:rsidR="00DB2465" w:rsidRPr="00ED485F">
        <w:rPr>
          <w:rFonts w:hint="cs"/>
          <w:rtl/>
        </w:rPr>
        <w:t xml:space="preserve"> دور الاستثمار</w:t>
      </w:r>
      <w:r w:rsidR="00B20CAA" w:rsidRPr="00ED485F">
        <w:rPr>
          <w:rFonts w:hint="cs"/>
          <w:rtl/>
        </w:rPr>
        <w:t xml:space="preserve"> </w:t>
      </w:r>
      <w:r w:rsidR="00DB2465" w:rsidRPr="00ED485F">
        <w:rPr>
          <w:rFonts w:hint="cs"/>
          <w:rtl/>
        </w:rPr>
        <w:t>الأجنبي المباشر</w:t>
      </w:r>
      <w:r w:rsidR="00DB2465" w:rsidRPr="00ED485F">
        <w:t>(FDI)</w:t>
      </w:r>
      <w:r w:rsidR="00DB2465" w:rsidRPr="00ED485F">
        <w:rPr>
          <w:rFonts w:hint="cs"/>
          <w:rtl/>
        </w:rPr>
        <w:t xml:space="preserve"> </w:t>
      </w:r>
      <w:proofErr w:type="spellStart"/>
      <w:r w:rsidRPr="00ED485F">
        <w:rPr>
          <w:rFonts w:hint="cs"/>
          <w:rtl/>
        </w:rPr>
        <w:t>والاندماجا</w:t>
      </w:r>
      <w:r w:rsidRPr="00ED485F">
        <w:rPr>
          <w:rFonts w:hint="eastAsia"/>
          <w:rtl/>
        </w:rPr>
        <w:t>ت</w:t>
      </w:r>
      <w:proofErr w:type="spellEnd"/>
      <w:r w:rsidR="00B64DAF" w:rsidRPr="00ED485F">
        <w:rPr>
          <w:rFonts w:hint="cs"/>
          <w:rtl/>
        </w:rPr>
        <w:t xml:space="preserve"> و</w:t>
      </w:r>
      <w:r w:rsidRPr="00ED485F">
        <w:rPr>
          <w:rFonts w:hint="cs"/>
          <w:rtl/>
        </w:rPr>
        <w:t xml:space="preserve">عمليات </w:t>
      </w:r>
      <w:r w:rsidR="00B64DAF" w:rsidRPr="00ED485F">
        <w:rPr>
          <w:rFonts w:hint="cs"/>
          <w:rtl/>
        </w:rPr>
        <w:t>الاستحواذ في تيسير نقل التكنولوجيا. تلخص الورقة العوائق الرئيسية أمام نقل التكنولوجيا وتقترح تدابير متعددة الأطراف للتغلب على هذه العوائق</w:t>
      </w:r>
      <w:r w:rsidR="004E3CC3" w:rsidRPr="00ED485F">
        <w:rPr>
          <w:rFonts w:hint="cs"/>
          <w:rtl/>
        </w:rPr>
        <w:t xml:space="preserve"> لإعطاء مصداقية </w:t>
      </w:r>
      <w:r w:rsidRPr="00ED485F">
        <w:rPr>
          <w:rFonts w:hint="cs"/>
          <w:rtl/>
        </w:rPr>
        <w:t xml:space="preserve">أكبر </w:t>
      </w:r>
      <w:r w:rsidR="004E3CC3" w:rsidRPr="00ED485F">
        <w:rPr>
          <w:rFonts w:hint="cs"/>
          <w:rtl/>
        </w:rPr>
        <w:t>للمادة 7 والمادة 66(2) من اتفاق</w:t>
      </w:r>
      <w:r w:rsidR="004E3CC3" w:rsidRPr="00ED485F">
        <w:rPr>
          <w:rFonts w:ascii="Arial" w:hAnsi="Arial" w:cs="Arial" w:hint="cs"/>
          <w:sz w:val="22"/>
          <w:szCs w:val="20"/>
          <w:rtl/>
        </w:rPr>
        <w:t xml:space="preserve"> </w:t>
      </w:r>
      <w:proofErr w:type="spellStart"/>
      <w:r w:rsidR="004E3CC3" w:rsidRPr="00ED485F">
        <w:rPr>
          <w:rFonts w:hint="cs"/>
          <w:rtl/>
        </w:rPr>
        <w:t>تريبس</w:t>
      </w:r>
      <w:proofErr w:type="spellEnd"/>
      <w:r w:rsidR="004E3CC3" w:rsidRPr="00ED485F">
        <w:rPr>
          <w:rFonts w:hint="cs"/>
          <w:rtl/>
        </w:rPr>
        <w:t xml:space="preserve"> التابع لمنظمة العمل الدولية.</w:t>
      </w:r>
    </w:p>
    <w:p w:rsidR="008326DD" w:rsidRPr="00891B1B" w:rsidRDefault="008326DD" w:rsidP="008326DD">
      <w:pPr>
        <w:pStyle w:val="NumberedParaAR"/>
        <w:numPr>
          <w:ilvl w:val="0"/>
          <w:numId w:val="27"/>
        </w:numPr>
        <w:tabs>
          <w:tab w:val="right" w:pos="566"/>
        </w:tabs>
        <w:ind w:left="566" w:hanging="567"/>
        <w:rPr>
          <w:b/>
          <w:bCs/>
          <w:sz w:val="40"/>
          <w:szCs w:val="40"/>
        </w:rPr>
      </w:pPr>
      <w:r w:rsidRPr="00891B1B">
        <w:rPr>
          <w:rFonts w:hint="cs"/>
          <w:b/>
          <w:bCs/>
          <w:sz w:val="40"/>
          <w:szCs w:val="40"/>
          <w:rtl/>
        </w:rPr>
        <w:t xml:space="preserve">الابتكار، آليات التمويل </w:t>
      </w:r>
      <w:proofErr w:type="gramStart"/>
      <w:r w:rsidRPr="00891B1B">
        <w:rPr>
          <w:rFonts w:hint="cs"/>
          <w:b/>
          <w:bCs/>
          <w:sz w:val="40"/>
          <w:szCs w:val="40"/>
          <w:rtl/>
        </w:rPr>
        <w:t>ونقل</w:t>
      </w:r>
      <w:proofErr w:type="gramEnd"/>
      <w:r w:rsidRPr="00891B1B">
        <w:rPr>
          <w:rFonts w:hint="cs"/>
          <w:b/>
          <w:bCs/>
          <w:sz w:val="40"/>
          <w:szCs w:val="40"/>
          <w:rtl/>
        </w:rPr>
        <w:t xml:space="preserve"> التكنولوجيات</w:t>
      </w:r>
    </w:p>
    <w:p w:rsidR="00A375CD" w:rsidRPr="00ED485F" w:rsidRDefault="003F233B" w:rsidP="00A03585">
      <w:pPr>
        <w:pStyle w:val="NumberedParaAR"/>
        <w:numPr>
          <w:ilvl w:val="0"/>
          <w:numId w:val="22"/>
        </w:numPr>
        <w:tabs>
          <w:tab w:val="right" w:pos="566"/>
        </w:tabs>
        <w:ind w:left="0" w:firstLine="0"/>
      </w:pPr>
      <w:proofErr w:type="gramStart"/>
      <w:r w:rsidRPr="00ED485F">
        <w:rPr>
          <w:rFonts w:hint="cs"/>
          <w:rtl/>
        </w:rPr>
        <w:t>أحد</w:t>
      </w:r>
      <w:proofErr w:type="gramEnd"/>
      <w:r w:rsidR="004E3CC3" w:rsidRPr="00ED485F">
        <w:rPr>
          <w:rFonts w:hint="cs"/>
          <w:rtl/>
        </w:rPr>
        <w:t xml:space="preserve"> </w:t>
      </w:r>
      <w:r w:rsidR="00A03585">
        <w:rPr>
          <w:rFonts w:hint="cs"/>
          <w:rtl/>
        </w:rPr>
        <w:t>أوجه النقص في</w:t>
      </w:r>
      <w:r w:rsidR="004E3CC3" w:rsidRPr="00ED485F">
        <w:rPr>
          <w:rFonts w:hint="cs"/>
          <w:rtl/>
        </w:rPr>
        <w:t xml:space="preserve"> </w:t>
      </w:r>
      <w:r w:rsidR="00EA747C" w:rsidRPr="00ED485F">
        <w:rPr>
          <w:rFonts w:hint="cs"/>
          <w:rtl/>
        </w:rPr>
        <w:t>المنشورات</w:t>
      </w:r>
      <w:r w:rsidR="00136D1B" w:rsidRPr="00ED485F">
        <w:rPr>
          <w:rFonts w:hint="cs"/>
          <w:rtl/>
        </w:rPr>
        <w:t xml:space="preserve"> </w:t>
      </w:r>
      <w:r w:rsidRPr="00ED485F">
        <w:rPr>
          <w:rFonts w:hint="cs"/>
          <w:rtl/>
        </w:rPr>
        <w:t>عن</w:t>
      </w:r>
      <w:r w:rsidR="00136D1B" w:rsidRPr="00ED485F">
        <w:rPr>
          <w:rFonts w:hint="cs"/>
          <w:rtl/>
        </w:rPr>
        <w:t xml:space="preserve"> "الابتكارات وحقوق الملكية الفكرية ونقل التكنولوجيا" </w:t>
      </w:r>
      <w:r w:rsidR="003D7500" w:rsidRPr="00ED485F">
        <w:rPr>
          <w:rFonts w:hint="cs"/>
          <w:rtl/>
        </w:rPr>
        <w:t xml:space="preserve">عدم </w:t>
      </w:r>
      <w:r w:rsidR="00136D1B" w:rsidRPr="00ED485F">
        <w:rPr>
          <w:rFonts w:hint="cs"/>
          <w:rtl/>
        </w:rPr>
        <w:t>تركيز</w:t>
      </w:r>
      <w:r w:rsidR="003D7500" w:rsidRPr="00ED485F">
        <w:rPr>
          <w:rFonts w:hint="cs"/>
          <w:rtl/>
        </w:rPr>
        <w:t>ها</w:t>
      </w:r>
      <w:r w:rsidR="00136D1B" w:rsidRPr="00ED485F">
        <w:rPr>
          <w:rFonts w:hint="cs"/>
          <w:rtl/>
        </w:rPr>
        <w:t xml:space="preserve"> بصورة وافية </w:t>
      </w:r>
      <w:r w:rsidR="00D85BF9" w:rsidRPr="00ED485F">
        <w:rPr>
          <w:rFonts w:hint="cs"/>
          <w:rtl/>
        </w:rPr>
        <w:t xml:space="preserve">على </w:t>
      </w:r>
      <w:r w:rsidR="00A03585">
        <w:rPr>
          <w:rFonts w:hint="cs"/>
          <w:rtl/>
        </w:rPr>
        <w:t>وقع</w:t>
      </w:r>
      <w:r w:rsidR="00D85BF9" w:rsidRPr="00ED485F">
        <w:rPr>
          <w:rFonts w:hint="cs"/>
          <w:rtl/>
        </w:rPr>
        <w:t xml:space="preserve"> آليات و</w:t>
      </w:r>
      <w:r w:rsidR="00A35BA9" w:rsidRPr="00ED485F">
        <w:rPr>
          <w:rFonts w:hint="cs"/>
          <w:rtl/>
        </w:rPr>
        <w:t xml:space="preserve">أنظمة </w:t>
      </w:r>
      <w:r w:rsidR="00D85BF9" w:rsidRPr="00ED485F">
        <w:rPr>
          <w:rFonts w:hint="cs"/>
          <w:rtl/>
        </w:rPr>
        <w:t>التمويل</w:t>
      </w:r>
      <w:r w:rsidR="004E3CC3" w:rsidRPr="00ED485F">
        <w:rPr>
          <w:rFonts w:hint="cs"/>
          <w:rtl/>
        </w:rPr>
        <w:t xml:space="preserve"> </w:t>
      </w:r>
      <w:r w:rsidR="00D85BF9" w:rsidRPr="00ED485F">
        <w:rPr>
          <w:rFonts w:hint="cs"/>
          <w:rtl/>
        </w:rPr>
        <w:t xml:space="preserve">على العناصر الثلاثة. </w:t>
      </w:r>
      <w:proofErr w:type="gramStart"/>
      <w:r w:rsidR="00D85BF9" w:rsidRPr="00ED485F">
        <w:rPr>
          <w:rFonts w:hint="cs"/>
          <w:rtl/>
        </w:rPr>
        <w:t>هذا</w:t>
      </w:r>
      <w:proofErr w:type="gramEnd"/>
      <w:r w:rsidR="00D85BF9" w:rsidRPr="00ED485F">
        <w:rPr>
          <w:rFonts w:hint="cs"/>
          <w:rtl/>
        </w:rPr>
        <w:t xml:space="preserve"> رغم </w:t>
      </w:r>
      <w:r w:rsidR="006618B3" w:rsidRPr="00ED485F">
        <w:rPr>
          <w:rFonts w:hint="cs"/>
          <w:rtl/>
        </w:rPr>
        <w:t>حقيقة</w:t>
      </w:r>
      <w:r w:rsidR="00D85BF9" w:rsidRPr="00ED485F">
        <w:rPr>
          <w:rFonts w:hint="cs"/>
          <w:rtl/>
        </w:rPr>
        <w:t xml:space="preserve"> أنه من المقبول على نطاق واسع أن </w:t>
      </w:r>
      <w:r w:rsidR="006618B3" w:rsidRPr="00ED485F">
        <w:rPr>
          <w:rFonts w:hint="cs"/>
          <w:rtl/>
        </w:rPr>
        <w:t>أشكال</w:t>
      </w:r>
      <w:r w:rsidR="00D85BF9" w:rsidRPr="00ED485F">
        <w:rPr>
          <w:rFonts w:hint="cs"/>
          <w:rtl/>
        </w:rPr>
        <w:t xml:space="preserve"> التمويل </w:t>
      </w:r>
      <w:r w:rsidR="006618B3" w:rsidRPr="00ED485F">
        <w:rPr>
          <w:rFonts w:hint="cs"/>
          <w:rtl/>
        </w:rPr>
        <w:t xml:space="preserve">تُعد </w:t>
      </w:r>
      <w:r w:rsidR="00D85BF9" w:rsidRPr="00ED485F">
        <w:rPr>
          <w:rFonts w:hint="cs"/>
          <w:rtl/>
        </w:rPr>
        <w:t xml:space="preserve">أحد </w:t>
      </w:r>
      <w:r w:rsidR="00114A7C" w:rsidRPr="00ED485F">
        <w:rPr>
          <w:rFonts w:hint="cs"/>
          <w:rtl/>
        </w:rPr>
        <w:t>المعوقات</w:t>
      </w:r>
      <w:r w:rsidR="00D85BF9" w:rsidRPr="00ED485F">
        <w:rPr>
          <w:rFonts w:hint="cs"/>
          <w:rtl/>
        </w:rPr>
        <w:t xml:space="preserve"> الرئيسية أمام تعزيز الابتكار من خلال </w:t>
      </w:r>
      <w:r w:rsidR="009C076C" w:rsidRPr="00ED485F">
        <w:rPr>
          <w:rFonts w:hint="cs"/>
          <w:rtl/>
        </w:rPr>
        <w:t xml:space="preserve">البحث والتطوير </w:t>
      </w:r>
      <w:r w:rsidR="00891B1B" w:rsidRPr="00ED485F">
        <w:t>R&amp;D</w:t>
      </w:r>
      <w:r w:rsidR="00891B1B" w:rsidRPr="00ED485F">
        <w:rPr>
          <w:rtl/>
        </w:rPr>
        <w:t>،</w:t>
      </w:r>
      <w:r w:rsidR="001719A0" w:rsidRPr="00ED485F">
        <w:rPr>
          <w:rFonts w:hint="cs"/>
          <w:rtl/>
        </w:rPr>
        <w:t xml:space="preserve"> وأيضا أمام </w:t>
      </w:r>
      <w:r w:rsidR="003D7500" w:rsidRPr="00ED485F">
        <w:rPr>
          <w:rFonts w:hint="cs"/>
          <w:rtl/>
        </w:rPr>
        <w:t>جعل التكنولوجيات متاحة ل</w:t>
      </w:r>
      <w:r w:rsidR="001719A0" w:rsidRPr="00ED485F">
        <w:rPr>
          <w:rFonts w:hint="cs"/>
          <w:rtl/>
        </w:rPr>
        <w:t>لمستخدمين النهائيين.</w:t>
      </w:r>
      <w:r w:rsidR="009C076C" w:rsidRPr="00ED485F">
        <w:rPr>
          <w:rFonts w:hint="cs"/>
          <w:rtl/>
        </w:rPr>
        <w:t xml:space="preserve"> </w:t>
      </w:r>
      <w:r w:rsidR="00114A7C" w:rsidRPr="00ED485F">
        <w:rPr>
          <w:rFonts w:hint="cs"/>
          <w:rtl/>
        </w:rPr>
        <w:t>و</w:t>
      </w:r>
      <w:r w:rsidR="00D85BF9" w:rsidRPr="00ED485F">
        <w:rPr>
          <w:rFonts w:hint="cs"/>
          <w:rtl/>
        </w:rPr>
        <w:t xml:space="preserve">حتى </w:t>
      </w:r>
      <w:r w:rsidR="00114A7C" w:rsidRPr="00ED485F">
        <w:rPr>
          <w:rFonts w:hint="cs"/>
          <w:rtl/>
        </w:rPr>
        <w:t>في حالة</w:t>
      </w:r>
      <w:r w:rsidR="00D85BF9" w:rsidRPr="00ED485F">
        <w:rPr>
          <w:rFonts w:hint="cs"/>
          <w:rtl/>
        </w:rPr>
        <w:t xml:space="preserve"> </w:t>
      </w:r>
      <w:r w:rsidR="00114A7C" w:rsidRPr="00ED485F">
        <w:rPr>
          <w:rFonts w:hint="cs"/>
          <w:rtl/>
        </w:rPr>
        <w:t xml:space="preserve">نقل </w:t>
      </w:r>
      <w:r w:rsidR="00D85BF9" w:rsidRPr="00ED485F">
        <w:rPr>
          <w:rFonts w:hint="cs"/>
          <w:rtl/>
        </w:rPr>
        <w:t>التكنولوجيا إلى</w:t>
      </w:r>
      <w:r w:rsidR="001719A0" w:rsidRPr="00ED485F">
        <w:rPr>
          <w:rFonts w:hint="cs"/>
          <w:rtl/>
        </w:rPr>
        <w:t xml:space="preserve"> المستخدم النهائي</w:t>
      </w:r>
      <w:r w:rsidR="00D85BF9" w:rsidRPr="00ED485F">
        <w:rPr>
          <w:rFonts w:hint="cs"/>
          <w:rtl/>
        </w:rPr>
        <w:t xml:space="preserve"> ، تظل مسألة </w:t>
      </w:r>
      <w:r w:rsidR="003F7C7A" w:rsidRPr="00ED485F">
        <w:rPr>
          <w:rFonts w:hint="cs"/>
          <w:rtl/>
        </w:rPr>
        <w:t>استيعاب التكنولوجيا</w:t>
      </w:r>
      <w:r w:rsidR="00DD3402" w:rsidRPr="00ED485F">
        <w:rPr>
          <w:rFonts w:hint="cs"/>
          <w:rtl/>
        </w:rPr>
        <w:t xml:space="preserve"> قائمة، </w:t>
      </w:r>
      <w:r w:rsidR="00C0232A" w:rsidRPr="00ED485F">
        <w:rPr>
          <w:rFonts w:hint="cs"/>
          <w:rtl/>
        </w:rPr>
        <w:t xml:space="preserve">ما يستلزم بدوره </w:t>
      </w:r>
      <w:r w:rsidR="00362810" w:rsidRPr="00ED485F">
        <w:rPr>
          <w:rFonts w:hint="cs"/>
          <w:rtl/>
        </w:rPr>
        <w:t xml:space="preserve">إنشاء </w:t>
      </w:r>
      <w:r w:rsidR="00C0232A" w:rsidRPr="00ED485F">
        <w:rPr>
          <w:rFonts w:hint="cs"/>
          <w:rtl/>
        </w:rPr>
        <w:t xml:space="preserve">بنية تحتية </w:t>
      </w:r>
      <w:r w:rsidR="003D7500" w:rsidRPr="00ED485F">
        <w:rPr>
          <w:rFonts w:hint="cs"/>
          <w:rtl/>
        </w:rPr>
        <w:t>مواتية</w:t>
      </w:r>
      <w:r w:rsidR="00362810" w:rsidRPr="00ED485F">
        <w:rPr>
          <w:rFonts w:hint="cs"/>
          <w:rtl/>
        </w:rPr>
        <w:t xml:space="preserve"> تتطلب مصادر مالية. وفي واقع الأمر</w:t>
      </w:r>
      <w:r w:rsidR="00DD3402" w:rsidRPr="00ED485F">
        <w:rPr>
          <w:rFonts w:hint="cs"/>
          <w:rtl/>
        </w:rPr>
        <w:t xml:space="preserve">، </w:t>
      </w:r>
      <w:r w:rsidR="003D7500" w:rsidRPr="00ED485F">
        <w:rPr>
          <w:rFonts w:hint="cs"/>
          <w:rtl/>
        </w:rPr>
        <w:t>يقال</w:t>
      </w:r>
      <w:r w:rsidR="00DD3402" w:rsidRPr="00ED485F">
        <w:rPr>
          <w:rFonts w:hint="cs"/>
          <w:rtl/>
        </w:rPr>
        <w:t xml:space="preserve"> في</w:t>
      </w:r>
      <w:r w:rsidR="00362810" w:rsidRPr="00ED485F">
        <w:rPr>
          <w:rFonts w:hint="cs"/>
          <w:rtl/>
        </w:rPr>
        <w:t xml:space="preserve"> الورقة أن تصميم </w:t>
      </w:r>
      <w:r w:rsidR="00A35BA9" w:rsidRPr="00ED485F">
        <w:rPr>
          <w:rFonts w:hint="cs"/>
          <w:rtl/>
        </w:rPr>
        <w:t xml:space="preserve">أنظمة </w:t>
      </w:r>
      <w:r w:rsidR="00362810" w:rsidRPr="00ED485F">
        <w:rPr>
          <w:rFonts w:hint="cs"/>
          <w:rtl/>
        </w:rPr>
        <w:t xml:space="preserve">تمويل جيدة </w:t>
      </w:r>
      <w:r w:rsidR="00DD3402" w:rsidRPr="00ED485F">
        <w:rPr>
          <w:rFonts w:hint="cs"/>
          <w:rtl/>
        </w:rPr>
        <w:t xml:space="preserve">يهيئ بيئة مواتية للابتكارات ولتخصيص </w:t>
      </w:r>
      <w:r w:rsidR="009002F0" w:rsidRPr="00ED485F">
        <w:rPr>
          <w:rFonts w:hint="cs"/>
          <w:rtl/>
        </w:rPr>
        <w:t>التكنولوجيا المنقولة</w:t>
      </w:r>
      <w:r w:rsidR="00362810" w:rsidRPr="00ED485F">
        <w:rPr>
          <w:rFonts w:hint="cs"/>
          <w:rtl/>
        </w:rPr>
        <w:t xml:space="preserve"> </w:t>
      </w:r>
      <w:r w:rsidR="00DD3402" w:rsidRPr="00ED485F">
        <w:rPr>
          <w:rFonts w:hint="cs"/>
          <w:rtl/>
        </w:rPr>
        <w:t xml:space="preserve">وتطبيقها </w:t>
      </w:r>
      <w:r w:rsidR="009002F0" w:rsidRPr="00ED485F">
        <w:rPr>
          <w:rFonts w:hint="cs"/>
          <w:rtl/>
        </w:rPr>
        <w:t>بنجاح في البلدان النامية.</w:t>
      </w:r>
    </w:p>
    <w:p w:rsidR="008326DD" w:rsidRPr="00ED485F" w:rsidRDefault="003D7500" w:rsidP="0035707B">
      <w:pPr>
        <w:pStyle w:val="NumberedParaAR"/>
        <w:numPr>
          <w:ilvl w:val="0"/>
          <w:numId w:val="22"/>
        </w:numPr>
        <w:tabs>
          <w:tab w:val="right" w:pos="566"/>
        </w:tabs>
        <w:ind w:left="0" w:firstLine="0"/>
      </w:pPr>
      <w:r w:rsidRPr="00ED485F">
        <w:rPr>
          <w:rFonts w:hint="cs"/>
          <w:rtl/>
        </w:rPr>
        <w:t>و</w:t>
      </w:r>
      <w:r w:rsidR="0038546E" w:rsidRPr="00ED485F">
        <w:rPr>
          <w:rFonts w:hint="cs"/>
          <w:rtl/>
        </w:rPr>
        <w:t>تبحث الورقة الأساس المنطقي لتمويل الابتكارات ونقل التكنولوجيا</w:t>
      </w:r>
      <w:r w:rsidRPr="00ED485F">
        <w:rPr>
          <w:rFonts w:hint="cs"/>
          <w:rtl/>
        </w:rPr>
        <w:t>،</w:t>
      </w:r>
      <w:r w:rsidR="0038546E" w:rsidRPr="00ED485F">
        <w:rPr>
          <w:rFonts w:hint="cs"/>
          <w:rtl/>
        </w:rPr>
        <w:t xml:space="preserve"> وتواصل استكشاف أنماط العلاقة المتبادلة بين </w:t>
      </w:r>
      <w:r w:rsidR="00A35BA9" w:rsidRPr="00ED485F">
        <w:rPr>
          <w:rFonts w:hint="cs"/>
          <w:rtl/>
        </w:rPr>
        <w:t xml:space="preserve">أنظمة </w:t>
      </w:r>
      <w:r w:rsidR="0038546E" w:rsidRPr="00ED485F">
        <w:rPr>
          <w:rFonts w:hint="cs"/>
          <w:rtl/>
        </w:rPr>
        <w:t xml:space="preserve">التمويل والابتكارات ونقل التكنولوجيات على مستويين: </w:t>
      </w:r>
      <w:r w:rsidR="008B4E7F" w:rsidRPr="00ED485F">
        <w:rPr>
          <w:rFonts w:hint="cs"/>
          <w:rtl/>
        </w:rPr>
        <w:t>"</w:t>
      </w:r>
      <w:r w:rsidR="0038546E" w:rsidRPr="00ED485F">
        <w:rPr>
          <w:rFonts w:hint="cs"/>
          <w:rtl/>
        </w:rPr>
        <w:t>المستوى الدولي</w:t>
      </w:r>
      <w:r w:rsidR="008B4E7F" w:rsidRPr="00ED485F">
        <w:rPr>
          <w:rFonts w:hint="cs"/>
          <w:rtl/>
        </w:rPr>
        <w:t xml:space="preserve">" فيما يتعلق باتفاق </w:t>
      </w:r>
      <w:proofErr w:type="spellStart"/>
      <w:r w:rsidR="008B4E7F" w:rsidRPr="00ED485F">
        <w:rPr>
          <w:rFonts w:hint="cs"/>
          <w:rtl/>
        </w:rPr>
        <w:t>تريبس</w:t>
      </w:r>
      <w:proofErr w:type="spellEnd"/>
      <w:r w:rsidR="008B4E7F" w:rsidRPr="00ED485F">
        <w:rPr>
          <w:rFonts w:ascii="Arial" w:hAnsi="Arial" w:cs="Arial" w:hint="cs"/>
          <w:sz w:val="22"/>
          <w:szCs w:val="20"/>
          <w:rtl/>
        </w:rPr>
        <w:t xml:space="preserve"> </w:t>
      </w:r>
      <w:r w:rsidR="008B4E7F" w:rsidRPr="00ED485F">
        <w:rPr>
          <w:rFonts w:hint="cs"/>
          <w:rtl/>
        </w:rPr>
        <w:t xml:space="preserve">وجدول أعمال الويبو بشأن التنمية وعلى "مستوى القطاع" مع الإشارة إلى </w:t>
      </w:r>
      <w:r w:rsidR="00FB6FB8" w:rsidRPr="00ED485F">
        <w:rPr>
          <w:rFonts w:hint="cs"/>
          <w:rtl/>
        </w:rPr>
        <w:t xml:space="preserve">الكيفية التي </w:t>
      </w:r>
      <w:r w:rsidR="0035707B" w:rsidRPr="00ED485F">
        <w:rPr>
          <w:rFonts w:hint="cs"/>
          <w:rtl/>
        </w:rPr>
        <w:t>تستمر بها</w:t>
      </w:r>
      <w:r w:rsidR="00FB6FB8" w:rsidRPr="00ED485F">
        <w:rPr>
          <w:rFonts w:hint="cs"/>
          <w:rtl/>
        </w:rPr>
        <w:t xml:space="preserve"> </w:t>
      </w:r>
      <w:r w:rsidR="008B4E7F" w:rsidRPr="00ED485F">
        <w:rPr>
          <w:rFonts w:hint="cs"/>
          <w:rtl/>
        </w:rPr>
        <w:t>العلاقة المتبادلة في حالة صناعة الأدوية والمستحضرات الصيدلانية</w:t>
      </w:r>
      <w:r w:rsidR="00FB6FB8" w:rsidRPr="00ED485F">
        <w:rPr>
          <w:rFonts w:hint="cs"/>
          <w:rtl/>
        </w:rPr>
        <w:t xml:space="preserve"> وأسواق تكنولوجيا المناخ.</w:t>
      </w:r>
      <w:r w:rsidR="001446B7" w:rsidRPr="00ED485F">
        <w:rPr>
          <w:rFonts w:hint="cs"/>
          <w:rtl/>
        </w:rPr>
        <w:t xml:space="preserve"> </w:t>
      </w:r>
      <w:r w:rsidR="0035707B" w:rsidRPr="00ED485F">
        <w:rPr>
          <w:rFonts w:hint="cs"/>
          <w:rtl/>
        </w:rPr>
        <w:t>وتطرح</w:t>
      </w:r>
      <w:r w:rsidR="001446B7" w:rsidRPr="00ED485F">
        <w:rPr>
          <w:rFonts w:hint="cs"/>
          <w:rtl/>
        </w:rPr>
        <w:t xml:space="preserve"> الورقة أولويات رئيسية لتمويل ابتكارات ونقل التكنولوجيا للسلعتين </w:t>
      </w:r>
      <w:r w:rsidR="0035707B" w:rsidRPr="00ED485F">
        <w:rPr>
          <w:rFonts w:hint="cs"/>
          <w:rtl/>
        </w:rPr>
        <w:t>الهامتين</w:t>
      </w:r>
      <w:r w:rsidR="001446B7" w:rsidRPr="00ED485F">
        <w:rPr>
          <w:rFonts w:hint="cs"/>
          <w:rtl/>
        </w:rPr>
        <w:t xml:space="preserve"> محل التركيز</w:t>
      </w:r>
      <w:r w:rsidR="0035707B" w:rsidRPr="00ED485F">
        <w:rPr>
          <w:rFonts w:hint="cs"/>
          <w:rtl/>
        </w:rPr>
        <w:t>؛</w:t>
      </w:r>
      <w:r w:rsidR="008326DD" w:rsidRPr="00ED485F">
        <w:rPr>
          <w:rFonts w:hint="cs"/>
          <w:rtl/>
        </w:rPr>
        <w:t xml:space="preserve"> وهما الأدوية والمستحضرات الصيدلانية والتكنولوجيات المنخفضة </w:t>
      </w:r>
      <w:r w:rsidR="0035707B" w:rsidRPr="00ED485F">
        <w:rPr>
          <w:rFonts w:hint="cs"/>
          <w:rtl/>
        </w:rPr>
        <w:t>الكربون</w:t>
      </w:r>
      <w:r w:rsidR="008326DD" w:rsidRPr="00ED485F">
        <w:rPr>
          <w:rFonts w:hint="cs"/>
          <w:rtl/>
        </w:rPr>
        <w:t>.</w:t>
      </w:r>
    </w:p>
    <w:p w:rsidR="00BA151C" w:rsidRPr="00891B1B" w:rsidRDefault="0035707B" w:rsidP="0035707B">
      <w:pPr>
        <w:pStyle w:val="NumberedParaAR"/>
        <w:numPr>
          <w:ilvl w:val="0"/>
          <w:numId w:val="27"/>
        </w:numPr>
        <w:tabs>
          <w:tab w:val="right" w:pos="566"/>
        </w:tabs>
        <w:ind w:left="566" w:hanging="567"/>
        <w:rPr>
          <w:b/>
          <w:bCs/>
          <w:sz w:val="40"/>
          <w:szCs w:val="40"/>
        </w:rPr>
      </w:pPr>
      <w:r w:rsidRPr="00891B1B">
        <w:rPr>
          <w:rFonts w:hint="cs"/>
          <w:b/>
          <w:bCs/>
          <w:sz w:val="40"/>
          <w:szCs w:val="40"/>
          <w:rtl/>
        </w:rPr>
        <w:t>وضع استراتيجية ل</w:t>
      </w:r>
      <w:r w:rsidRPr="00891B1B">
        <w:rPr>
          <w:rFonts w:hint="cs"/>
          <w:b/>
          <w:bCs/>
          <w:sz w:val="40"/>
          <w:szCs w:val="40"/>
          <w:rtl/>
          <w:lang w:bidi="ar-EG"/>
        </w:rPr>
        <w:t>تهيئة ظروف مواتية</w:t>
      </w:r>
      <w:r w:rsidRPr="00891B1B">
        <w:rPr>
          <w:rFonts w:hint="cs"/>
          <w:b/>
          <w:bCs/>
          <w:sz w:val="40"/>
          <w:szCs w:val="40"/>
          <w:rtl/>
        </w:rPr>
        <w:t xml:space="preserve"> مبتكرة لنقل التكنولوجيا إلى البلدان النامية</w:t>
      </w:r>
    </w:p>
    <w:p w:rsidR="0038546E" w:rsidRPr="00ED485F" w:rsidRDefault="003418ED" w:rsidP="00C6599D">
      <w:pPr>
        <w:pStyle w:val="NumberedParaAR"/>
        <w:numPr>
          <w:ilvl w:val="0"/>
          <w:numId w:val="22"/>
        </w:numPr>
        <w:tabs>
          <w:tab w:val="right" w:pos="566"/>
        </w:tabs>
        <w:ind w:left="0" w:firstLine="0"/>
      </w:pPr>
      <w:r w:rsidRPr="00ED485F">
        <w:rPr>
          <w:rFonts w:hint="cs"/>
          <w:rtl/>
        </w:rPr>
        <w:t xml:space="preserve">تسعى الورقة إلى تقديم </w:t>
      </w:r>
      <w:r w:rsidR="0035707B" w:rsidRPr="00ED485F">
        <w:rPr>
          <w:rFonts w:hint="cs"/>
          <w:rtl/>
        </w:rPr>
        <w:t xml:space="preserve">محور </w:t>
      </w:r>
      <w:r w:rsidRPr="00ED485F">
        <w:rPr>
          <w:rFonts w:hint="cs"/>
          <w:rtl/>
        </w:rPr>
        <w:t xml:space="preserve">تركيز </w:t>
      </w:r>
      <w:r w:rsidR="0035707B" w:rsidRPr="00ED485F">
        <w:rPr>
          <w:rFonts w:hint="cs"/>
          <w:rtl/>
        </w:rPr>
        <w:t xml:space="preserve"> </w:t>
      </w:r>
      <w:r w:rsidRPr="00ED485F">
        <w:rPr>
          <w:rFonts w:hint="cs"/>
          <w:rtl/>
        </w:rPr>
        <w:t xml:space="preserve">تشغيلي </w:t>
      </w:r>
      <w:r w:rsidR="00A05AA4" w:rsidRPr="00ED485F">
        <w:rPr>
          <w:rFonts w:hint="cs"/>
          <w:rtl/>
        </w:rPr>
        <w:t xml:space="preserve">لمسألة نقل التكنولوجيا </w:t>
      </w:r>
      <w:r w:rsidR="0035707B" w:rsidRPr="00ED485F">
        <w:rPr>
          <w:rFonts w:hint="cs"/>
          <w:rtl/>
        </w:rPr>
        <w:t>من خلال</w:t>
      </w:r>
      <w:r w:rsidR="00A05AA4" w:rsidRPr="00ED485F">
        <w:rPr>
          <w:rFonts w:hint="cs"/>
          <w:rtl/>
        </w:rPr>
        <w:t xml:space="preserve"> مناقشة استراتيجيات السياسة العامة التي يمكن أن تحفز </w:t>
      </w:r>
      <w:r w:rsidR="0035707B" w:rsidRPr="00ED485F">
        <w:rPr>
          <w:rFonts w:hint="cs"/>
          <w:rtl/>
        </w:rPr>
        <w:t>الابتكار وتقد</w:t>
      </w:r>
      <w:r w:rsidR="00A05AA4" w:rsidRPr="00ED485F">
        <w:rPr>
          <w:rFonts w:hint="cs"/>
          <w:rtl/>
        </w:rPr>
        <w:t>م شروط</w:t>
      </w:r>
      <w:r w:rsidR="0035707B" w:rsidRPr="00ED485F">
        <w:rPr>
          <w:rFonts w:hint="cs"/>
          <w:rtl/>
        </w:rPr>
        <w:t>ا</w:t>
      </w:r>
      <w:r w:rsidR="00A05AA4" w:rsidRPr="00ED485F">
        <w:rPr>
          <w:rFonts w:hint="cs"/>
          <w:rtl/>
        </w:rPr>
        <w:t xml:space="preserve"> ميسرة لنشر التكنولوجيات</w:t>
      </w:r>
      <w:r w:rsidR="003937F0" w:rsidRPr="00ED485F">
        <w:rPr>
          <w:rFonts w:hint="cs"/>
          <w:rtl/>
        </w:rPr>
        <w:t xml:space="preserve"> والمنتجات</w:t>
      </w:r>
      <w:r w:rsidR="00A05AA4" w:rsidRPr="00ED485F">
        <w:rPr>
          <w:rFonts w:hint="cs"/>
          <w:rtl/>
        </w:rPr>
        <w:t xml:space="preserve"> السليمة </w:t>
      </w:r>
      <w:r w:rsidR="00BD1063" w:rsidRPr="00ED485F">
        <w:rPr>
          <w:rFonts w:hint="cs"/>
          <w:rtl/>
        </w:rPr>
        <w:t>عبر</w:t>
      </w:r>
      <w:r w:rsidR="003937F0" w:rsidRPr="00ED485F">
        <w:rPr>
          <w:rFonts w:hint="cs"/>
          <w:rtl/>
        </w:rPr>
        <w:t xml:space="preserve"> المجتمع. وإلى جانب توليف</w:t>
      </w:r>
      <w:r w:rsidR="00BD1063" w:rsidRPr="00ED485F">
        <w:rPr>
          <w:rFonts w:hint="cs"/>
          <w:rtl/>
        </w:rPr>
        <w:t>ة</w:t>
      </w:r>
      <w:r w:rsidR="003937F0" w:rsidRPr="00ED485F">
        <w:rPr>
          <w:rFonts w:hint="cs"/>
          <w:rtl/>
        </w:rPr>
        <w:t xml:space="preserve"> </w:t>
      </w:r>
      <w:r w:rsidR="00BD1063" w:rsidRPr="00ED485F">
        <w:rPr>
          <w:rFonts w:hint="cs"/>
          <w:rtl/>
        </w:rPr>
        <w:t>توصيات من الورقتين الأول</w:t>
      </w:r>
      <w:r w:rsidR="00C6599D">
        <w:rPr>
          <w:rFonts w:hint="cs"/>
          <w:rtl/>
        </w:rPr>
        <w:t>ي</w:t>
      </w:r>
      <w:r w:rsidR="00BD1063" w:rsidRPr="00ED485F">
        <w:rPr>
          <w:rFonts w:hint="cs"/>
          <w:rtl/>
        </w:rPr>
        <w:t>ين</w:t>
      </w:r>
      <w:r w:rsidR="003937F0" w:rsidRPr="00ED485F">
        <w:rPr>
          <w:rFonts w:hint="cs"/>
          <w:rtl/>
        </w:rPr>
        <w:t>، تقدم</w:t>
      </w:r>
      <w:r w:rsidR="00BD1063" w:rsidRPr="00ED485F">
        <w:rPr>
          <w:rFonts w:hint="cs"/>
          <w:rtl/>
        </w:rPr>
        <w:t xml:space="preserve"> الورقة</w:t>
      </w:r>
      <w:r w:rsidR="003937F0" w:rsidRPr="00ED485F">
        <w:rPr>
          <w:rFonts w:hint="cs"/>
          <w:rtl/>
        </w:rPr>
        <w:t xml:space="preserve"> استراتيجيات شاملة تيسر نقل التكنولوجيا من البلدان المتقدمة إلى البلدان النامية</w:t>
      </w:r>
      <w:r w:rsidR="00BC0E51" w:rsidRPr="00ED485F">
        <w:rPr>
          <w:rFonts w:hint="cs"/>
          <w:rtl/>
        </w:rPr>
        <w:t xml:space="preserve">. ويرى المؤلفون أنه </w:t>
      </w:r>
      <w:r w:rsidR="0088019E" w:rsidRPr="00ED485F">
        <w:rPr>
          <w:rFonts w:hint="cs"/>
          <w:rtl/>
        </w:rPr>
        <w:t>إلى جانب</w:t>
      </w:r>
      <w:r w:rsidR="00BC0E51" w:rsidRPr="00ED485F">
        <w:rPr>
          <w:rFonts w:hint="cs"/>
          <w:rtl/>
        </w:rPr>
        <w:t xml:space="preserve"> القواعد </w:t>
      </w:r>
      <w:r w:rsidR="002E3DAE" w:rsidRPr="00ED485F">
        <w:rPr>
          <w:rFonts w:hint="cs"/>
          <w:rtl/>
        </w:rPr>
        <w:t>التنظيمية</w:t>
      </w:r>
      <w:r w:rsidR="00BC0E51" w:rsidRPr="00ED485F">
        <w:rPr>
          <w:rFonts w:hint="cs"/>
          <w:rtl/>
        </w:rPr>
        <w:t xml:space="preserve"> المستنيرة</w:t>
      </w:r>
      <w:r w:rsidR="0088019E" w:rsidRPr="00ED485F">
        <w:rPr>
          <w:rFonts w:hint="cs"/>
          <w:rtl/>
        </w:rPr>
        <w:t xml:space="preserve">، </w:t>
      </w:r>
      <w:r w:rsidR="006D4B25" w:rsidRPr="00ED485F">
        <w:rPr>
          <w:rFonts w:hint="cs"/>
          <w:rtl/>
        </w:rPr>
        <w:t xml:space="preserve">فإن </w:t>
      </w:r>
      <w:r w:rsidR="0088019E" w:rsidRPr="00ED485F">
        <w:rPr>
          <w:rFonts w:hint="cs"/>
          <w:rtl/>
        </w:rPr>
        <w:t>استراتيجي</w:t>
      </w:r>
      <w:r w:rsidR="0088019E" w:rsidRPr="00ED485F">
        <w:rPr>
          <w:rFonts w:hint="eastAsia"/>
          <w:rtl/>
        </w:rPr>
        <w:t>ة</w:t>
      </w:r>
      <w:r w:rsidR="00BD1063" w:rsidRPr="00ED485F">
        <w:rPr>
          <w:rFonts w:hint="cs"/>
          <w:rtl/>
        </w:rPr>
        <w:t xml:space="preserve"> الابتكار التي تقودها</w:t>
      </w:r>
      <w:r w:rsidR="0088019E" w:rsidRPr="00ED485F">
        <w:rPr>
          <w:rFonts w:hint="cs"/>
          <w:rtl/>
        </w:rPr>
        <w:t xml:space="preserve"> المؤسسات الصغيرة </w:t>
      </w:r>
      <w:r w:rsidR="0088019E" w:rsidRPr="00ED485F">
        <w:rPr>
          <w:rFonts w:hint="cs"/>
          <w:rtl/>
        </w:rPr>
        <w:lastRenderedPageBreak/>
        <w:t xml:space="preserve">والمتوسطة الحجم في القطاعات التي تتطلب معارف كثيفة </w:t>
      </w:r>
      <w:r w:rsidR="006D4B25" w:rsidRPr="00ED485F">
        <w:rPr>
          <w:rFonts w:hint="cs"/>
          <w:rtl/>
        </w:rPr>
        <w:t xml:space="preserve">يمكن أن </w:t>
      </w:r>
      <w:r w:rsidR="00BD1063" w:rsidRPr="00ED485F">
        <w:rPr>
          <w:rFonts w:hint="cs"/>
          <w:rtl/>
        </w:rPr>
        <w:t>ت</w:t>
      </w:r>
      <w:r w:rsidR="006D4B25" w:rsidRPr="00ED485F">
        <w:rPr>
          <w:rFonts w:hint="cs"/>
          <w:rtl/>
        </w:rPr>
        <w:t xml:space="preserve">قطع شوطا طويلا لضمان </w:t>
      </w:r>
      <w:r w:rsidR="0073797B" w:rsidRPr="00ED485F">
        <w:rPr>
          <w:rFonts w:hint="cs"/>
          <w:rtl/>
        </w:rPr>
        <w:t>النفاذ</w:t>
      </w:r>
      <w:r w:rsidR="006D4B25" w:rsidRPr="00ED485F">
        <w:rPr>
          <w:rFonts w:hint="cs"/>
          <w:rtl/>
        </w:rPr>
        <w:t xml:space="preserve"> </w:t>
      </w:r>
      <w:r w:rsidR="006C1AA9" w:rsidRPr="00ED485F">
        <w:rPr>
          <w:rFonts w:hint="cs"/>
          <w:rtl/>
        </w:rPr>
        <w:t>ا</w:t>
      </w:r>
      <w:r w:rsidR="00BD1063" w:rsidRPr="00ED485F">
        <w:rPr>
          <w:rFonts w:hint="cs"/>
          <w:rtl/>
        </w:rPr>
        <w:t>لاجتماعي</w:t>
      </w:r>
      <w:r w:rsidR="006D4B25" w:rsidRPr="00ED485F">
        <w:rPr>
          <w:rFonts w:hint="cs"/>
          <w:rtl/>
        </w:rPr>
        <w:t xml:space="preserve"> </w:t>
      </w:r>
      <w:r w:rsidR="0073797B" w:rsidRPr="00ED485F">
        <w:rPr>
          <w:rFonts w:hint="cs"/>
          <w:rtl/>
        </w:rPr>
        <w:t>إ</w:t>
      </w:r>
      <w:r w:rsidR="006D4B25" w:rsidRPr="00ED485F">
        <w:rPr>
          <w:rFonts w:hint="cs"/>
          <w:rtl/>
        </w:rPr>
        <w:t xml:space="preserve">لى التكنولوجيات </w:t>
      </w:r>
      <w:r w:rsidR="0073797B" w:rsidRPr="00ED485F">
        <w:rPr>
          <w:rFonts w:hint="cs"/>
          <w:rtl/>
        </w:rPr>
        <w:t>الواعدة وإ</w:t>
      </w:r>
      <w:r w:rsidR="006D4B25" w:rsidRPr="00ED485F">
        <w:rPr>
          <w:rFonts w:hint="cs"/>
          <w:rtl/>
        </w:rPr>
        <w:t>لى المنتجات التكنولوجية.</w:t>
      </w:r>
      <w:r w:rsidR="006E357C" w:rsidRPr="00ED485F">
        <w:rPr>
          <w:rFonts w:hint="cs"/>
          <w:rtl/>
        </w:rPr>
        <w:t xml:space="preserve"> </w:t>
      </w:r>
      <w:r w:rsidR="00BF0A01" w:rsidRPr="00ED485F">
        <w:rPr>
          <w:rFonts w:hint="cs"/>
          <w:rtl/>
        </w:rPr>
        <w:t>تكتسي</w:t>
      </w:r>
      <w:r w:rsidR="00234C82" w:rsidRPr="00ED485F">
        <w:rPr>
          <w:rFonts w:hint="cs"/>
          <w:rtl/>
        </w:rPr>
        <w:t xml:space="preserve"> </w:t>
      </w:r>
      <w:r w:rsidR="006E357C" w:rsidRPr="00ED485F">
        <w:rPr>
          <w:rFonts w:hint="cs"/>
          <w:rtl/>
        </w:rPr>
        <w:t>السياسات الحكومية و</w:t>
      </w:r>
      <w:r w:rsidR="00667FFA" w:rsidRPr="00ED485F">
        <w:rPr>
          <w:rFonts w:hint="cs"/>
          <w:rtl/>
        </w:rPr>
        <w:t>ال</w:t>
      </w:r>
      <w:r w:rsidR="006E357C" w:rsidRPr="00ED485F">
        <w:rPr>
          <w:rFonts w:hint="cs"/>
          <w:rtl/>
        </w:rPr>
        <w:t>مبادرات التعاون</w:t>
      </w:r>
      <w:r w:rsidR="00667FFA" w:rsidRPr="00ED485F">
        <w:rPr>
          <w:rFonts w:hint="cs"/>
          <w:rtl/>
        </w:rPr>
        <w:t>ية</w:t>
      </w:r>
      <w:r w:rsidR="006E357C" w:rsidRPr="00ED485F">
        <w:rPr>
          <w:rFonts w:hint="cs"/>
          <w:rtl/>
        </w:rPr>
        <w:t xml:space="preserve"> </w:t>
      </w:r>
      <w:r w:rsidR="00667FFA" w:rsidRPr="00ED485F">
        <w:rPr>
          <w:rFonts w:hint="cs"/>
          <w:rtl/>
        </w:rPr>
        <w:t>بين الحكومات</w:t>
      </w:r>
      <w:r w:rsidR="00BF0A01" w:rsidRPr="00ED485F">
        <w:rPr>
          <w:rFonts w:hint="cs"/>
          <w:rtl/>
        </w:rPr>
        <w:t xml:space="preserve"> ل</w:t>
      </w:r>
      <w:r w:rsidR="006E357C" w:rsidRPr="00ED485F">
        <w:rPr>
          <w:rFonts w:hint="cs"/>
          <w:rtl/>
        </w:rPr>
        <w:t xml:space="preserve">تطوير </w:t>
      </w:r>
      <w:r w:rsidR="002930ED" w:rsidRPr="00ED485F">
        <w:rPr>
          <w:rFonts w:hint="cs"/>
          <w:rtl/>
        </w:rPr>
        <w:t xml:space="preserve">ونشر </w:t>
      </w:r>
      <w:proofErr w:type="gramStart"/>
      <w:r w:rsidR="006E357C" w:rsidRPr="00ED485F">
        <w:rPr>
          <w:rFonts w:hint="cs"/>
          <w:rtl/>
        </w:rPr>
        <w:t>التكنولوجيات</w:t>
      </w:r>
      <w:proofErr w:type="gramEnd"/>
      <w:r w:rsidR="002930ED" w:rsidRPr="00ED485F">
        <w:rPr>
          <w:rFonts w:hint="cs"/>
          <w:rtl/>
        </w:rPr>
        <w:t xml:space="preserve"> ذات الصلة بالسلع العامة</w:t>
      </w:r>
      <w:r w:rsidR="006E357C" w:rsidRPr="00ED485F">
        <w:rPr>
          <w:rFonts w:hint="cs"/>
          <w:rtl/>
        </w:rPr>
        <w:t xml:space="preserve"> </w:t>
      </w:r>
      <w:r w:rsidR="00234C82" w:rsidRPr="00ED485F">
        <w:rPr>
          <w:rFonts w:hint="cs"/>
          <w:rtl/>
        </w:rPr>
        <w:t xml:space="preserve">أهمية </w:t>
      </w:r>
      <w:r w:rsidR="00BF0A01" w:rsidRPr="00ED485F">
        <w:rPr>
          <w:rFonts w:hint="cs"/>
          <w:rtl/>
        </w:rPr>
        <w:t>بالغة</w:t>
      </w:r>
      <w:r w:rsidR="00234C82" w:rsidRPr="00ED485F">
        <w:rPr>
          <w:rFonts w:hint="cs"/>
          <w:rtl/>
        </w:rPr>
        <w:t>. وكذلك سياسات التسعير التي تحترم قدرة مختلف شرائح المجتمع على الدفع مقابل الأنظمة الداعمة للحياة</w:t>
      </w:r>
      <w:r w:rsidR="00431F8F" w:rsidRPr="00ED485F">
        <w:rPr>
          <w:rFonts w:hint="cs"/>
          <w:rtl/>
        </w:rPr>
        <w:t xml:space="preserve"> مثل المياه الصالحة ل</w:t>
      </w:r>
      <w:r w:rsidR="00977AB7" w:rsidRPr="00ED485F">
        <w:rPr>
          <w:rFonts w:hint="cs"/>
          <w:rtl/>
        </w:rPr>
        <w:t xml:space="preserve">لشرب والأدوية المنقذة للحياة والمواد الغذائية. </w:t>
      </w:r>
      <w:proofErr w:type="gramStart"/>
      <w:r w:rsidR="00977AB7" w:rsidRPr="00ED485F">
        <w:rPr>
          <w:rFonts w:hint="cs"/>
          <w:rtl/>
        </w:rPr>
        <w:t>وأخيرا</w:t>
      </w:r>
      <w:proofErr w:type="gramEnd"/>
      <w:r w:rsidR="00977AB7" w:rsidRPr="00ED485F">
        <w:rPr>
          <w:rFonts w:hint="cs"/>
          <w:rtl/>
        </w:rPr>
        <w:t xml:space="preserve"> تشير الورقة إلى الحاجة إلى </w:t>
      </w:r>
      <w:r w:rsidR="00BF0A01" w:rsidRPr="00ED485F">
        <w:rPr>
          <w:rFonts w:hint="cs"/>
          <w:rtl/>
        </w:rPr>
        <w:t>إنشاء</w:t>
      </w:r>
      <w:r w:rsidR="00977AB7" w:rsidRPr="00ED485F">
        <w:rPr>
          <w:rFonts w:hint="cs"/>
          <w:rtl/>
        </w:rPr>
        <w:t xml:space="preserve"> أنظمة لتبادل المعلومات </w:t>
      </w:r>
      <w:r w:rsidR="00AA5B29" w:rsidRPr="00ED485F">
        <w:rPr>
          <w:rFonts w:hint="cs"/>
          <w:rtl/>
        </w:rPr>
        <w:t>لخفض</w:t>
      </w:r>
      <w:r w:rsidR="00977AB7" w:rsidRPr="00ED485F">
        <w:rPr>
          <w:rFonts w:hint="cs"/>
          <w:rtl/>
        </w:rPr>
        <w:t xml:space="preserve"> تكاليف الابتكار والبحث والتطوير و</w:t>
      </w:r>
      <w:r w:rsidR="007F528D" w:rsidRPr="00ED485F">
        <w:rPr>
          <w:rFonts w:hint="cs"/>
          <w:rtl/>
        </w:rPr>
        <w:t>إ</w:t>
      </w:r>
      <w:r w:rsidR="00977AB7" w:rsidRPr="00ED485F">
        <w:rPr>
          <w:rFonts w:hint="cs"/>
          <w:rtl/>
        </w:rPr>
        <w:t>رساء آليات تمويل متعددة الأطراف لتشجيع</w:t>
      </w:r>
      <w:r w:rsidR="00977AB7" w:rsidRPr="00ED485F">
        <w:rPr>
          <w:rFonts w:ascii="Arial" w:hAnsi="Arial" w:cs="Arial" w:hint="cs"/>
          <w:sz w:val="22"/>
          <w:szCs w:val="20"/>
          <w:rtl/>
        </w:rPr>
        <w:t xml:space="preserve"> </w:t>
      </w:r>
      <w:r w:rsidR="00977AB7" w:rsidRPr="00ED485F">
        <w:rPr>
          <w:rFonts w:hint="cs"/>
          <w:rtl/>
        </w:rPr>
        <w:t xml:space="preserve">البحث والتطوير والابتكارات ونقل التكنولوجيات في القطاعات </w:t>
      </w:r>
      <w:r w:rsidR="00AA5B29" w:rsidRPr="00ED485F">
        <w:rPr>
          <w:rFonts w:hint="cs"/>
          <w:rtl/>
        </w:rPr>
        <w:t>الحرجة ذات</w:t>
      </w:r>
      <w:r w:rsidR="00977AB7" w:rsidRPr="00ED485F">
        <w:rPr>
          <w:rFonts w:hint="cs"/>
          <w:rtl/>
        </w:rPr>
        <w:t xml:space="preserve"> الصلة بالسلع العامة.</w:t>
      </w:r>
    </w:p>
    <w:p w:rsidR="00BA151C" w:rsidRPr="00ED485F" w:rsidRDefault="00BF0A01" w:rsidP="00B02B87">
      <w:pPr>
        <w:pStyle w:val="NumberedParaAR"/>
        <w:numPr>
          <w:ilvl w:val="0"/>
          <w:numId w:val="22"/>
        </w:numPr>
        <w:tabs>
          <w:tab w:val="right" w:pos="566"/>
        </w:tabs>
        <w:ind w:left="0" w:firstLine="0"/>
      </w:pPr>
      <w:r w:rsidRPr="00ED485F">
        <w:rPr>
          <w:rFonts w:hint="cs"/>
          <w:rtl/>
        </w:rPr>
        <w:t xml:space="preserve">اقتُرحت </w:t>
      </w:r>
      <w:r w:rsidR="00B02B87" w:rsidRPr="00ED485F">
        <w:rPr>
          <w:rFonts w:hint="cs"/>
          <w:rtl/>
        </w:rPr>
        <w:t>السبل</w:t>
      </w:r>
      <w:r w:rsidRPr="00ED485F">
        <w:rPr>
          <w:rFonts w:hint="cs"/>
          <w:rtl/>
        </w:rPr>
        <w:t xml:space="preserve"> </w:t>
      </w:r>
      <w:proofErr w:type="gramStart"/>
      <w:r w:rsidRPr="00ED485F">
        <w:rPr>
          <w:rFonts w:hint="cs"/>
          <w:rtl/>
        </w:rPr>
        <w:t>المواتية</w:t>
      </w:r>
      <w:proofErr w:type="gramEnd"/>
      <w:r w:rsidRPr="00ED485F">
        <w:rPr>
          <w:rFonts w:hint="cs"/>
          <w:rtl/>
        </w:rPr>
        <w:t xml:space="preserve"> التالية</w:t>
      </w:r>
      <w:r w:rsidR="00BA151C" w:rsidRPr="00ED485F">
        <w:rPr>
          <w:rFonts w:hint="cs"/>
          <w:rtl/>
        </w:rPr>
        <w:t xml:space="preserve"> </w:t>
      </w:r>
      <w:r w:rsidR="00B02B87" w:rsidRPr="00ED485F">
        <w:rPr>
          <w:rFonts w:hint="cs"/>
          <w:rtl/>
        </w:rPr>
        <w:t>لتهيئة بيئة مناسبة</w:t>
      </w:r>
      <w:r w:rsidRPr="00ED485F">
        <w:rPr>
          <w:rFonts w:hint="cs"/>
          <w:rtl/>
        </w:rPr>
        <w:t xml:space="preserve"> </w:t>
      </w:r>
      <w:r w:rsidR="00B02B87" w:rsidRPr="00ED485F">
        <w:rPr>
          <w:rFonts w:hint="cs"/>
          <w:rtl/>
        </w:rPr>
        <w:t>ل</w:t>
      </w:r>
      <w:r w:rsidR="00BA151C" w:rsidRPr="00ED485F">
        <w:rPr>
          <w:rFonts w:hint="cs"/>
          <w:rtl/>
        </w:rPr>
        <w:t>لابتكارات ونقل التكنولوجيا:</w:t>
      </w:r>
    </w:p>
    <w:p w:rsidR="00BA151C" w:rsidRPr="00ED485F" w:rsidRDefault="00C12DBB" w:rsidP="00962D73">
      <w:pPr>
        <w:pStyle w:val="NumberedParaAR"/>
        <w:numPr>
          <w:ilvl w:val="0"/>
          <w:numId w:val="31"/>
        </w:numPr>
        <w:tabs>
          <w:tab w:val="right" w:pos="566"/>
        </w:tabs>
        <w:ind w:left="567" w:firstLine="0"/>
      </w:pPr>
      <w:r w:rsidRPr="00ED485F">
        <w:rPr>
          <w:rFonts w:hint="cs"/>
          <w:rtl/>
        </w:rPr>
        <w:t>تهيئة</w:t>
      </w:r>
      <w:r w:rsidR="003A6D03" w:rsidRPr="00ED485F">
        <w:rPr>
          <w:rFonts w:hint="cs"/>
          <w:rtl/>
        </w:rPr>
        <w:t xml:space="preserve"> بيئة</w:t>
      </w:r>
      <w:r w:rsidRPr="00ED485F">
        <w:rPr>
          <w:rFonts w:hint="cs"/>
          <w:rtl/>
        </w:rPr>
        <w:t xml:space="preserve"> تحفيزية</w:t>
      </w:r>
      <w:r w:rsidR="003A6D03" w:rsidRPr="00ED485F">
        <w:rPr>
          <w:rFonts w:hint="cs"/>
          <w:rtl/>
        </w:rPr>
        <w:t xml:space="preserve"> تنافسية م</w:t>
      </w:r>
      <w:r w:rsidR="00B02B87" w:rsidRPr="00ED485F">
        <w:rPr>
          <w:rFonts w:hint="cs"/>
          <w:rtl/>
        </w:rPr>
        <w:t>ُ</w:t>
      </w:r>
      <w:r w:rsidR="003A6D03" w:rsidRPr="00ED485F">
        <w:rPr>
          <w:rFonts w:hint="cs"/>
          <w:rtl/>
        </w:rPr>
        <w:t xml:space="preserve">ثلى </w:t>
      </w:r>
      <w:r w:rsidRPr="00ED485F">
        <w:rPr>
          <w:rFonts w:hint="cs"/>
          <w:rtl/>
        </w:rPr>
        <w:t>والانتفاع</w:t>
      </w:r>
      <w:r w:rsidR="003A6D03" w:rsidRPr="00ED485F">
        <w:rPr>
          <w:rFonts w:hint="cs"/>
          <w:rtl/>
        </w:rPr>
        <w:t xml:space="preserve"> الاستراتيجي </w:t>
      </w:r>
      <w:r w:rsidRPr="00ED485F">
        <w:rPr>
          <w:rFonts w:hint="cs"/>
          <w:rtl/>
        </w:rPr>
        <w:t>با</w:t>
      </w:r>
      <w:r w:rsidR="003A6D03" w:rsidRPr="00ED485F">
        <w:rPr>
          <w:rFonts w:hint="cs"/>
          <w:rtl/>
        </w:rPr>
        <w:t>لبراءات</w:t>
      </w:r>
      <w:r w:rsidRPr="00ED485F">
        <w:rPr>
          <w:rFonts w:hint="cs"/>
          <w:rtl/>
        </w:rPr>
        <w:t xml:space="preserve"> وحقوق الملكية الفكرية ذات الصلة.</w:t>
      </w:r>
    </w:p>
    <w:p w:rsidR="00C12DBB" w:rsidRPr="00ED485F" w:rsidRDefault="00BE5547" w:rsidP="00E26F17">
      <w:pPr>
        <w:pStyle w:val="NumberedParaAR"/>
        <w:numPr>
          <w:ilvl w:val="0"/>
          <w:numId w:val="31"/>
        </w:numPr>
        <w:tabs>
          <w:tab w:val="right" w:pos="566"/>
        </w:tabs>
        <w:ind w:left="567" w:firstLine="0"/>
      </w:pPr>
      <w:proofErr w:type="gramStart"/>
      <w:r>
        <w:rPr>
          <w:rFonts w:hint="cs"/>
          <w:rtl/>
        </w:rPr>
        <w:t>و</w:t>
      </w:r>
      <w:r w:rsidR="00E26F17" w:rsidRPr="00ED485F">
        <w:rPr>
          <w:rFonts w:hint="cs"/>
          <w:rtl/>
        </w:rPr>
        <w:t>استحداث</w:t>
      </w:r>
      <w:proofErr w:type="gramEnd"/>
      <w:r w:rsidR="00C12DBB" w:rsidRPr="00ED485F">
        <w:rPr>
          <w:rFonts w:hint="cs"/>
          <w:rtl/>
        </w:rPr>
        <w:t xml:space="preserve"> أجهزة تنظيمية فعالة وبناء قدرات </w:t>
      </w:r>
      <w:r w:rsidR="00324B94" w:rsidRPr="00ED485F">
        <w:rPr>
          <w:rFonts w:hint="cs"/>
          <w:rtl/>
        </w:rPr>
        <w:t>تكميلية</w:t>
      </w:r>
      <w:r w:rsidR="00C12DBB" w:rsidRPr="00ED485F">
        <w:rPr>
          <w:rFonts w:hint="cs"/>
          <w:rtl/>
        </w:rPr>
        <w:t>.</w:t>
      </w:r>
    </w:p>
    <w:p w:rsidR="00C12DBB" w:rsidRPr="00ED485F" w:rsidRDefault="00BE5547" w:rsidP="00E26F17">
      <w:pPr>
        <w:pStyle w:val="NumberedParaAR"/>
        <w:numPr>
          <w:ilvl w:val="0"/>
          <w:numId w:val="31"/>
        </w:numPr>
        <w:tabs>
          <w:tab w:val="right" w:pos="566"/>
        </w:tabs>
        <w:ind w:left="567" w:firstLine="0"/>
      </w:pPr>
      <w:proofErr w:type="gramStart"/>
      <w:r>
        <w:rPr>
          <w:rFonts w:hint="cs"/>
          <w:rtl/>
        </w:rPr>
        <w:t>و</w:t>
      </w:r>
      <w:r w:rsidR="00E26F17" w:rsidRPr="00ED485F">
        <w:rPr>
          <w:rFonts w:hint="cs"/>
          <w:rtl/>
        </w:rPr>
        <w:t>تيسير</w:t>
      </w:r>
      <w:proofErr w:type="gramEnd"/>
      <w:r w:rsidR="00E26F17" w:rsidRPr="00ED485F">
        <w:rPr>
          <w:rFonts w:hint="cs"/>
          <w:rtl/>
        </w:rPr>
        <w:t xml:space="preserve"> </w:t>
      </w:r>
      <w:r w:rsidR="00C12DBB" w:rsidRPr="00ED485F">
        <w:rPr>
          <w:rFonts w:hint="cs"/>
          <w:rtl/>
        </w:rPr>
        <w:t>مفاوضات نقل التكنولوجيا.</w:t>
      </w:r>
    </w:p>
    <w:p w:rsidR="006256D2" w:rsidRPr="00ED485F" w:rsidRDefault="00BE5547" w:rsidP="00032CBC">
      <w:pPr>
        <w:pStyle w:val="NumberedParaAR"/>
        <w:numPr>
          <w:ilvl w:val="0"/>
          <w:numId w:val="31"/>
        </w:numPr>
        <w:tabs>
          <w:tab w:val="right" w:pos="566"/>
        </w:tabs>
        <w:ind w:left="567" w:firstLine="0"/>
      </w:pPr>
      <w:proofErr w:type="gramStart"/>
      <w:r>
        <w:rPr>
          <w:rFonts w:hint="cs"/>
          <w:rtl/>
        </w:rPr>
        <w:t>و</w:t>
      </w:r>
      <w:r w:rsidR="006256D2" w:rsidRPr="00ED485F">
        <w:rPr>
          <w:rFonts w:hint="cs"/>
          <w:rtl/>
        </w:rPr>
        <w:t>تيسير</w:t>
      </w:r>
      <w:proofErr w:type="gramEnd"/>
      <w:r w:rsidR="00324B94" w:rsidRPr="00ED485F">
        <w:rPr>
          <w:rFonts w:hint="cs"/>
          <w:rtl/>
        </w:rPr>
        <w:t xml:space="preserve"> سياسة الاستثمار الأجنبي المباشر وأشكال المشاركة غير السهمية </w:t>
      </w:r>
      <w:r w:rsidR="00324B94" w:rsidRPr="00ED485F">
        <w:rPr>
          <w:rtl/>
        </w:rPr>
        <w:t>(</w:t>
      </w:r>
      <w:r w:rsidR="00324B94" w:rsidRPr="00ED485F">
        <w:t>NEMs</w:t>
      </w:r>
      <w:r w:rsidR="00324B94" w:rsidRPr="00ED485F">
        <w:rPr>
          <w:rtl/>
        </w:rPr>
        <w:t>)</w:t>
      </w:r>
      <w:r w:rsidR="00324B94" w:rsidRPr="00ED485F">
        <w:rPr>
          <w:rFonts w:hint="cs"/>
          <w:rtl/>
        </w:rPr>
        <w:t xml:space="preserve"> للأعمال التجارية الخارجية المنشأ.</w:t>
      </w:r>
    </w:p>
    <w:p w:rsidR="00D20D67" w:rsidRPr="00ED485F" w:rsidRDefault="00BE5547" w:rsidP="00032CBC">
      <w:pPr>
        <w:pStyle w:val="NumberedParaAR"/>
        <w:numPr>
          <w:ilvl w:val="0"/>
          <w:numId w:val="31"/>
        </w:numPr>
        <w:tabs>
          <w:tab w:val="right" w:pos="566"/>
        </w:tabs>
        <w:ind w:left="567" w:firstLine="0"/>
      </w:pPr>
      <w:r>
        <w:rPr>
          <w:rFonts w:hint="cs"/>
          <w:rtl/>
        </w:rPr>
        <w:t>و</w:t>
      </w:r>
      <w:r w:rsidR="00AB333D" w:rsidRPr="00ED485F">
        <w:rPr>
          <w:rFonts w:hint="cs"/>
          <w:rtl/>
        </w:rPr>
        <w:t>وضع أنظمة مشتركة للبحث والتطوير من خلال شراكات القطاعين العام والخاص.</w:t>
      </w:r>
    </w:p>
    <w:p w:rsidR="00AB333D" w:rsidRPr="00ED485F" w:rsidRDefault="00BE5547" w:rsidP="00032CBC">
      <w:pPr>
        <w:pStyle w:val="NumberedParaAR"/>
        <w:numPr>
          <w:ilvl w:val="0"/>
          <w:numId w:val="31"/>
        </w:numPr>
        <w:tabs>
          <w:tab w:val="right" w:pos="566"/>
        </w:tabs>
        <w:ind w:left="567" w:firstLine="0"/>
      </w:pPr>
      <w:proofErr w:type="gramStart"/>
      <w:r>
        <w:rPr>
          <w:rFonts w:hint="cs"/>
          <w:rtl/>
        </w:rPr>
        <w:t>و</w:t>
      </w:r>
      <w:r w:rsidR="00734F06" w:rsidRPr="00ED485F">
        <w:rPr>
          <w:rFonts w:hint="cs"/>
          <w:rtl/>
        </w:rPr>
        <w:t>إنشاء</w:t>
      </w:r>
      <w:proofErr w:type="gramEnd"/>
      <w:r w:rsidR="00E26F17" w:rsidRPr="00ED485F">
        <w:rPr>
          <w:rFonts w:hint="cs"/>
          <w:rtl/>
        </w:rPr>
        <w:t xml:space="preserve"> </w:t>
      </w:r>
      <w:r w:rsidR="007A4EAF" w:rsidRPr="00ED485F">
        <w:rPr>
          <w:rFonts w:hint="cs"/>
          <w:rtl/>
        </w:rPr>
        <w:t>وظائف تولدها الأ</w:t>
      </w:r>
      <w:r w:rsidR="00716BBD" w:rsidRPr="00ED485F">
        <w:rPr>
          <w:rFonts w:hint="cs"/>
          <w:rtl/>
        </w:rPr>
        <w:t>سو</w:t>
      </w:r>
      <w:r w:rsidR="007A4EAF" w:rsidRPr="00ED485F">
        <w:rPr>
          <w:rFonts w:hint="cs"/>
          <w:rtl/>
        </w:rPr>
        <w:t xml:space="preserve">اق: </w:t>
      </w:r>
      <w:r w:rsidR="00716BBD" w:rsidRPr="00ED485F">
        <w:rPr>
          <w:rFonts w:hint="cs"/>
          <w:rtl/>
        </w:rPr>
        <w:t>ربط المشتري المناسب بالبائع المناسب</w:t>
      </w:r>
      <w:r w:rsidR="001D0E04" w:rsidRPr="00ED485F">
        <w:rPr>
          <w:rFonts w:hint="cs"/>
          <w:rtl/>
        </w:rPr>
        <w:t>.</w:t>
      </w:r>
    </w:p>
    <w:p w:rsidR="001D0E04" w:rsidRPr="00ED485F" w:rsidRDefault="00BE5547" w:rsidP="00032CBC">
      <w:pPr>
        <w:pStyle w:val="NumberedParaAR"/>
        <w:numPr>
          <w:ilvl w:val="0"/>
          <w:numId w:val="31"/>
        </w:numPr>
        <w:tabs>
          <w:tab w:val="right" w:pos="566"/>
        </w:tabs>
        <w:ind w:left="567" w:firstLine="0"/>
      </w:pPr>
      <w:r>
        <w:rPr>
          <w:rFonts w:hint="cs"/>
          <w:rtl/>
        </w:rPr>
        <w:t>و</w:t>
      </w:r>
      <w:r w:rsidR="001D0E04" w:rsidRPr="00ED485F">
        <w:rPr>
          <w:rFonts w:hint="cs"/>
          <w:rtl/>
        </w:rPr>
        <w:t xml:space="preserve">تشجيع إجراء تقييم مشترك للاحتياجات من الأدوية والتكنولوجيات البيئية لتيسير برامج البحث </w:t>
      </w:r>
      <w:proofErr w:type="gramStart"/>
      <w:r w:rsidR="001D0E04" w:rsidRPr="00ED485F">
        <w:rPr>
          <w:rFonts w:hint="cs"/>
          <w:rtl/>
        </w:rPr>
        <w:t>والتطوير</w:t>
      </w:r>
      <w:proofErr w:type="gramEnd"/>
      <w:r w:rsidR="001D0E04" w:rsidRPr="00ED485F">
        <w:rPr>
          <w:rFonts w:hint="cs"/>
          <w:rtl/>
        </w:rPr>
        <w:t>.</w:t>
      </w:r>
    </w:p>
    <w:p w:rsidR="001D0E04" w:rsidRPr="00ED485F" w:rsidRDefault="00BE5547" w:rsidP="00734F06">
      <w:pPr>
        <w:pStyle w:val="NumberedParaAR"/>
        <w:numPr>
          <w:ilvl w:val="0"/>
          <w:numId w:val="31"/>
        </w:numPr>
        <w:tabs>
          <w:tab w:val="right" w:pos="566"/>
        </w:tabs>
        <w:ind w:left="567" w:firstLine="0"/>
      </w:pPr>
      <w:r>
        <w:rPr>
          <w:rFonts w:hint="cs"/>
          <w:rtl/>
        </w:rPr>
        <w:t>و</w:t>
      </w:r>
      <w:r w:rsidR="00734F06" w:rsidRPr="00ED485F">
        <w:rPr>
          <w:rFonts w:hint="cs"/>
          <w:rtl/>
        </w:rPr>
        <w:t>وضع</w:t>
      </w:r>
      <w:r w:rsidR="001D0E04" w:rsidRPr="00ED485F">
        <w:rPr>
          <w:rFonts w:hint="cs"/>
          <w:rtl/>
        </w:rPr>
        <w:t xml:space="preserve"> آلية تمويل فعالة متعددة الأطراف لتيسير </w:t>
      </w:r>
      <w:proofErr w:type="gramStart"/>
      <w:r w:rsidR="001D0E04" w:rsidRPr="00ED485F">
        <w:rPr>
          <w:rFonts w:hint="cs"/>
          <w:rtl/>
        </w:rPr>
        <w:t>نقل</w:t>
      </w:r>
      <w:proofErr w:type="gramEnd"/>
      <w:r w:rsidR="001D0E04" w:rsidRPr="00ED485F">
        <w:rPr>
          <w:rFonts w:hint="cs"/>
          <w:rtl/>
        </w:rPr>
        <w:t xml:space="preserve"> التكنولوجيا.</w:t>
      </w:r>
    </w:p>
    <w:p w:rsidR="00C12DBB" w:rsidRPr="00ED485F" w:rsidRDefault="00BE5547" w:rsidP="00962D73">
      <w:pPr>
        <w:pStyle w:val="NumberedParaAR"/>
        <w:numPr>
          <w:ilvl w:val="0"/>
          <w:numId w:val="31"/>
        </w:numPr>
        <w:tabs>
          <w:tab w:val="right" w:pos="566"/>
        </w:tabs>
        <w:ind w:left="567" w:firstLine="0"/>
      </w:pPr>
      <w:r>
        <w:rPr>
          <w:rFonts w:hint="cs"/>
          <w:rtl/>
        </w:rPr>
        <w:t>و</w:t>
      </w:r>
      <w:r w:rsidR="001D0E04" w:rsidRPr="00ED485F">
        <w:rPr>
          <w:rFonts w:hint="cs"/>
          <w:rtl/>
        </w:rPr>
        <w:t>تشجيع المؤسسات العامة في البلدان المتقدمة على شراء الأدوية الأساسية لإمداد البلدان الأقل نموا</w:t>
      </w:r>
      <w:r w:rsidR="00524AFD" w:rsidRPr="00ED485F">
        <w:rPr>
          <w:rFonts w:hint="cs"/>
          <w:rtl/>
        </w:rPr>
        <w:t xml:space="preserve"> </w:t>
      </w:r>
      <w:r w:rsidR="001D0E04" w:rsidRPr="00ED485F">
        <w:rPr>
          <w:rFonts w:hint="cs"/>
          <w:rtl/>
        </w:rPr>
        <w:t>عن طريق تطبيق مبدأ</w:t>
      </w:r>
      <w:r w:rsidR="00494A07" w:rsidRPr="00ED485F">
        <w:rPr>
          <w:rFonts w:hint="cs"/>
          <w:rtl/>
        </w:rPr>
        <w:t xml:space="preserve"> التمييز السعري</w:t>
      </w:r>
      <w:r w:rsidR="00E40DFD" w:rsidRPr="00ED485F">
        <w:rPr>
          <w:rFonts w:hint="cs"/>
          <w:rtl/>
        </w:rPr>
        <w:t xml:space="preserve"> من الدرجة الثانية.</w:t>
      </w:r>
      <w:r w:rsidR="001D0E04" w:rsidRPr="00ED485F">
        <w:rPr>
          <w:rFonts w:hint="cs"/>
          <w:rtl/>
        </w:rPr>
        <w:t xml:space="preserve"> </w:t>
      </w:r>
    </w:p>
    <w:p w:rsidR="00BA151C" w:rsidRPr="00ED485F" w:rsidRDefault="00E40DFD" w:rsidP="00DC1521">
      <w:pPr>
        <w:pStyle w:val="NumberedParaAR"/>
        <w:numPr>
          <w:ilvl w:val="0"/>
          <w:numId w:val="22"/>
        </w:numPr>
        <w:tabs>
          <w:tab w:val="right" w:pos="566"/>
        </w:tabs>
        <w:ind w:left="0" w:firstLine="0"/>
      </w:pPr>
      <w:r w:rsidRPr="00ED485F">
        <w:rPr>
          <w:rFonts w:hint="cs"/>
          <w:rtl/>
        </w:rPr>
        <w:t xml:space="preserve">تتضمن الورقات الثلاث المشار إليها في الفقرات السابقة مسائل يمكن أن تساعد الويبو في تنفيذ جدول أعمالها للتنمية. </w:t>
      </w:r>
      <w:r w:rsidR="002E3DAE" w:rsidRPr="00ED485F">
        <w:rPr>
          <w:rFonts w:hint="cs"/>
          <w:rtl/>
        </w:rPr>
        <w:t>إلى جانب</w:t>
      </w:r>
      <w:r w:rsidRPr="00ED485F">
        <w:rPr>
          <w:rFonts w:hint="cs"/>
          <w:rtl/>
        </w:rPr>
        <w:t xml:space="preserve"> </w:t>
      </w:r>
      <w:r w:rsidR="002E3DAE" w:rsidRPr="00ED485F">
        <w:rPr>
          <w:rFonts w:hint="cs"/>
          <w:rtl/>
        </w:rPr>
        <w:t xml:space="preserve"> تغطية </w:t>
      </w:r>
      <w:r w:rsidRPr="00ED485F">
        <w:rPr>
          <w:rFonts w:hint="cs"/>
          <w:rtl/>
        </w:rPr>
        <w:t xml:space="preserve">منشورات الويبو حول هذا الموضوع، تطرح  الورقات </w:t>
      </w:r>
      <w:r w:rsidR="002E3DAE" w:rsidRPr="00ED485F">
        <w:rPr>
          <w:rFonts w:hint="cs"/>
          <w:rtl/>
        </w:rPr>
        <w:t>كذلك</w:t>
      </w:r>
      <w:r w:rsidRPr="00ED485F">
        <w:rPr>
          <w:rFonts w:hint="cs"/>
          <w:rtl/>
        </w:rPr>
        <w:t xml:space="preserve"> براهين من دراسات لم تناقش من قبل في الويبو. </w:t>
      </w:r>
      <w:r w:rsidR="00F10BFB" w:rsidRPr="00ED485F">
        <w:rPr>
          <w:rFonts w:hint="cs"/>
          <w:rtl/>
        </w:rPr>
        <w:t xml:space="preserve">تؤيد </w:t>
      </w:r>
      <w:r w:rsidRPr="00ED485F">
        <w:rPr>
          <w:rFonts w:hint="cs"/>
          <w:rtl/>
        </w:rPr>
        <w:t>الحلول التي</w:t>
      </w:r>
      <w:r w:rsidR="00F10BFB" w:rsidRPr="00ED485F">
        <w:rPr>
          <w:rFonts w:hint="cs"/>
          <w:rtl/>
        </w:rPr>
        <w:t xml:space="preserve"> توصي بها </w:t>
      </w:r>
      <w:r w:rsidRPr="00ED485F">
        <w:rPr>
          <w:rFonts w:hint="cs"/>
          <w:rtl/>
        </w:rPr>
        <w:t xml:space="preserve">الورقات </w:t>
      </w:r>
      <w:r w:rsidR="002E3DAE" w:rsidRPr="00ED485F">
        <w:rPr>
          <w:rFonts w:hint="cs"/>
          <w:rtl/>
        </w:rPr>
        <w:t>مزيج</w:t>
      </w:r>
      <w:r w:rsidR="00DC1521" w:rsidRPr="00ED485F">
        <w:rPr>
          <w:rFonts w:hint="cs"/>
          <w:rtl/>
        </w:rPr>
        <w:t>ا</w:t>
      </w:r>
      <w:r w:rsidRPr="00ED485F">
        <w:rPr>
          <w:rFonts w:hint="cs"/>
          <w:rtl/>
        </w:rPr>
        <w:t xml:space="preserve"> من </w:t>
      </w:r>
      <w:r w:rsidR="002E3DAE" w:rsidRPr="00ED485F">
        <w:rPr>
          <w:rFonts w:hint="cs"/>
          <w:rtl/>
        </w:rPr>
        <w:t>ال</w:t>
      </w:r>
      <w:r w:rsidR="00B21FE2" w:rsidRPr="00ED485F">
        <w:rPr>
          <w:rFonts w:hint="cs"/>
          <w:rtl/>
        </w:rPr>
        <w:t xml:space="preserve">أدوات </w:t>
      </w:r>
      <w:r w:rsidR="002E3DAE" w:rsidRPr="00ED485F">
        <w:rPr>
          <w:rFonts w:hint="cs"/>
          <w:rtl/>
        </w:rPr>
        <w:t>التي تستند إلى السوق والأدوات ال</w:t>
      </w:r>
      <w:r w:rsidR="00B21FE2" w:rsidRPr="00ED485F">
        <w:rPr>
          <w:rFonts w:hint="cs"/>
          <w:rtl/>
        </w:rPr>
        <w:t xml:space="preserve">تنظيمية في إطار اتفاق </w:t>
      </w:r>
      <w:proofErr w:type="spellStart"/>
      <w:r w:rsidR="00B21FE2" w:rsidRPr="00ED485F">
        <w:rPr>
          <w:rFonts w:hint="cs"/>
          <w:rtl/>
        </w:rPr>
        <w:t>تريبس</w:t>
      </w:r>
      <w:proofErr w:type="spellEnd"/>
      <w:r w:rsidR="00B21FE2" w:rsidRPr="00ED485F">
        <w:rPr>
          <w:rFonts w:hint="cs"/>
          <w:rtl/>
        </w:rPr>
        <w:t xml:space="preserve"> </w:t>
      </w:r>
      <w:r w:rsidR="002E3DAE" w:rsidRPr="00ED485F">
        <w:rPr>
          <w:rFonts w:hint="cs"/>
          <w:rtl/>
        </w:rPr>
        <w:t>بغية</w:t>
      </w:r>
      <w:r w:rsidR="00B21FE2" w:rsidRPr="00ED485F">
        <w:rPr>
          <w:rFonts w:hint="cs"/>
          <w:rtl/>
        </w:rPr>
        <w:t xml:space="preserve"> نقل التكنولوجيا </w:t>
      </w:r>
      <w:r w:rsidR="002E3DAE" w:rsidRPr="00ED485F">
        <w:rPr>
          <w:rFonts w:hint="cs"/>
          <w:rtl/>
        </w:rPr>
        <w:t>على نحو</w:t>
      </w:r>
      <w:r w:rsidR="00B21FE2" w:rsidRPr="00ED485F">
        <w:rPr>
          <w:rFonts w:hint="cs"/>
          <w:rtl/>
        </w:rPr>
        <w:t xml:space="preserve"> "فعال" </w:t>
      </w:r>
      <w:r w:rsidR="002E3DAE" w:rsidRPr="00ED485F">
        <w:rPr>
          <w:rFonts w:hint="cs"/>
          <w:rtl/>
        </w:rPr>
        <w:t>و"مستدام</w:t>
      </w:r>
      <w:r w:rsidR="00B21FE2" w:rsidRPr="00ED485F">
        <w:rPr>
          <w:rFonts w:hint="cs"/>
          <w:rtl/>
        </w:rPr>
        <w:t>".</w:t>
      </w:r>
    </w:p>
    <w:p w:rsidR="00B21FE2" w:rsidRPr="00ED485F" w:rsidRDefault="00DC1521" w:rsidP="00DC1521">
      <w:pPr>
        <w:pStyle w:val="NumberedParaAR"/>
        <w:numPr>
          <w:ilvl w:val="0"/>
          <w:numId w:val="22"/>
        </w:numPr>
        <w:tabs>
          <w:tab w:val="right" w:pos="566"/>
        </w:tabs>
        <w:ind w:left="0" w:firstLine="0"/>
      </w:pPr>
      <w:proofErr w:type="gramStart"/>
      <w:r w:rsidRPr="00ED485F">
        <w:rPr>
          <w:rFonts w:hint="cs"/>
          <w:rtl/>
        </w:rPr>
        <w:t>ثمة</w:t>
      </w:r>
      <w:proofErr w:type="gramEnd"/>
      <w:r w:rsidRPr="00ED485F">
        <w:rPr>
          <w:rFonts w:hint="cs"/>
          <w:rtl/>
        </w:rPr>
        <w:t xml:space="preserve"> مرفقان يصحبان هذه الورقات بصورة </w:t>
      </w:r>
      <w:r w:rsidR="00B21FE2" w:rsidRPr="00ED485F">
        <w:rPr>
          <w:rFonts w:hint="cs"/>
          <w:rtl/>
        </w:rPr>
        <w:t>منفصل</w:t>
      </w:r>
      <w:r w:rsidRPr="00ED485F">
        <w:rPr>
          <w:rFonts w:hint="cs"/>
          <w:rtl/>
        </w:rPr>
        <w:t>ة</w:t>
      </w:r>
      <w:r w:rsidR="00B21FE2" w:rsidRPr="00ED485F">
        <w:rPr>
          <w:rFonts w:hint="cs"/>
          <w:rtl/>
        </w:rPr>
        <w:t>: وهما "حقوق الملكية الفكرية والأدو</w:t>
      </w:r>
      <w:r w:rsidR="00F5656E" w:rsidRPr="00ED485F">
        <w:rPr>
          <w:rFonts w:hint="cs"/>
          <w:rtl/>
        </w:rPr>
        <w:t>ية وصناعة الأدوية" (المرفق 1) و</w:t>
      </w:r>
      <w:r w:rsidR="00B21FE2" w:rsidRPr="00ED485F">
        <w:rPr>
          <w:rFonts w:hint="cs"/>
          <w:rtl/>
        </w:rPr>
        <w:t xml:space="preserve">"نقل تكنولوجيات المناخ الذكية" (المرفق 2) الذي يتضمن تحليل قطاعي مفصل لمسائل نقل التكنولوجيا ذات الصلة بحقوق الملكية الفكرية. تدعم </w:t>
      </w:r>
      <w:r w:rsidR="009D40D8" w:rsidRPr="00ED485F">
        <w:rPr>
          <w:rFonts w:hint="cs"/>
          <w:rtl/>
        </w:rPr>
        <w:t>هذه</w:t>
      </w:r>
      <w:r w:rsidR="009D40D8" w:rsidRPr="00ED485F">
        <w:t xml:space="preserve"> </w:t>
      </w:r>
      <w:r w:rsidR="009D40D8" w:rsidRPr="00ED485F">
        <w:rPr>
          <w:rFonts w:hint="cs"/>
          <w:rtl/>
          <w:lang w:bidi="ar-EG"/>
        </w:rPr>
        <w:t>الورقات</w:t>
      </w:r>
      <w:r w:rsidR="009D40D8" w:rsidRPr="00ED485F">
        <w:rPr>
          <w:rFonts w:hint="cs"/>
          <w:rtl/>
        </w:rPr>
        <w:t xml:space="preserve"> </w:t>
      </w:r>
      <w:r w:rsidR="00B21FE2" w:rsidRPr="00ED485F">
        <w:rPr>
          <w:rFonts w:hint="cs"/>
          <w:rtl/>
        </w:rPr>
        <w:t xml:space="preserve">الحجج </w:t>
      </w:r>
      <w:proofErr w:type="gramStart"/>
      <w:r w:rsidR="00B21FE2" w:rsidRPr="00ED485F">
        <w:rPr>
          <w:rFonts w:hint="cs"/>
          <w:rtl/>
        </w:rPr>
        <w:t xml:space="preserve">الواردة </w:t>
      </w:r>
      <w:r w:rsidRPr="00ED485F">
        <w:rPr>
          <w:rFonts w:hint="cs"/>
          <w:rtl/>
        </w:rPr>
        <w:t xml:space="preserve"> في</w:t>
      </w:r>
      <w:proofErr w:type="gramEnd"/>
      <w:r w:rsidRPr="00ED485F">
        <w:rPr>
          <w:rFonts w:hint="cs"/>
          <w:rtl/>
        </w:rPr>
        <w:t xml:space="preserve"> </w:t>
      </w:r>
      <w:r w:rsidR="00B21FE2" w:rsidRPr="00ED485F">
        <w:rPr>
          <w:rFonts w:hint="cs"/>
          <w:rtl/>
        </w:rPr>
        <w:t>ورقات الموضوع</w:t>
      </w:r>
      <w:r w:rsidR="000400D6" w:rsidRPr="00ED485F">
        <w:rPr>
          <w:rFonts w:hint="cs"/>
          <w:rtl/>
        </w:rPr>
        <w:t>ات الثلاث</w:t>
      </w:r>
      <w:r w:rsidR="00FE2BA9" w:rsidRPr="00ED485F">
        <w:rPr>
          <w:rFonts w:hint="cs"/>
          <w:rtl/>
        </w:rPr>
        <w:t>ة</w:t>
      </w:r>
      <w:r w:rsidR="00B21FE2" w:rsidRPr="00ED485F">
        <w:rPr>
          <w:rFonts w:hint="cs"/>
          <w:rtl/>
        </w:rPr>
        <w:t>.</w:t>
      </w:r>
    </w:p>
    <w:p w:rsidR="000400D6" w:rsidRPr="00891B1B" w:rsidRDefault="00FE2BA9" w:rsidP="00FE2BA9">
      <w:pPr>
        <w:pStyle w:val="NumberedParaAR"/>
        <w:numPr>
          <w:ilvl w:val="0"/>
          <w:numId w:val="27"/>
        </w:numPr>
        <w:tabs>
          <w:tab w:val="right" w:pos="566"/>
        </w:tabs>
        <w:ind w:left="566" w:hanging="567"/>
        <w:rPr>
          <w:b/>
          <w:bCs/>
          <w:sz w:val="40"/>
          <w:szCs w:val="40"/>
          <w:rtl/>
        </w:rPr>
      </w:pPr>
      <w:r w:rsidRPr="00891B1B">
        <w:rPr>
          <w:rFonts w:hint="cs"/>
          <w:b/>
          <w:bCs/>
          <w:sz w:val="40"/>
          <w:szCs w:val="40"/>
          <w:rtl/>
        </w:rPr>
        <w:t>توليف التوصيات</w:t>
      </w:r>
    </w:p>
    <w:p w:rsidR="00FE2BA9" w:rsidRPr="00ED485F" w:rsidRDefault="00FE2BA9" w:rsidP="00F5656E">
      <w:pPr>
        <w:pStyle w:val="NumberedParaAR"/>
        <w:numPr>
          <w:ilvl w:val="0"/>
          <w:numId w:val="0"/>
        </w:numPr>
        <w:tabs>
          <w:tab w:val="right" w:pos="566"/>
        </w:tabs>
        <w:rPr>
          <w:sz w:val="40"/>
          <w:szCs w:val="40"/>
          <w:rtl/>
        </w:rPr>
      </w:pPr>
      <w:r w:rsidRPr="00ED485F">
        <w:rPr>
          <w:rFonts w:hint="cs"/>
          <w:sz w:val="40"/>
          <w:szCs w:val="40"/>
          <w:rtl/>
        </w:rPr>
        <w:t xml:space="preserve">الورقة 1: تفعيل المادة 7 من اتفاق </w:t>
      </w:r>
      <w:proofErr w:type="spellStart"/>
      <w:r w:rsidRPr="00ED485F">
        <w:rPr>
          <w:rFonts w:hint="cs"/>
          <w:sz w:val="40"/>
          <w:szCs w:val="40"/>
          <w:rtl/>
        </w:rPr>
        <w:t>تريبس</w:t>
      </w:r>
      <w:proofErr w:type="spellEnd"/>
      <w:r w:rsidRPr="00ED485F">
        <w:rPr>
          <w:rFonts w:hint="cs"/>
          <w:sz w:val="40"/>
          <w:szCs w:val="40"/>
          <w:rtl/>
        </w:rPr>
        <w:t xml:space="preserve">: الحالة التقنية، </w:t>
      </w:r>
      <w:r w:rsidR="00F5656E" w:rsidRPr="00ED485F">
        <w:rPr>
          <w:rFonts w:hint="cs"/>
          <w:sz w:val="40"/>
          <w:szCs w:val="40"/>
          <w:rtl/>
        </w:rPr>
        <w:t>العوائ</w:t>
      </w:r>
      <w:r w:rsidR="00F5656E" w:rsidRPr="00ED485F">
        <w:rPr>
          <w:rFonts w:hint="eastAsia"/>
          <w:sz w:val="40"/>
          <w:szCs w:val="40"/>
          <w:rtl/>
        </w:rPr>
        <w:t>ق</w:t>
      </w:r>
      <w:r w:rsidR="00F5656E" w:rsidRPr="00ED485F">
        <w:rPr>
          <w:rFonts w:hint="cs"/>
          <w:sz w:val="40"/>
          <w:szCs w:val="40"/>
          <w:rtl/>
        </w:rPr>
        <w:t xml:space="preserve"> </w:t>
      </w:r>
      <w:r w:rsidRPr="00ED485F">
        <w:rPr>
          <w:rFonts w:hint="cs"/>
          <w:sz w:val="40"/>
          <w:szCs w:val="40"/>
          <w:rtl/>
        </w:rPr>
        <w:t>والتوقعات</w:t>
      </w:r>
    </w:p>
    <w:p w:rsidR="00FE2BA9" w:rsidRPr="00ED485F" w:rsidRDefault="00FE2BA9" w:rsidP="009B4935">
      <w:pPr>
        <w:pStyle w:val="NumberedParaAR"/>
        <w:numPr>
          <w:ilvl w:val="0"/>
          <w:numId w:val="0"/>
        </w:numPr>
        <w:tabs>
          <w:tab w:val="right" w:pos="566"/>
        </w:tabs>
        <w:rPr>
          <w:rtl/>
        </w:rPr>
      </w:pPr>
      <w:r w:rsidRPr="00ED485F">
        <w:rPr>
          <w:rFonts w:hint="cs"/>
          <w:rtl/>
        </w:rPr>
        <w:lastRenderedPageBreak/>
        <w:t>التر</w:t>
      </w:r>
      <w:r w:rsidR="009B4935" w:rsidRPr="00ED485F">
        <w:rPr>
          <w:rFonts w:hint="cs"/>
          <w:rtl/>
        </w:rPr>
        <w:t>ا</w:t>
      </w:r>
      <w:r w:rsidRPr="00ED485F">
        <w:rPr>
          <w:rFonts w:hint="cs"/>
          <w:rtl/>
        </w:rPr>
        <w:t xml:space="preserve">خيص </w:t>
      </w:r>
      <w:r w:rsidR="006E6D55" w:rsidRPr="00ED485F">
        <w:rPr>
          <w:rFonts w:hint="cs"/>
          <w:rtl/>
        </w:rPr>
        <w:t>الإجباري</w:t>
      </w:r>
      <w:r w:rsidR="009B4935" w:rsidRPr="00ED485F">
        <w:rPr>
          <w:rFonts w:hint="cs"/>
          <w:rtl/>
        </w:rPr>
        <w:t>ة</w:t>
      </w:r>
      <w:r w:rsidRPr="00ED485F">
        <w:rPr>
          <w:rFonts w:hint="cs"/>
          <w:rtl/>
        </w:rPr>
        <w:t xml:space="preserve">: </w:t>
      </w:r>
      <w:r w:rsidR="00D3409F" w:rsidRPr="00ED485F">
        <w:rPr>
          <w:rFonts w:hint="cs"/>
          <w:rtl/>
        </w:rPr>
        <w:t xml:space="preserve">بموجب </w:t>
      </w:r>
      <w:r w:rsidRPr="00ED485F">
        <w:rPr>
          <w:rFonts w:hint="cs"/>
          <w:rtl/>
        </w:rPr>
        <w:t xml:space="preserve">اتفاق </w:t>
      </w:r>
      <w:proofErr w:type="spellStart"/>
      <w:r w:rsidRPr="00ED485F">
        <w:rPr>
          <w:rFonts w:hint="cs"/>
          <w:rtl/>
        </w:rPr>
        <w:t>تريبس</w:t>
      </w:r>
      <w:proofErr w:type="spellEnd"/>
      <w:r w:rsidR="00D3409F" w:rsidRPr="00ED485F">
        <w:rPr>
          <w:rFonts w:hint="cs"/>
          <w:rtl/>
        </w:rPr>
        <w:t xml:space="preserve">، يُتاح للدول الأعضاء في </w:t>
      </w:r>
      <w:r w:rsidR="002373B7" w:rsidRPr="00ED485F">
        <w:rPr>
          <w:rFonts w:hint="cs"/>
          <w:rtl/>
        </w:rPr>
        <w:t>منظمة ال</w:t>
      </w:r>
      <w:r w:rsidR="009B4935" w:rsidRPr="00ED485F">
        <w:rPr>
          <w:rFonts w:hint="cs"/>
          <w:rtl/>
        </w:rPr>
        <w:t>ت</w:t>
      </w:r>
      <w:r w:rsidR="002373B7" w:rsidRPr="00ED485F">
        <w:rPr>
          <w:rFonts w:hint="cs"/>
          <w:rtl/>
        </w:rPr>
        <w:t>جارة العالمية</w:t>
      </w:r>
      <w:r w:rsidR="00D3409F" w:rsidRPr="00ED485F">
        <w:rPr>
          <w:rFonts w:hint="cs"/>
          <w:rtl/>
        </w:rPr>
        <w:t xml:space="preserve"> قدر كبير</w:t>
      </w:r>
      <w:r w:rsidR="009B4935" w:rsidRPr="00ED485F">
        <w:rPr>
          <w:rFonts w:hint="cs"/>
          <w:rtl/>
        </w:rPr>
        <w:t xml:space="preserve"> </w:t>
      </w:r>
      <w:r w:rsidR="00D3409F" w:rsidRPr="00ED485F">
        <w:rPr>
          <w:rFonts w:hint="cs"/>
          <w:rtl/>
        </w:rPr>
        <w:t xml:space="preserve">من المرونة بشأن إصدار التراخيص </w:t>
      </w:r>
      <w:r w:rsidR="009B4935" w:rsidRPr="00ED485F">
        <w:rPr>
          <w:rFonts w:hint="cs"/>
          <w:rtl/>
        </w:rPr>
        <w:t>الإجبارية</w:t>
      </w:r>
      <w:r w:rsidR="00D3409F" w:rsidRPr="00ED485F">
        <w:rPr>
          <w:rFonts w:hint="cs"/>
          <w:rtl/>
        </w:rPr>
        <w:t>.</w:t>
      </w:r>
    </w:p>
    <w:p w:rsidR="00D3409F" w:rsidRPr="00ED485F" w:rsidRDefault="00D3409F" w:rsidP="00A03585">
      <w:pPr>
        <w:pStyle w:val="NumberedParaAR"/>
        <w:numPr>
          <w:ilvl w:val="0"/>
          <w:numId w:val="38"/>
        </w:numPr>
        <w:tabs>
          <w:tab w:val="right" w:pos="566"/>
        </w:tabs>
        <w:ind w:left="567" w:firstLine="0"/>
      </w:pPr>
      <w:r w:rsidRPr="00ED485F">
        <w:rPr>
          <w:rFonts w:hint="cs"/>
          <w:rtl/>
        </w:rPr>
        <w:t xml:space="preserve">الانتفاع </w:t>
      </w:r>
      <w:r w:rsidR="00A03585">
        <w:rPr>
          <w:rFonts w:hint="cs"/>
          <w:rtl/>
        </w:rPr>
        <w:t>بمواطن مرونة</w:t>
      </w:r>
      <w:r w:rsidRPr="00ED485F">
        <w:rPr>
          <w:rFonts w:hint="cs"/>
          <w:rtl/>
        </w:rPr>
        <w:t xml:space="preserve"> أخرى للمرونة في اتفاق </w:t>
      </w:r>
      <w:proofErr w:type="spellStart"/>
      <w:r w:rsidRPr="00ED485F">
        <w:rPr>
          <w:rFonts w:hint="cs"/>
          <w:rtl/>
        </w:rPr>
        <w:t>تريبس</w:t>
      </w:r>
      <w:proofErr w:type="spellEnd"/>
      <w:r w:rsidR="009B4935" w:rsidRPr="00ED485F">
        <w:rPr>
          <w:rFonts w:hint="cs"/>
          <w:rtl/>
        </w:rPr>
        <w:t>،</w:t>
      </w:r>
      <w:r w:rsidRPr="00ED485F">
        <w:rPr>
          <w:rFonts w:hint="cs"/>
          <w:rtl/>
        </w:rPr>
        <w:t xml:space="preserve"> بما في ذلك الإعفاء من أهلية الاختراع للبراءة.</w:t>
      </w:r>
    </w:p>
    <w:p w:rsidR="00D3409F" w:rsidRPr="00ED485F" w:rsidRDefault="00BE5547" w:rsidP="009B4935">
      <w:pPr>
        <w:pStyle w:val="NumberedParaAR"/>
        <w:numPr>
          <w:ilvl w:val="0"/>
          <w:numId w:val="38"/>
        </w:numPr>
        <w:tabs>
          <w:tab w:val="right" w:pos="566"/>
        </w:tabs>
        <w:ind w:left="567" w:firstLine="0"/>
      </w:pPr>
      <w:r>
        <w:rPr>
          <w:rFonts w:hint="cs"/>
          <w:rtl/>
        </w:rPr>
        <w:t>و</w:t>
      </w:r>
      <w:r w:rsidR="00D3409F" w:rsidRPr="00ED485F">
        <w:rPr>
          <w:rFonts w:hint="cs"/>
          <w:rtl/>
        </w:rPr>
        <w:t xml:space="preserve">تجميع التكنولوجيا </w:t>
      </w:r>
      <w:r w:rsidR="009B4935" w:rsidRPr="00ED485F">
        <w:rPr>
          <w:rFonts w:hint="cs"/>
          <w:rtl/>
        </w:rPr>
        <w:t>باتباع</w:t>
      </w:r>
      <w:r w:rsidR="00D3409F" w:rsidRPr="00ED485F">
        <w:rPr>
          <w:rFonts w:hint="cs"/>
          <w:rtl/>
        </w:rPr>
        <w:t xml:space="preserve"> </w:t>
      </w:r>
      <w:r w:rsidR="002373B7" w:rsidRPr="00ED485F">
        <w:rPr>
          <w:rFonts w:hint="cs"/>
          <w:rtl/>
        </w:rPr>
        <w:t>نهج جماعي</w:t>
      </w:r>
      <w:r w:rsidR="003D0CB3" w:rsidRPr="00ED485F">
        <w:rPr>
          <w:rFonts w:hint="cs"/>
          <w:rtl/>
        </w:rPr>
        <w:t>.</w:t>
      </w:r>
    </w:p>
    <w:p w:rsidR="003D0CB3" w:rsidRPr="00ED485F" w:rsidRDefault="00BE5547" w:rsidP="009B4935">
      <w:pPr>
        <w:pStyle w:val="NumberedParaAR"/>
        <w:numPr>
          <w:ilvl w:val="0"/>
          <w:numId w:val="38"/>
        </w:numPr>
        <w:tabs>
          <w:tab w:val="right" w:pos="566"/>
        </w:tabs>
        <w:ind w:left="567" w:firstLine="0"/>
      </w:pPr>
      <w:r>
        <w:rPr>
          <w:rFonts w:hint="cs"/>
          <w:rtl/>
        </w:rPr>
        <w:t>و</w:t>
      </w:r>
      <w:r w:rsidR="00A35BA9" w:rsidRPr="00ED485F">
        <w:rPr>
          <w:rFonts w:hint="cs"/>
          <w:rtl/>
        </w:rPr>
        <w:t xml:space="preserve">أنظمة </w:t>
      </w:r>
      <w:r w:rsidR="003D0CB3" w:rsidRPr="00ED485F">
        <w:rPr>
          <w:rFonts w:hint="cs"/>
          <w:rtl/>
        </w:rPr>
        <w:t xml:space="preserve">عالمية </w:t>
      </w:r>
      <w:proofErr w:type="gramStart"/>
      <w:r w:rsidR="003D0CB3" w:rsidRPr="00ED485F">
        <w:rPr>
          <w:rFonts w:hint="cs"/>
          <w:rtl/>
        </w:rPr>
        <w:t>لتقاسم</w:t>
      </w:r>
      <w:proofErr w:type="gramEnd"/>
      <w:r w:rsidR="003D0CB3" w:rsidRPr="00ED485F">
        <w:rPr>
          <w:rFonts w:hint="cs"/>
          <w:rtl/>
        </w:rPr>
        <w:t xml:space="preserve"> الدراية الفنية والأسرار التجارية.</w:t>
      </w:r>
    </w:p>
    <w:p w:rsidR="003D0CB3" w:rsidRPr="00ED485F" w:rsidRDefault="00BE5547" w:rsidP="009B4935">
      <w:pPr>
        <w:pStyle w:val="NumberedParaAR"/>
        <w:numPr>
          <w:ilvl w:val="0"/>
          <w:numId w:val="38"/>
        </w:numPr>
        <w:tabs>
          <w:tab w:val="right" w:pos="566"/>
        </w:tabs>
        <w:ind w:left="567" w:firstLine="0"/>
      </w:pPr>
      <w:proofErr w:type="gramStart"/>
      <w:r>
        <w:rPr>
          <w:rFonts w:hint="cs"/>
          <w:rtl/>
        </w:rPr>
        <w:t>و</w:t>
      </w:r>
      <w:r w:rsidR="003D0CB3" w:rsidRPr="00ED485F">
        <w:rPr>
          <w:rFonts w:hint="cs"/>
          <w:rtl/>
        </w:rPr>
        <w:t>تفهم</w:t>
      </w:r>
      <w:proofErr w:type="gramEnd"/>
      <w:r w:rsidR="003D0CB3" w:rsidRPr="00ED485F">
        <w:rPr>
          <w:rFonts w:hint="cs"/>
          <w:rtl/>
        </w:rPr>
        <w:t xml:space="preserve"> المبادرات بشأن التكنولوجيات الممولة من </w:t>
      </w:r>
      <w:r w:rsidR="009B4935" w:rsidRPr="00ED485F">
        <w:rPr>
          <w:rFonts w:hint="cs"/>
          <w:rtl/>
        </w:rPr>
        <w:t>الميزانية</w:t>
      </w:r>
      <w:r w:rsidR="003D0CB3" w:rsidRPr="00ED485F">
        <w:rPr>
          <w:rFonts w:hint="cs"/>
          <w:rtl/>
        </w:rPr>
        <w:t xml:space="preserve"> </w:t>
      </w:r>
      <w:r w:rsidR="009B4935" w:rsidRPr="00ED485F">
        <w:rPr>
          <w:rFonts w:hint="cs"/>
          <w:rtl/>
        </w:rPr>
        <w:t>ال</w:t>
      </w:r>
      <w:r w:rsidR="003D0CB3" w:rsidRPr="00ED485F">
        <w:rPr>
          <w:rFonts w:hint="cs"/>
          <w:rtl/>
        </w:rPr>
        <w:t>عامة.</w:t>
      </w:r>
    </w:p>
    <w:p w:rsidR="003D0CB3" w:rsidRPr="00ED485F" w:rsidRDefault="00BE5547" w:rsidP="009B4935">
      <w:pPr>
        <w:pStyle w:val="NumberedParaAR"/>
        <w:numPr>
          <w:ilvl w:val="0"/>
          <w:numId w:val="38"/>
        </w:numPr>
        <w:tabs>
          <w:tab w:val="right" w:pos="566"/>
        </w:tabs>
        <w:ind w:left="567" w:firstLine="0"/>
      </w:pPr>
      <w:r>
        <w:rPr>
          <w:rFonts w:hint="cs"/>
          <w:rtl/>
        </w:rPr>
        <w:t>و</w:t>
      </w:r>
      <w:r w:rsidR="003D0CB3" w:rsidRPr="00ED485F">
        <w:rPr>
          <w:rFonts w:hint="cs"/>
          <w:rtl/>
        </w:rPr>
        <w:t>الاستيراد الموازي</w:t>
      </w:r>
      <w:r w:rsidR="009B4935" w:rsidRPr="00ED485F">
        <w:rPr>
          <w:rFonts w:hint="cs"/>
          <w:rtl/>
        </w:rPr>
        <w:t xml:space="preserve"> و</w:t>
      </w:r>
      <w:r w:rsidR="003D0CB3" w:rsidRPr="00ED485F">
        <w:rPr>
          <w:rFonts w:hint="cs"/>
          <w:rtl/>
        </w:rPr>
        <w:t>الإعفاءات والسلوك التنافسي.</w:t>
      </w:r>
    </w:p>
    <w:p w:rsidR="003D0CB3" w:rsidRPr="00ED485F" w:rsidRDefault="00BE5547" w:rsidP="009B4935">
      <w:pPr>
        <w:pStyle w:val="NumberedParaAR"/>
        <w:numPr>
          <w:ilvl w:val="0"/>
          <w:numId w:val="38"/>
        </w:numPr>
        <w:tabs>
          <w:tab w:val="right" w:pos="566"/>
        </w:tabs>
        <w:ind w:left="567" w:firstLine="0"/>
      </w:pPr>
      <w:r>
        <w:rPr>
          <w:rFonts w:hint="cs"/>
          <w:rtl/>
        </w:rPr>
        <w:t>و</w:t>
      </w:r>
      <w:r w:rsidR="003D0CB3" w:rsidRPr="00ED485F">
        <w:rPr>
          <w:rFonts w:hint="cs"/>
          <w:rtl/>
        </w:rPr>
        <w:t>التغلب على قوانين وإجراءات</w:t>
      </w:r>
      <w:r w:rsidR="0014339E" w:rsidRPr="00ED485F">
        <w:rPr>
          <w:rFonts w:hint="cs"/>
          <w:rtl/>
        </w:rPr>
        <w:t xml:space="preserve"> البراءات.</w:t>
      </w:r>
    </w:p>
    <w:p w:rsidR="004C0EA3" w:rsidRPr="00ED485F" w:rsidRDefault="00BE5547" w:rsidP="009B4935">
      <w:pPr>
        <w:pStyle w:val="NumberedParaAR"/>
        <w:numPr>
          <w:ilvl w:val="0"/>
          <w:numId w:val="38"/>
        </w:numPr>
        <w:tabs>
          <w:tab w:val="right" w:pos="566"/>
        </w:tabs>
        <w:ind w:left="567" w:firstLine="0"/>
      </w:pPr>
      <w:r>
        <w:rPr>
          <w:rFonts w:hint="cs"/>
          <w:rtl/>
        </w:rPr>
        <w:t>و</w:t>
      </w:r>
      <w:r w:rsidR="006E6D55" w:rsidRPr="00ED485F">
        <w:rPr>
          <w:rFonts w:hint="cs"/>
          <w:rtl/>
        </w:rPr>
        <w:t xml:space="preserve">ينبغي تطبيق </w:t>
      </w:r>
      <w:r w:rsidR="0014339E" w:rsidRPr="00ED485F">
        <w:rPr>
          <w:rFonts w:hint="cs"/>
          <w:rtl/>
        </w:rPr>
        <w:t xml:space="preserve">معايير صارمة لتقييم جدة الاختراع </w:t>
      </w:r>
      <w:r w:rsidR="006E6D55" w:rsidRPr="00ED485F">
        <w:rPr>
          <w:rFonts w:hint="cs"/>
          <w:rtl/>
        </w:rPr>
        <w:t>والنشاط الابتكاري</w:t>
      </w:r>
      <w:r w:rsidR="0014339E" w:rsidRPr="00ED485F">
        <w:rPr>
          <w:rFonts w:hint="cs"/>
          <w:rtl/>
        </w:rPr>
        <w:t xml:space="preserve"> لطلبات البراءة </w:t>
      </w:r>
      <w:r w:rsidR="009B4935" w:rsidRPr="00ED485F">
        <w:rPr>
          <w:rFonts w:hint="cs"/>
          <w:rtl/>
        </w:rPr>
        <w:t>ل</w:t>
      </w:r>
      <w:r w:rsidR="006E6D55" w:rsidRPr="00ED485F">
        <w:rPr>
          <w:rFonts w:hint="cs"/>
          <w:rtl/>
        </w:rPr>
        <w:t>لمستحضرات الصيدلانية</w:t>
      </w:r>
      <w:r w:rsidR="009B4935" w:rsidRPr="00ED485F">
        <w:rPr>
          <w:rFonts w:hint="cs"/>
          <w:rtl/>
        </w:rPr>
        <w:t>،</w:t>
      </w:r>
      <w:r w:rsidR="006E6D55" w:rsidRPr="00ED485F">
        <w:rPr>
          <w:rFonts w:hint="cs"/>
          <w:rtl/>
        </w:rPr>
        <w:t xml:space="preserve"> </w:t>
      </w:r>
      <w:r w:rsidR="00057D1E" w:rsidRPr="00ED485F">
        <w:rPr>
          <w:rFonts w:hint="cs"/>
          <w:rtl/>
        </w:rPr>
        <w:t>كما ينبغي</w:t>
      </w:r>
      <w:r w:rsidR="004C0EA3" w:rsidRPr="00ED485F">
        <w:rPr>
          <w:rFonts w:hint="cs"/>
          <w:rtl/>
        </w:rPr>
        <w:t xml:space="preserve"> حذف</w:t>
      </w:r>
      <w:r w:rsidR="006E6D55" w:rsidRPr="00ED485F">
        <w:rPr>
          <w:rFonts w:hint="cs"/>
          <w:rtl/>
        </w:rPr>
        <w:t xml:space="preserve"> </w:t>
      </w:r>
      <w:r w:rsidR="009B4935" w:rsidRPr="00ED485F">
        <w:rPr>
          <w:rFonts w:hint="cs"/>
          <w:rtl/>
        </w:rPr>
        <w:t>الأحكام التي</w:t>
      </w:r>
      <w:r w:rsidR="006E6D55" w:rsidRPr="00ED485F">
        <w:rPr>
          <w:rFonts w:hint="cs"/>
          <w:rtl/>
        </w:rPr>
        <w:t xml:space="preserve"> </w:t>
      </w:r>
      <w:r w:rsidR="004C0EA3" w:rsidRPr="00ED485F">
        <w:rPr>
          <w:rFonts w:hint="cs"/>
          <w:rtl/>
        </w:rPr>
        <w:t>تنص على البراءات "المتجددة تلقائيا"</w:t>
      </w:r>
      <w:r w:rsidR="009B4935" w:rsidRPr="00ED485F">
        <w:rPr>
          <w:rFonts w:hint="cs"/>
          <w:rtl/>
        </w:rPr>
        <w:t xml:space="preserve"> في قوانين البراءة.</w:t>
      </w:r>
    </w:p>
    <w:p w:rsidR="0014339E" w:rsidRPr="00ED485F" w:rsidRDefault="00BE5547" w:rsidP="0066686F">
      <w:pPr>
        <w:pStyle w:val="NumberedParaAR"/>
        <w:numPr>
          <w:ilvl w:val="0"/>
          <w:numId w:val="38"/>
        </w:numPr>
        <w:tabs>
          <w:tab w:val="right" w:pos="566"/>
        </w:tabs>
        <w:ind w:left="567" w:firstLine="0"/>
      </w:pPr>
      <w:proofErr w:type="gramStart"/>
      <w:r>
        <w:rPr>
          <w:rFonts w:hint="cs"/>
          <w:rtl/>
        </w:rPr>
        <w:t>و</w:t>
      </w:r>
      <w:r w:rsidR="004C0EA3" w:rsidRPr="00ED485F">
        <w:rPr>
          <w:rFonts w:hint="cs"/>
          <w:rtl/>
        </w:rPr>
        <w:t>ال</w:t>
      </w:r>
      <w:r w:rsidR="00DE7811" w:rsidRPr="00ED485F">
        <w:rPr>
          <w:rFonts w:hint="cs"/>
          <w:rtl/>
        </w:rPr>
        <w:t>ال</w:t>
      </w:r>
      <w:r w:rsidR="004C0EA3" w:rsidRPr="00ED485F">
        <w:rPr>
          <w:rFonts w:hint="cs"/>
          <w:rtl/>
        </w:rPr>
        <w:t>تزام</w:t>
      </w:r>
      <w:proofErr w:type="gramEnd"/>
      <w:r w:rsidR="004C0EA3" w:rsidRPr="00ED485F">
        <w:rPr>
          <w:rFonts w:hint="cs"/>
          <w:rtl/>
        </w:rPr>
        <w:t xml:space="preserve"> </w:t>
      </w:r>
      <w:r w:rsidR="00DE7811" w:rsidRPr="00ED485F">
        <w:rPr>
          <w:rFonts w:hint="cs"/>
          <w:rtl/>
        </w:rPr>
        <w:t xml:space="preserve">فيما بين الحكومات </w:t>
      </w:r>
      <w:r w:rsidR="004C0EA3" w:rsidRPr="00ED485F">
        <w:rPr>
          <w:rFonts w:hint="cs"/>
          <w:rtl/>
        </w:rPr>
        <w:t xml:space="preserve">في البلدان النامية </w:t>
      </w:r>
      <w:r w:rsidR="009B4935" w:rsidRPr="00ED485F">
        <w:rPr>
          <w:rFonts w:hint="cs"/>
          <w:rtl/>
        </w:rPr>
        <w:t>لإقامة</w:t>
      </w:r>
      <w:r w:rsidR="004C0EA3" w:rsidRPr="00ED485F">
        <w:rPr>
          <w:rFonts w:hint="cs"/>
          <w:rtl/>
        </w:rPr>
        <w:t xml:space="preserve"> برامج بحوث وتطوير مشتركة مع البلدان المتقدمة </w:t>
      </w:r>
      <w:r w:rsidR="00813EAF" w:rsidRPr="00ED485F">
        <w:rPr>
          <w:rFonts w:hint="cs"/>
          <w:rtl/>
        </w:rPr>
        <w:t xml:space="preserve">عن طريق </w:t>
      </w:r>
      <w:r w:rsidR="009B4935" w:rsidRPr="00ED485F">
        <w:rPr>
          <w:rFonts w:hint="cs"/>
          <w:rtl/>
        </w:rPr>
        <w:t>توأمة</w:t>
      </w:r>
      <w:r w:rsidR="005620AD" w:rsidRPr="00ED485F">
        <w:rPr>
          <w:rFonts w:hint="cs"/>
          <w:rtl/>
        </w:rPr>
        <w:t xml:space="preserve"> المؤسسات العامة لتطوير منتجات</w:t>
      </w:r>
      <w:r w:rsidR="009B4935" w:rsidRPr="00ED485F">
        <w:rPr>
          <w:rFonts w:hint="cs"/>
          <w:rtl/>
        </w:rPr>
        <w:t xml:space="preserve"> مبتكرة</w:t>
      </w:r>
      <w:r w:rsidR="005620AD" w:rsidRPr="00ED485F">
        <w:rPr>
          <w:rFonts w:hint="cs"/>
          <w:rtl/>
        </w:rPr>
        <w:t>/تكنولوجيات.</w:t>
      </w:r>
    </w:p>
    <w:p w:rsidR="00DE7811" w:rsidRPr="00ED485F" w:rsidRDefault="00BE5547" w:rsidP="009B4935">
      <w:pPr>
        <w:pStyle w:val="NumberedParaAR"/>
        <w:numPr>
          <w:ilvl w:val="0"/>
          <w:numId w:val="38"/>
        </w:numPr>
        <w:tabs>
          <w:tab w:val="right" w:pos="566"/>
        </w:tabs>
        <w:ind w:left="567" w:firstLine="0"/>
      </w:pPr>
      <w:r>
        <w:rPr>
          <w:rFonts w:hint="cs"/>
          <w:rtl/>
        </w:rPr>
        <w:t>و</w:t>
      </w:r>
      <w:r w:rsidR="007A4EAF" w:rsidRPr="00ED485F">
        <w:rPr>
          <w:rFonts w:hint="cs"/>
          <w:rtl/>
        </w:rPr>
        <w:t xml:space="preserve">وظائف </w:t>
      </w:r>
      <w:r w:rsidR="009B4935" w:rsidRPr="00ED485F">
        <w:rPr>
          <w:rFonts w:hint="cs"/>
          <w:rtl/>
        </w:rPr>
        <w:t>تولدها</w:t>
      </w:r>
      <w:r w:rsidR="007A4EAF" w:rsidRPr="00ED485F">
        <w:rPr>
          <w:rFonts w:hint="cs"/>
          <w:rtl/>
        </w:rPr>
        <w:t xml:space="preserve"> الأسواق: ربط المشتري المناسب بالبائع المناسب.</w:t>
      </w:r>
    </w:p>
    <w:p w:rsidR="007A4EAF" w:rsidRPr="00ED485F" w:rsidRDefault="007A4EAF" w:rsidP="009B4935">
      <w:pPr>
        <w:pStyle w:val="NumberedParaAR"/>
        <w:numPr>
          <w:ilvl w:val="0"/>
          <w:numId w:val="38"/>
        </w:numPr>
        <w:tabs>
          <w:tab w:val="right" w:pos="566"/>
        </w:tabs>
        <w:ind w:left="567" w:firstLine="0"/>
      </w:pPr>
      <w:r w:rsidRPr="00ED485F">
        <w:rPr>
          <w:rFonts w:hint="cs"/>
          <w:rtl/>
        </w:rPr>
        <w:t xml:space="preserve">تشجيع إجراء تقييم مشترك لاحتياجات الصحة العامة التي ستصبح أساسا </w:t>
      </w:r>
      <w:proofErr w:type="gramStart"/>
      <w:r w:rsidRPr="00ED485F">
        <w:rPr>
          <w:rFonts w:hint="cs"/>
          <w:rtl/>
        </w:rPr>
        <w:t>لوضع</w:t>
      </w:r>
      <w:proofErr w:type="gramEnd"/>
      <w:r w:rsidRPr="00ED485F">
        <w:rPr>
          <w:rFonts w:hint="cs"/>
          <w:rtl/>
        </w:rPr>
        <w:t xml:space="preserve"> برامج بحث وتطوير مشتركة </w:t>
      </w:r>
      <w:r w:rsidR="00285018" w:rsidRPr="00ED485F">
        <w:rPr>
          <w:rFonts w:hint="cs"/>
          <w:rtl/>
        </w:rPr>
        <w:t>لإنتاج</w:t>
      </w:r>
      <w:r w:rsidR="00F34065" w:rsidRPr="00ED485F">
        <w:rPr>
          <w:rFonts w:hint="cs"/>
          <w:rtl/>
        </w:rPr>
        <w:t xml:space="preserve"> </w:t>
      </w:r>
      <w:r w:rsidR="00285018" w:rsidRPr="00ED485F">
        <w:rPr>
          <w:rFonts w:hint="cs"/>
          <w:rtl/>
        </w:rPr>
        <w:t>ال</w:t>
      </w:r>
      <w:r w:rsidR="00F34065" w:rsidRPr="00ED485F">
        <w:rPr>
          <w:rFonts w:hint="cs"/>
          <w:rtl/>
        </w:rPr>
        <w:t>أدوية</w:t>
      </w:r>
      <w:r w:rsidR="00A03585">
        <w:rPr>
          <w:rFonts w:hint="cs"/>
          <w:rtl/>
        </w:rPr>
        <w:t xml:space="preserve"> النوعية</w:t>
      </w:r>
      <w:r w:rsidR="00F34065" w:rsidRPr="00ED485F">
        <w:rPr>
          <w:rFonts w:hint="cs"/>
          <w:rtl/>
        </w:rPr>
        <w:t>.</w:t>
      </w:r>
    </w:p>
    <w:p w:rsidR="00F34065" w:rsidRPr="00ED485F" w:rsidRDefault="00BE5547" w:rsidP="009B4935">
      <w:pPr>
        <w:pStyle w:val="NumberedParaAR"/>
        <w:numPr>
          <w:ilvl w:val="0"/>
          <w:numId w:val="38"/>
        </w:numPr>
        <w:tabs>
          <w:tab w:val="right" w:pos="566"/>
        </w:tabs>
        <w:ind w:left="567" w:firstLine="0"/>
      </w:pPr>
      <w:r>
        <w:rPr>
          <w:rFonts w:hint="cs"/>
          <w:rtl/>
        </w:rPr>
        <w:t>و</w:t>
      </w:r>
      <w:r w:rsidR="00F34065" w:rsidRPr="00ED485F">
        <w:rPr>
          <w:rFonts w:hint="cs"/>
          <w:rtl/>
        </w:rPr>
        <w:t xml:space="preserve">تشجيع المؤسسات العامة في البلدان المتقدمة على شراء الأدوية الأساسية لإمداد البلدان الأقل نموا عن طريق تطبيق مبدأ التمييز السعري من الدرجة الثانية.  </w:t>
      </w:r>
    </w:p>
    <w:p w:rsidR="00285018" w:rsidRPr="00ED485F" w:rsidRDefault="00BE5547" w:rsidP="009B4935">
      <w:pPr>
        <w:pStyle w:val="NumberedParaAR"/>
        <w:numPr>
          <w:ilvl w:val="0"/>
          <w:numId w:val="38"/>
        </w:numPr>
        <w:tabs>
          <w:tab w:val="right" w:pos="566"/>
        </w:tabs>
        <w:ind w:left="567" w:firstLine="0"/>
      </w:pPr>
      <w:r>
        <w:rPr>
          <w:rFonts w:hint="cs"/>
          <w:rtl/>
        </w:rPr>
        <w:t>و</w:t>
      </w:r>
      <w:r w:rsidR="009B4935" w:rsidRPr="00ED485F">
        <w:rPr>
          <w:rFonts w:hint="cs"/>
          <w:rtl/>
        </w:rPr>
        <w:t>إنشاء</w:t>
      </w:r>
      <w:r w:rsidR="00285018" w:rsidRPr="00ED485F">
        <w:rPr>
          <w:rFonts w:hint="cs"/>
          <w:rtl/>
        </w:rPr>
        <w:t xml:space="preserve"> صندوق متعدد الأطراف لتفعيل</w:t>
      </w:r>
      <w:r w:rsidR="009B4935" w:rsidRPr="00ED485F">
        <w:rPr>
          <w:rFonts w:hint="cs"/>
          <w:rtl/>
        </w:rPr>
        <w:t xml:space="preserve"> التوصيتين</w:t>
      </w:r>
      <w:r w:rsidR="00285018" w:rsidRPr="00ED485F">
        <w:rPr>
          <w:rFonts w:hint="cs"/>
          <w:rtl/>
        </w:rPr>
        <w:t xml:space="preserve"> ألف وباء للأدوية والمستحضرات الصيدلانية.</w:t>
      </w:r>
    </w:p>
    <w:p w:rsidR="00F34065" w:rsidRPr="00ED485F" w:rsidRDefault="00285018" w:rsidP="00285018">
      <w:pPr>
        <w:pStyle w:val="NumberedParaAR"/>
        <w:numPr>
          <w:ilvl w:val="0"/>
          <w:numId w:val="0"/>
        </w:numPr>
        <w:tabs>
          <w:tab w:val="right" w:pos="566"/>
        </w:tabs>
        <w:rPr>
          <w:sz w:val="40"/>
          <w:szCs w:val="40"/>
        </w:rPr>
      </w:pPr>
      <w:r w:rsidRPr="00ED485F">
        <w:rPr>
          <w:sz w:val="40"/>
          <w:szCs w:val="40"/>
          <w:rtl/>
        </w:rPr>
        <w:t xml:space="preserve">الورقة 2: </w:t>
      </w:r>
      <w:proofErr w:type="gramStart"/>
      <w:r w:rsidRPr="00ED485F">
        <w:rPr>
          <w:sz w:val="40"/>
          <w:szCs w:val="40"/>
          <w:rtl/>
        </w:rPr>
        <w:t>الابتكار</w:t>
      </w:r>
      <w:proofErr w:type="gramEnd"/>
      <w:r w:rsidRPr="00ED485F">
        <w:rPr>
          <w:sz w:val="40"/>
          <w:szCs w:val="40"/>
          <w:rtl/>
        </w:rPr>
        <w:t xml:space="preserve"> وآليات التمويل ونقل التكنولوجيات: الحاجة إلى رؤية متكاملة</w:t>
      </w:r>
    </w:p>
    <w:p w:rsidR="00DC4351" w:rsidRPr="00ED485F" w:rsidRDefault="00DC4351" w:rsidP="00962D73">
      <w:pPr>
        <w:pStyle w:val="NumberedParaAR"/>
        <w:numPr>
          <w:ilvl w:val="0"/>
          <w:numId w:val="42"/>
        </w:numPr>
        <w:tabs>
          <w:tab w:val="right" w:pos="566"/>
        </w:tabs>
        <w:ind w:left="567" w:firstLine="0"/>
      </w:pPr>
      <w:proofErr w:type="gramStart"/>
      <w:r w:rsidRPr="00ED485F">
        <w:rPr>
          <w:rFonts w:hint="cs"/>
          <w:rtl/>
          <w:lang w:bidi="ar-EG"/>
        </w:rPr>
        <w:t>وضع</w:t>
      </w:r>
      <w:proofErr w:type="gramEnd"/>
      <w:r w:rsidRPr="00ED485F">
        <w:rPr>
          <w:rFonts w:hint="cs"/>
          <w:rtl/>
          <w:lang w:bidi="ar-EG"/>
        </w:rPr>
        <w:t xml:space="preserve"> آلية تمويل عالمية ممولة من </w:t>
      </w:r>
      <w:r w:rsidR="00AA5B29" w:rsidRPr="00ED485F">
        <w:rPr>
          <w:rFonts w:hint="cs"/>
          <w:rtl/>
          <w:lang w:bidi="ar-EG"/>
        </w:rPr>
        <w:t>الميزانية</w:t>
      </w:r>
      <w:r w:rsidRPr="00ED485F">
        <w:rPr>
          <w:rFonts w:hint="cs"/>
          <w:rtl/>
          <w:lang w:bidi="ar-EG"/>
        </w:rPr>
        <w:t xml:space="preserve"> العام</w:t>
      </w:r>
      <w:r w:rsidR="00AA5B29" w:rsidRPr="00ED485F">
        <w:rPr>
          <w:rFonts w:hint="cs"/>
          <w:rtl/>
          <w:lang w:bidi="ar-EG"/>
        </w:rPr>
        <w:t>ة لتعزيز الابتكار ونقل التكنولوجيا.</w:t>
      </w:r>
    </w:p>
    <w:p w:rsidR="00AA5B29" w:rsidRPr="00ED485F" w:rsidRDefault="00BE5547" w:rsidP="00962D73">
      <w:pPr>
        <w:pStyle w:val="NumberedParaAR"/>
        <w:numPr>
          <w:ilvl w:val="0"/>
          <w:numId w:val="42"/>
        </w:numPr>
        <w:tabs>
          <w:tab w:val="right" w:pos="566"/>
        </w:tabs>
        <w:ind w:left="567" w:firstLine="0"/>
      </w:pPr>
      <w:r>
        <w:rPr>
          <w:rFonts w:hint="cs"/>
          <w:rtl/>
          <w:lang w:bidi="ar-EG"/>
        </w:rPr>
        <w:t>و</w:t>
      </w:r>
      <w:r w:rsidR="00AA5B29" w:rsidRPr="00ED485F">
        <w:rPr>
          <w:rFonts w:hint="cs"/>
          <w:rtl/>
          <w:lang w:bidi="ar-EG"/>
        </w:rPr>
        <w:t xml:space="preserve">تمويل تنفيذ جدول </w:t>
      </w:r>
      <w:r w:rsidR="00A32F58" w:rsidRPr="00ED485F">
        <w:rPr>
          <w:rFonts w:hint="cs"/>
          <w:rtl/>
          <w:lang w:bidi="ar-EG"/>
        </w:rPr>
        <w:t xml:space="preserve">أعمال </w:t>
      </w:r>
      <w:r w:rsidR="00AA5B29" w:rsidRPr="00ED485F">
        <w:rPr>
          <w:rFonts w:hint="cs"/>
          <w:rtl/>
          <w:lang w:bidi="ar-EG"/>
        </w:rPr>
        <w:t xml:space="preserve">الويبو </w:t>
      </w:r>
      <w:r w:rsidR="00A32F58" w:rsidRPr="00ED485F">
        <w:rPr>
          <w:rFonts w:hint="cs"/>
          <w:rtl/>
          <w:lang w:bidi="ar-EG"/>
        </w:rPr>
        <w:t xml:space="preserve">بشأن </w:t>
      </w:r>
      <w:r w:rsidR="00AA5B29" w:rsidRPr="00ED485F">
        <w:rPr>
          <w:rFonts w:hint="cs"/>
          <w:rtl/>
          <w:lang w:bidi="ar-EG"/>
        </w:rPr>
        <w:t>التنمية</w:t>
      </w:r>
    </w:p>
    <w:p w:rsidR="00AA5B29" w:rsidRPr="00ED485F" w:rsidRDefault="00BE5547" w:rsidP="00962D73">
      <w:pPr>
        <w:pStyle w:val="NumberedParaAR"/>
        <w:numPr>
          <w:ilvl w:val="0"/>
          <w:numId w:val="42"/>
        </w:numPr>
        <w:tabs>
          <w:tab w:val="right" w:pos="566"/>
        </w:tabs>
        <w:ind w:left="567" w:firstLine="0"/>
      </w:pPr>
      <w:r>
        <w:rPr>
          <w:rFonts w:hint="cs"/>
          <w:rtl/>
        </w:rPr>
        <w:t>و</w:t>
      </w:r>
      <w:r w:rsidR="00A32F58" w:rsidRPr="00ED485F">
        <w:rPr>
          <w:rFonts w:hint="cs"/>
          <w:rtl/>
        </w:rPr>
        <w:t>توفير</w:t>
      </w:r>
      <w:r w:rsidR="00AA5B29" w:rsidRPr="00ED485F">
        <w:rPr>
          <w:rFonts w:hint="cs"/>
          <w:rtl/>
        </w:rPr>
        <w:t xml:space="preserve"> سبل أخرى للدعم </w:t>
      </w:r>
      <w:proofErr w:type="gramStart"/>
      <w:r w:rsidR="00AA5B29" w:rsidRPr="00ED485F">
        <w:rPr>
          <w:rFonts w:hint="cs"/>
          <w:rtl/>
        </w:rPr>
        <w:t>مثل</w:t>
      </w:r>
      <w:proofErr w:type="gramEnd"/>
      <w:r w:rsidR="00AA5B29" w:rsidRPr="00ED485F">
        <w:rPr>
          <w:rFonts w:hint="cs"/>
          <w:rtl/>
        </w:rPr>
        <w:t xml:space="preserve"> تطوير المؤسسات الصغيرة والمتوسطة والمشاركة غير السهمية </w:t>
      </w:r>
      <w:r w:rsidR="00AA5B29" w:rsidRPr="00ED485F">
        <w:rPr>
          <w:rtl/>
        </w:rPr>
        <w:t>(</w:t>
      </w:r>
      <w:r w:rsidR="00AA5B29" w:rsidRPr="00ED485F">
        <w:t>NEMs</w:t>
      </w:r>
      <w:r w:rsidR="00AA5B29" w:rsidRPr="00ED485F">
        <w:rPr>
          <w:rtl/>
        </w:rPr>
        <w:t>)</w:t>
      </w:r>
      <w:r w:rsidR="00AA5B29" w:rsidRPr="00ED485F">
        <w:rPr>
          <w:rFonts w:hint="cs"/>
          <w:rtl/>
        </w:rPr>
        <w:t>.</w:t>
      </w:r>
    </w:p>
    <w:p w:rsidR="00AA5B29" w:rsidRPr="00ED485F" w:rsidRDefault="00BE5547" w:rsidP="00962D73">
      <w:pPr>
        <w:pStyle w:val="NumberedParaAR"/>
        <w:numPr>
          <w:ilvl w:val="0"/>
          <w:numId w:val="42"/>
        </w:numPr>
        <w:tabs>
          <w:tab w:val="right" w:pos="566"/>
        </w:tabs>
        <w:ind w:left="567" w:firstLine="0"/>
      </w:pPr>
      <w:proofErr w:type="gramStart"/>
      <w:r>
        <w:rPr>
          <w:rFonts w:hint="cs"/>
          <w:rtl/>
        </w:rPr>
        <w:t>و</w:t>
      </w:r>
      <w:r w:rsidR="00A32F58" w:rsidRPr="00ED485F">
        <w:rPr>
          <w:rFonts w:hint="cs"/>
          <w:rtl/>
        </w:rPr>
        <w:t>تمويل</w:t>
      </w:r>
      <w:proofErr w:type="gramEnd"/>
      <w:r w:rsidR="00A32F58" w:rsidRPr="00ED485F">
        <w:rPr>
          <w:rFonts w:hint="cs"/>
          <w:rtl/>
        </w:rPr>
        <w:t xml:space="preserve"> </w:t>
      </w:r>
      <w:r w:rsidR="00D53FFE" w:rsidRPr="00ED485F">
        <w:rPr>
          <w:rFonts w:hint="cs"/>
          <w:rtl/>
        </w:rPr>
        <w:t>عمليات</w:t>
      </w:r>
      <w:r w:rsidR="00A32F58" w:rsidRPr="00ED485F">
        <w:rPr>
          <w:rFonts w:hint="cs"/>
          <w:rtl/>
        </w:rPr>
        <w:t xml:space="preserve"> التبادل التكنولوجي</w:t>
      </w:r>
      <w:r w:rsidR="00D53FFE" w:rsidRPr="00ED485F">
        <w:rPr>
          <w:rFonts w:hint="cs"/>
          <w:rtl/>
        </w:rPr>
        <w:t>.</w:t>
      </w:r>
    </w:p>
    <w:p w:rsidR="00D53FFE" w:rsidRPr="00ED485F" w:rsidRDefault="00BE5547" w:rsidP="009C28E4">
      <w:pPr>
        <w:pStyle w:val="NumberedParaAR"/>
        <w:numPr>
          <w:ilvl w:val="0"/>
          <w:numId w:val="42"/>
        </w:numPr>
        <w:tabs>
          <w:tab w:val="right" w:pos="566"/>
        </w:tabs>
        <w:ind w:left="567" w:firstLine="0"/>
      </w:pPr>
      <w:proofErr w:type="gramStart"/>
      <w:r>
        <w:rPr>
          <w:rFonts w:hint="cs"/>
          <w:rtl/>
        </w:rPr>
        <w:t>و</w:t>
      </w:r>
      <w:r w:rsidR="00D53FFE" w:rsidRPr="00ED485F">
        <w:rPr>
          <w:rFonts w:hint="cs"/>
          <w:rtl/>
        </w:rPr>
        <w:t>تمويل</w:t>
      </w:r>
      <w:proofErr w:type="gramEnd"/>
      <w:r w:rsidR="00D53FFE" w:rsidRPr="00ED485F">
        <w:rPr>
          <w:rFonts w:hint="cs"/>
          <w:rtl/>
        </w:rPr>
        <w:t xml:space="preserve"> إنشاء قاعدة معلومات/بيانات </w:t>
      </w:r>
      <w:r w:rsidR="009C28E4" w:rsidRPr="00ED485F">
        <w:rPr>
          <w:rFonts w:hint="cs"/>
          <w:rtl/>
        </w:rPr>
        <w:t>عن</w:t>
      </w:r>
      <w:r w:rsidR="00D53FFE" w:rsidRPr="00ED485F">
        <w:rPr>
          <w:rFonts w:hint="cs"/>
          <w:rtl/>
        </w:rPr>
        <w:t xml:space="preserve"> مخاطر</w:t>
      </w:r>
      <w:r w:rsidR="00DE66CC" w:rsidRPr="00ED485F">
        <w:rPr>
          <w:rFonts w:hint="cs"/>
          <w:rtl/>
        </w:rPr>
        <w:t xml:space="preserve"> </w:t>
      </w:r>
      <w:r w:rsidR="00E83EC0" w:rsidRPr="00ED485F">
        <w:rPr>
          <w:rFonts w:hint="cs"/>
          <w:rtl/>
        </w:rPr>
        <w:t>ال</w:t>
      </w:r>
      <w:r w:rsidR="00DE66CC" w:rsidRPr="00ED485F">
        <w:rPr>
          <w:rFonts w:hint="cs"/>
          <w:rtl/>
        </w:rPr>
        <w:t>إخفاق في مجال</w:t>
      </w:r>
      <w:r w:rsidR="00D53FFE" w:rsidRPr="00ED485F">
        <w:rPr>
          <w:rFonts w:hint="cs"/>
          <w:rtl/>
        </w:rPr>
        <w:t xml:space="preserve"> </w:t>
      </w:r>
      <w:r w:rsidR="00DE66CC" w:rsidRPr="00ED485F">
        <w:rPr>
          <w:rFonts w:hint="cs"/>
          <w:rtl/>
        </w:rPr>
        <w:t>التكنولوجي</w:t>
      </w:r>
      <w:r w:rsidR="00DE66CC" w:rsidRPr="00ED485F">
        <w:rPr>
          <w:rFonts w:hint="eastAsia"/>
          <w:rtl/>
        </w:rPr>
        <w:t>ا</w:t>
      </w:r>
      <w:r w:rsidR="001768CF" w:rsidRPr="00ED485F">
        <w:rPr>
          <w:rFonts w:hint="cs"/>
          <w:rtl/>
        </w:rPr>
        <w:t xml:space="preserve"> لتنبيه مجتمعات البحث</w:t>
      </w:r>
      <w:r w:rsidR="00E83EC0" w:rsidRPr="00ED485F">
        <w:rPr>
          <w:rFonts w:hint="cs"/>
          <w:rtl/>
        </w:rPr>
        <w:t xml:space="preserve"> </w:t>
      </w:r>
      <w:r w:rsidR="009C28E4" w:rsidRPr="00ED485F">
        <w:rPr>
          <w:rFonts w:hint="cs"/>
          <w:rtl/>
        </w:rPr>
        <w:t>كي تركز</w:t>
      </w:r>
      <w:r w:rsidR="00E83EC0" w:rsidRPr="00ED485F">
        <w:rPr>
          <w:rFonts w:hint="cs"/>
          <w:rtl/>
        </w:rPr>
        <w:t xml:space="preserve"> مواردها على </w:t>
      </w:r>
      <w:r w:rsidR="00EC1BBB" w:rsidRPr="00ED485F">
        <w:rPr>
          <w:rFonts w:hint="cs"/>
          <w:rtl/>
        </w:rPr>
        <w:t xml:space="preserve">أنشطة </w:t>
      </w:r>
      <w:r w:rsidR="00E83EC0" w:rsidRPr="00ED485F">
        <w:rPr>
          <w:rFonts w:hint="cs"/>
          <w:rtl/>
        </w:rPr>
        <w:t>البحث والتطوير</w:t>
      </w:r>
      <w:r w:rsidR="00EC1BBB" w:rsidRPr="00ED485F">
        <w:rPr>
          <w:rFonts w:hint="cs"/>
          <w:rtl/>
        </w:rPr>
        <w:t xml:space="preserve"> التي تنطوي عل أدنى درجات الخطر.</w:t>
      </w:r>
    </w:p>
    <w:p w:rsidR="007F528D" w:rsidRPr="00ED485F" w:rsidRDefault="007F528D" w:rsidP="007F528D">
      <w:pPr>
        <w:pStyle w:val="NumberedParaAR"/>
        <w:numPr>
          <w:ilvl w:val="0"/>
          <w:numId w:val="0"/>
        </w:numPr>
        <w:tabs>
          <w:tab w:val="right" w:pos="566"/>
        </w:tabs>
        <w:rPr>
          <w:sz w:val="40"/>
          <w:szCs w:val="40"/>
          <w:rtl/>
        </w:rPr>
      </w:pPr>
      <w:r w:rsidRPr="00ED485F">
        <w:rPr>
          <w:rFonts w:hint="cs"/>
          <w:sz w:val="40"/>
          <w:szCs w:val="40"/>
          <w:rtl/>
        </w:rPr>
        <w:lastRenderedPageBreak/>
        <w:t>الورقة 3:</w:t>
      </w:r>
      <w:r w:rsidRPr="00ED485F">
        <w:rPr>
          <w:rFonts w:hint="cs"/>
          <w:b/>
          <w:bCs/>
          <w:sz w:val="40"/>
          <w:szCs w:val="40"/>
          <w:rtl/>
        </w:rPr>
        <w:t xml:space="preserve"> </w:t>
      </w:r>
      <w:r w:rsidR="009C28E4" w:rsidRPr="00ED485F">
        <w:rPr>
          <w:sz w:val="40"/>
          <w:szCs w:val="40"/>
          <w:rtl/>
        </w:rPr>
        <w:t>وضع استراتيجية لتهيئة ظروف مواتية مبتكرة لنقل التكنولوجيا إلى البلدان النامية</w:t>
      </w:r>
    </w:p>
    <w:p w:rsidR="000E0AD7" w:rsidRPr="00ED485F" w:rsidRDefault="000E0AD7" w:rsidP="00F5656E">
      <w:pPr>
        <w:pStyle w:val="NumberedParaAR"/>
        <w:numPr>
          <w:ilvl w:val="0"/>
          <w:numId w:val="43"/>
        </w:numPr>
        <w:tabs>
          <w:tab w:val="right" w:pos="566"/>
        </w:tabs>
        <w:ind w:left="567" w:firstLine="0"/>
      </w:pPr>
      <w:r w:rsidRPr="00ED485F">
        <w:rPr>
          <w:rFonts w:hint="cs"/>
          <w:rtl/>
        </w:rPr>
        <w:t xml:space="preserve">تهيئة بيئة تحفيزية تنافسية مثلى </w:t>
      </w:r>
      <w:r w:rsidR="00ED760D" w:rsidRPr="00ED485F">
        <w:rPr>
          <w:rFonts w:hint="cs"/>
          <w:rtl/>
        </w:rPr>
        <w:t>من خلال سياسات التمكين</w:t>
      </w:r>
      <w:r w:rsidRPr="00ED485F">
        <w:rPr>
          <w:rFonts w:hint="cs"/>
          <w:rtl/>
        </w:rPr>
        <w:t>.</w:t>
      </w:r>
    </w:p>
    <w:p w:rsidR="00ED760D" w:rsidRPr="00ED485F" w:rsidRDefault="00BE5547" w:rsidP="00F5656E">
      <w:pPr>
        <w:pStyle w:val="NumberedParaAR"/>
        <w:numPr>
          <w:ilvl w:val="0"/>
          <w:numId w:val="43"/>
        </w:numPr>
        <w:tabs>
          <w:tab w:val="right" w:pos="566"/>
        </w:tabs>
        <w:ind w:left="567" w:firstLine="0"/>
      </w:pPr>
      <w:r>
        <w:rPr>
          <w:rFonts w:hint="cs"/>
          <w:rtl/>
        </w:rPr>
        <w:t>و</w:t>
      </w:r>
      <w:r w:rsidR="007C6CB2" w:rsidRPr="00ED485F">
        <w:rPr>
          <w:rFonts w:hint="cs"/>
          <w:rtl/>
        </w:rPr>
        <w:t>تحفيز الانتفاع الاستراتيجي بالبراءات وحقوق الملكية ذات الصلة.</w:t>
      </w:r>
    </w:p>
    <w:p w:rsidR="007C6CB2" w:rsidRPr="00ED485F" w:rsidRDefault="00BE5547" w:rsidP="00F5656E">
      <w:pPr>
        <w:pStyle w:val="NumberedParaAR"/>
        <w:numPr>
          <w:ilvl w:val="0"/>
          <w:numId w:val="43"/>
        </w:numPr>
        <w:tabs>
          <w:tab w:val="right" w:pos="566"/>
        </w:tabs>
        <w:ind w:left="567" w:firstLine="0"/>
      </w:pPr>
      <w:r>
        <w:rPr>
          <w:rFonts w:hint="cs"/>
          <w:rtl/>
        </w:rPr>
        <w:t>و</w:t>
      </w:r>
      <w:r w:rsidR="007C6CB2" w:rsidRPr="00ED485F">
        <w:rPr>
          <w:rFonts w:hint="cs"/>
          <w:rtl/>
        </w:rPr>
        <w:t xml:space="preserve">استخدام أجهزة تنظيمية سليمة </w:t>
      </w:r>
      <w:proofErr w:type="gramStart"/>
      <w:r w:rsidR="007C6CB2" w:rsidRPr="00ED485F">
        <w:rPr>
          <w:rFonts w:hint="cs"/>
          <w:rtl/>
        </w:rPr>
        <w:t>وفعالة</w:t>
      </w:r>
      <w:proofErr w:type="gramEnd"/>
      <w:r w:rsidR="007C6CB2" w:rsidRPr="00ED485F">
        <w:rPr>
          <w:rFonts w:hint="cs"/>
          <w:rtl/>
        </w:rPr>
        <w:t>.</w:t>
      </w:r>
    </w:p>
    <w:p w:rsidR="007C6CB2" w:rsidRPr="00ED485F" w:rsidRDefault="00BE5547" w:rsidP="00F5656E">
      <w:pPr>
        <w:pStyle w:val="NumberedParaAR"/>
        <w:numPr>
          <w:ilvl w:val="0"/>
          <w:numId w:val="43"/>
        </w:numPr>
        <w:tabs>
          <w:tab w:val="right" w:pos="566"/>
        </w:tabs>
        <w:ind w:left="567" w:firstLine="0"/>
      </w:pPr>
      <w:r>
        <w:rPr>
          <w:rFonts w:hint="cs"/>
          <w:rtl/>
        </w:rPr>
        <w:t>و</w:t>
      </w:r>
      <w:r w:rsidR="007C6CB2" w:rsidRPr="00ED485F">
        <w:rPr>
          <w:rFonts w:hint="cs"/>
          <w:rtl/>
        </w:rPr>
        <w:t>بناء قدرات تكميلية من حيث القدرات و</w:t>
      </w:r>
      <w:r w:rsidR="00A35BA9" w:rsidRPr="00ED485F">
        <w:rPr>
          <w:rFonts w:hint="cs"/>
          <w:rtl/>
        </w:rPr>
        <w:t xml:space="preserve">أنظمة </w:t>
      </w:r>
      <w:r w:rsidR="007C6CB2" w:rsidRPr="00ED485F">
        <w:rPr>
          <w:rFonts w:hint="cs"/>
          <w:rtl/>
        </w:rPr>
        <w:t xml:space="preserve">دعم البحث </w:t>
      </w:r>
      <w:proofErr w:type="gramStart"/>
      <w:r w:rsidR="007C6CB2" w:rsidRPr="00ED485F">
        <w:rPr>
          <w:rFonts w:hint="cs"/>
          <w:rtl/>
        </w:rPr>
        <w:t>والتطوير</w:t>
      </w:r>
      <w:proofErr w:type="gramEnd"/>
      <w:r w:rsidR="007C6CB2" w:rsidRPr="00ED485F">
        <w:rPr>
          <w:rFonts w:hint="cs"/>
          <w:rtl/>
        </w:rPr>
        <w:t>.</w:t>
      </w:r>
    </w:p>
    <w:p w:rsidR="007C6CB2" w:rsidRPr="00ED485F" w:rsidRDefault="00BE5547" w:rsidP="0001754C">
      <w:pPr>
        <w:pStyle w:val="NumberedParaAR"/>
        <w:numPr>
          <w:ilvl w:val="0"/>
          <w:numId w:val="43"/>
        </w:numPr>
        <w:tabs>
          <w:tab w:val="right" w:pos="566"/>
        </w:tabs>
        <w:ind w:left="567" w:firstLine="0"/>
      </w:pPr>
      <w:r>
        <w:rPr>
          <w:rFonts w:hint="cs"/>
          <w:rtl/>
        </w:rPr>
        <w:t>و</w:t>
      </w:r>
      <w:r w:rsidR="007C6CB2" w:rsidRPr="00ED485F">
        <w:rPr>
          <w:rFonts w:hint="cs"/>
          <w:rtl/>
        </w:rPr>
        <w:t xml:space="preserve">تيسير </w:t>
      </w:r>
      <w:r w:rsidR="00DF7D28" w:rsidRPr="00ED485F">
        <w:rPr>
          <w:rFonts w:hint="cs"/>
          <w:rtl/>
        </w:rPr>
        <w:t>ال</w:t>
      </w:r>
      <w:r w:rsidR="007C6CB2" w:rsidRPr="00ED485F">
        <w:rPr>
          <w:rFonts w:hint="cs"/>
          <w:rtl/>
        </w:rPr>
        <w:t xml:space="preserve">مفاوضات </w:t>
      </w:r>
      <w:r w:rsidR="00DF7D28" w:rsidRPr="00ED485F">
        <w:rPr>
          <w:rFonts w:hint="cs"/>
          <w:rtl/>
        </w:rPr>
        <w:t>ل</w:t>
      </w:r>
      <w:r w:rsidR="007C6CB2" w:rsidRPr="00ED485F">
        <w:rPr>
          <w:rFonts w:hint="cs"/>
          <w:rtl/>
        </w:rPr>
        <w:t xml:space="preserve">نقل التكنولوجيا </w:t>
      </w:r>
      <w:r w:rsidR="0001754C" w:rsidRPr="00ED485F">
        <w:rPr>
          <w:rFonts w:hint="cs"/>
          <w:rtl/>
        </w:rPr>
        <w:t>بما يضمن</w:t>
      </w:r>
      <w:r w:rsidR="00F5656E" w:rsidRPr="00ED485F">
        <w:rPr>
          <w:rFonts w:hint="cs"/>
          <w:rtl/>
        </w:rPr>
        <w:t xml:space="preserve"> </w:t>
      </w:r>
      <w:proofErr w:type="gramStart"/>
      <w:r w:rsidR="00F5656E" w:rsidRPr="00ED485F">
        <w:rPr>
          <w:rFonts w:hint="cs"/>
          <w:rtl/>
        </w:rPr>
        <w:t>نقلها</w:t>
      </w:r>
      <w:proofErr w:type="gramEnd"/>
      <w:r w:rsidR="00F5656E" w:rsidRPr="00ED485F">
        <w:rPr>
          <w:rFonts w:hint="cs"/>
          <w:rtl/>
        </w:rPr>
        <w:t xml:space="preserve"> </w:t>
      </w:r>
      <w:r w:rsidR="00DF7D28" w:rsidRPr="00ED485F">
        <w:rPr>
          <w:rFonts w:hint="cs"/>
          <w:rtl/>
        </w:rPr>
        <w:t>بكفاءة وفعال</w:t>
      </w:r>
      <w:r w:rsidR="006533C5" w:rsidRPr="00ED485F">
        <w:rPr>
          <w:rFonts w:hint="cs"/>
          <w:rtl/>
        </w:rPr>
        <w:t>ي</w:t>
      </w:r>
      <w:r w:rsidR="00DF7D28" w:rsidRPr="00ED485F">
        <w:rPr>
          <w:rFonts w:hint="cs"/>
          <w:rtl/>
        </w:rPr>
        <w:t>ة</w:t>
      </w:r>
      <w:r w:rsidR="0044683E" w:rsidRPr="00ED485F">
        <w:rPr>
          <w:rFonts w:hint="cs"/>
          <w:rtl/>
        </w:rPr>
        <w:t xml:space="preserve"> واستنادا إلى النتائج</w:t>
      </w:r>
      <w:r w:rsidR="00DF7D28" w:rsidRPr="00ED485F">
        <w:rPr>
          <w:rFonts w:hint="cs"/>
          <w:rtl/>
        </w:rPr>
        <w:t>.</w:t>
      </w:r>
    </w:p>
    <w:p w:rsidR="0044683E" w:rsidRPr="00ED485F" w:rsidRDefault="00BE5547" w:rsidP="00F5656E">
      <w:pPr>
        <w:pStyle w:val="NumberedParaAR"/>
        <w:numPr>
          <w:ilvl w:val="0"/>
          <w:numId w:val="43"/>
        </w:numPr>
        <w:tabs>
          <w:tab w:val="right" w:pos="566"/>
        </w:tabs>
        <w:ind w:left="567" w:firstLine="0"/>
      </w:pPr>
      <w:r>
        <w:rPr>
          <w:rFonts w:hint="cs"/>
          <w:rtl/>
        </w:rPr>
        <w:t>و</w:t>
      </w:r>
      <w:r w:rsidR="0044683E" w:rsidRPr="00ED485F">
        <w:rPr>
          <w:rFonts w:hint="cs"/>
          <w:rtl/>
        </w:rPr>
        <w:t xml:space="preserve">وضع </w:t>
      </w:r>
      <w:r w:rsidR="006533C5" w:rsidRPr="00ED485F">
        <w:rPr>
          <w:rFonts w:hint="cs"/>
          <w:rtl/>
        </w:rPr>
        <w:t xml:space="preserve">سياسات </w:t>
      </w:r>
      <w:proofErr w:type="spellStart"/>
      <w:r w:rsidR="006533C5" w:rsidRPr="00ED485F">
        <w:rPr>
          <w:rFonts w:hint="cs"/>
          <w:rtl/>
        </w:rPr>
        <w:t>تيسرية</w:t>
      </w:r>
      <w:proofErr w:type="spellEnd"/>
      <w:r w:rsidR="006533C5" w:rsidRPr="00ED485F">
        <w:rPr>
          <w:rFonts w:hint="cs"/>
          <w:rtl/>
        </w:rPr>
        <w:t xml:space="preserve"> فيما يتعلق بالاستثمار </w:t>
      </w:r>
      <w:r w:rsidR="0001754C" w:rsidRPr="00ED485F">
        <w:rPr>
          <w:rFonts w:hint="cs"/>
          <w:rtl/>
        </w:rPr>
        <w:t>ال</w:t>
      </w:r>
      <w:r w:rsidR="006533C5" w:rsidRPr="00ED485F">
        <w:rPr>
          <w:rFonts w:hint="cs"/>
          <w:rtl/>
        </w:rPr>
        <w:t>أجنبي المباشر و المشاركة غير السهمية للأعمال التجارية الخارجية المنشأ.</w:t>
      </w:r>
    </w:p>
    <w:p w:rsidR="00037B73" w:rsidRPr="00ED485F" w:rsidRDefault="00BE5547" w:rsidP="00F5656E">
      <w:pPr>
        <w:pStyle w:val="NumberedParaAR"/>
        <w:numPr>
          <w:ilvl w:val="0"/>
          <w:numId w:val="43"/>
        </w:numPr>
        <w:tabs>
          <w:tab w:val="right" w:pos="566"/>
        </w:tabs>
        <w:ind w:left="567" w:firstLine="0"/>
      </w:pPr>
      <w:r>
        <w:rPr>
          <w:rFonts w:hint="cs"/>
          <w:rtl/>
        </w:rPr>
        <w:t>و</w:t>
      </w:r>
      <w:r w:rsidR="006341AF" w:rsidRPr="00ED485F">
        <w:rPr>
          <w:rFonts w:hint="cs"/>
          <w:rtl/>
        </w:rPr>
        <w:t>تقديم التزاما</w:t>
      </w:r>
      <w:r w:rsidR="006341AF" w:rsidRPr="00ED485F">
        <w:rPr>
          <w:rFonts w:hint="eastAsia"/>
          <w:rtl/>
        </w:rPr>
        <w:t>ت</w:t>
      </w:r>
      <w:r w:rsidR="006341AF" w:rsidRPr="00ED485F">
        <w:rPr>
          <w:rFonts w:hint="cs"/>
          <w:rtl/>
        </w:rPr>
        <w:t xml:space="preserve"> حكومية</w:t>
      </w:r>
      <w:r w:rsidR="007E18E5" w:rsidRPr="00ED485F">
        <w:rPr>
          <w:rFonts w:hint="cs"/>
          <w:rtl/>
        </w:rPr>
        <w:t xml:space="preserve"> في كل من البلدان النامية والمتقدمة لوضع </w:t>
      </w:r>
      <w:r w:rsidR="00A35BA9" w:rsidRPr="00ED485F">
        <w:rPr>
          <w:rFonts w:hint="cs"/>
          <w:rtl/>
        </w:rPr>
        <w:t xml:space="preserve">أنظمة </w:t>
      </w:r>
      <w:r w:rsidR="007E18E5" w:rsidRPr="00ED485F">
        <w:rPr>
          <w:rFonts w:hint="cs"/>
          <w:rtl/>
        </w:rPr>
        <w:t>بحث وتطوير مشتركة من خلال شراكات القطاعين العام والخاص.</w:t>
      </w:r>
    </w:p>
    <w:p w:rsidR="006341AF" w:rsidRPr="00ED485F" w:rsidRDefault="00BE5547" w:rsidP="0001754C">
      <w:pPr>
        <w:pStyle w:val="NumberedParaAR"/>
        <w:numPr>
          <w:ilvl w:val="0"/>
          <w:numId w:val="43"/>
        </w:numPr>
        <w:tabs>
          <w:tab w:val="right" w:pos="566"/>
        </w:tabs>
        <w:ind w:left="567" w:firstLine="0"/>
      </w:pPr>
      <w:r>
        <w:rPr>
          <w:rFonts w:hint="cs"/>
          <w:rtl/>
        </w:rPr>
        <w:t>و</w:t>
      </w:r>
      <w:r w:rsidR="00404416" w:rsidRPr="00ED485F">
        <w:rPr>
          <w:rFonts w:hint="cs"/>
          <w:rtl/>
        </w:rPr>
        <w:t xml:space="preserve">إنشاء وظائف </w:t>
      </w:r>
      <w:r w:rsidR="0001754C" w:rsidRPr="00ED485F">
        <w:rPr>
          <w:rFonts w:hint="cs"/>
          <w:rtl/>
        </w:rPr>
        <w:t>ت</w:t>
      </w:r>
      <w:r w:rsidR="00404416" w:rsidRPr="00ED485F">
        <w:rPr>
          <w:rFonts w:hint="cs"/>
          <w:rtl/>
        </w:rPr>
        <w:t>ولدها ال</w:t>
      </w:r>
      <w:r w:rsidR="0001754C" w:rsidRPr="00ED485F">
        <w:rPr>
          <w:rFonts w:hint="cs"/>
          <w:rtl/>
        </w:rPr>
        <w:t>أ</w:t>
      </w:r>
      <w:r w:rsidR="00404416" w:rsidRPr="00ED485F">
        <w:rPr>
          <w:rFonts w:hint="cs"/>
          <w:rtl/>
        </w:rPr>
        <w:t>سو</w:t>
      </w:r>
      <w:r w:rsidR="0001754C" w:rsidRPr="00ED485F">
        <w:rPr>
          <w:rFonts w:hint="cs"/>
          <w:rtl/>
        </w:rPr>
        <w:t>ا</w:t>
      </w:r>
      <w:r w:rsidR="00404416" w:rsidRPr="00ED485F">
        <w:rPr>
          <w:rFonts w:hint="cs"/>
          <w:rtl/>
        </w:rPr>
        <w:t>ق</w:t>
      </w:r>
      <w:r w:rsidR="0001754C" w:rsidRPr="00ED485F">
        <w:rPr>
          <w:rFonts w:hint="cs"/>
          <w:rtl/>
        </w:rPr>
        <w:t>:</w:t>
      </w:r>
      <w:r w:rsidR="00404416" w:rsidRPr="00ED485F">
        <w:rPr>
          <w:rFonts w:hint="cs"/>
          <w:rtl/>
        </w:rPr>
        <w:t xml:space="preserve"> تربط المشتري المناسب بالبائع المناسب</w:t>
      </w:r>
      <w:r w:rsidR="0001754C" w:rsidRPr="00ED485F">
        <w:rPr>
          <w:rFonts w:hint="cs"/>
          <w:rtl/>
        </w:rPr>
        <w:t>،</w:t>
      </w:r>
      <w:r w:rsidR="00404416" w:rsidRPr="00ED485F">
        <w:rPr>
          <w:rFonts w:hint="cs"/>
          <w:rtl/>
        </w:rPr>
        <w:t xml:space="preserve"> </w:t>
      </w:r>
      <w:r w:rsidR="0001754C" w:rsidRPr="00ED485F">
        <w:rPr>
          <w:rFonts w:hint="cs"/>
          <w:rtl/>
        </w:rPr>
        <w:t xml:space="preserve">وبالتالي تشجع </w:t>
      </w:r>
      <w:proofErr w:type="gramStart"/>
      <w:r w:rsidR="008D3841" w:rsidRPr="00ED485F">
        <w:rPr>
          <w:rFonts w:hint="cs"/>
          <w:rtl/>
        </w:rPr>
        <w:t>سوق</w:t>
      </w:r>
      <w:proofErr w:type="gramEnd"/>
      <w:r w:rsidR="008D3841" w:rsidRPr="00ED485F">
        <w:rPr>
          <w:rFonts w:hint="cs"/>
          <w:rtl/>
        </w:rPr>
        <w:t xml:space="preserve"> تكنولوجيا فعال.</w:t>
      </w:r>
    </w:p>
    <w:p w:rsidR="008D3841" w:rsidRPr="00ED485F" w:rsidRDefault="00BE5547" w:rsidP="00BE5547">
      <w:pPr>
        <w:pStyle w:val="NumberedParaAR"/>
        <w:numPr>
          <w:ilvl w:val="0"/>
          <w:numId w:val="43"/>
        </w:numPr>
        <w:tabs>
          <w:tab w:val="right" w:pos="566"/>
        </w:tabs>
        <w:ind w:left="567" w:firstLine="0"/>
      </w:pPr>
      <w:r>
        <w:rPr>
          <w:rFonts w:hint="cs"/>
          <w:rtl/>
        </w:rPr>
        <w:t>و</w:t>
      </w:r>
      <w:r w:rsidR="008D3841" w:rsidRPr="00ED485F">
        <w:rPr>
          <w:rFonts w:hint="cs"/>
          <w:rtl/>
        </w:rPr>
        <w:t>تشجيع إجراء تقييم مشترك للاحتياجات من الأدوية و</w:t>
      </w:r>
      <w:r w:rsidR="0001754C" w:rsidRPr="00ED485F">
        <w:rPr>
          <w:rFonts w:hint="cs"/>
          <w:rtl/>
        </w:rPr>
        <w:t>ال</w:t>
      </w:r>
      <w:r w:rsidR="008D3841" w:rsidRPr="00ED485F">
        <w:rPr>
          <w:rFonts w:hint="cs"/>
          <w:rtl/>
        </w:rPr>
        <w:t xml:space="preserve">تكنولوجيات البيئية لتيسير برامج البحث والتطوير </w:t>
      </w:r>
      <w:r w:rsidR="0001754C" w:rsidRPr="00ED485F">
        <w:rPr>
          <w:rFonts w:hint="cs"/>
          <w:rtl/>
        </w:rPr>
        <w:t xml:space="preserve">المشتركة </w:t>
      </w:r>
      <w:r w:rsidR="008D3841" w:rsidRPr="00ED485F">
        <w:rPr>
          <w:rFonts w:hint="cs"/>
          <w:rtl/>
        </w:rPr>
        <w:t>التي تضم شركاء من الشمال والجنوب.</w:t>
      </w:r>
    </w:p>
    <w:p w:rsidR="008D3841" w:rsidRPr="00ED485F" w:rsidRDefault="00BE5547" w:rsidP="00F5656E">
      <w:pPr>
        <w:pStyle w:val="NumberedParaAR"/>
        <w:numPr>
          <w:ilvl w:val="0"/>
          <w:numId w:val="43"/>
        </w:numPr>
        <w:tabs>
          <w:tab w:val="right" w:pos="566"/>
        </w:tabs>
        <w:ind w:left="567" w:firstLine="0"/>
      </w:pPr>
      <w:proofErr w:type="gramStart"/>
      <w:r>
        <w:rPr>
          <w:rFonts w:hint="cs"/>
          <w:rtl/>
        </w:rPr>
        <w:t>و</w:t>
      </w:r>
      <w:r w:rsidR="0001754C" w:rsidRPr="00ED485F">
        <w:rPr>
          <w:rFonts w:hint="cs"/>
          <w:rtl/>
        </w:rPr>
        <w:t>إنشاء</w:t>
      </w:r>
      <w:proofErr w:type="gramEnd"/>
      <w:r w:rsidR="008D3841" w:rsidRPr="00ED485F">
        <w:rPr>
          <w:rFonts w:hint="cs"/>
          <w:rtl/>
        </w:rPr>
        <w:t xml:space="preserve"> آلية تمويل فعالة متعددة الأطراف لتيسير الصفقات المالية </w:t>
      </w:r>
      <w:r w:rsidR="001445F3" w:rsidRPr="00ED485F">
        <w:rPr>
          <w:rFonts w:hint="cs"/>
          <w:rtl/>
        </w:rPr>
        <w:t>المرتبطة بنقل التكنولوجيا.</w:t>
      </w:r>
    </w:p>
    <w:p w:rsidR="001445F3" w:rsidRPr="00ED485F" w:rsidRDefault="00BE5547" w:rsidP="0001754C">
      <w:pPr>
        <w:pStyle w:val="NumberedParaAR"/>
        <w:numPr>
          <w:ilvl w:val="0"/>
          <w:numId w:val="43"/>
        </w:numPr>
        <w:tabs>
          <w:tab w:val="right" w:pos="566"/>
        </w:tabs>
        <w:ind w:left="567" w:firstLine="0"/>
      </w:pPr>
      <w:r>
        <w:rPr>
          <w:rFonts w:hint="cs"/>
          <w:rtl/>
        </w:rPr>
        <w:t>و</w:t>
      </w:r>
      <w:r w:rsidR="0001754C" w:rsidRPr="00ED485F">
        <w:rPr>
          <w:rFonts w:hint="cs"/>
          <w:rtl/>
        </w:rPr>
        <w:t>إنشاء</w:t>
      </w:r>
      <w:r w:rsidR="001445F3" w:rsidRPr="00ED485F">
        <w:rPr>
          <w:rFonts w:hint="cs"/>
          <w:rtl/>
        </w:rPr>
        <w:t xml:space="preserve"> </w:t>
      </w:r>
      <w:proofErr w:type="gramStart"/>
      <w:r w:rsidR="001445F3" w:rsidRPr="00ED485F">
        <w:rPr>
          <w:rFonts w:hint="cs"/>
          <w:rtl/>
        </w:rPr>
        <w:t>قاعدة</w:t>
      </w:r>
      <w:proofErr w:type="gramEnd"/>
      <w:r w:rsidR="001445F3" w:rsidRPr="00ED485F">
        <w:rPr>
          <w:rFonts w:hint="cs"/>
          <w:rtl/>
        </w:rPr>
        <w:t xml:space="preserve"> معلومات للحيلولة دون وقوع مخاطر </w:t>
      </w:r>
      <w:r w:rsidR="0001754C" w:rsidRPr="00ED485F">
        <w:rPr>
          <w:rFonts w:hint="cs"/>
          <w:rtl/>
        </w:rPr>
        <w:t>الإخفاق في مجال</w:t>
      </w:r>
      <w:r w:rsidR="001445F3" w:rsidRPr="00ED485F">
        <w:rPr>
          <w:rFonts w:hint="cs"/>
          <w:rtl/>
        </w:rPr>
        <w:t xml:space="preserve"> التكنولوجي</w:t>
      </w:r>
      <w:r w:rsidR="0001754C" w:rsidRPr="00ED485F">
        <w:rPr>
          <w:rFonts w:hint="cs"/>
          <w:rtl/>
        </w:rPr>
        <w:t>ا</w:t>
      </w:r>
      <w:r w:rsidR="001445F3" w:rsidRPr="00ED485F">
        <w:rPr>
          <w:rFonts w:hint="cs"/>
          <w:rtl/>
        </w:rPr>
        <w:t>.</w:t>
      </w:r>
    </w:p>
    <w:p w:rsidR="001445F3" w:rsidRPr="00ED485F" w:rsidRDefault="00BE5547" w:rsidP="00F5656E">
      <w:pPr>
        <w:pStyle w:val="NumberedParaAR"/>
        <w:numPr>
          <w:ilvl w:val="0"/>
          <w:numId w:val="43"/>
        </w:numPr>
        <w:tabs>
          <w:tab w:val="right" w:pos="566"/>
        </w:tabs>
        <w:ind w:left="567" w:firstLine="0"/>
      </w:pPr>
      <w:r>
        <w:rPr>
          <w:rFonts w:hint="cs"/>
          <w:rtl/>
        </w:rPr>
        <w:t>و</w:t>
      </w:r>
      <w:r w:rsidR="001445F3" w:rsidRPr="00ED485F">
        <w:rPr>
          <w:rFonts w:hint="cs"/>
          <w:rtl/>
        </w:rPr>
        <w:t xml:space="preserve">تشجيع المؤسسات العامة في البلدان المتقدمة على شراء الأدوية الأساسية لإمداد البلدان الأقل نموا عن طريق تطبيق مبدأ التمييز السعري من الدرجة الثانية.  </w:t>
      </w:r>
    </w:p>
    <w:p w:rsidR="001445F3" w:rsidRPr="00ED485F" w:rsidRDefault="001445F3" w:rsidP="0001754C">
      <w:pPr>
        <w:pStyle w:val="NumberedParaAR"/>
        <w:numPr>
          <w:ilvl w:val="0"/>
          <w:numId w:val="0"/>
        </w:numPr>
        <w:tabs>
          <w:tab w:val="right" w:pos="566"/>
        </w:tabs>
        <w:rPr>
          <w:sz w:val="40"/>
          <w:szCs w:val="40"/>
          <w:rtl/>
        </w:rPr>
      </w:pPr>
      <w:r w:rsidRPr="00ED485F">
        <w:rPr>
          <w:rFonts w:hint="cs"/>
          <w:sz w:val="40"/>
          <w:szCs w:val="40"/>
          <w:rtl/>
        </w:rPr>
        <w:t xml:space="preserve">الملحق 1: </w:t>
      </w:r>
      <w:r w:rsidR="0001754C" w:rsidRPr="00ED485F">
        <w:rPr>
          <w:rFonts w:hint="cs"/>
          <w:sz w:val="40"/>
          <w:szCs w:val="40"/>
          <w:rtl/>
        </w:rPr>
        <w:t>حالة</w:t>
      </w:r>
      <w:r w:rsidR="00E36023" w:rsidRPr="00ED485F">
        <w:rPr>
          <w:rFonts w:hint="cs"/>
          <w:sz w:val="40"/>
          <w:szCs w:val="40"/>
          <w:rtl/>
        </w:rPr>
        <w:t xml:space="preserve"> عن</w:t>
      </w:r>
      <w:r w:rsidR="004A0D1F" w:rsidRPr="00ED485F">
        <w:rPr>
          <w:rFonts w:hint="cs"/>
          <w:sz w:val="40"/>
          <w:szCs w:val="40"/>
          <w:rtl/>
        </w:rPr>
        <w:t xml:space="preserve"> حقوق الملكية الفكرية </w:t>
      </w:r>
      <w:proofErr w:type="gramStart"/>
      <w:r w:rsidR="004A0D1F" w:rsidRPr="00ED485F">
        <w:rPr>
          <w:rFonts w:hint="cs"/>
          <w:sz w:val="40"/>
          <w:szCs w:val="40"/>
          <w:rtl/>
        </w:rPr>
        <w:t>ونقل</w:t>
      </w:r>
      <w:proofErr w:type="gramEnd"/>
      <w:r w:rsidR="004A0D1F" w:rsidRPr="00ED485F">
        <w:rPr>
          <w:rFonts w:hint="cs"/>
          <w:sz w:val="40"/>
          <w:szCs w:val="40"/>
          <w:rtl/>
        </w:rPr>
        <w:t xml:space="preserve"> التكنولوجي</w:t>
      </w:r>
      <w:r w:rsidR="004A0D1F" w:rsidRPr="00ED485F">
        <w:rPr>
          <w:rFonts w:hint="eastAsia"/>
          <w:sz w:val="40"/>
          <w:szCs w:val="40"/>
          <w:rtl/>
        </w:rPr>
        <w:t>ا</w:t>
      </w:r>
      <w:r w:rsidR="004A0D1F" w:rsidRPr="00ED485F">
        <w:rPr>
          <w:rFonts w:hint="cs"/>
          <w:sz w:val="40"/>
          <w:szCs w:val="40"/>
          <w:rtl/>
        </w:rPr>
        <w:t xml:space="preserve"> </w:t>
      </w:r>
      <w:r w:rsidR="0001754C" w:rsidRPr="00ED485F">
        <w:rPr>
          <w:rFonts w:hint="cs"/>
          <w:sz w:val="40"/>
          <w:szCs w:val="40"/>
          <w:rtl/>
        </w:rPr>
        <w:t xml:space="preserve">وصناعة </w:t>
      </w:r>
      <w:r w:rsidR="004A0D1F" w:rsidRPr="00ED485F">
        <w:rPr>
          <w:rFonts w:hint="cs"/>
          <w:sz w:val="40"/>
          <w:szCs w:val="40"/>
          <w:rtl/>
        </w:rPr>
        <w:t xml:space="preserve">الأدوية </w:t>
      </w:r>
      <w:r w:rsidR="0001754C" w:rsidRPr="00ED485F">
        <w:rPr>
          <w:rFonts w:hint="cs"/>
          <w:sz w:val="40"/>
          <w:szCs w:val="40"/>
          <w:rtl/>
        </w:rPr>
        <w:t>و</w:t>
      </w:r>
      <w:r w:rsidR="004A0D1F" w:rsidRPr="00ED485F">
        <w:rPr>
          <w:rFonts w:hint="cs"/>
          <w:sz w:val="40"/>
          <w:szCs w:val="40"/>
          <w:rtl/>
        </w:rPr>
        <w:t>المستحضرات الصيدلانية</w:t>
      </w:r>
    </w:p>
    <w:p w:rsidR="004A0D1F" w:rsidRPr="00ED485F" w:rsidRDefault="004A0D1F" w:rsidP="0001754C">
      <w:pPr>
        <w:pStyle w:val="NumberedParaAR"/>
        <w:numPr>
          <w:ilvl w:val="0"/>
          <w:numId w:val="44"/>
        </w:numPr>
        <w:tabs>
          <w:tab w:val="right" w:pos="566"/>
        </w:tabs>
        <w:ind w:left="567" w:firstLine="0"/>
      </w:pPr>
      <w:r w:rsidRPr="00ED485F">
        <w:rPr>
          <w:rFonts w:hint="cs"/>
          <w:rtl/>
        </w:rPr>
        <w:t>ضمان الإفصاح بصورة كافية في طلبات البراءة</w:t>
      </w:r>
      <w:r w:rsidR="00E061E8" w:rsidRPr="00ED485F">
        <w:rPr>
          <w:rFonts w:hint="cs"/>
          <w:rtl/>
        </w:rPr>
        <w:t xml:space="preserve">، لاسيما في حالة </w:t>
      </w:r>
      <w:r w:rsidR="00865628" w:rsidRPr="00ED485F">
        <w:rPr>
          <w:rtl/>
        </w:rPr>
        <w:t>ما ي</w:t>
      </w:r>
      <w:r w:rsidR="0001754C" w:rsidRPr="00ED485F">
        <w:rPr>
          <w:rFonts w:hint="cs"/>
          <w:rtl/>
        </w:rPr>
        <w:t>ُ</w:t>
      </w:r>
      <w:r w:rsidR="00865628" w:rsidRPr="00ED485F">
        <w:rPr>
          <w:rtl/>
        </w:rPr>
        <w:t xml:space="preserve">عرف </w:t>
      </w:r>
      <w:r w:rsidR="0001754C" w:rsidRPr="00ED485F">
        <w:rPr>
          <w:rFonts w:hint="cs"/>
          <w:rtl/>
        </w:rPr>
        <w:t>ب</w:t>
      </w:r>
      <w:r w:rsidR="00865628" w:rsidRPr="00ED485F">
        <w:rPr>
          <w:rtl/>
        </w:rPr>
        <w:t xml:space="preserve">مطالبات </w:t>
      </w:r>
      <w:proofErr w:type="spellStart"/>
      <w:r w:rsidR="00865628" w:rsidRPr="00ED485F">
        <w:rPr>
          <w:rFonts w:hint="cs"/>
          <w:rtl/>
        </w:rPr>
        <w:t>ماركوش</w:t>
      </w:r>
      <w:proofErr w:type="spellEnd"/>
      <w:r w:rsidR="00865628" w:rsidRPr="00ED485F">
        <w:rPr>
          <w:rFonts w:hint="cs"/>
          <w:rtl/>
        </w:rPr>
        <w:t xml:space="preserve"> </w:t>
      </w:r>
      <w:r w:rsidR="00865628" w:rsidRPr="00ED485F">
        <w:rPr>
          <w:rtl/>
        </w:rPr>
        <w:t>(</w:t>
      </w:r>
      <w:proofErr w:type="spellStart"/>
      <w:r w:rsidR="00865628" w:rsidRPr="00ED485F">
        <w:t>Markus</w:t>
      </w:r>
      <w:r w:rsidR="00F90112">
        <w:t>h</w:t>
      </w:r>
      <w:proofErr w:type="spellEnd"/>
      <w:r w:rsidR="00865628" w:rsidRPr="00ED485F">
        <w:rPr>
          <w:rtl/>
        </w:rPr>
        <w:t>)</w:t>
      </w:r>
      <w:r w:rsidR="00865628" w:rsidRPr="00ED485F">
        <w:rPr>
          <w:rFonts w:hint="cs"/>
          <w:rtl/>
        </w:rPr>
        <w:t>، وذ</w:t>
      </w:r>
      <w:r w:rsidR="0001754C" w:rsidRPr="00ED485F">
        <w:rPr>
          <w:rFonts w:hint="cs"/>
          <w:rtl/>
        </w:rPr>
        <w:t>لك لضمان ألا يصبح منح البراءات ب</w:t>
      </w:r>
      <w:r w:rsidR="00865628" w:rsidRPr="00ED485F">
        <w:rPr>
          <w:rFonts w:hint="cs"/>
          <w:rtl/>
        </w:rPr>
        <w:t xml:space="preserve">هذه المطالبات عائقا أمام البحث </w:t>
      </w:r>
      <w:r w:rsidR="00D041C5" w:rsidRPr="00ED485F">
        <w:rPr>
          <w:rFonts w:hint="cs"/>
          <w:rtl/>
        </w:rPr>
        <w:t>عن مركبات جديدة</w:t>
      </w:r>
      <w:r w:rsidR="00865628" w:rsidRPr="00ED485F">
        <w:rPr>
          <w:rFonts w:hint="cs"/>
          <w:rtl/>
        </w:rPr>
        <w:t xml:space="preserve"> </w:t>
      </w:r>
      <w:r w:rsidR="00D041C5" w:rsidRPr="00ED485F">
        <w:rPr>
          <w:rFonts w:hint="cs"/>
          <w:rtl/>
        </w:rPr>
        <w:t>أو تقييدا غير ضروري للمنافسة.</w:t>
      </w:r>
    </w:p>
    <w:p w:rsidR="00D041C5" w:rsidRPr="00ED485F" w:rsidRDefault="00D041C5" w:rsidP="0001754C">
      <w:pPr>
        <w:pStyle w:val="NumberedParaAR"/>
        <w:numPr>
          <w:ilvl w:val="0"/>
          <w:numId w:val="44"/>
        </w:numPr>
        <w:tabs>
          <w:tab w:val="right" w:pos="566"/>
        </w:tabs>
        <w:ind w:left="567" w:firstLine="0"/>
      </w:pPr>
      <w:proofErr w:type="gramStart"/>
      <w:r w:rsidRPr="00ED485F">
        <w:rPr>
          <w:rFonts w:hint="cs"/>
          <w:rtl/>
        </w:rPr>
        <w:t>وبالمثل</w:t>
      </w:r>
      <w:proofErr w:type="gramEnd"/>
      <w:r w:rsidRPr="00ED485F">
        <w:rPr>
          <w:rFonts w:hint="cs"/>
          <w:rtl/>
        </w:rPr>
        <w:t xml:space="preserve">، </w:t>
      </w:r>
      <w:r w:rsidR="004B01AA" w:rsidRPr="00ED485F">
        <w:rPr>
          <w:rFonts w:hint="cs"/>
          <w:rtl/>
        </w:rPr>
        <w:t>ينبغي</w:t>
      </w:r>
      <w:r w:rsidR="00326CCC" w:rsidRPr="00ED485F">
        <w:rPr>
          <w:rFonts w:hint="cs"/>
          <w:rtl/>
        </w:rPr>
        <w:t xml:space="preserve"> </w:t>
      </w:r>
      <w:r w:rsidR="004B01AA" w:rsidRPr="00ED485F">
        <w:rPr>
          <w:rFonts w:hint="cs"/>
          <w:rtl/>
        </w:rPr>
        <w:t xml:space="preserve">اعتبار </w:t>
      </w:r>
      <w:r w:rsidR="0001754C" w:rsidRPr="00ED485F">
        <w:rPr>
          <w:rFonts w:hint="cs"/>
          <w:rtl/>
        </w:rPr>
        <w:t>المطالبات بشأن المؤشرات الثان</w:t>
      </w:r>
      <w:r w:rsidRPr="00ED485F">
        <w:rPr>
          <w:rFonts w:hint="cs"/>
          <w:rtl/>
        </w:rPr>
        <w:t>ية للمنتجات الصيدلانية التي تعادل وسائل المعالجة</w:t>
      </w:r>
      <w:r w:rsidR="00326CCC" w:rsidRPr="00ED485F">
        <w:rPr>
          <w:rtl/>
        </w:rPr>
        <w:t xml:space="preserve"> </w:t>
      </w:r>
      <w:r w:rsidR="00D45D49" w:rsidRPr="00ED485F">
        <w:rPr>
          <w:rFonts w:hint="cs"/>
          <w:rtl/>
        </w:rPr>
        <w:t>غير مؤهلة</w:t>
      </w:r>
      <w:r w:rsidR="00326CCC" w:rsidRPr="00ED485F">
        <w:rPr>
          <w:rtl/>
        </w:rPr>
        <w:t xml:space="preserve"> </w:t>
      </w:r>
      <w:r w:rsidR="00D45D49" w:rsidRPr="00ED485F">
        <w:rPr>
          <w:rFonts w:hint="cs"/>
          <w:rtl/>
        </w:rPr>
        <w:t>ل</w:t>
      </w:r>
      <w:r w:rsidR="00326CCC" w:rsidRPr="00ED485F">
        <w:rPr>
          <w:rtl/>
        </w:rPr>
        <w:t>لحماية بموجب البراءة</w:t>
      </w:r>
      <w:r w:rsidR="004B01AA" w:rsidRPr="00ED485F">
        <w:rPr>
          <w:rFonts w:hint="cs"/>
          <w:rtl/>
        </w:rPr>
        <w:t xml:space="preserve"> لانعدام الجدة وإمكانية التطبيق الصناعي.</w:t>
      </w:r>
    </w:p>
    <w:p w:rsidR="004B01AA" w:rsidRPr="00ED485F" w:rsidRDefault="004B01AA" w:rsidP="00F90112">
      <w:pPr>
        <w:pStyle w:val="NumberedParaAR"/>
        <w:numPr>
          <w:ilvl w:val="0"/>
          <w:numId w:val="44"/>
        </w:numPr>
        <w:tabs>
          <w:tab w:val="right" w:pos="566"/>
        </w:tabs>
        <w:ind w:left="567" w:firstLine="0"/>
      </w:pPr>
      <w:r w:rsidRPr="00ED485F">
        <w:rPr>
          <w:rFonts w:hint="cs"/>
          <w:rtl/>
        </w:rPr>
        <w:t>وبغية تحسين شفافية نظام البراء</w:t>
      </w:r>
      <w:r w:rsidR="00B42751" w:rsidRPr="00ED485F">
        <w:rPr>
          <w:rFonts w:hint="cs"/>
          <w:rtl/>
        </w:rPr>
        <w:t xml:space="preserve">ات، </w:t>
      </w:r>
      <w:r w:rsidR="006D08DA" w:rsidRPr="00ED485F">
        <w:rPr>
          <w:rFonts w:hint="cs"/>
          <w:rtl/>
        </w:rPr>
        <w:t>ينبغي</w:t>
      </w:r>
      <w:r w:rsidR="0038078D" w:rsidRPr="00ED485F">
        <w:rPr>
          <w:rFonts w:hint="cs"/>
          <w:rtl/>
        </w:rPr>
        <w:t xml:space="preserve"> الإفصاح</w:t>
      </w:r>
      <w:r w:rsidR="006D08DA" w:rsidRPr="00ED485F">
        <w:rPr>
          <w:rFonts w:hint="cs"/>
          <w:rtl/>
        </w:rPr>
        <w:t xml:space="preserve">، بصورة إلزامية، </w:t>
      </w:r>
      <w:r w:rsidR="0038078D" w:rsidRPr="00ED485F">
        <w:rPr>
          <w:rFonts w:hint="cs"/>
          <w:rtl/>
        </w:rPr>
        <w:t xml:space="preserve">في عنوان الدواء وملخصه </w:t>
      </w:r>
      <w:r w:rsidR="006D08DA" w:rsidRPr="00ED485F">
        <w:rPr>
          <w:rFonts w:hint="cs"/>
          <w:rtl/>
        </w:rPr>
        <w:t xml:space="preserve">عن </w:t>
      </w:r>
      <w:r w:rsidR="00B42751" w:rsidRPr="00ED485F">
        <w:rPr>
          <w:rFonts w:hint="cs"/>
          <w:rtl/>
        </w:rPr>
        <w:t>الأسماء الدولية غير مسجلة  الملكية</w:t>
      </w:r>
      <w:r w:rsidR="0038078D" w:rsidRPr="00ED485F">
        <w:rPr>
          <w:rFonts w:hint="cs"/>
          <w:rtl/>
        </w:rPr>
        <w:t xml:space="preserve">  للأدوية </w:t>
      </w:r>
      <w:r w:rsidR="00B42751" w:rsidRPr="00ED485F">
        <w:t>(INN)</w:t>
      </w:r>
      <w:r w:rsidR="00B42751" w:rsidRPr="00ED485F">
        <w:rPr>
          <w:rFonts w:hint="cs"/>
          <w:rtl/>
        </w:rPr>
        <w:t xml:space="preserve"> </w:t>
      </w:r>
      <w:r w:rsidR="009D74DE" w:rsidRPr="00ED485F">
        <w:rPr>
          <w:rFonts w:hint="cs"/>
          <w:rtl/>
        </w:rPr>
        <w:t xml:space="preserve">، </w:t>
      </w:r>
      <w:r w:rsidR="0038078D" w:rsidRPr="00ED485F">
        <w:rPr>
          <w:rFonts w:hint="cs"/>
          <w:rtl/>
        </w:rPr>
        <w:t>وذلك إذا عُرفت</w:t>
      </w:r>
      <w:r w:rsidR="009D74DE" w:rsidRPr="00ED485F">
        <w:rPr>
          <w:rFonts w:hint="cs"/>
          <w:rtl/>
        </w:rPr>
        <w:t xml:space="preserve"> وقت إيداع طلب البراءة</w:t>
      </w:r>
      <w:r w:rsidR="0038078D" w:rsidRPr="00ED485F">
        <w:rPr>
          <w:rFonts w:hint="cs"/>
          <w:rtl/>
        </w:rPr>
        <w:t>.</w:t>
      </w:r>
      <w:r w:rsidR="009D74DE" w:rsidRPr="00ED485F">
        <w:rPr>
          <w:rFonts w:hint="cs"/>
          <w:rtl/>
        </w:rPr>
        <w:t xml:space="preserve"> </w:t>
      </w:r>
    </w:p>
    <w:p w:rsidR="009D74DE" w:rsidRPr="00ED485F" w:rsidRDefault="00BE5547" w:rsidP="0038078D">
      <w:pPr>
        <w:pStyle w:val="NumberedParaAR"/>
        <w:numPr>
          <w:ilvl w:val="0"/>
          <w:numId w:val="44"/>
        </w:numPr>
        <w:tabs>
          <w:tab w:val="right" w:pos="566"/>
        </w:tabs>
        <w:ind w:left="567" w:firstLine="0"/>
      </w:pPr>
      <w:proofErr w:type="gramStart"/>
      <w:r>
        <w:rPr>
          <w:rFonts w:hint="cs"/>
          <w:rtl/>
        </w:rPr>
        <w:lastRenderedPageBreak/>
        <w:t>و</w:t>
      </w:r>
      <w:r w:rsidR="006D08DA" w:rsidRPr="00ED485F">
        <w:rPr>
          <w:rFonts w:hint="cs"/>
          <w:rtl/>
        </w:rPr>
        <w:t>التراخيص</w:t>
      </w:r>
      <w:proofErr w:type="gramEnd"/>
      <w:r w:rsidR="006D08DA" w:rsidRPr="00ED485F">
        <w:rPr>
          <w:rFonts w:hint="cs"/>
          <w:rtl/>
        </w:rPr>
        <w:t xml:space="preserve"> الإجبارية والانتفاع الحكومي أدوات مهمة يمكن</w:t>
      </w:r>
      <w:r w:rsidR="0038078D" w:rsidRPr="00ED485F">
        <w:rPr>
          <w:rFonts w:hint="cs"/>
          <w:rtl/>
        </w:rPr>
        <w:t>،</w:t>
      </w:r>
      <w:r w:rsidR="006D08DA" w:rsidRPr="00ED485F">
        <w:rPr>
          <w:rFonts w:hint="cs"/>
          <w:rtl/>
        </w:rPr>
        <w:t xml:space="preserve"> بل ينبغي للحكومات أن تستخدمها عندما </w:t>
      </w:r>
      <w:r w:rsidR="0038078D" w:rsidRPr="00ED485F">
        <w:rPr>
          <w:rFonts w:hint="cs"/>
          <w:rtl/>
        </w:rPr>
        <w:t>يقتضي</w:t>
      </w:r>
      <w:r w:rsidR="006D08DA" w:rsidRPr="00ED485F">
        <w:rPr>
          <w:rFonts w:hint="cs"/>
          <w:rtl/>
        </w:rPr>
        <w:t xml:space="preserve"> الأمر لضمان الحصول على الأدوية ميسورة التكلفة.</w:t>
      </w:r>
    </w:p>
    <w:p w:rsidR="006D08DA" w:rsidRPr="00ED485F" w:rsidRDefault="00BE5547" w:rsidP="00F90112">
      <w:pPr>
        <w:pStyle w:val="NumberedParaAR"/>
        <w:numPr>
          <w:ilvl w:val="0"/>
          <w:numId w:val="44"/>
        </w:numPr>
        <w:tabs>
          <w:tab w:val="right" w:pos="566"/>
        </w:tabs>
        <w:ind w:left="567" w:firstLine="0"/>
      </w:pPr>
      <w:r>
        <w:rPr>
          <w:rFonts w:hint="cs"/>
          <w:rtl/>
        </w:rPr>
        <w:t>و</w:t>
      </w:r>
      <w:r w:rsidR="00E53E55" w:rsidRPr="00ED485F">
        <w:rPr>
          <w:rFonts w:hint="cs"/>
          <w:rtl/>
        </w:rPr>
        <w:t>ينبغي السماح ب</w:t>
      </w:r>
      <w:r w:rsidR="006D08DA" w:rsidRPr="00ED485F">
        <w:rPr>
          <w:rFonts w:hint="cs"/>
          <w:rtl/>
        </w:rPr>
        <w:t xml:space="preserve">مطالبات البراءة </w:t>
      </w:r>
      <w:r w:rsidR="00792DF7" w:rsidRPr="00ED485F">
        <w:rPr>
          <w:rFonts w:hint="cs"/>
          <w:rtl/>
        </w:rPr>
        <w:t>فيما يتعلق</w:t>
      </w:r>
      <w:r w:rsidR="006D08DA" w:rsidRPr="00ED485F">
        <w:rPr>
          <w:rFonts w:hint="cs"/>
          <w:rtl/>
        </w:rPr>
        <w:t xml:space="preserve"> </w:t>
      </w:r>
      <w:r w:rsidR="00515788" w:rsidRPr="00ED485F">
        <w:rPr>
          <w:rFonts w:hint="cs"/>
          <w:rtl/>
        </w:rPr>
        <w:t xml:space="preserve">بالمستحضرات أو </w:t>
      </w:r>
      <w:r w:rsidR="006D08DA" w:rsidRPr="00ED485F">
        <w:rPr>
          <w:rFonts w:hint="cs"/>
          <w:rtl/>
        </w:rPr>
        <w:t xml:space="preserve">بالتركيبات </w:t>
      </w:r>
      <w:r w:rsidR="005220DA" w:rsidRPr="00ED485F">
        <w:rPr>
          <w:rFonts w:hint="cs"/>
          <w:rtl/>
        </w:rPr>
        <w:t>و</w:t>
      </w:r>
      <w:r w:rsidR="00BB62FA" w:rsidRPr="00ED485F">
        <w:rPr>
          <w:rtl/>
        </w:rPr>
        <w:t xml:space="preserve">أملاح البروم ثنائي </w:t>
      </w:r>
      <w:proofErr w:type="spellStart"/>
      <w:r w:rsidR="00BB62FA" w:rsidRPr="00ED485F">
        <w:rPr>
          <w:rtl/>
        </w:rPr>
        <w:t>الفينيل</w:t>
      </w:r>
      <w:proofErr w:type="spellEnd"/>
      <w:r w:rsidR="00BB62FA" w:rsidRPr="00ED485F">
        <w:rPr>
          <w:rtl/>
        </w:rPr>
        <w:t xml:space="preserve"> </w:t>
      </w:r>
      <w:proofErr w:type="spellStart"/>
      <w:r w:rsidR="00BB62FA" w:rsidRPr="00ED485F">
        <w:rPr>
          <w:rtl/>
        </w:rPr>
        <w:t>واستراته</w:t>
      </w:r>
      <w:proofErr w:type="spellEnd"/>
      <w:r w:rsidR="005220DA" w:rsidRPr="00ED485F">
        <w:rPr>
          <w:rFonts w:hint="cs"/>
          <w:rtl/>
        </w:rPr>
        <w:t xml:space="preserve"> </w:t>
      </w:r>
      <w:r w:rsidR="00E53E55" w:rsidRPr="00ED485F">
        <w:rPr>
          <w:rFonts w:hint="cs"/>
          <w:rtl/>
        </w:rPr>
        <w:t xml:space="preserve"> والتركيبات</w:t>
      </w:r>
      <w:r w:rsidR="00652360" w:rsidRPr="00ED485F">
        <w:rPr>
          <w:rFonts w:hint="cs"/>
          <w:rtl/>
        </w:rPr>
        <w:t xml:space="preserve"> في حالا</w:t>
      </w:r>
      <w:r w:rsidR="0038078D" w:rsidRPr="00ED485F">
        <w:rPr>
          <w:rFonts w:hint="cs"/>
          <w:rtl/>
        </w:rPr>
        <w:t>ت استثنائية ومحددة على نطاق ضيق</w:t>
      </w:r>
      <w:r w:rsidR="00652360" w:rsidRPr="00ED485F">
        <w:rPr>
          <w:rFonts w:hint="cs"/>
          <w:rtl/>
        </w:rPr>
        <w:t xml:space="preserve">. </w:t>
      </w:r>
      <w:r w:rsidR="00792DF7" w:rsidRPr="00ED485F">
        <w:rPr>
          <w:rFonts w:hint="cs"/>
          <w:rtl/>
        </w:rPr>
        <w:t xml:space="preserve">بينما لا ينبغي </w:t>
      </w:r>
      <w:proofErr w:type="spellStart"/>
      <w:r w:rsidR="0038078D" w:rsidRPr="00ED485F">
        <w:rPr>
          <w:rFonts w:hint="cs"/>
          <w:rtl/>
        </w:rPr>
        <w:t>ل</w:t>
      </w:r>
      <w:r w:rsidR="00652360" w:rsidRPr="00ED485F">
        <w:rPr>
          <w:rFonts w:hint="cs"/>
          <w:rtl/>
        </w:rPr>
        <w:t>لمفصصات</w:t>
      </w:r>
      <w:proofErr w:type="spellEnd"/>
      <w:r w:rsidR="00F90112">
        <w:rPr>
          <w:rFonts w:hint="cs"/>
          <w:rtl/>
        </w:rPr>
        <w:t xml:space="preserve"> </w:t>
      </w:r>
      <w:r w:rsidR="00EA38A9" w:rsidRPr="00ED485F">
        <w:t>Polymorphs</w:t>
      </w:r>
      <w:r w:rsidR="00652360" w:rsidRPr="00ED485F">
        <w:rPr>
          <w:rFonts w:hint="cs"/>
          <w:rtl/>
        </w:rPr>
        <w:t xml:space="preserve"> </w:t>
      </w:r>
      <w:proofErr w:type="spellStart"/>
      <w:r w:rsidR="00652360" w:rsidRPr="00ED485F">
        <w:rPr>
          <w:rFonts w:hint="cs"/>
          <w:rtl/>
        </w:rPr>
        <w:t>و</w:t>
      </w:r>
      <w:r w:rsidR="00EA38A9" w:rsidRPr="00ED485F">
        <w:rPr>
          <w:rFonts w:hint="cs"/>
          <w:rtl/>
        </w:rPr>
        <w:t>الأيزومير</w:t>
      </w:r>
      <w:proofErr w:type="spellEnd"/>
      <w:r w:rsidR="00EA38A9" w:rsidRPr="00ED485F">
        <w:rPr>
          <w:rFonts w:ascii="Arial" w:eastAsia="SimSun" w:hAnsi="Arial" w:cs="Arial"/>
          <w:sz w:val="22"/>
          <w:szCs w:val="20"/>
          <w:lang w:eastAsia="zh-CN"/>
        </w:rPr>
        <w:t xml:space="preserve"> </w:t>
      </w:r>
      <w:r w:rsidR="00EA38A9" w:rsidRPr="00ED485F">
        <w:t>isomers</w:t>
      </w:r>
      <w:r w:rsidR="0038078D" w:rsidRPr="00ED485F">
        <w:rPr>
          <w:rFonts w:hint="cs"/>
          <w:rtl/>
        </w:rPr>
        <w:t xml:space="preserve"> أن تتمتع بالحماية بموجب براءة ( إذا تم</w:t>
      </w:r>
      <w:r w:rsidR="00792DF7" w:rsidRPr="00ED485F">
        <w:rPr>
          <w:rFonts w:hint="cs"/>
          <w:rtl/>
        </w:rPr>
        <w:t xml:space="preserve"> </w:t>
      </w:r>
      <w:r w:rsidR="0038078D" w:rsidRPr="00ED485F">
        <w:rPr>
          <w:rFonts w:hint="cs"/>
          <w:rtl/>
        </w:rPr>
        <w:t xml:space="preserve">بالفعل الافصاح </w:t>
      </w:r>
      <w:r w:rsidR="00792DF7" w:rsidRPr="00ED485F">
        <w:rPr>
          <w:rFonts w:hint="cs"/>
          <w:rtl/>
        </w:rPr>
        <w:t xml:space="preserve">عن الخليط </w:t>
      </w:r>
      <w:proofErr w:type="spellStart"/>
      <w:r w:rsidR="00792DF7" w:rsidRPr="00ED485F">
        <w:rPr>
          <w:rFonts w:hint="cs"/>
          <w:rtl/>
        </w:rPr>
        <w:t>الراسيمي</w:t>
      </w:r>
      <w:proofErr w:type="spellEnd"/>
      <w:r w:rsidR="00792DF7" w:rsidRPr="00ED485F">
        <w:t>racemic mixture</w:t>
      </w:r>
      <w:r w:rsidR="00792DF7" w:rsidRPr="00ED485F">
        <w:rPr>
          <w:rFonts w:hint="cs"/>
          <w:rtl/>
        </w:rPr>
        <w:t>).</w:t>
      </w:r>
    </w:p>
    <w:p w:rsidR="00792DF7" w:rsidRPr="00ED485F" w:rsidRDefault="00572782" w:rsidP="002835A3">
      <w:pPr>
        <w:pStyle w:val="NumberedParaAR"/>
        <w:numPr>
          <w:ilvl w:val="0"/>
          <w:numId w:val="44"/>
        </w:numPr>
        <w:tabs>
          <w:tab w:val="right" w:pos="566"/>
        </w:tabs>
        <w:ind w:left="567" w:firstLine="0"/>
      </w:pPr>
      <w:r>
        <w:rPr>
          <w:rFonts w:hint="cs"/>
          <w:rtl/>
        </w:rPr>
        <w:t>و</w:t>
      </w:r>
      <w:r w:rsidR="00E16716" w:rsidRPr="00ED485F">
        <w:rPr>
          <w:rFonts w:hint="cs"/>
          <w:rtl/>
        </w:rPr>
        <w:t xml:space="preserve">نظرا إلى أنه من غير المرجح أن تعزز البراءات الابتكار المحلي في </w:t>
      </w:r>
      <w:r w:rsidR="002835A3" w:rsidRPr="00ED485F">
        <w:rPr>
          <w:rFonts w:hint="cs"/>
          <w:rtl/>
        </w:rPr>
        <w:t>قطاع</w:t>
      </w:r>
      <w:r w:rsidR="001F62B4" w:rsidRPr="00ED485F">
        <w:rPr>
          <w:rFonts w:hint="cs"/>
          <w:rtl/>
        </w:rPr>
        <w:t xml:space="preserve"> </w:t>
      </w:r>
      <w:r w:rsidR="00E16716" w:rsidRPr="00ED485F">
        <w:rPr>
          <w:rFonts w:hint="cs"/>
          <w:rtl/>
        </w:rPr>
        <w:t xml:space="preserve">المستحضرات الصيدلانية، ينبغي للحكومات </w:t>
      </w:r>
      <w:r w:rsidR="001F62B4" w:rsidRPr="00ED485F">
        <w:rPr>
          <w:rFonts w:hint="cs"/>
          <w:rtl/>
        </w:rPr>
        <w:t>تشجيعه بال</w:t>
      </w:r>
      <w:r w:rsidR="00E16716" w:rsidRPr="00ED485F">
        <w:rPr>
          <w:rFonts w:hint="cs"/>
          <w:rtl/>
        </w:rPr>
        <w:t xml:space="preserve">نظر في خيارات </w:t>
      </w:r>
      <w:r w:rsidR="001F62B4" w:rsidRPr="00ED485F">
        <w:rPr>
          <w:rFonts w:hint="cs"/>
          <w:rtl/>
        </w:rPr>
        <w:t>أخرى بخلاف نظام البراءات</w:t>
      </w:r>
      <w:r w:rsidR="00E16716" w:rsidRPr="00ED485F">
        <w:rPr>
          <w:rFonts w:hint="cs"/>
          <w:rtl/>
        </w:rPr>
        <w:t>، وبخاصة فيما يتعلق بالأمراض</w:t>
      </w:r>
      <w:r w:rsidR="005D446D" w:rsidRPr="00ED485F">
        <w:rPr>
          <w:rFonts w:hint="cs"/>
          <w:rtl/>
        </w:rPr>
        <w:t xml:space="preserve"> التي تؤثر بشكل غير متناسب في سكان البلدان النامية.</w:t>
      </w:r>
    </w:p>
    <w:p w:rsidR="005D446D" w:rsidRPr="00ED485F" w:rsidRDefault="00BE5547" w:rsidP="0001754C">
      <w:pPr>
        <w:pStyle w:val="NumberedParaAR"/>
        <w:numPr>
          <w:ilvl w:val="0"/>
          <w:numId w:val="44"/>
        </w:numPr>
        <w:tabs>
          <w:tab w:val="right" w:pos="566"/>
        </w:tabs>
        <w:ind w:left="567" w:firstLine="0"/>
      </w:pPr>
      <w:proofErr w:type="gramStart"/>
      <w:r>
        <w:rPr>
          <w:rFonts w:hint="cs"/>
          <w:rtl/>
        </w:rPr>
        <w:t>و</w:t>
      </w:r>
      <w:r w:rsidR="005D446D" w:rsidRPr="00ED485F">
        <w:rPr>
          <w:rFonts w:hint="cs"/>
          <w:rtl/>
        </w:rPr>
        <w:t>حل</w:t>
      </w:r>
      <w:proofErr w:type="gramEnd"/>
      <w:r w:rsidR="005D446D" w:rsidRPr="00ED485F">
        <w:rPr>
          <w:rFonts w:hint="cs"/>
          <w:rtl/>
        </w:rPr>
        <w:t xml:space="preserve"> مشكلة الإنتاج للتصدير من أسواق </w:t>
      </w:r>
      <w:r w:rsidR="00F111AC" w:rsidRPr="00ED485F">
        <w:rPr>
          <w:rFonts w:hint="cs"/>
          <w:rtl/>
        </w:rPr>
        <w:t xml:space="preserve">تمنح </w:t>
      </w:r>
      <w:r w:rsidR="005D446D" w:rsidRPr="00ED485F">
        <w:rPr>
          <w:rFonts w:hint="cs"/>
          <w:rtl/>
        </w:rPr>
        <w:t xml:space="preserve">براءات للدول التي لا تمنح براءات </w:t>
      </w:r>
      <w:r w:rsidR="00F111AC" w:rsidRPr="00ED485F">
        <w:rPr>
          <w:rFonts w:hint="cs"/>
          <w:rtl/>
        </w:rPr>
        <w:t>للمستحضرات الصيدلانية</w:t>
      </w:r>
      <w:r w:rsidR="005D6610" w:rsidRPr="00ED485F">
        <w:rPr>
          <w:rFonts w:hint="cs"/>
          <w:rtl/>
        </w:rPr>
        <w:t xml:space="preserve"> (وبالتالي لا تمنح تراخيص إجبارية).</w:t>
      </w:r>
    </w:p>
    <w:p w:rsidR="005D6610" w:rsidRPr="00ED485F" w:rsidRDefault="00BE5547" w:rsidP="002835A3">
      <w:pPr>
        <w:pStyle w:val="NumberedParaAR"/>
        <w:numPr>
          <w:ilvl w:val="0"/>
          <w:numId w:val="44"/>
        </w:numPr>
        <w:tabs>
          <w:tab w:val="right" w:pos="566"/>
        </w:tabs>
        <w:ind w:left="567" w:firstLine="0"/>
      </w:pPr>
      <w:r>
        <w:rPr>
          <w:rFonts w:hint="cs"/>
          <w:rtl/>
        </w:rPr>
        <w:t>و</w:t>
      </w:r>
      <w:r w:rsidR="005D6610" w:rsidRPr="00ED485F">
        <w:rPr>
          <w:rFonts w:hint="cs"/>
          <w:rtl/>
        </w:rPr>
        <w:t>إيجاد سبل لت</w:t>
      </w:r>
      <w:r w:rsidR="002835A3" w:rsidRPr="00ED485F">
        <w:rPr>
          <w:rFonts w:hint="cs"/>
          <w:rtl/>
        </w:rPr>
        <w:t xml:space="preserve">نفيذ </w:t>
      </w:r>
      <w:r w:rsidR="005D6610" w:rsidRPr="00ED485F">
        <w:rPr>
          <w:rFonts w:hint="cs"/>
          <w:rtl/>
        </w:rPr>
        <w:t xml:space="preserve">إعلان الدوحة بشأن اتفاق </w:t>
      </w:r>
      <w:proofErr w:type="spellStart"/>
      <w:r w:rsidR="005D6610" w:rsidRPr="00ED485F">
        <w:rPr>
          <w:rFonts w:hint="cs"/>
          <w:rtl/>
        </w:rPr>
        <w:t>تريبس</w:t>
      </w:r>
      <w:proofErr w:type="spellEnd"/>
      <w:r w:rsidR="005D6610" w:rsidRPr="00ED485F">
        <w:rPr>
          <w:rFonts w:hint="cs"/>
          <w:rtl/>
        </w:rPr>
        <w:t xml:space="preserve"> والصحة العامة</w:t>
      </w:r>
      <w:r w:rsidR="00B5682E" w:rsidRPr="00ED485F">
        <w:rPr>
          <w:rFonts w:hint="cs"/>
          <w:rtl/>
        </w:rPr>
        <w:t xml:space="preserve"> على المستويين الإقليمي والوطني.</w:t>
      </w:r>
    </w:p>
    <w:p w:rsidR="00B5682E" w:rsidRPr="00ED485F" w:rsidRDefault="00BE5547" w:rsidP="00BE40AF">
      <w:pPr>
        <w:pStyle w:val="NumberedParaAR"/>
        <w:numPr>
          <w:ilvl w:val="0"/>
          <w:numId w:val="44"/>
        </w:numPr>
        <w:tabs>
          <w:tab w:val="right" w:pos="566"/>
        </w:tabs>
        <w:ind w:left="567" w:firstLine="0"/>
      </w:pPr>
      <w:r>
        <w:rPr>
          <w:rFonts w:hint="cs"/>
          <w:rtl/>
        </w:rPr>
        <w:t>و</w:t>
      </w:r>
      <w:r w:rsidR="002835A3" w:rsidRPr="00ED485F">
        <w:rPr>
          <w:rFonts w:hint="cs"/>
          <w:rtl/>
        </w:rPr>
        <w:t>ينبغي تشجيع البلدان على ا</w:t>
      </w:r>
      <w:r w:rsidR="00B5682E" w:rsidRPr="00ED485F">
        <w:rPr>
          <w:rFonts w:hint="cs"/>
          <w:rtl/>
        </w:rPr>
        <w:t xml:space="preserve">لانتفاع </w:t>
      </w:r>
      <w:r w:rsidR="00BE40AF" w:rsidRPr="00ED485F">
        <w:rPr>
          <w:rFonts w:hint="cs"/>
          <w:rtl/>
        </w:rPr>
        <w:t>بصورة كاملة</w:t>
      </w:r>
      <w:r w:rsidR="00B5682E" w:rsidRPr="00ED485F">
        <w:rPr>
          <w:rFonts w:hint="cs"/>
          <w:rtl/>
        </w:rPr>
        <w:t xml:space="preserve"> من إعلان الدوحة </w:t>
      </w:r>
      <w:r w:rsidR="002835A3" w:rsidRPr="00ED485F">
        <w:rPr>
          <w:rFonts w:hint="cs"/>
          <w:rtl/>
        </w:rPr>
        <w:t>أثناء</w:t>
      </w:r>
      <w:r w:rsidR="00B5682E" w:rsidRPr="00ED485F">
        <w:rPr>
          <w:rFonts w:hint="cs"/>
          <w:rtl/>
        </w:rPr>
        <w:t xml:space="preserve"> عملية </w:t>
      </w:r>
      <w:r w:rsidR="00EB38A5" w:rsidRPr="00ED485F">
        <w:rPr>
          <w:rFonts w:hint="cs"/>
          <w:rtl/>
        </w:rPr>
        <w:t>تعديل</w:t>
      </w:r>
      <w:r w:rsidR="00B5682E" w:rsidRPr="00ED485F">
        <w:rPr>
          <w:rFonts w:hint="cs"/>
          <w:rtl/>
        </w:rPr>
        <w:t xml:space="preserve"> </w:t>
      </w:r>
      <w:r w:rsidR="00C10D6B" w:rsidRPr="00ED485F">
        <w:rPr>
          <w:rFonts w:hint="cs"/>
          <w:rtl/>
        </w:rPr>
        <w:t>ال</w:t>
      </w:r>
      <w:r w:rsidR="00B5682E" w:rsidRPr="00ED485F">
        <w:rPr>
          <w:rFonts w:hint="cs"/>
          <w:rtl/>
        </w:rPr>
        <w:t xml:space="preserve">قوانين </w:t>
      </w:r>
      <w:r w:rsidR="003C6E2C" w:rsidRPr="00ED485F">
        <w:rPr>
          <w:rFonts w:hint="cs"/>
          <w:rtl/>
        </w:rPr>
        <w:t>الوطنية ل</w:t>
      </w:r>
      <w:r w:rsidR="00B5682E" w:rsidRPr="00ED485F">
        <w:rPr>
          <w:rFonts w:hint="cs"/>
          <w:rtl/>
        </w:rPr>
        <w:t>لملكية الفكرية</w:t>
      </w:r>
      <w:r w:rsidR="00EB38A5" w:rsidRPr="00ED485F">
        <w:rPr>
          <w:rFonts w:hint="cs"/>
          <w:rtl/>
        </w:rPr>
        <w:t xml:space="preserve"> </w:t>
      </w:r>
      <w:r w:rsidR="00BE40AF" w:rsidRPr="00ED485F">
        <w:rPr>
          <w:rFonts w:hint="cs"/>
          <w:rtl/>
        </w:rPr>
        <w:t>لتتوافق</w:t>
      </w:r>
      <w:r w:rsidR="00EB38A5" w:rsidRPr="00ED485F">
        <w:rPr>
          <w:rFonts w:hint="cs"/>
          <w:rtl/>
        </w:rPr>
        <w:t xml:space="preserve"> مع اتفاق </w:t>
      </w:r>
      <w:proofErr w:type="spellStart"/>
      <w:r w:rsidR="00EB38A5" w:rsidRPr="00ED485F">
        <w:rPr>
          <w:rFonts w:hint="cs"/>
          <w:rtl/>
        </w:rPr>
        <w:t>تريبس</w:t>
      </w:r>
      <w:proofErr w:type="spellEnd"/>
      <w:r w:rsidR="005038F0" w:rsidRPr="00ED485F">
        <w:rPr>
          <w:rFonts w:hint="cs"/>
          <w:rtl/>
        </w:rPr>
        <w:t xml:space="preserve">. ويتطلب ذلك </w:t>
      </w:r>
      <w:r w:rsidR="00C10D6B" w:rsidRPr="00ED485F">
        <w:rPr>
          <w:rFonts w:hint="cs"/>
          <w:rtl/>
        </w:rPr>
        <w:t xml:space="preserve">الحصول على </w:t>
      </w:r>
      <w:r w:rsidR="005038F0" w:rsidRPr="00ED485F">
        <w:rPr>
          <w:rFonts w:hint="cs"/>
          <w:rtl/>
        </w:rPr>
        <w:t>مشورة ضخمة ومساعدة تقنية</w:t>
      </w:r>
      <w:r w:rsidR="00B5682E" w:rsidRPr="00ED485F">
        <w:rPr>
          <w:rFonts w:hint="cs"/>
          <w:rtl/>
        </w:rPr>
        <w:t xml:space="preserve"> </w:t>
      </w:r>
      <w:r w:rsidR="005038F0" w:rsidRPr="00ED485F">
        <w:rPr>
          <w:rFonts w:hint="cs"/>
          <w:rtl/>
        </w:rPr>
        <w:t>من مؤسسات مثل الويبو ومنظمة التجارة العالمية</w:t>
      </w:r>
      <w:r w:rsidR="00660E03" w:rsidRPr="00ED485F">
        <w:rPr>
          <w:rFonts w:hint="cs"/>
          <w:rtl/>
        </w:rPr>
        <w:t>،</w:t>
      </w:r>
      <w:r w:rsidR="00B61C7B" w:rsidRPr="00ED485F">
        <w:rPr>
          <w:rFonts w:hint="cs"/>
          <w:rtl/>
        </w:rPr>
        <w:t xml:space="preserve"> </w:t>
      </w:r>
      <w:r w:rsidR="00660E03" w:rsidRPr="00ED485F">
        <w:rPr>
          <w:rFonts w:hint="cs"/>
          <w:rtl/>
        </w:rPr>
        <w:t>إذ إن</w:t>
      </w:r>
      <w:r w:rsidR="00B61C7B" w:rsidRPr="00ED485F">
        <w:rPr>
          <w:rFonts w:hint="cs"/>
          <w:rtl/>
        </w:rPr>
        <w:t xml:space="preserve"> روح إعلان الدوحة هي تفصيل قوانين الملكية الفكرية على نحو يلبي الاحتياجات الوطنية.</w:t>
      </w:r>
    </w:p>
    <w:p w:rsidR="009141D7" w:rsidRPr="00ED485F" w:rsidRDefault="00B61C7B" w:rsidP="00637BED">
      <w:pPr>
        <w:pStyle w:val="NumberedParaAR"/>
        <w:numPr>
          <w:ilvl w:val="0"/>
          <w:numId w:val="44"/>
        </w:numPr>
        <w:tabs>
          <w:tab w:val="right" w:pos="566"/>
        </w:tabs>
        <w:ind w:left="567" w:firstLine="0"/>
      </w:pPr>
      <w:r w:rsidRPr="00ED485F">
        <w:rPr>
          <w:rFonts w:hint="cs"/>
          <w:rtl/>
        </w:rPr>
        <w:t>وأخيرا،</w:t>
      </w:r>
      <w:r w:rsidR="00354C85" w:rsidRPr="00ED485F">
        <w:rPr>
          <w:rFonts w:hint="cs"/>
          <w:rtl/>
        </w:rPr>
        <w:t xml:space="preserve"> </w:t>
      </w:r>
      <w:r w:rsidR="00637BED" w:rsidRPr="00ED485F">
        <w:rPr>
          <w:rFonts w:hint="cs"/>
          <w:rtl/>
        </w:rPr>
        <w:t xml:space="preserve">الحاجة إلى </w:t>
      </w:r>
      <w:r w:rsidR="00354C85" w:rsidRPr="00ED485F">
        <w:rPr>
          <w:rFonts w:hint="cs"/>
          <w:rtl/>
        </w:rPr>
        <w:t xml:space="preserve">وضع نظام مناسب </w:t>
      </w:r>
      <w:r w:rsidR="00637BED" w:rsidRPr="00ED485F">
        <w:rPr>
          <w:rFonts w:hint="cs"/>
          <w:rtl/>
        </w:rPr>
        <w:t>للأسعار المتفاوتة</w:t>
      </w:r>
      <w:r w:rsidR="004F5B38" w:rsidRPr="00ED485F">
        <w:rPr>
          <w:rFonts w:hint="cs"/>
          <w:rtl/>
        </w:rPr>
        <w:t xml:space="preserve"> من خلال إجراء بحوث تجريبية مفصلة </w:t>
      </w:r>
      <w:r w:rsidR="00637BED" w:rsidRPr="00ED485F">
        <w:rPr>
          <w:rFonts w:hint="cs"/>
          <w:rtl/>
        </w:rPr>
        <w:t>عن</w:t>
      </w:r>
      <w:r w:rsidR="004F5B38" w:rsidRPr="00ED485F">
        <w:rPr>
          <w:rFonts w:hint="cs"/>
          <w:rtl/>
        </w:rPr>
        <w:t xml:space="preserve"> </w:t>
      </w:r>
      <w:r w:rsidR="00637BED" w:rsidRPr="00ED485F">
        <w:rPr>
          <w:rFonts w:hint="cs"/>
          <w:rtl/>
        </w:rPr>
        <w:t>الطريقة التي</w:t>
      </w:r>
      <w:r w:rsidR="004F5B38" w:rsidRPr="00ED485F">
        <w:rPr>
          <w:rFonts w:hint="cs"/>
          <w:rtl/>
        </w:rPr>
        <w:t xml:space="preserve"> يمكن أن يتحقق</w:t>
      </w:r>
      <w:r w:rsidR="00637BED" w:rsidRPr="00ED485F">
        <w:rPr>
          <w:rFonts w:hint="cs"/>
          <w:rtl/>
        </w:rPr>
        <w:t xml:space="preserve"> بها</w:t>
      </w:r>
      <w:r w:rsidR="004F5B38" w:rsidRPr="00ED485F">
        <w:rPr>
          <w:rFonts w:hint="cs"/>
          <w:rtl/>
        </w:rPr>
        <w:t xml:space="preserve"> هذا الأمر في </w:t>
      </w:r>
      <w:r w:rsidR="00D64E5A" w:rsidRPr="00ED485F">
        <w:rPr>
          <w:rFonts w:hint="cs"/>
          <w:rtl/>
        </w:rPr>
        <w:t xml:space="preserve">ظل </w:t>
      </w:r>
      <w:proofErr w:type="spellStart"/>
      <w:r w:rsidR="00D64E5A" w:rsidRPr="00ED485F">
        <w:rPr>
          <w:rFonts w:hint="cs"/>
          <w:rtl/>
        </w:rPr>
        <w:t>ديناميات</w:t>
      </w:r>
      <w:proofErr w:type="spellEnd"/>
      <w:r w:rsidR="00D64E5A" w:rsidRPr="00ED485F">
        <w:rPr>
          <w:rFonts w:hint="cs"/>
          <w:rtl/>
        </w:rPr>
        <w:t xml:space="preserve"> </w:t>
      </w:r>
      <w:r w:rsidR="009141D7" w:rsidRPr="00ED485F">
        <w:rPr>
          <w:rFonts w:hint="cs"/>
          <w:rtl/>
        </w:rPr>
        <w:t>الاستفادة</w:t>
      </w:r>
      <w:r w:rsidR="004F5B38" w:rsidRPr="00ED485F">
        <w:rPr>
          <w:rFonts w:hint="cs"/>
          <w:rtl/>
        </w:rPr>
        <w:t xml:space="preserve"> </w:t>
      </w:r>
      <w:r w:rsidR="009141D7" w:rsidRPr="00ED485F">
        <w:rPr>
          <w:rFonts w:hint="cs"/>
          <w:rtl/>
        </w:rPr>
        <w:t xml:space="preserve">من </w:t>
      </w:r>
      <w:r w:rsidR="00D64E5A" w:rsidRPr="00ED485F">
        <w:rPr>
          <w:rFonts w:hint="cs"/>
          <w:rtl/>
        </w:rPr>
        <w:t>القدرات الحالية</w:t>
      </w:r>
      <w:r w:rsidR="009141D7" w:rsidRPr="00ED485F">
        <w:rPr>
          <w:rFonts w:hint="cs"/>
          <w:rtl/>
        </w:rPr>
        <w:t xml:space="preserve"> لشركات الأدوية التي اخترعت الأدوية في المقام الأول.</w:t>
      </w:r>
    </w:p>
    <w:p w:rsidR="00B61C7B" w:rsidRPr="00ED485F" w:rsidRDefault="00ED485F" w:rsidP="009141D7">
      <w:pPr>
        <w:pStyle w:val="NumberedParaAR"/>
        <w:numPr>
          <w:ilvl w:val="0"/>
          <w:numId w:val="0"/>
        </w:numPr>
        <w:tabs>
          <w:tab w:val="right" w:pos="566"/>
        </w:tabs>
        <w:rPr>
          <w:sz w:val="40"/>
          <w:szCs w:val="40"/>
        </w:rPr>
      </w:pPr>
      <w:r w:rsidRPr="00ED485F">
        <w:rPr>
          <w:rFonts w:hint="cs"/>
          <w:sz w:val="40"/>
          <w:szCs w:val="40"/>
          <w:rtl/>
        </w:rPr>
        <w:t>المرفق</w:t>
      </w:r>
      <w:r w:rsidR="009141D7" w:rsidRPr="00ED485F">
        <w:rPr>
          <w:rFonts w:hint="cs"/>
          <w:sz w:val="40"/>
          <w:szCs w:val="40"/>
          <w:rtl/>
        </w:rPr>
        <w:t xml:space="preserve"> 2: دراسة إفرادية: نقل التكنولوجيات المواتية للمناخ: المسائل والاتجاهات والاقتراحات</w:t>
      </w:r>
    </w:p>
    <w:p w:rsidR="007F528D" w:rsidRPr="00ED485F" w:rsidRDefault="0012498B" w:rsidP="008848FC">
      <w:pPr>
        <w:pStyle w:val="NumberedParaAR"/>
        <w:numPr>
          <w:ilvl w:val="0"/>
          <w:numId w:val="47"/>
        </w:numPr>
        <w:tabs>
          <w:tab w:val="right" w:pos="566"/>
        </w:tabs>
        <w:ind w:left="567" w:firstLine="0"/>
      </w:pPr>
      <w:r w:rsidRPr="00ED485F">
        <w:rPr>
          <w:rFonts w:hint="cs"/>
          <w:rtl/>
        </w:rPr>
        <w:t xml:space="preserve">إعداد واقع البراءات </w:t>
      </w:r>
      <w:r w:rsidR="008848FC" w:rsidRPr="00ED485F">
        <w:rPr>
          <w:rFonts w:hint="cs"/>
          <w:rtl/>
        </w:rPr>
        <w:t>لتوضيح</w:t>
      </w:r>
      <w:r w:rsidRPr="00ED485F">
        <w:rPr>
          <w:rFonts w:hint="cs"/>
          <w:rtl/>
        </w:rPr>
        <w:t xml:space="preserve"> مطالبات الملكية بشأن البراءات الممنوحة</w:t>
      </w:r>
      <w:r w:rsidR="008848FC" w:rsidRPr="00ED485F">
        <w:rPr>
          <w:rFonts w:hint="cs"/>
          <w:rtl/>
        </w:rPr>
        <w:t>،</w:t>
      </w:r>
      <w:r w:rsidRPr="00ED485F">
        <w:rPr>
          <w:rFonts w:hint="cs"/>
          <w:rtl/>
        </w:rPr>
        <w:t xml:space="preserve"> وتحديد أوجه التداخل في التكنولوجيات التكميلية وتقديم </w:t>
      </w:r>
      <w:r w:rsidR="004A1431" w:rsidRPr="00ED485F">
        <w:rPr>
          <w:rFonts w:hint="cs"/>
          <w:rtl/>
        </w:rPr>
        <w:t>ال</w:t>
      </w:r>
      <w:r w:rsidRPr="00ED485F">
        <w:rPr>
          <w:rFonts w:hint="cs"/>
          <w:rtl/>
        </w:rPr>
        <w:t>تفاصيل</w:t>
      </w:r>
      <w:r w:rsidR="004A1431" w:rsidRPr="00ED485F">
        <w:rPr>
          <w:rFonts w:hint="cs"/>
          <w:rtl/>
        </w:rPr>
        <w:t xml:space="preserve"> المتعلقة ب</w:t>
      </w:r>
      <w:r w:rsidR="00884D96" w:rsidRPr="00ED485F">
        <w:rPr>
          <w:rFonts w:hint="cs"/>
          <w:rtl/>
        </w:rPr>
        <w:t>الملكية.</w:t>
      </w:r>
    </w:p>
    <w:p w:rsidR="00525CC9" w:rsidRPr="00ED485F" w:rsidRDefault="00173005" w:rsidP="00173005">
      <w:pPr>
        <w:pStyle w:val="NumberedParaAR"/>
        <w:numPr>
          <w:ilvl w:val="0"/>
          <w:numId w:val="47"/>
        </w:numPr>
        <w:tabs>
          <w:tab w:val="right" w:pos="566"/>
        </w:tabs>
        <w:ind w:left="567" w:firstLine="0"/>
      </w:pPr>
      <w:r>
        <w:rPr>
          <w:rFonts w:hint="cs"/>
          <w:rtl/>
        </w:rPr>
        <w:t>و</w:t>
      </w:r>
      <w:r w:rsidR="00884D96" w:rsidRPr="00ED485F">
        <w:rPr>
          <w:rFonts w:hint="cs"/>
          <w:rtl/>
        </w:rPr>
        <w:t xml:space="preserve">إنشاء "مجموعات </w:t>
      </w:r>
      <w:r w:rsidR="00C80F67" w:rsidRPr="00ED485F">
        <w:rPr>
          <w:rFonts w:hint="cs"/>
          <w:rtl/>
        </w:rPr>
        <w:t>البراءات الت</w:t>
      </w:r>
      <w:r w:rsidR="00884D96" w:rsidRPr="00ED485F">
        <w:rPr>
          <w:rFonts w:hint="cs"/>
          <w:rtl/>
        </w:rPr>
        <w:t>طوعية"</w:t>
      </w:r>
      <w:r>
        <w:rPr>
          <w:rFonts w:hint="cs"/>
          <w:rtl/>
        </w:rPr>
        <w:t xml:space="preserve"> </w:t>
      </w:r>
      <w:r w:rsidR="00884D96" w:rsidRPr="00ED485F">
        <w:rPr>
          <w:rFonts w:hint="cs"/>
          <w:rtl/>
        </w:rPr>
        <w:t>حيث يودع مالك</w:t>
      </w:r>
      <w:r w:rsidR="00E31F16" w:rsidRPr="00ED485F">
        <w:rPr>
          <w:rFonts w:hint="cs"/>
          <w:rtl/>
        </w:rPr>
        <w:t xml:space="preserve">و </w:t>
      </w:r>
      <w:r w:rsidR="00884D96" w:rsidRPr="00ED485F">
        <w:rPr>
          <w:rFonts w:hint="cs"/>
          <w:rtl/>
        </w:rPr>
        <w:t>البراءات بم</w:t>
      </w:r>
      <w:r w:rsidR="00E31F16" w:rsidRPr="00ED485F">
        <w:rPr>
          <w:rFonts w:hint="cs"/>
          <w:rtl/>
        </w:rPr>
        <w:t>ا</w:t>
      </w:r>
      <w:r w:rsidR="00E36023" w:rsidRPr="00ED485F">
        <w:rPr>
          <w:rFonts w:hint="cs"/>
          <w:rtl/>
        </w:rPr>
        <w:t xml:space="preserve"> في</w:t>
      </w:r>
      <w:r w:rsidR="00E36023" w:rsidRPr="00ED485F">
        <w:t xml:space="preserve"> </w:t>
      </w:r>
      <w:r w:rsidR="00E36023" w:rsidRPr="00ED485F">
        <w:rPr>
          <w:rFonts w:hint="cs"/>
          <w:rtl/>
          <w:lang w:bidi="ar-EG"/>
        </w:rPr>
        <w:t>ذلك</w:t>
      </w:r>
      <w:r w:rsidR="00884D96" w:rsidRPr="00ED485F">
        <w:rPr>
          <w:rFonts w:hint="cs"/>
          <w:rtl/>
        </w:rPr>
        <w:t xml:space="preserve"> الشركات والجامعات ومؤسسات البحث </w:t>
      </w:r>
      <w:r w:rsidR="0013619E" w:rsidRPr="00ED485F">
        <w:rPr>
          <w:rFonts w:hint="cs"/>
          <w:rtl/>
        </w:rPr>
        <w:t>ملكيتهم</w:t>
      </w:r>
      <w:r w:rsidR="00884D96" w:rsidRPr="00ED485F">
        <w:rPr>
          <w:rFonts w:hint="cs"/>
          <w:rtl/>
        </w:rPr>
        <w:t xml:space="preserve"> الفكرية </w:t>
      </w:r>
      <w:r w:rsidR="00BB32E6" w:rsidRPr="00ED485F">
        <w:rPr>
          <w:rFonts w:hint="cs"/>
          <w:rtl/>
        </w:rPr>
        <w:t>ل</w:t>
      </w:r>
      <w:r w:rsidR="00E31F16" w:rsidRPr="00ED485F">
        <w:rPr>
          <w:rFonts w:hint="cs"/>
          <w:rtl/>
        </w:rPr>
        <w:t>احتياجات</w:t>
      </w:r>
      <w:r w:rsidR="00884D96" w:rsidRPr="00ED485F">
        <w:rPr>
          <w:rFonts w:hint="cs"/>
          <w:rtl/>
        </w:rPr>
        <w:t xml:space="preserve"> </w:t>
      </w:r>
      <w:r w:rsidR="00525CC9" w:rsidRPr="00ED485F">
        <w:rPr>
          <w:rFonts w:hint="cs"/>
          <w:rtl/>
        </w:rPr>
        <w:t xml:space="preserve">محددة </w:t>
      </w:r>
      <w:r w:rsidR="00BB32E6" w:rsidRPr="00ED485F">
        <w:rPr>
          <w:rFonts w:hint="cs"/>
          <w:rtl/>
        </w:rPr>
        <w:t>تتعلق</w:t>
      </w:r>
      <w:r w:rsidR="00E62031" w:rsidRPr="00ED485F">
        <w:rPr>
          <w:rFonts w:hint="cs"/>
          <w:rtl/>
        </w:rPr>
        <w:t xml:space="preserve"> ب</w:t>
      </w:r>
      <w:r w:rsidR="00525CC9" w:rsidRPr="00ED485F">
        <w:rPr>
          <w:rFonts w:hint="cs"/>
          <w:rtl/>
        </w:rPr>
        <w:t>ال</w:t>
      </w:r>
      <w:r w:rsidR="00E31F16" w:rsidRPr="00ED485F">
        <w:rPr>
          <w:rFonts w:hint="cs"/>
          <w:rtl/>
        </w:rPr>
        <w:t>تك</w:t>
      </w:r>
      <w:r w:rsidR="00525CC9" w:rsidRPr="00ED485F">
        <w:rPr>
          <w:rFonts w:hint="cs"/>
          <w:rtl/>
        </w:rPr>
        <w:t>ي</w:t>
      </w:r>
      <w:r w:rsidR="00BB32E6" w:rsidRPr="00ED485F">
        <w:rPr>
          <w:rFonts w:hint="cs"/>
          <w:rtl/>
        </w:rPr>
        <w:t>ف و</w:t>
      </w:r>
      <w:r w:rsidR="00525CC9" w:rsidRPr="00ED485F">
        <w:rPr>
          <w:rFonts w:hint="cs"/>
          <w:rtl/>
        </w:rPr>
        <w:t>ال</w:t>
      </w:r>
      <w:r w:rsidR="00E31F16" w:rsidRPr="00ED485F">
        <w:rPr>
          <w:rFonts w:hint="cs"/>
          <w:rtl/>
        </w:rPr>
        <w:t>تخفيف</w:t>
      </w:r>
      <w:r w:rsidR="00525CC9" w:rsidRPr="00ED485F">
        <w:rPr>
          <w:rFonts w:hint="cs"/>
          <w:rtl/>
        </w:rPr>
        <w:t>.</w:t>
      </w:r>
    </w:p>
    <w:p w:rsidR="00884D96" w:rsidRPr="00ED485F" w:rsidRDefault="00173005" w:rsidP="004170E6">
      <w:pPr>
        <w:pStyle w:val="NumberedParaAR"/>
        <w:numPr>
          <w:ilvl w:val="0"/>
          <w:numId w:val="47"/>
        </w:numPr>
        <w:tabs>
          <w:tab w:val="right" w:pos="566"/>
        </w:tabs>
        <w:ind w:left="567" w:firstLine="0"/>
      </w:pPr>
      <w:proofErr w:type="gramStart"/>
      <w:r>
        <w:rPr>
          <w:rFonts w:hint="cs"/>
          <w:rtl/>
        </w:rPr>
        <w:t>و</w:t>
      </w:r>
      <w:r w:rsidR="00525CC9" w:rsidRPr="00ED485F">
        <w:rPr>
          <w:rFonts w:hint="cs"/>
          <w:rtl/>
        </w:rPr>
        <w:t>اتخاذ</w:t>
      </w:r>
      <w:proofErr w:type="gramEnd"/>
      <w:r w:rsidR="00525CC9" w:rsidRPr="00ED485F">
        <w:rPr>
          <w:rFonts w:hint="cs"/>
          <w:rtl/>
        </w:rPr>
        <w:t xml:space="preserve"> تدابير عامة مثل</w:t>
      </w:r>
      <w:r w:rsidR="00780568" w:rsidRPr="00ED485F">
        <w:rPr>
          <w:rFonts w:hint="cs"/>
          <w:rtl/>
        </w:rPr>
        <w:t xml:space="preserve"> </w:t>
      </w:r>
      <w:r w:rsidR="00E62031" w:rsidRPr="00ED485F">
        <w:rPr>
          <w:rFonts w:hint="cs"/>
          <w:rtl/>
        </w:rPr>
        <w:t xml:space="preserve">تقديم </w:t>
      </w:r>
      <w:r w:rsidR="00780568" w:rsidRPr="00ED485F">
        <w:rPr>
          <w:rFonts w:hint="cs"/>
          <w:rtl/>
        </w:rPr>
        <w:t xml:space="preserve">دعم مالي ممول من </w:t>
      </w:r>
      <w:r w:rsidR="00433B8E" w:rsidRPr="00ED485F">
        <w:rPr>
          <w:rFonts w:hint="cs"/>
          <w:rtl/>
        </w:rPr>
        <w:t>الميزانية</w:t>
      </w:r>
      <w:r w:rsidR="00780568" w:rsidRPr="00ED485F">
        <w:rPr>
          <w:rFonts w:hint="cs"/>
          <w:rtl/>
        </w:rPr>
        <w:t xml:space="preserve"> </w:t>
      </w:r>
      <w:r w:rsidR="00433B8E" w:rsidRPr="00ED485F">
        <w:rPr>
          <w:rFonts w:hint="cs"/>
          <w:rtl/>
        </w:rPr>
        <w:t>ال</w:t>
      </w:r>
      <w:r w:rsidR="00780568" w:rsidRPr="00ED485F">
        <w:rPr>
          <w:rFonts w:hint="cs"/>
          <w:rtl/>
        </w:rPr>
        <w:t>عامة</w:t>
      </w:r>
      <w:r w:rsidR="000E4D2E" w:rsidRPr="00ED485F">
        <w:rPr>
          <w:rFonts w:hint="cs"/>
          <w:rtl/>
        </w:rPr>
        <w:t xml:space="preserve"> لتلبية الا</w:t>
      </w:r>
      <w:r w:rsidR="00E62031" w:rsidRPr="00ED485F">
        <w:rPr>
          <w:rFonts w:hint="cs"/>
          <w:rtl/>
        </w:rPr>
        <w:t xml:space="preserve">حتياجات التكنولوجية </w:t>
      </w:r>
      <w:r w:rsidR="000E4D2E" w:rsidRPr="00ED485F">
        <w:rPr>
          <w:rFonts w:hint="cs"/>
          <w:rtl/>
        </w:rPr>
        <w:t xml:space="preserve">المحلية </w:t>
      </w:r>
      <w:r w:rsidR="00E62031" w:rsidRPr="00ED485F">
        <w:rPr>
          <w:rFonts w:hint="cs"/>
          <w:rtl/>
        </w:rPr>
        <w:t>والتكيف</w:t>
      </w:r>
      <w:r w:rsidR="005F341B" w:rsidRPr="00ED485F">
        <w:rPr>
          <w:rFonts w:hint="cs"/>
          <w:rtl/>
        </w:rPr>
        <w:t>.</w:t>
      </w:r>
      <w:r w:rsidR="00E62031" w:rsidRPr="00ED485F">
        <w:rPr>
          <w:rFonts w:hint="cs"/>
          <w:rtl/>
        </w:rPr>
        <w:t xml:space="preserve"> </w:t>
      </w:r>
      <w:r w:rsidR="00B6706A" w:rsidRPr="00ED485F">
        <w:rPr>
          <w:rFonts w:hint="cs"/>
          <w:rtl/>
        </w:rPr>
        <w:t>وفي الوقت نفسه،</w:t>
      </w:r>
      <w:r w:rsidR="000E4D2E" w:rsidRPr="00ED485F">
        <w:rPr>
          <w:rFonts w:hint="cs"/>
          <w:rtl/>
        </w:rPr>
        <w:t xml:space="preserve"> رفع </w:t>
      </w:r>
      <w:r w:rsidR="00B6706A" w:rsidRPr="00ED485F">
        <w:rPr>
          <w:rFonts w:hint="cs"/>
          <w:rtl/>
        </w:rPr>
        <w:t xml:space="preserve">تكاليف استخدام مصادر الطاقة القائمة على الكربون على الصعيد العالمي وتحسين المناخ للاستثمار في البلدان الفقيرة، </w:t>
      </w:r>
      <w:r w:rsidR="005F341B" w:rsidRPr="00ED485F">
        <w:rPr>
          <w:rFonts w:hint="cs"/>
          <w:rtl/>
        </w:rPr>
        <w:t xml:space="preserve">بغية </w:t>
      </w:r>
      <w:r w:rsidR="00160283" w:rsidRPr="00ED485F">
        <w:rPr>
          <w:rFonts w:hint="cs"/>
          <w:rtl/>
        </w:rPr>
        <w:t xml:space="preserve">تحسين تدفق التكنولوجيات المستدامة بيئيا </w:t>
      </w:r>
      <w:r w:rsidR="005F341B" w:rsidRPr="00ED485F">
        <w:t>(ESTs)</w:t>
      </w:r>
      <w:r w:rsidR="005F341B" w:rsidRPr="00ED485F">
        <w:rPr>
          <w:rFonts w:hint="cs"/>
          <w:rtl/>
        </w:rPr>
        <w:t xml:space="preserve"> </w:t>
      </w:r>
      <w:r w:rsidR="00160283" w:rsidRPr="00ED485F">
        <w:rPr>
          <w:rFonts w:hint="cs"/>
          <w:rtl/>
        </w:rPr>
        <w:t>عبر الحدود.</w:t>
      </w:r>
    </w:p>
    <w:p w:rsidR="005F341B" w:rsidRPr="00ED485F" w:rsidRDefault="00173005" w:rsidP="00173005">
      <w:pPr>
        <w:pStyle w:val="NumberedParaAR"/>
        <w:numPr>
          <w:ilvl w:val="0"/>
          <w:numId w:val="47"/>
        </w:numPr>
        <w:tabs>
          <w:tab w:val="right" w:pos="566"/>
        </w:tabs>
        <w:ind w:left="567" w:firstLine="0"/>
      </w:pPr>
      <w:r>
        <w:rPr>
          <w:rFonts w:hint="cs"/>
          <w:rtl/>
        </w:rPr>
        <w:t>و</w:t>
      </w:r>
      <w:r w:rsidR="005F341B" w:rsidRPr="00ED485F">
        <w:rPr>
          <w:rFonts w:hint="cs"/>
          <w:rtl/>
        </w:rPr>
        <w:t>يجب أن يُسفر التمويل الحكومي للبحث والتطوير عن ملكية جزئي</w:t>
      </w:r>
      <w:r w:rsidR="005F341B" w:rsidRPr="00ED485F">
        <w:rPr>
          <w:rFonts w:hint="eastAsia"/>
          <w:rtl/>
        </w:rPr>
        <w:t>ة</w:t>
      </w:r>
      <w:r w:rsidR="005F341B" w:rsidRPr="00ED485F">
        <w:rPr>
          <w:rFonts w:hint="cs"/>
          <w:rtl/>
        </w:rPr>
        <w:t xml:space="preserve"> </w:t>
      </w:r>
      <w:r w:rsidR="001318B7" w:rsidRPr="00ED485F">
        <w:rPr>
          <w:rFonts w:hint="cs"/>
          <w:rtl/>
        </w:rPr>
        <w:t>للبراءات الناتجة</w:t>
      </w:r>
      <w:r w:rsidR="004170E6" w:rsidRPr="00ED485F">
        <w:rPr>
          <w:rFonts w:hint="cs"/>
          <w:rtl/>
        </w:rPr>
        <w:t xml:space="preserve"> على الأقل</w:t>
      </w:r>
      <w:r w:rsidR="00D8428A" w:rsidRPr="00ED485F">
        <w:rPr>
          <w:rFonts w:hint="cs"/>
          <w:rtl/>
        </w:rPr>
        <w:t>؛ وذلك لتمكين الحكومات المعنية من التأثير على تدفق التكنولوجيا إلى البلدان النامية.</w:t>
      </w:r>
    </w:p>
    <w:p w:rsidR="005630AE" w:rsidRDefault="005630AE" w:rsidP="004170E6">
      <w:pPr>
        <w:pStyle w:val="NumberedParaAR"/>
        <w:numPr>
          <w:ilvl w:val="0"/>
          <w:numId w:val="0"/>
        </w:numPr>
        <w:tabs>
          <w:tab w:val="right" w:pos="566"/>
        </w:tabs>
        <w:rPr>
          <w:b/>
          <w:bCs/>
          <w:sz w:val="40"/>
          <w:szCs w:val="40"/>
          <w:rtl/>
        </w:rPr>
        <w:sectPr w:rsidR="005630AE" w:rsidSect="005630AE">
          <w:headerReference w:type="default" r:id="rId11"/>
          <w:headerReference w:type="first" r:id="rId12"/>
          <w:pgSz w:w="11907" w:h="16840" w:code="9"/>
          <w:pgMar w:top="567" w:right="1418" w:bottom="1418" w:left="1134" w:header="510" w:footer="1021" w:gutter="0"/>
          <w:pgNumType w:start="1"/>
          <w:cols w:space="720"/>
          <w:titlePg/>
          <w:docGrid w:linePitch="299"/>
        </w:sectPr>
      </w:pPr>
    </w:p>
    <w:p w:rsidR="00D8428A" w:rsidRPr="00ED485F" w:rsidRDefault="009C735A" w:rsidP="009C735A">
      <w:pPr>
        <w:pStyle w:val="NumberedParaAR"/>
        <w:numPr>
          <w:ilvl w:val="0"/>
          <w:numId w:val="0"/>
        </w:numPr>
        <w:tabs>
          <w:tab w:val="right" w:pos="566"/>
        </w:tabs>
        <w:rPr>
          <w:b/>
          <w:bCs/>
          <w:sz w:val="40"/>
          <w:szCs w:val="40"/>
          <w:rtl/>
        </w:rPr>
      </w:pPr>
      <w:proofErr w:type="gramStart"/>
      <w:r w:rsidRPr="009C735A">
        <w:rPr>
          <w:rFonts w:hint="cs"/>
          <w:b/>
          <w:bCs/>
          <w:sz w:val="40"/>
          <w:szCs w:val="40"/>
          <w:rtl/>
        </w:rPr>
        <w:lastRenderedPageBreak/>
        <w:t>استعراض</w:t>
      </w:r>
      <w:proofErr w:type="gramEnd"/>
      <w:r w:rsidRPr="009C735A">
        <w:rPr>
          <w:rFonts w:hint="cs"/>
          <w:b/>
          <w:bCs/>
          <w:sz w:val="40"/>
          <w:szCs w:val="40"/>
          <w:rtl/>
        </w:rPr>
        <w:t xml:space="preserve"> الدراسة (أ): أ. </w:t>
      </w:r>
      <w:proofErr w:type="spellStart"/>
      <w:r w:rsidRPr="009C735A">
        <w:rPr>
          <w:rFonts w:hint="cs"/>
          <w:b/>
          <w:bCs/>
          <w:sz w:val="40"/>
          <w:szCs w:val="40"/>
          <w:rtl/>
        </w:rPr>
        <w:t>داموداران</w:t>
      </w:r>
      <w:proofErr w:type="spellEnd"/>
      <w:r w:rsidRPr="009C735A">
        <w:rPr>
          <w:rFonts w:hint="cs"/>
          <w:b/>
          <w:bCs/>
          <w:sz w:val="40"/>
          <w:szCs w:val="40"/>
          <w:rtl/>
        </w:rPr>
        <w:t>، "اقتصاديات الملكية الفكرية  ونقل التكنولوجيا على الصعيد العالمي"</w:t>
      </w:r>
    </w:p>
    <w:p w:rsidR="00D8428A" w:rsidRPr="00ED485F" w:rsidRDefault="00D8428A" w:rsidP="004170E6">
      <w:pPr>
        <w:pStyle w:val="NumberedParaAR"/>
        <w:numPr>
          <w:ilvl w:val="0"/>
          <w:numId w:val="0"/>
        </w:numPr>
        <w:tabs>
          <w:tab w:val="right" w:pos="566"/>
        </w:tabs>
        <w:rPr>
          <w:b/>
          <w:bCs/>
          <w:sz w:val="40"/>
          <w:szCs w:val="40"/>
        </w:rPr>
      </w:pPr>
      <w:r w:rsidRPr="00ED485F">
        <w:rPr>
          <w:rFonts w:hint="cs"/>
          <w:b/>
          <w:bCs/>
          <w:sz w:val="40"/>
          <w:szCs w:val="40"/>
          <w:rtl/>
        </w:rPr>
        <w:t xml:space="preserve">خبير الاستعراض: </w:t>
      </w:r>
      <w:r w:rsidR="004170E6" w:rsidRPr="00ED485F">
        <w:rPr>
          <w:rFonts w:hint="cs"/>
          <w:b/>
          <w:bCs/>
          <w:sz w:val="40"/>
          <w:szCs w:val="40"/>
          <w:rtl/>
        </w:rPr>
        <w:t>البروفسور</w:t>
      </w:r>
      <w:r w:rsidRPr="00ED485F">
        <w:rPr>
          <w:rFonts w:hint="cs"/>
          <w:b/>
          <w:bCs/>
          <w:sz w:val="40"/>
          <w:szCs w:val="40"/>
          <w:rtl/>
        </w:rPr>
        <w:t xml:space="preserve"> فرانسيسكو يسوني، جامعة بوكوني، ميلانو، إيطاليا</w:t>
      </w:r>
    </w:p>
    <w:p w:rsidR="003D0CB3" w:rsidRPr="00ED485F" w:rsidRDefault="00BD486C" w:rsidP="00BD486C">
      <w:pPr>
        <w:pStyle w:val="NumberedParaAR"/>
        <w:numPr>
          <w:ilvl w:val="0"/>
          <w:numId w:val="0"/>
        </w:numPr>
        <w:tabs>
          <w:tab w:val="right" w:pos="566"/>
        </w:tabs>
        <w:rPr>
          <w:sz w:val="40"/>
          <w:szCs w:val="40"/>
          <w:rtl/>
        </w:rPr>
      </w:pPr>
      <w:proofErr w:type="gramStart"/>
      <w:r w:rsidRPr="00ED485F">
        <w:rPr>
          <w:rFonts w:hint="cs"/>
          <w:sz w:val="40"/>
          <w:szCs w:val="40"/>
          <w:rtl/>
        </w:rPr>
        <w:t>هيكل</w:t>
      </w:r>
      <w:proofErr w:type="gramEnd"/>
      <w:r w:rsidRPr="00ED485F">
        <w:rPr>
          <w:rFonts w:hint="cs"/>
          <w:sz w:val="40"/>
          <w:szCs w:val="40"/>
          <w:rtl/>
        </w:rPr>
        <w:t xml:space="preserve"> الدراسة</w:t>
      </w:r>
    </w:p>
    <w:p w:rsidR="00BD486C" w:rsidRPr="00ED485F" w:rsidRDefault="000C0686" w:rsidP="00A03585">
      <w:pPr>
        <w:pStyle w:val="NumberedParaAR"/>
        <w:numPr>
          <w:ilvl w:val="0"/>
          <w:numId w:val="0"/>
        </w:numPr>
        <w:tabs>
          <w:tab w:val="right" w:pos="566"/>
        </w:tabs>
        <w:rPr>
          <w:rtl/>
        </w:rPr>
      </w:pPr>
      <w:r w:rsidRPr="00ED485F">
        <w:rPr>
          <w:rFonts w:hint="cs"/>
          <w:rtl/>
        </w:rPr>
        <w:t>اُعدت</w:t>
      </w:r>
      <w:r w:rsidR="004170E6" w:rsidRPr="00ED485F">
        <w:rPr>
          <w:rFonts w:hint="cs"/>
          <w:rtl/>
        </w:rPr>
        <w:t xml:space="preserve"> </w:t>
      </w:r>
      <w:r w:rsidR="00BD486C" w:rsidRPr="00ED485F">
        <w:rPr>
          <w:rFonts w:hint="cs"/>
          <w:rtl/>
        </w:rPr>
        <w:t xml:space="preserve">الدراسة في شكل </w:t>
      </w:r>
      <w:r w:rsidR="00673376" w:rsidRPr="00ED485F">
        <w:rPr>
          <w:rFonts w:hint="cs"/>
          <w:rtl/>
        </w:rPr>
        <w:t>ورقات ثلاث،</w:t>
      </w:r>
      <w:r w:rsidR="00BD486C" w:rsidRPr="00ED485F">
        <w:rPr>
          <w:rFonts w:hint="cs"/>
          <w:rtl/>
        </w:rPr>
        <w:t xml:space="preserve"> لكن من غير الواضح ما إذا كان المؤلف </w:t>
      </w:r>
      <w:r w:rsidR="0053613F" w:rsidRPr="00ED485F">
        <w:rPr>
          <w:rFonts w:hint="cs"/>
          <w:rtl/>
        </w:rPr>
        <w:t xml:space="preserve">يقصد </w:t>
      </w:r>
      <w:r w:rsidR="00BD486C" w:rsidRPr="00ED485F">
        <w:rPr>
          <w:rFonts w:hint="cs"/>
          <w:rtl/>
        </w:rPr>
        <w:t>قراءتها معا أ</w:t>
      </w:r>
      <w:r w:rsidRPr="00ED485F">
        <w:rPr>
          <w:rFonts w:hint="cs"/>
          <w:rtl/>
        </w:rPr>
        <w:t>م</w:t>
      </w:r>
      <w:r w:rsidR="00BD486C" w:rsidRPr="00ED485F">
        <w:rPr>
          <w:rFonts w:hint="cs"/>
          <w:rtl/>
        </w:rPr>
        <w:t xml:space="preserve"> بصورة منفصلة</w:t>
      </w:r>
      <w:r w:rsidR="00673376" w:rsidRPr="00ED485F">
        <w:rPr>
          <w:rFonts w:hint="cs"/>
          <w:rtl/>
        </w:rPr>
        <w:t>. من ناحية، لُخصت الورقات الثلاث في ورقة واحدة</w:t>
      </w:r>
      <w:r w:rsidR="00E06932" w:rsidRPr="00ED485F">
        <w:rPr>
          <w:rFonts w:hint="cs"/>
          <w:rtl/>
        </w:rPr>
        <w:t xml:space="preserve"> </w:t>
      </w:r>
      <w:r w:rsidR="001D5A16" w:rsidRPr="00ED485F">
        <w:rPr>
          <w:rFonts w:hint="cs"/>
          <w:rtl/>
        </w:rPr>
        <w:t xml:space="preserve">وقُدمت، </w:t>
      </w:r>
      <w:r w:rsidR="00E06932" w:rsidRPr="00ED485F">
        <w:rPr>
          <w:rFonts w:hint="cs"/>
          <w:rtl/>
        </w:rPr>
        <w:t>مع ملخص</w:t>
      </w:r>
      <w:r w:rsidR="001D5A16" w:rsidRPr="00ED485F">
        <w:rPr>
          <w:rFonts w:hint="cs"/>
          <w:rtl/>
        </w:rPr>
        <w:t xml:space="preserve"> عملي</w:t>
      </w:r>
      <w:r w:rsidR="00E06932" w:rsidRPr="00ED485F">
        <w:rPr>
          <w:rFonts w:hint="cs"/>
          <w:rtl/>
        </w:rPr>
        <w:t xml:space="preserve"> </w:t>
      </w:r>
      <w:proofErr w:type="spellStart"/>
      <w:r w:rsidR="000C76EF">
        <w:rPr>
          <w:rFonts w:hint="cs"/>
          <w:rtl/>
        </w:rPr>
        <w:t>واح</w:t>
      </w:r>
      <w:r w:rsidR="00E06932" w:rsidRPr="00ED485F">
        <w:rPr>
          <w:rFonts w:hint="cs"/>
          <w:rtl/>
        </w:rPr>
        <w:t>د</w:t>
      </w:r>
      <w:proofErr w:type="gramStart"/>
      <w:r w:rsidR="001D5A16" w:rsidRPr="00ED485F">
        <w:rPr>
          <w:rFonts w:hint="cs"/>
          <w:rtl/>
        </w:rPr>
        <w:t>،ٍ</w:t>
      </w:r>
      <w:proofErr w:type="spellEnd"/>
      <w:proofErr w:type="gramEnd"/>
      <w:r w:rsidR="00E06932" w:rsidRPr="00ED485F">
        <w:rPr>
          <w:rFonts w:hint="cs"/>
          <w:rtl/>
        </w:rPr>
        <w:t xml:space="preserve"> </w:t>
      </w:r>
      <w:r w:rsidR="00673376" w:rsidRPr="00ED485F">
        <w:rPr>
          <w:rFonts w:hint="cs"/>
          <w:rtl/>
        </w:rPr>
        <w:t xml:space="preserve">كورقة تكميلية. ومن ناحية أخرى ثمة تداخل كبير </w:t>
      </w:r>
      <w:r w:rsidR="00511CF1" w:rsidRPr="00ED485F">
        <w:rPr>
          <w:rFonts w:hint="cs"/>
          <w:rtl/>
        </w:rPr>
        <w:t>بين محتويات الورقات الثلاث</w:t>
      </w:r>
      <w:r w:rsidR="00385584" w:rsidRPr="00ED485F">
        <w:rPr>
          <w:rFonts w:hint="cs"/>
          <w:rtl/>
        </w:rPr>
        <w:t xml:space="preserve">، </w:t>
      </w:r>
      <w:r w:rsidR="001D5A16" w:rsidRPr="00ED485F">
        <w:rPr>
          <w:rFonts w:hint="cs"/>
          <w:rtl/>
        </w:rPr>
        <w:t>و</w:t>
      </w:r>
      <w:r w:rsidR="00F87CF4" w:rsidRPr="00ED485F">
        <w:rPr>
          <w:rFonts w:hint="cs"/>
          <w:rtl/>
        </w:rPr>
        <w:t xml:space="preserve">يكاد </w:t>
      </w:r>
      <w:r w:rsidR="00E06932" w:rsidRPr="00ED485F">
        <w:rPr>
          <w:rFonts w:hint="cs"/>
          <w:rtl/>
        </w:rPr>
        <w:t xml:space="preserve">التداخل </w:t>
      </w:r>
      <w:r w:rsidR="00F87CF4" w:rsidRPr="00ED485F">
        <w:rPr>
          <w:rFonts w:hint="cs"/>
          <w:rtl/>
        </w:rPr>
        <w:t xml:space="preserve">يكون </w:t>
      </w:r>
      <w:r w:rsidR="00385584" w:rsidRPr="00ED485F">
        <w:rPr>
          <w:rFonts w:hint="cs"/>
          <w:rtl/>
        </w:rPr>
        <w:t>حرفيا في بعض الحالات</w:t>
      </w:r>
      <w:r w:rsidR="001D5A16" w:rsidRPr="00ED485F">
        <w:rPr>
          <w:rFonts w:hint="cs"/>
          <w:rtl/>
        </w:rPr>
        <w:t>؛</w:t>
      </w:r>
      <w:r w:rsidR="000C76EF">
        <w:t xml:space="preserve"> </w:t>
      </w:r>
      <w:r w:rsidR="00891B1B">
        <w:rPr>
          <w:rFonts w:hint="cs"/>
          <w:rtl/>
        </w:rPr>
        <w:t>إذ تُ</w:t>
      </w:r>
      <w:r w:rsidR="00385584" w:rsidRPr="00ED485F">
        <w:rPr>
          <w:rFonts w:hint="cs"/>
          <w:rtl/>
        </w:rPr>
        <w:t xml:space="preserve">ستخدم الجمل نفسها أو تسلسل الجمل نفسه </w:t>
      </w:r>
      <w:r w:rsidR="0053613F" w:rsidRPr="00ED485F">
        <w:rPr>
          <w:rFonts w:hint="cs"/>
          <w:rtl/>
        </w:rPr>
        <w:t xml:space="preserve">في أكثر من ورقة </w:t>
      </w:r>
      <w:r w:rsidR="00385584" w:rsidRPr="00ED485F">
        <w:rPr>
          <w:rFonts w:hint="cs"/>
          <w:rtl/>
        </w:rPr>
        <w:t>(قارن، على سبيل المثال، الفقرات</w:t>
      </w:r>
      <w:r w:rsidR="001D5A16" w:rsidRPr="00ED485F">
        <w:rPr>
          <w:rFonts w:hint="cs"/>
          <w:rtl/>
        </w:rPr>
        <w:t xml:space="preserve"> </w:t>
      </w:r>
      <w:r w:rsidR="00385584" w:rsidRPr="00ED485F">
        <w:rPr>
          <w:rFonts w:hint="cs"/>
          <w:rtl/>
        </w:rPr>
        <w:t xml:space="preserve">327 </w:t>
      </w:r>
      <w:r w:rsidR="0097263C" w:rsidRPr="00ED485F">
        <w:rPr>
          <w:rFonts w:hint="cs"/>
          <w:rtl/>
        </w:rPr>
        <w:t>-</w:t>
      </w:r>
      <w:r w:rsidR="00385584" w:rsidRPr="00ED485F">
        <w:rPr>
          <w:rFonts w:hint="cs"/>
          <w:rtl/>
        </w:rPr>
        <w:t xml:space="preserve"> 344 في الورقة 3 بالفقرات 165 </w:t>
      </w:r>
      <w:r w:rsidR="0097263C" w:rsidRPr="00ED485F">
        <w:rPr>
          <w:rFonts w:hint="cs"/>
          <w:rtl/>
        </w:rPr>
        <w:t xml:space="preserve">- </w:t>
      </w:r>
      <w:r w:rsidR="00385584" w:rsidRPr="00ED485F">
        <w:rPr>
          <w:rFonts w:hint="cs"/>
          <w:rtl/>
        </w:rPr>
        <w:t>176 في الورقة 1</w:t>
      </w:r>
      <w:r w:rsidR="009C735A">
        <w:rPr>
          <w:rFonts w:hint="cs"/>
          <w:rtl/>
        </w:rPr>
        <w:t>،</w:t>
      </w:r>
      <w:r w:rsidR="00385584" w:rsidRPr="00ED485F">
        <w:rPr>
          <w:rFonts w:hint="cs"/>
          <w:rtl/>
        </w:rPr>
        <w:t xml:space="preserve"> أو </w:t>
      </w:r>
      <w:r w:rsidR="00A03585">
        <w:rPr>
          <w:rFonts w:hint="cs"/>
          <w:rtl/>
        </w:rPr>
        <w:t>الفقرات 25 و27 و29</w:t>
      </w:r>
      <w:r w:rsidR="00F87CF4" w:rsidRPr="00ED485F">
        <w:rPr>
          <w:rFonts w:hint="cs"/>
          <w:rtl/>
        </w:rPr>
        <w:t xml:space="preserve"> في الورقة 1 بالفقرات 202 و203 و201 في الورقة)</w:t>
      </w:r>
      <w:r w:rsidR="0097263C" w:rsidRPr="00ED485F">
        <w:rPr>
          <w:rFonts w:hint="cs"/>
          <w:rtl/>
        </w:rPr>
        <w:t>،</w:t>
      </w:r>
      <w:r w:rsidR="00F87CF4" w:rsidRPr="00ED485F">
        <w:rPr>
          <w:rFonts w:hint="cs"/>
          <w:rtl/>
        </w:rPr>
        <w:t xml:space="preserve"> </w:t>
      </w:r>
      <w:r w:rsidR="001D5A16" w:rsidRPr="00ED485F">
        <w:rPr>
          <w:rFonts w:hint="cs"/>
          <w:rtl/>
        </w:rPr>
        <w:t>ومن شأن ذلك أن</w:t>
      </w:r>
      <w:r w:rsidR="00F87CF4" w:rsidRPr="00ED485F">
        <w:rPr>
          <w:rFonts w:hint="cs"/>
          <w:rtl/>
        </w:rPr>
        <w:t xml:space="preserve"> </w:t>
      </w:r>
      <w:r w:rsidR="001D5A16" w:rsidRPr="00ED485F">
        <w:rPr>
          <w:rFonts w:hint="cs"/>
          <w:rtl/>
        </w:rPr>
        <w:t>ي</w:t>
      </w:r>
      <w:r w:rsidR="00F87CF4" w:rsidRPr="00ED485F">
        <w:rPr>
          <w:rFonts w:hint="cs"/>
          <w:rtl/>
        </w:rPr>
        <w:t xml:space="preserve">جعل قراءة الورقات الثلاث معا </w:t>
      </w:r>
      <w:r w:rsidR="0097263C" w:rsidRPr="00ED485F">
        <w:rPr>
          <w:rFonts w:hint="cs"/>
          <w:rtl/>
        </w:rPr>
        <w:t xml:space="preserve">أمرا شاقا للغاية سواء </w:t>
      </w:r>
      <w:r w:rsidR="001D5A16" w:rsidRPr="00ED485F">
        <w:rPr>
          <w:rFonts w:hint="cs"/>
          <w:rtl/>
        </w:rPr>
        <w:t>ل</w:t>
      </w:r>
      <w:r w:rsidR="0097263C" w:rsidRPr="00ED485F">
        <w:rPr>
          <w:rFonts w:hint="cs"/>
          <w:rtl/>
        </w:rPr>
        <w:t>طولها أ</w:t>
      </w:r>
      <w:r w:rsidR="0053613F" w:rsidRPr="00ED485F">
        <w:rPr>
          <w:rFonts w:hint="cs"/>
          <w:rtl/>
        </w:rPr>
        <w:t>م</w:t>
      </w:r>
      <w:r w:rsidR="00E06932" w:rsidRPr="00ED485F">
        <w:rPr>
          <w:rFonts w:hint="cs"/>
          <w:rtl/>
        </w:rPr>
        <w:t xml:space="preserve"> </w:t>
      </w:r>
      <w:r w:rsidR="0097263C" w:rsidRPr="00ED485F">
        <w:rPr>
          <w:rFonts w:hint="cs"/>
          <w:rtl/>
        </w:rPr>
        <w:t>لافتقارها إلى أهداف واضحة مميزة</w:t>
      </w:r>
      <w:r w:rsidR="001D5A16" w:rsidRPr="00ED485F">
        <w:rPr>
          <w:rFonts w:hint="cs"/>
          <w:rtl/>
        </w:rPr>
        <w:t xml:space="preserve"> </w:t>
      </w:r>
      <w:r w:rsidR="0097263C" w:rsidRPr="00ED485F">
        <w:rPr>
          <w:rFonts w:hint="cs"/>
          <w:rtl/>
        </w:rPr>
        <w:t>(مرارا وتكرارا ،يُعاد القارئ إلى مسائل نوقشت بالفعل</w:t>
      </w:r>
      <w:r w:rsidR="00E06932" w:rsidRPr="00ED485F">
        <w:rPr>
          <w:rFonts w:hint="cs"/>
          <w:rtl/>
        </w:rPr>
        <w:t xml:space="preserve">، وتُعرض عليه توصيات </w:t>
      </w:r>
      <w:r w:rsidR="001D5A16" w:rsidRPr="00ED485F">
        <w:rPr>
          <w:rFonts w:hint="cs"/>
          <w:rtl/>
        </w:rPr>
        <w:t>ل</w:t>
      </w:r>
      <w:r w:rsidR="00E06932" w:rsidRPr="00ED485F">
        <w:rPr>
          <w:rFonts w:hint="cs"/>
          <w:rtl/>
        </w:rPr>
        <w:t xml:space="preserve">لسياسة </w:t>
      </w:r>
      <w:r w:rsidR="00D25447" w:rsidRPr="00ED485F">
        <w:rPr>
          <w:rFonts w:hint="cs"/>
          <w:rtl/>
        </w:rPr>
        <w:t xml:space="preserve">العامة </w:t>
      </w:r>
      <w:r w:rsidR="001D5A16" w:rsidRPr="00ED485F">
        <w:rPr>
          <w:rFonts w:hint="cs"/>
          <w:rtl/>
        </w:rPr>
        <w:t xml:space="preserve">سبق تقديمها </w:t>
      </w:r>
      <w:r w:rsidR="00E06932" w:rsidRPr="00ED485F">
        <w:rPr>
          <w:rFonts w:hint="cs"/>
          <w:rtl/>
        </w:rPr>
        <w:t>بالفعل</w:t>
      </w:r>
      <w:r w:rsidR="00983975" w:rsidRPr="00ED485F">
        <w:rPr>
          <w:rFonts w:hint="cs"/>
          <w:rtl/>
        </w:rPr>
        <w:t>)</w:t>
      </w:r>
    </w:p>
    <w:p w:rsidR="00D25447" w:rsidRPr="00ED485F" w:rsidRDefault="0053613F" w:rsidP="00891B1B">
      <w:pPr>
        <w:pStyle w:val="NumberedParaAR"/>
        <w:numPr>
          <w:ilvl w:val="0"/>
          <w:numId w:val="0"/>
        </w:numPr>
        <w:tabs>
          <w:tab w:val="right" w:pos="566"/>
        </w:tabs>
        <w:rPr>
          <w:rtl/>
        </w:rPr>
      </w:pPr>
      <w:proofErr w:type="gramStart"/>
      <w:r w:rsidRPr="00ED485F">
        <w:rPr>
          <w:rFonts w:hint="cs"/>
          <w:rtl/>
        </w:rPr>
        <w:t>ومن</w:t>
      </w:r>
      <w:proofErr w:type="gramEnd"/>
      <w:r w:rsidRPr="00ED485F">
        <w:rPr>
          <w:rFonts w:hint="cs"/>
          <w:rtl/>
        </w:rPr>
        <w:t xml:space="preserve"> المسائل</w:t>
      </w:r>
      <w:r w:rsidR="00D25447" w:rsidRPr="00ED485F">
        <w:rPr>
          <w:rFonts w:hint="cs"/>
          <w:rtl/>
        </w:rPr>
        <w:t xml:space="preserve"> </w:t>
      </w:r>
      <w:r w:rsidRPr="00ED485F">
        <w:rPr>
          <w:rFonts w:hint="cs"/>
          <w:rtl/>
        </w:rPr>
        <w:t>ال</w:t>
      </w:r>
      <w:r w:rsidR="00D25447" w:rsidRPr="00ED485F">
        <w:rPr>
          <w:rFonts w:hint="cs"/>
          <w:rtl/>
        </w:rPr>
        <w:t xml:space="preserve">رئيسية </w:t>
      </w:r>
      <w:r w:rsidR="004D058C" w:rsidRPr="00ED485F">
        <w:rPr>
          <w:rFonts w:hint="cs"/>
          <w:rtl/>
        </w:rPr>
        <w:t xml:space="preserve">الأخرى </w:t>
      </w:r>
      <w:r w:rsidR="00937629" w:rsidRPr="00ED485F">
        <w:rPr>
          <w:rFonts w:hint="cs"/>
          <w:rtl/>
        </w:rPr>
        <w:t>ل</w:t>
      </w:r>
      <w:r w:rsidR="00D25447" w:rsidRPr="00ED485F">
        <w:rPr>
          <w:rFonts w:hint="cs"/>
          <w:rtl/>
        </w:rPr>
        <w:t xml:space="preserve">لدراسة أنها تناقش باستفاضة </w:t>
      </w:r>
      <w:r w:rsidR="005B5DDB" w:rsidRPr="00ED485F">
        <w:rPr>
          <w:rFonts w:hint="cs"/>
          <w:rtl/>
        </w:rPr>
        <w:t xml:space="preserve">مسائل </w:t>
      </w:r>
      <w:r w:rsidR="004D058C" w:rsidRPr="00ED485F">
        <w:rPr>
          <w:rFonts w:hint="cs"/>
          <w:rtl/>
        </w:rPr>
        <w:t xml:space="preserve">سياسة </w:t>
      </w:r>
      <w:r w:rsidR="005B5DDB" w:rsidRPr="00ED485F">
        <w:rPr>
          <w:rFonts w:hint="cs"/>
          <w:rtl/>
        </w:rPr>
        <w:t xml:space="preserve">عامة </w:t>
      </w:r>
      <w:r w:rsidR="004D058C" w:rsidRPr="00ED485F">
        <w:rPr>
          <w:rFonts w:hint="cs"/>
          <w:rtl/>
        </w:rPr>
        <w:t xml:space="preserve">لا تتعلق </w:t>
      </w:r>
      <w:r w:rsidR="005B5DDB" w:rsidRPr="00ED485F">
        <w:rPr>
          <w:rFonts w:hint="cs"/>
          <w:rtl/>
        </w:rPr>
        <w:t>ب</w:t>
      </w:r>
      <w:r w:rsidR="00D25447" w:rsidRPr="00ED485F">
        <w:rPr>
          <w:rFonts w:hint="cs"/>
          <w:rtl/>
        </w:rPr>
        <w:t xml:space="preserve">حقوق </w:t>
      </w:r>
      <w:r w:rsidR="005B5DDB" w:rsidRPr="00ED485F">
        <w:rPr>
          <w:rFonts w:hint="cs"/>
          <w:rtl/>
        </w:rPr>
        <w:t>ال</w:t>
      </w:r>
      <w:r w:rsidR="00D25447" w:rsidRPr="00ED485F">
        <w:rPr>
          <w:rFonts w:hint="cs"/>
          <w:rtl/>
        </w:rPr>
        <w:t xml:space="preserve">ملكية </w:t>
      </w:r>
      <w:r w:rsidR="005B5DDB" w:rsidRPr="00ED485F">
        <w:rPr>
          <w:rFonts w:hint="cs"/>
          <w:rtl/>
        </w:rPr>
        <w:t>ال</w:t>
      </w:r>
      <w:r w:rsidR="00D25447" w:rsidRPr="00ED485F">
        <w:rPr>
          <w:rFonts w:hint="cs"/>
          <w:rtl/>
        </w:rPr>
        <w:t>فكرية</w:t>
      </w:r>
      <w:r w:rsidR="004D058C" w:rsidRPr="00ED485F">
        <w:rPr>
          <w:rFonts w:hint="cs"/>
          <w:rtl/>
        </w:rPr>
        <w:t>.</w:t>
      </w:r>
      <w:r w:rsidR="006260EF" w:rsidRPr="00ED485F">
        <w:rPr>
          <w:rFonts w:hint="cs"/>
          <w:rtl/>
        </w:rPr>
        <w:t xml:space="preserve"> </w:t>
      </w:r>
      <w:proofErr w:type="gramStart"/>
      <w:r w:rsidR="006260EF" w:rsidRPr="00ED485F">
        <w:rPr>
          <w:rFonts w:hint="cs"/>
          <w:rtl/>
        </w:rPr>
        <w:t>وينطبق</w:t>
      </w:r>
      <w:proofErr w:type="gramEnd"/>
      <w:r w:rsidR="006260EF" w:rsidRPr="00ED485F">
        <w:rPr>
          <w:rFonts w:hint="cs"/>
          <w:rtl/>
        </w:rPr>
        <w:t xml:space="preserve"> هذا على وجه الخصوص على تمويل الاستثمار في التكنولوجيات النظيفة في الورقة 3: </w:t>
      </w:r>
      <w:r w:rsidR="00DC64DD" w:rsidRPr="00ED485F">
        <w:rPr>
          <w:rFonts w:hint="cs"/>
          <w:rtl/>
        </w:rPr>
        <w:t>في حين أن</w:t>
      </w:r>
      <w:r w:rsidR="006260EF" w:rsidRPr="00ED485F">
        <w:rPr>
          <w:rFonts w:hint="cs"/>
          <w:rtl/>
        </w:rPr>
        <w:t xml:space="preserve"> </w:t>
      </w:r>
      <w:r w:rsidR="00DC64DD" w:rsidRPr="00ED485F">
        <w:rPr>
          <w:rFonts w:hint="cs"/>
          <w:rtl/>
        </w:rPr>
        <w:t>هناك</w:t>
      </w:r>
      <w:r w:rsidR="005B5DDB" w:rsidRPr="00ED485F">
        <w:rPr>
          <w:rFonts w:hint="cs"/>
          <w:rtl/>
        </w:rPr>
        <w:t xml:space="preserve"> </w:t>
      </w:r>
      <w:r w:rsidR="006260EF" w:rsidRPr="00ED485F">
        <w:rPr>
          <w:rFonts w:hint="cs"/>
          <w:rtl/>
        </w:rPr>
        <w:t xml:space="preserve">صلة واضحة </w:t>
      </w:r>
      <w:r w:rsidR="005B5DDB" w:rsidRPr="00ED485F">
        <w:rPr>
          <w:rFonts w:hint="cs"/>
          <w:rtl/>
        </w:rPr>
        <w:t>بمسائل الملكية الفكرية</w:t>
      </w:r>
      <w:r w:rsidR="00DC64DD" w:rsidRPr="00ED485F">
        <w:rPr>
          <w:rFonts w:hint="cs"/>
          <w:rtl/>
        </w:rPr>
        <w:t xml:space="preserve"> فإن</w:t>
      </w:r>
      <w:r w:rsidR="005B5DDB" w:rsidRPr="00ED485F">
        <w:rPr>
          <w:rFonts w:hint="cs"/>
          <w:rtl/>
        </w:rPr>
        <w:t xml:space="preserve"> هذا يضيع في خضم التفاصيل المفرطة المقدمة عن المسائل المالية ووصف خطط التمويل الناجحة/ </w:t>
      </w:r>
      <w:r w:rsidR="00DC64DD" w:rsidRPr="00ED485F">
        <w:rPr>
          <w:rFonts w:hint="cs"/>
          <w:rtl/>
        </w:rPr>
        <w:t>الفاشلة.</w:t>
      </w:r>
    </w:p>
    <w:p w:rsidR="00DC64DD" w:rsidRPr="00ED485F" w:rsidRDefault="004D058C" w:rsidP="00930671">
      <w:pPr>
        <w:pStyle w:val="NumberedParaAR"/>
        <w:numPr>
          <w:ilvl w:val="0"/>
          <w:numId w:val="0"/>
        </w:numPr>
        <w:tabs>
          <w:tab w:val="right" w:pos="566"/>
        </w:tabs>
        <w:rPr>
          <w:rtl/>
        </w:rPr>
      </w:pPr>
      <w:proofErr w:type="gramStart"/>
      <w:r w:rsidRPr="00ED485F">
        <w:rPr>
          <w:rFonts w:hint="cs"/>
          <w:rtl/>
        </w:rPr>
        <w:t>و</w:t>
      </w:r>
      <w:r w:rsidR="00DC64DD" w:rsidRPr="00ED485F">
        <w:rPr>
          <w:rFonts w:hint="cs"/>
          <w:rtl/>
        </w:rPr>
        <w:t>تأثر</w:t>
      </w:r>
      <w:r w:rsidR="008C06AB" w:rsidRPr="00ED485F">
        <w:rPr>
          <w:rFonts w:hint="cs"/>
          <w:rtl/>
        </w:rPr>
        <w:t>ت</w:t>
      </w:r>
      <w:proofErr w:type="gramEnd"/>
      <w:r w:rsidR="00DC64DD" w:rsidRPr="00ED485F">
        <w:rPr>
          <w:rFonts w:hint="cs"/>
          <w:rtl/>
        </w:rPr>
        <w:t xml:space="preserve"> </w:t>
      </w:r>
      <w:r w:rsidR="008C06AB" w:rsidRPr="00ED485F">
        <w:rPr>
          <w:rFonts w:hint="cs"/>
          <w:rtl/>
        </w:rPr>
        <w:t xml:space="preserve">أيضا </w:t>
      </w:r>
      <w:r w:rsidR="00DC64DD" w:rsidRPr="00ED485F">
        <w:rPr>
          <w:rFonts w:hint="cs"/>
          <w:rtl/>
        </w:rPr>
        <w:t xml:space="preserve">قراءة الورقات </w:t>
      </w:r>
      <w:r w:rsidR="008C06AB" w:rsidRPr="00ED485F">
        <w:rPr>
          <w:rFonts w:hint="cs"/>
          <w:rtl/>
        </w:rPr>
        <w:t>ب</w:t>
      </w:r>
      <w:r w:rsidR="00DC64DD" w:rsidRPr="00ED485F">
        <w:rPr>
          <w:rFonts w:hint="cs"/>
          <w:rtl/>
        </w:rPr>
        <w:t>عدة</w:t>
      </w:r>
      <w:r w:rsidR="008C06AB" w:rsidRPr="00ED485F">
        <w:rPr>
          <w:rFonts w:hint="cs"/>
          <w:rtl/>
        </w:rPr>
        <w:t xml:space="preserve"> أخطاء في استخدام اللغة الإنجليزية، وبعدم وجود قائمة بالاختصارات في نهاية الدراسة</w:t>
      </w:r>
      <w:r w:rsidR="00DC03E7" w:rsidRPr="00ED485F">
        <w:rPr>
          <w:rFonts w:hint="cs"/>
          <w:rtl/>
        </w:rPr>
        <w:t xml:space="preserve"> (</w:t>
      </w:r>
      <w:r w:rsidRPr="00ED485F">
        <w:rPr>
          <w:rFonts w:hint="cs"/>
          <w:rtl/>
        </w:rPr>
        <w:t>إذ لم يدخر</w:t>
      </w:r>
      <w:r w:rsidR="003E62AF" w:rsidRPr="00ED485F">
        <w:rPr>
          <w:rFonts w:hint="cs"/>
          <w:rtl/>
        </w:rPr>
        <w:t xml:space="preserve"> المؤلف </w:t>
      </w:r>
      <w:r w:rsidRPr="00ED485F">
        <w:rPr>
          <w:rFonts w:hint="cs"/>
          <w:rtl/>
        </w:rPr>
        <w:t xml:space="preserve">وسعا في استخدامها، وغالبا </w:t>
      </w:r>
      <w:r w:rsidR="003E62AF" w:rsidRPr="00ED485F">
        <w:rPr>
          <w:rFonts w:hint="cs"/>
          <w:rtl/>
        </w:rPr>
        <w:t xml:space="preserve">ما يشرح معناها عقب استخدامها مباشرة، أو لا يشرحها على الإطلاق). </w:t>
      </w:r>
      <w:proofErr w:type="gramStart"/>
      <w:r w:rsidR="003E62AF" w:rsidRPr="00ED485F">
        <w:rPr>
          <w:rFonts w:hint="cs"/>
          <w:rtl/>
        </w:rPr>
        <w:t>وأخيرا</w:t>
      </w:r>
      <w:proofErr w:type="gramEnd"/>
      <w:r w:rsidR="003E62AF" w:rsidRPr="00ED485F">
        <w:rPr>
          <w:rFonts w:hint="cs"/>
          <w:rtl/>
        </w:rPr>
        <w:t>، تتسم بعض الأطر بالطول المفرط</w:t>
      </w:r>
      <w:r w:rsidR="00C53C62" w:rsidRPr="00ED485F">
        <w:rPr>
          <w:rFonts w:hint="cs"/>
          <w:rtl/>
        </w:rPr>
        <w:t xml:space="preserve">، أو تحتوي </w:t>
      </w:r>
      <w:r w:rsidRPr="00ED485F">
        <w:rPr>
          <w:rFonts w:hint="cs"/>
          <w:rtl/>
        </w:rPr>
        <w:t xml:space="preserve">على نفس </w:t>
      </w:r>
      <w:r w:rsidR="00C53C62" w:rsidRPr="00ED485F">
        <w:rPr>
          <w:rFonts w:hint="cs"/>
          <w:rtl/>
        </w:rPr>
        <w:t>المواد التي يمكن للمرء أن يجدها في النص</w:t>
      </w:r>
      <w:r w:rsidR="00ED702E" w:rsidRPr="00ED485F">
        <w:rPr>
          <w:rFonts w:hint="cs"/>
          <w:rtl/>
        </w:rPr>
        <w:t xml:space="preserve">. ينبغي أن تُخصص الإطارات إما لعرض موجز للدراسات الإفرادية (كما في الإطار 6.3) أو </w:t>
      </w:r>
      <w:r w:rsidR="009539A0" w:rsidRPr="00ED485F">
        <w:rPr>
          <w:rFonts w:hint="cs"/>
          <w:rtl/>
        </w:rPr>
        <w:t>ل</w:t>
      </w:r>
      <w:r w:rsidR="00ED702E" w:rsidRPr="00ED485F">
        <w:rPr>
          <w:rFonts w:hint="cs"/>
          <w:rtl/>
        </w:rPr>
        <w:t>استطرادا</w:t>
      </w:r>
      <w:r w:rsidR="00ED702E" w:rsidRPr="00ED485F">
        <w:rPr>
          <w:rFonts w:hint="eastAsia"/>
          <w:rtl/>
        </w:rPr>
        <w:t>ت</w:t>
      </w:r>
      <w:r w:rsidR="00ED702E" w:rsidRPr="00ED485F">
        <w:rPr>
          <w:rFonts w:hint="cs"/>
          <w:rtl/>
        </w:rPr>
        <w:t xml:space="preserve"> تقنية</w:t>
      </w:r>
      <w:r w:rsidR="009539A0" w:rsidRPr="00ED485F">
        <w:rPr>
          <w:rFonts w:hint="cs"/>
          <w:rtl/>
        </w:rPr>
        <w:t>.</w:t>
      </w:r>
    </w:p>
    <w:p w:rsidR="009539A0" w:rsidRPr="00ED485F" w:rsidRDefault="008C0266" w:rsidP="009539A0">
      <w:pPr>
        <w:pStyle w:val="NumberedParaAR"/>
        <w:numPr>
          <w:ilvl w:val="0"/>
          <w:numId w:val="0"/>
        </w:numPr>
        <w:tabs>
          <w:tab w:val="right" w:pos="566"/>
        </w:tabs>
        <w:rPr>
          <w:sz w:val="40"/>
          <w:szCs w:val="40"/>
          <w:rtl/>
        </w:rPr>
      </w:pPr>
      <w:r w:rsidRPr="00ED485F">
        <w:rPr>
          <w:rFonts w:hint="cs"/>
          <w:sz w:val="40"/>
          <w:szCs w:val="40"/>
          <w:rtl/>
        </w:rPr>
        <w:t>الإسهام الرئيسي</w:t>
      </w:r>
      <w:r w:rsidR="009539A0" w:rsidRPr="00ED485F">
        <w:rPr>
          <w:rFonts w:hint="cs"/>
          <w:sz w:val="40"/>
          <w:szCs w:val="40"/>
          <w:rtl/>
        </w:rPr>
        <w:t xml:space="preserve"> لحقوق الملكية الفكرية </w:t>
      </w:r>
      <w:proofErr w:type="gramStart"/>
      <w:r w:rsidR="009539A0" w:rsidRPr="00ED485F">
        <w:rPr>
          <w:rFonts w:hint="cs"/>
          <w:sz w:val="40"/>
          <w:szCs w:val="40"/>
          <w:rtl/>
        </w:rPr>
        <w:t>وإرشادات</w:t>
      </w:r>
      <w:proofErr w:type="gramEnd"/>
      <w:r w:rsidR="009539A0" w:rsidRPr="00ED485F">
        <w:rPr>
          <w:rFonts w:hint="cs"/>
          <w:sz w:val="40"/>
          <w:szCs w:val="40"/>
          <w:rtl/>
        </w:rPr>
        <w:t xml:space="preserve"> حقوق الملكية الفكرية لراسمي السياسات</w:t>
      </w:r>
    </w:p>
    <w:p w:rsidR="009539A0" w:rsidRPr="00ED485F" w:rsidRDefault="009539A0" w:rsidP="00A7179D">
      <w:pPr>
        <w:pStyle w:val="NumberedParaAR"/>
        <w:numPr>
          <w:ilvl w:val="0"/>
          <w:numId w:val="0"/>
        </w:numPr>
        <w:tabs>
          <w:tab w:val="right" w:pos="566"/>
        </w:tabs>
        <w:rPr>
          <w:rtl/>
        </w:rPr>
      </w:pPr>
      <w:r w:rsidRPr="00ED485F">
        <w:rPr>
          <w:rFonts w:hint="cs"/>
          <w:rtl/>
        </w:rPr>
        <w:t xml:space="preserve">تكمن قوة الدراسة في تحليل الهوامش القانونية القائمة في إطار اتفاق </w:t>
      </w:r>
      <w:proofErr w:type="spellStart"/>
      <w:r w:rsidRPr="00ED485F">
        <w:rPr>
          <w:rFonts w:hint="cs"/>
          <w:rtl/>
        </w:rPr>
        <w:t>تريبس</w:t>
      </w:r>
      <w:proofErr w:type="spellEnd"/>
      <w:r w:rsidR="008C0266" w:rsidRPr="00ED485F">
        <w:rPr>
          <w:rFonts w:hint="cs"/>
          <w:rtl/>
        </w:rPr>
        <w:t>،</w:t>
      </w:r>
      <w:r w:rsidRPr="00ED485F">
        <w:rPr>
          <w:rFonts w:hint="cs"/>
          <w:rtl/>
        </w:rPr>
        <w:t xml:space="preserve"> لاستخدام البراءات</w:t>
      </w:r>
      <w:r w:rsidR="007341AD" w:rsidRPr="00ED485F">
        <w:rPr>
          <w:rFonts w:hint="cs"/>
          <w:rtl/>
        </w:rPr>
        <w:t xml:space="preserve"> كأداة لنقل التكنولوجيا على الصعيد الدولي. انظر</w:t>
      </w:r>
      <w:r w:rsidR="008C0266" w:rsidRPr="00ED485F">
        <w:rPr>
          <w:rFonts w:hint="cs"/>
          <w:rtl/>
        </w:rPr>
        <w:t>،</w:t>
      </w:r>
      <w:r w:rsidR="007341AD" w:rsidRPr="00ED485F">
        <w:rPr>
          <w:rFonts w:hint="cs"/>
          <w:rtl/>
        </w:rPr>
        <w:t xml:space="preserve"> على وجه التحديد</w:t>
      </w:r>
      <w:r w:rsidR="008C0266" w:rsidRPr="00ED485F">
        <w:rPr>
          <w:rFonts w:hint="cs"/>
          <w:rtl/>
        </w:rPr>
        <w:t>،</w:t>
      </w:r>
      <w:r w:rsidR="007341AD" w:rsidRPr="00ED485F">
        <w:rPr>
          <w:rFonts w:hint="cs"/>
          <w:rtl/>
        </w:rPr>
        <w:t xml:space="preserve"> </w:t>
      </w:r>
      <w:r w:rsidR="008C0266" w:rsidRPr="00ED485F">
        <w:rPr>
          <w:rFonts w:hint="cs"/>
          <w:rtl/>
        </w:rPr>
        <w:t>البند</w:t>
      </w:r>
      <w:r w:rsidR="007341AD" w:rsidRPr="00ED485F">
        <w:rPr>
          <w:rFonts w:hint="cs"/>
          <w:rtl/>
        </w:rPr>
        <w:t xml:space="preserve"> 13 من الدراسة 1، حيث تُقدم التوصيات بشأن استخدام التراخيص الإجبارية (</w:t>
      </w:r>
      <w:r w:rsidR="00A7179D" w:rsidRPr="00ED485F">
        <w:rPr>
          <w:rFonts w:hint="cs"/>
          <w:rtl/>
        </w:rPr>
        <w:t>والنقاش بشأن</w:t>
      </w:r>
      <w:r w:rsidR="007341AD" w:rsidRPr="00ED485F">
        <w:rPr>
          <w:rFonts w:hint="cs"/>
          <w:rtl/>
        </w:rPr>
        <w:t xml:space="preserve"> طابعها غير الاستثنائي)</w:t>
      </w:r>
      <w:r w:rsidR="00A7179D" w:rsidRPr="00ED485F">
        <w:rPr>
          <w:rFonts w:hint="cs"/>
          <w:rtl/>
        </w:rPr>
        <w:t>،</w:t>
      </w:r>
      <w:r w:rsidR="007341AD" w:rsidRPr="00ED485F">
        <w:rPr>
          <w:rFonts w:hint="cs"/>
          <w:rtl/>
        </w:rPr>
        <w:t xml:space="preserve"> وبشأن إمكانية جمع البرامج الدولية</w:t>
      </w:r>
      <w:r w:rsidR="00E771F3" w:rsidRPr="00ED485F">
        <w:rPr>
          <w:rFonts w:hint="cs"/>
          <w:rtl/>
        </w:rPr>
        <w:t xml:space="preserve"> لمكافحة تغير المناخ بمجموعات البراءات. </w:t>
      </w:r>
      <w:r w:rsidR="00A7179D" w:rsidRPr="00ED485F">
        <w:rPr>
          <w:rFonts w:hint="cs"/>
          <w:rtl/>
        </w:rPr>
        <w:t xml:space="preserve">إن </w:t>
      </w:r>
      <w:r w:rsidR="00E771F3" w:rsidRPr="00ED485F">
        <w:rPr>
          <w:rFonts w:hint="cs"/>
          <w:rtl/>
        </w:rPr>
        <w:t xml:space="preserve">الإصرار على البحث عن مجال للمناورة في اتفاق </w:t>
      </w:r>
      <w:proofErr w:type="spellStart"/>
      <w:r w:rsidR="00E771F3" w:rsidRPr="00ED485F">
        <w:rPr>
          <w:rFonts w:hint="cs"/>
          <w:rtl/>
        </w:rPr>
        <w:t>تريبس</w:t>
      </w:r>
      <w:proofErr w:type="spellEnd"/>
      <w:r w:rsidR="00E771F3" w:rsidRPr="00ED485F">
        <w:rPr>
          <w:rFonts w:hint="cs"/>
          <w:rtl/>
        </w:rPr>
        <w:t xml:space="preserve"> بدلا من اقتراح </w:t>
      </w:r>
      <w:r w:rsidR="00A7179D" w:rsidRPr="00ED485F">
        <w:rPr>
          <w:rFonts w:hint="cs"/>
          <w:rtl/>
        </w:rPr>
        <w:t xml:space="preserve">إدخال </w:t>
      </w:r>
      <w:r w:rsidR="00E771F3" w:rsidRPr="00ED485F">
        <w:rPr>
          <w:rFonts w:hint="cs"/>
          <w:rtl/>
        </w:rPr>
        <w:t xml:space="preserve">إصلاحات عليه (وهو هدف </w:t>
      </w:r>
      <w:r w:rsidR="00A7179D" w:rsidRPr="00ED485F">
        <w:rPr>
          <w:rFonts w:hint="cs"/>
          <w:rtl/>
        </w:rPr>
        <w:t xml:space="preserve">أصعب </w:t>
      </w:r>
      <w:proofErr w:type="spellStart"/>
      <w:r w:rsidR="00A7179D" w:rsidRPr="00ED485F">
        <w:rPr>
          <w:rFonts w:hint="cs"/>
          <w:rtl/>
        </w:rPr>
        <w:t>منالا</w:t>
      </w:r>
      <w:proofErr w:type="spellEnd"/>
      <w:r w:rsidR="00A7179D" w:rsidRPr="00ED485F">
        <w:rPr>
          <w:rFonts w:hint="cs"/>
          <w:rtl/>
        </w:rPr>
        <w:t xml:space="preserve"> بكثير</w:t>
      </w:r>
      <w:r w:rsidR="00E771F3" w:rsidRPr="00ED485F">
        <w:rPr>
          <w:rFonts w:hint="cs"/>
          <w:rtl/>
        </w:rPr>
        <w:t>)</w:t>
      </w:r>
      <w:r w:rsidR="00ED7A95" w:rsidRPr="00ED485F">
        <w:rPr>
          <w:rFonts w:hint="cs"/>
          <w:rtl/>
        </w:rPr>
        <w:t xml:space="preserve"> تجعل التوصيات معقولة وعملية</w:t>
      </w:r>
      <w:r w:rsidR="0099446F" w:rsidRPr="00ED485F">
        <w:rPr>
          <w:rFonts w:hint="cs"/>
          <w:rtl/>
        </w:rPr>
        <w:t xml:space="preserve"> على حد سواء</w:t>
      </w:r>
      <w:r w:rsidR="00ED7A95" w:rsidRPr="00ED485F">
        <w:rPr>
          <w:rFonts w:hint="cs"/>
          <w:rtl/>
        </w:rPr>
        <w:t>.</w:t>
      </w:r>
    </w:p>
    <w:p w:rsidR="00ED7A95" w:rsidRPr="00ED485F" w:rsidRDefault="00ED7A95" w:rsidP="00E771F3">
      <w:pPr>
        <w:pStyle w:val="NumberedParaAR"/>
        <w:numPr>
          <w:ilvl w:val="0"/>
          <w:numId w:val="0"/>
        </w:numPr>
        <w:tabs>
          <w:tab w:val="right" w:pos="566"/>
        </w:tabs>
        <w:rPr>
          <w:sz w:val="40"/>
          <w:szCs w:val="40"/>
          <w:rtl/>
        </w:rPr>
      </w:pPr>
      <w:proofErr w:type="gramStart"/>
      <w:r w:rsidRPr="00ED485F">
        <w:rPr>
          <w:rFonts w:hint="cs"/>
          <w:sz w:val="40"/>
          <w:szCs w:val="40"/>
          <w:rtl/>
        </w:rPr>
        <w:t>عناصر</w:t>
      </w:r>
      <w:proofErr w:type="gramEnd"/>
      <w:r w:rsidRPr="00ED485F">
        <w:rPr>
          <w:rFonts w:hint="cs"/>
          <w:sz w:val="40"/>
          <w:szCs w:val="40"/>
          <w:rtl/>
        </w:rPr>
        <w:t xml:space="preserve"> مفقودة</w:t>
      </w:r>
    </w:p>
    <w:p w:rsidR="00ED7A95" w:rsidRPr="00ED485F" w:rsidRDefault="00ED7A95" w:rsidP="00A03585">
      <w:pPr>
        <w:pStyle w:val="NumberedParaAR"/>
        <w:numPr>
          <w:ilvl w:val="0"/>
          <w:numId w:val="0"/>
        </w:numPr>
        <w:tabs>
          <w:tab w:val="right" w:pos="566"/>
        </w:tabs>
        <w:rPr>
          <w:rtl/>
          <w:lang w:bidi="ar-EG"/>
        </w:rPr>
      </w:pPr>
      <w:r w:rsidRPr="00ED485F">
        <w:rPr>
          <w:rFonts w:hint="cs"/>
          <w:rtl/>
        </w:rPr>
        <w:t xml:space="preserve">بصفة عامة، تعتمد الدراسة </w:t>
      </w:r>
      <w:r w:rsidR="0099446F" w:rsidRPr="00ED485F">
        <w:rPr>
          <w:rFonts w:hint="cs"/>
          <w:rtl/>
        </w:rPr>
        <w:t>بشدة</w:t>
      </w:r>
      <w:r w:rsidRPr="00ED485F">
        <w:rPr>
          <w:rFonts w:hint="cs"/>
          <w:rtl/>
        </w:rPr>
        <w:t xml:space="preserve"> على مصادر </w:t>
      </w:r>
      <w:r w:rsidR="0099446F" w:rsidRPr="00ED485F">
        <w:rPr>
          <w:rFonts w:hint="cs"/>
          <w:rtl/>
        </w:rPr>
        <w:t>قليلة است</w:t>
      </w:r>
      <w:r w:rsidR="002131C6" w:rsidRPr="00ED485F">
        <w:rPr>
          <w:rFonts w:hint="cs"/>
          <w:rtl/>
        </w:rPr>
        <w:t>ُ</w:t>
      </w:r>
      <w:r w:rsidR="0099446F" w:rsidRPr="00ED485F">
        <w:rPr>
          <w:rFonts w:hint="cs"/>
          <w:rtl/>
        </w:rPr>
        <w:t>شهد بها مرار وتكرار، و</w:t>
      </w:r>
      <w:r w:rsidR="002131C6" w:rsidRPr="00ED485F">
        <w:rPr>
          <w:rFonts w:hint="cs"/>
          <w:rtl/>
        </w:rPr>
        <w:t xml:space="preserve">هذه المصادر هي </w:t>
      </w:r>
      <w:r w:rsidR="0099446F" w:rsidRPr="00ED485F">
        <w:rPr>
          <w:rFonts w:hint="cs"/>
          <w:rtl/>
        </w:rPr>
        <w:t>نفسها دراسات استقصائية لأوراق بحث أصلية</w:t>
      </w:r>
      <w:r w:rsidR="002131C6" w:rsidRPr="00ED485F">
        <w:rPr>
          <w:rFonts w:hint="cs"/>
          <w:rtl/>
        </w:rPr>
        <w:t xml:space="preserve"> (أشير إلى عدد منها </w:t>
      </w:r>
      <w:r w:rsidR="00C3059B" w:rsidRPr="00ED485F">
        <w:rPr>
          <w:rFonts w:hint="cs"/>
          <w:rtl/>
        </w:rPr>
        <w:t>لأنه</w:t>
      </w:r>
      <w:r w:rsidR="00C347DD" w:rsidRPr="00ED485F">
        <w:rPr>
          <w:rFonts w:hint="cs"/>
          <w:rtl/>
        </w:rPr>
        <w:t xml:space="preserve"> ورد بإيجاز في الدراسة الاستقصائية </w:t>
      </w:r>
      <w:r w:rsidR="00A03585">
        <w:rPr>
          <w:rFonts w:hint="cs"/>
          <w:rtl/>
        </w:rPr>
        <w:t>وليس</w:t>
      </w:r>
      <w:r w:rsidR="00C3059B" w:rsidRPr="00ED485F">
        <w:rPr>
          <w:rFonts w:hint="cs"/>
          <w:rtl/>
        </w:rPr>
        <w:t xml:space="preserve"> لأنه</w:t>
      </w:r>
      <w:r w:rsidR="002131C6" w:rsidRPr="00ED485F">
        <w:rPr>
          <w:rFonts w:hint="cs"/>
          <w:rtl/>
        </w:rPr>
        <w:t xml:space="preserve"> </w:t>
      </w:r>
      <w:r w:rsidR="00C3059B" w:rsidRPr="00ED485F">
        <w:rPr>
          <w:rFonts w:hint="cs"/>
          <w:rtl/>
        </w:rPr>
        <w:t>قُرأ</w:t>
      </w:r>
      <w:r w:rsidR="00B36CC8" w:rsidRPr="00ED485F">
        <w:rPr>
          <w:rFonts w:hint="cs"/>
          <w:rtl/>
        </w:rPr>
        <w:t xml:space="preserve"> </w:t>
      </w:r>
      <w:r w:rsidR="00C347DD" w:rsidRPr="00ED485F">
        <w:rPr>
          <w:rFonts w:hint="cs"/>
          <w:rtl/>
        </w:rPr>
        <w:t>م</w:t>
      </w:r>
      <w:r w:rsidR="002131C6" w:rsidRPr="00ED485F">
        <w:rPr>
          <w:rFonts w:hint="cs"/>
          <w:rtl/>
        </w:rPr>
        <w:t>باشرة</w:t>
      </w:r>
      <w:r w:rsidR="00B36CC8" w:rsidRPr="00ED485F">
        <w:rPr>
          <w:rFonts w:hint="cs"/>
          <w:rtl/>
        </w:rPr>
        <w:t>)</w:t>
      </w:r>
      <w:r w:rsidR="00D81901" w:rsidRPr="00ED485F">
        <w:rPr>
          <w:rFonts w:hint="cs"/>
          <w:rtl/>
        </w:rPr>
        <w:t>،</w:t>
      </w:r>
      <w:r w:rsidR="00C3059B" w:rsidRPr="00ED485F">
        <w:rPr>
          <w:rFonts w:hint="cs"/>
          <w:rtl/>
        </w:rPr>
        <w:t xml:space="preserve"> </w:t>
      </w:r>
      <w:r w:rsidR="00D81901" w:rsidRPr="00ED485F">
        <w:rPr>
          <w:rFonts w:hint="cs"/>
          <w:rtl/>
        </w:rPr>
        <w:t>وبصفة خاصة</w:t>
      </w:r>
      <w:r w:rsidR="00C3059B" w:rsidRPr="00ED485F">
        <w:rPr>
          <w:rFonts w:hint="cs"/>
          <w:rtl/>
        </w:rPr>
        <w:t xml:space="preserve"> إشارة المؤلف إلى عمله وأيضا إلى</w:t>
      </w:r>
      <w:r w:rsidR="00C3059B" w:rsidRPr="00ED485F">
        <w:rPr>
          <w:rFonts w:ascii="Arial" w:hAnsi="Arial" w:cs="Arial" w:hint="cs"/>
          <w:sz w:val="22"/>
          <w:szCs w:val="20"/>
          <w:rtl/>
          <w:lang w:bidi="ar"/>
        </w:rPr>
        <w:t xml:space="preserve"> </w:t>
      </w:r>
      <w:proofErr w:type="spellStart"/>
      <w:r w:rsidR="00C3059B" w:rsidRPr="00ED485F">
        <w:rPr>
          <w:rFonts w:hint="cs"/>
          <w:rtl/>
          <w:lang w:bidi="ar"/>
        </w:rPr>
        <w:t>أرورا</w:t>
      </w:r>
      <w:proofErr w:type="spellEnd"/>
      <w:r w:rsidR="00C3059B" w:rsidRPr="00ED485F">
        <w:rPr>
          <w:rFonts w:hint="cs"/>
          <w:rtl/>
          <w:lang w:bidi="ar"/>
        </w:rPr>
        <w:t xml:space="preserve"> </w:t>
      </w:r>
      <w:r w:rsidR="00C3059B" w:rsidRPr="00ED485F">
        <w:rPr>
          <w:rFonts w:hint="cs"/>
        </w:rPr>
        <w:t>(2009)</w:t>
      </w:r>
      <w:r w:rsidR="00C3059B" w:rsidRPr="00ED485F">
        <w:rPr>
          <w:rFonts w:hint="cs"/>
          <w:rtl/>
          <w:lang w:bidi="ar"/>
        </w:rPr>
        <w:t xml:space="preserve">، كوريا </w:t>
      </w:r>
      <w:r w:rsidR="00C3059B" w:rsidRPr="00ED485F">
        <w:rPr>
          <w:rFonts w:hint="cs"/>
        </w:rPr>
        <w:t>(2011)</w:t>
      </w:r>
      <w:r w:rsidR="00C3059B" w:rsidRPr="00ED485F">
        <w:rPr>
          <w:rFonts w:hint="cs"/>
          <w:rtl/>
          <w:lang w:bidi="ar"/>
        </w:rPr>
        <w:t xml:space="preserve">، </w:t>
      </w:r>
      <w:proofErr w:type="spellStart"/>
      <w:r w:rsidR="00C3059B" w:rsidRPr="00ED485F">
        <w:rPr>
          <w:rFonts w:hint="cs"/>
          <w:rtl/>
          <w:lang w:bidi="ar"/>
        </w:rPr>
        <w:t>والويبو</w:t>
      </w:r>
      <w:proofErr w:type="spellEnd"/>
      <w:r w:rsidR="00C3059B" w:rsidRPr="00ED485F">
        <w:rPr>
          <w:rFonts w:hint="cs"/>
          <w:rtl/>
          <w:lang w:bidi="ar"/>
        </w:rPr>
        <w:t xml:space="preserve"> </w:t>
      </w:r>
      <w:r w:rsidR="00A03585">
        <w:rPr>
          <w:rFonts w:hint="cs"/>
          <w:rtl/>
          <w:lang w:bidi="ar"/>
        </w:rPr>
        <w:t>(</w:t>
      </w:r>
      <w:r w:rsidR="00A03585">
        <w:rPr>
          <w:rFonts w:hint="cs"/>
          <w:rtl/>
        </w:rPr>
        <w:t>2009أ)</w:t>
      </w:r>
      <w:r w:rsidR="00C3059B" w:rsidRPr="00ED485F">
        <w:rPr>
          <w:rFonts w:hint="cs"/>
          <w:rtl/>
          <w:lang w:bidi="ar-EG"/>
        </w:rPr>
        <w:t xml:space="preserve"> (للاطلاع على المراجع كاملة، انظر </w:t>
      </w:r>
      <w:r w:rsidR="00D81901" w:rsidRPr="00ED485F">
        <w:rPr>
          <w:rFonts w:hint="cs"/>
          <w:rtl/>
          <w:lang w:bidi="ar-EG"/>
        </w:rPr>
        <w:t>قسم</w:t>
      </w:r>
      <w:r w:rsidR="00C3059B" w:rsidRPr="00ED485F">
        <w:rPr>
          <w:rFonts w:hint="cs"/>
          <w:rtl/>
          <w:lang w:bidi="ar-EG"/>
        </w:rPr>
        <w:t xml:space="preserve"> المراجع في الدراسة، </w:t>
      </w:r>
      <w:r w:rsidR="00D81901" w:rsidRPr="00ED485F">
        <w:rPr>
          <w:rFonts w:hint="cs"/>
          <w:rtl/>
          <w:lang w:bidi="ar-EG"/>
        </w:rPr>
        <w:t>و</w:t>
      </w:r>
      <w:r w:rsidR="00C3059B" w:rsidRPr="00ED485F">
        <w:rPr>
          <w:rFonts w:hint="cs"/>
          <w:rtl/>
          <w:lang w:bidi="ar-EG"/>
        </w:rPr>
        <w:t xml:space="preserve">لاحظ أنه غير مكتمل أو غير دقيق في بعض الأحيان </w:t>
      </w:r>
      <w:r w:rsidR="00C3059B" w:rsidRPr="00ED485F">
        <w:rPr>
          <w:rtl/>
          <w:lang w:bidi="ar-EG"/>
        </w:rPr>
        <w:t>–</w:t>
      </w:r>
      <w:r w:rsidR="00C3059B" w:rsidRPr="00ED485F">
        <w:rPr>
          <w:rFonts w:hint="cs"/>
          <w:rtl/>
          <w:lang w:bidi="ar-EG"/>
        </w:rPr>
        <w:t xml:space="preserve"> </w:t>
      </w:r>
      <w:r w:rsidR="00D81901" w:rsidRPr="00ED485F">
        <w:rPr>
          <w:rFonts w:hint="cs"/>
          <w:rtl/>
          <w:lang w:bidi="ar-EG"/>
        </w:rPr>
        <w:t xml:space="preserve">وهناك </w:t>
      </w:r>
      <w:r w:rsidR="00C3059B" w:rsidRPr="00ED485F">
        <w:rPr>
          <w:rFonts w:hint="cs"/>
          <w:rtl/>
          <w:lang w:bidi="ar-EG"/>
        </w:rPr>
        <w:t xml:space="preserve">عدد قليل من المصادر مفقود أو </w:t>
      </w:r>
      <w:r w:rsidR="001B2ABC" w:rsidRPr="00ED485F">
        <w:rPr>
          <w:rFonts w:hint="cs"/>
          <w:rtl/>
          <w:lang w:bidi="ar-EG"/>
        </w:rPr>
        <w:t>ذُكر</w:t>
      </w:r>
      <w:r w:rsidR="00C3059B" w:rsidRPr="00ED485F">
        <w:rPr>
          <w:rFonts w:hint="cs"/>
          <w:rtl/>
          <w:lang w:bidi="ar-EG"/>
        </w:rPr>
        <w:t xml:space="preserve"> بصورة غير دقيقة</w:t>
      </w:r>
      <w:r w:rsidR="001B2ABC" w:rsidRPr="00ED485F">
        <w:rPr>
          <w:rFonts w:hint="cs"/>
          <w:rtl/>
          <w:lang w:bidi="ar-EG"/>
        </w:rPr>
        <w:t xml:space="preserve">، كما أنه يحتوي على العديد من التكرارات). وهذا يعني </w:t>
      </w:r>
      <w:proofErr w:type="gramStart"/>
      <w:r w:rsidR="00EC07AC" w:rsidRPr="00ED485F">
        <w:rPr>
          <w:rFonts w:hint="cs"/>
          <w:rtl/>
          <w:lang w:bidi="ar-EG"/>
        </w:rPr>
        <w:t>عدم</w:t>
      </w:r>
      <w:proofErr w:type="gramEnd"/>
      <w:r w:rsidR="00EC07AC" w:rsidRPr="00ED485F">
        <w:rPr>
          <w:rFonts w:hint="cs"/>
          <w:rtl/>
          <w:lang w:bidi="ar-EG"/>
        </w:rPr>
        <w:t xml:space="preserve"> تغطية</w:t>
      </w:r>
      <w:r w:rsidR="001B2ABC" w:rsidRPr="00ED485F">
        <w:rPr>
          <w:rFonts w:hint="cs"/>
          <w:rtl/>
          <w:lang w:bidi="ar-EG"/>
        </w:rPr>
        <w:t xml:space="preserve"> بعض الموضوعات </w:t>
      </w:r>
      <w:r w:rsidR="00EC07AC" w:rsidRPr="00ED485F">
        <w:rPr>
          <w:rFonts w:hint="cs"/>
          <w:rtl/>
          <w:lang w:bidi="ar-EG"/>
        </w:rPr>
        <w:t>غير المدرجة</w:t>
      </w:r>
      <w:r w:rsidR="001B2ABC" w:rsidRPr="00ED485F">
        <w:rPr>
          <w:rFonts w:hint="cs"/>
          <w:rtl/>
          <w:lang w:bidi="ar-EG"/>
        </w:rPr>
        <w:t xml:space="preserve"> في هذه المصادر. على سبيل المثال، عندما يتعلق الأمر بمناقشة الانتفاع بالملكية الفكرية في نقل </w:t>
      </w:r>
      <w:r w:rsidR="00EC07AC" w:rsidRPr="00ED485F">
        <w:rPr>
          <w:rFonts w:hint="cs"/>
          <w:rtl/>
          <w:lang w:bidi="ar-EG"/>
        </w:rPr>
        <w:t>ال</w:t>
      </w:r>
      <w:r w:rsidR="001B2ABC" w:rsidRPr="00ED485F">
        <w:rPr>
          <w:rFonts w:hint="cs"/>
          <w:rtl/>
          <w:lang w:bidi="ar-EG"/>
        </w:rPr>
        <w:t xml:space="preserve">تكنولوجيا </w:t>
      </w:r>
      <w:r w:rsidR="00EC07AC" w:rsidRPr="00ED485F">
        <w:rPr>
          <w:rFonts w:hint="cs"/>
          <w:rtl/>
          <w:lang w:bidi="ar-EG"/>
        </w:rPr>
        <w:t xml:space="preserve">بين </w:t>
      </w:r>
      <w:r w:rsidR="001B2ABC" w:rsidRPr="00ED485F">
        <w:rPr>
          <w:rFonts w:hint="cs"/>
          <w:rtl/>
          <w:lang w:bidi="ar-EG"/>
        </w:rPr>
        <w:t>الجامع</w:t>
      </w:r>
      <w:r w:rsidR="00EC07AC" w:rsidRPr="00ED485F">
        <w:rPr>
          <w:rFonts w:hint="cs"/>
          <w:rtl/>
          <w:lang w:bidi="ar-EG"/>
        </w:rPr>
        <w:t xml:space="preserve">ة </w:t>
      </w:r>
      <w:r w:rsidR="00EC07AC" w:rsidRPr="00ED485F">
        <w:rPr>
          <w:rFonts w:hint="cs"/>
          <w:rtl/>
          <w:lang w:bidi="ar-EG"/>
        </w:rPr>
        <w:lastRenderedPageBreak/>
        <w:t xml:space="preserve">والصناعة لا </w:t>
      </w:r>
      <w:r w:rsidR="005A572F" w:rsidRPr="00ED485F">
        <w:rPr>
          <w:rFonts w:hint="cs"/>
          <w:rtl/>
          <w:lang w:bidi="ar-EG"/>
        </w:rPr>
        <w:t xml:space="preserve">توجد </w:t>
      </w:r>
      <w:r w:rsidR="00EC07AC" w:rsidRPr="00ED485F">
        <w:rPr>
          <w:rFonts w:hint="cs"/>
          <w:rtl/>
          <w:lang w:bidi="ar-EG"/>
        </w:rPr>
        <w:t xml:space="preserve">مناقشة </w:t>
      </w:r>
      <w:r w:rsidR="005A572F" w:rsidRPr="00ED485F">
        <w:rPr>
          <w:rFonts w:hint="cs"/>
          <w:rtl/>
          <w:lang w:bidi="ar-EG"/>
        </w:rPr>
        <w:t>لإمكانية</w:t>
      </w:r>
      <w:r w:rsidR="00EC07AC" w:rsidRPr="00ED485F">
        <w:rPr>
          <w:rFonts w:hint="cs"/>
          <w:rtl/>
          <w:lang w:bidi="ar-EG"/>
        </w:rPr>
        <w:t xml:space="preserve"> </w:t>
      </w:r>
      <w:r w:rsidR="005A572F" w:rsidRPr="00ED485F">
        <w:rPr>
          <w:rFonts w:hint="cs"/>
          <w:rtl/>
          <w:lang w:bidi="ar-EG"/>
        </w:rPr>
        <w:t xml:space="preserve">حدوث </w:t>
      </w:r>
      <w:r w:rsidR="00EC07AC" w:rsidRPr="00ED485F">
        <w:rPr>
          <w:rFonts w:hint="cs"/>
          <w:rtl/>
          <w:lang w:bidi="ar-EG"/>
        </w:rPr>
        <w:t xml:space="preserve"> آثار </w:t>
      </w:r>
      <w:r w:rsidR="005A572F" w:rsidRPr="00ED485F">
        <w:rPr>
          <w:rFonts w:hint="cs"/>
          <w:rtl/>
          <w:lang w:bidi="ar-EG"/>
        </w:rPr>
        <w:t>ل</w:t>
      </w:r>
      <w:r w:rsidR="00EC07AC" w:rsidRPr="00ED485F">
        <w:rPr>
          <w:rFonts w:hint="cs"/>
          <w:rtl/>
          <w:lang w:bidi="ar-EG"/>
        </w:rPr>
        <w:t>لحقوق التوفيقية</w:t>
      </w:r>
      <w:r w:rsidR="00EC07AC" w:rsidRPr="00ED485F">
        <w:rPr>
          <w:rStyle w:val="FootnoteReference"/>
          <w:rtl/>
          <w:lang w:bidi="ar-EG"/>
        </w:rPr>
        <w:footnoteReference w:id="1"/>
      </w:r>
      <w:r w:rsidR="009E3E55" w:rsidRPr="00ED485F">
        <w:rPr>
          <w:rFonts w:hint="cs"/>
          <w:rtl/>
          <w:lang w:bidi="ar-EG"/>
        </w:rPr>
        <w:t xml:space="preserve"> </w:t>
      </w:r>
      <w:r w:rsidR="005A572F" w:rsidRPr="00ED485F">
        <w:rPr>
          <w:rFonts w:hint="cs"/>
          <w:rtl/>
          <w:lang w:bidi="ar-EG"/>
        </w:rPr>
        <w:t xml:space="preserve">، </w:t>
      </w:r>
      <w:r w:rsidR="009E3E55" w:rsidRPr="00ED485F">
        <w:rPr>
          <w:rFonts w:hint="cs"/>
          <w:rtl/>
          <w:lang w:bidi="ar-EG"/>
        </w:rPr>
        <w:t xml:space="preserve">ولا </w:t>
      </w:r>
      <w:r w:rsidR="005A572F" w:rsidRPr="00ED485F">
        <w:rPr>
          <w:rFonts w:hint="cs"/>
          <w:rtl/>
          <w:lang w:bidi="ar-EG"/>
        </w:rPr>
        <w:t>لتعر</w:t>
      </w:r>
      <w:r w:rsidR="00460570" w:rsidRPr="00ED485F">
        <w:rPr>
          <w:rFonts w:hint="cs"/>
          <w:rtl/>
          <w:lang w:bidi="ar-EG"/>
        </w:rPr>
        <w:t>ض</w:t>
      </w:r>
      <w:r w:rsidR="002B1BD9" w:rsidRPr="00ED485F">
        <w:rPr>
          <w:rFonts w:hint="cs"/>
          <w:rtl/>
          <w:lang w:bidi="ar-EG"/>
        </w:rPr>
        <w:t xml:space="preserve"> إعفاء أنشطة البحث بالجامعات للخطر</w:t>
      </w:r>
      <w:r w:rsidR="002B1BD9" w:rsidRPr="00ED485F">
        <w:rPr>
          <w:rStyle w:val="FootnoteReference"/>
          <w:rtl/>
          <w:lang w:bidi="ar-EG"/>
        </w:rPr>
        <w:footnoteReference w:id="2"/>
      </w:r>
      <w:r w:rsidR="00583C5D" w:rsidRPr="00ED485F">
        <w:rPr>
          <w:rFonts w:hint="cs"/>
          <w:rtl/>
          <w:lang w:bidi="ar-EG"/>
        </w:rPr>
        <w:t xml:space="preserve">، كما لا يوجد أثر </w:t>
      </w:r>
      <w:r w:rsidR="005A572F" w:rsidRPr="00ED485F">
        <w:rPr>
          <w:rFonts w:hint="cs"/>
          <w:rtl/>
          <w:lang w:bidi="ar-EG"/>
        </w:rPr>
        <w:t>للنقاش</w:t>
      </w:r>
      <w:r w:rsidR="00583C5D" w:rsidRPr="00ED485F">
        <w:rPr>
          <w:rFonts w:hint="cs"/>
          <w:rtl/>
          <w:lang w:bidi="ar-EG"/>
        </w:rPr>
        <w:t xml:space="preserve"> الدائر بشأن</w:t>
      </w:r>
      <w:r w:rsidR="00E85DDD" w:rsidRPr="00ED485F">
        <w:rPr>
          <w:rFonts w:hint="cs"/>
          <w:rtl/>
          <w:lang w:bidi="ar-EG"/>
        </w:rPr>
        <w:t xml:space="preserve"> سوء أداء حقوق الملكية الفكرية </w:t>
      </w:r>
      <w:r w:rsidR="005A572F" w:rsidRPr="00ED485F">
        <w:rPr>
          <w:rFonts w:hint="cs"/>
          <w:rtl/>
          <w:lang w:bidi="ar-EG"/>
        </w:rPr>
        <w:t>ك</w:t>
      </w:r>
      <w:r w:rsidR="00E85DDD" w:rsidRPr="00ED485F">
        <w:rPr>
          <w:rFonts w:hint="cs"/>
          <w:rtl/>
          <w:lang w:bidi="ar-EG"/>
        </w:rPr>
        <w:t>حقوق ملكية (حقوق الملكية الفكرية كمصدر لعدم التيقن)</w:t>
      </w:r>
      <w:r w:rsidR="00E85DDD" w:rsidRPr="00ED485F">
        <w:rPr>
          <w:rStyle w:val="FootnoteReference"/>
          <w:rtl/>
          <w:lang w:bidi="ar-EG"/>
        </w:rPr>
        <w:footnoteReference w:id="3"/>
      </w:r>
      <w:r w:rsidR="00EF7781" w:rsidRPr="00ED485F">
        <w:rPr>
          <w:rFonts w:hint="cs"/>
          <w:rtl/>
          <w:lang w:bidi="ar-EG"/>
        </w:rPr>
        <w:t xml:space="preserve">. </w:t>
      </w:r>
      <w:r w:rsidR="004D6C73" w:rsidRPr="00ED485F">
        <w:rPr>
          <w:rFonts w:hint="cs"/>
          <w:rtl/>
          <w:lang w:bidi="ar-EG"/>
        </w:rPr>
        <w:t xml:space="preserve">وفي الوقت ذاته، </w:t>
      </w:r>
      <w:r w:rsidR="005A572F" w:rsidRPr="00ED485F">
        <w:rPr>
          <w:rFonts w:hint="cs"/>
          <w:rtl/>
          <w:lang w:bidi="ar-EG"/>
        </w:rPr>
        <w:t>غُطيت</w:t>
      </w:r>
      <w:r w:rsidR="004D6C73" w:rsidRPr="00ED485F">
        <w:rPr>
          <w:rFonts w:hint="cs"/>
          <w:rtl/>
          <w:lang w:bidi="ar-EG"/>
        </w:rPr>
        <w:t xml:space="preserve"> بعض الموضوعات</w:t>
      </w:r>
      <w:r w:rsidR="005A572F" w:rsidRPr="00ED485F">
        <w:rPr>
          <w:rFonts w:hint="cs"/>
          <w:rtl/>
          <w:lang w:bidi="ar-EG"/>
        </w:rPr>
        <w:t xml:space="preserve"> التي</w:t>
      </w:r>
      <w:r w:rsidR="004D6C73" w:rsidRPr="00ED485F">
        <w:rPr>
          <w:rFonts w:hint="cs"/>
          <w:rtl/>
          <w:lang w:bidi="ar-EG"/>
        </w:rPr>
        <w:t xml:space="preserve"> ليس لها أهمية تذكر فيما يتعلق بتطوير نقل التكنولوجيا على الصعيد العالمي (مثال، </w:t>
      </w:r>
      <w:proofErr w:type="spellStart"/>
      <w:r w:rsidR="004D6C73" w:rsidRPr="00ED485F">
        <w:rPr>
          <w:rFonts w:hint="cs"/>
          <w:rtl/>
          <w:lang w:bidi="ar-EG"/>
        </w:rPr>
        <w:t>التصيد</w:t>
      </w:r>
      <w:proofErr w:type="spellEnd"/>
      <w:r w:rsidR="004D6C73" w:rsidRPr="00ED485F">
        <w:rPr>
          <w:rFonts w:hint="cs"/>
          <w:rtl/>
          <w:lang w:bidi="ar-EG"/>
        </w:rPr>
        <w:t xml:space="preserve"> بالبراءات). </w:t>
      </w:r>
    </w:p>
    <w:p w:rsidR="004D6C73" w:rsidRPr="00ED485F" w:rsidRDefault="004D6C73" w:rsidP="004D6C73">
      <w:pPr>
        <w:pStyle w:val="NumberedParaAR"/>
        <w:numPr>
          <w:ilvl w:val="0"/>
          <w:numId w:val="0"/>
        </w:numPr>
        <w:tabs>
          <w:tab w:val="right" w:pos="566"/>
        </w:tabs>
        <w:rPr>
          <w:sz w:val="40"/>
          <w:szCs w:val="40"/>
          <w:rtl/>
          <w:lang w:bidi="ar-EG"/>
        </w:rPr>
      </w:pPr>
      <w:proofErr w:type="gramStart"/>
      <w:r w:rsidRPr="00ED485F">
        <w:rPr>
          <w:rFonts w:hint="cs"/>
          <w:sz w:val="40"/>
          <w:szCs w:val="40"/>
          <w:rtl/>
          <w:lang w:bidi="ar-EG"/>
        </w:rPr>
        <w:t>التقييم</w:t>
      </w:r>
      <w:proofErr w:type="gramEnd"/>
      <w:r w:rsidRPr="00ED485F">
        <w:rPr>
          <w:rFonts w:hint="cs"/>
          <w:sz w:val="40"/>
          <w:szCs w:val="40"/>
          <w:rtl/>
          <w:lang w:bidi="ar-EG"/>
        </w:rPr>
        <w:t xml:space="preserve"> العام/ التوصية</w:t>
      </w:r>
    </w:p>
    <w:p w:rsidR="004D6C73" w:rsidRPr="00ED485F" w:rsidRDefault="005F7D0F" w:rsidP="00BC20B1">
      <w:pPr>
        <w:pStyle w:val="NumberedParaAR"/>
        <w:numPr>
          <w:ilvl w:val="0"/>
          <w:numId w:val="0"/>
        </w:numPr>
        <w:tabs>
          <w:tab w:val="right" w:pos="566"/>
        </w:tabs>
        <w:rPr>
          <w:rtl/>
          <w:lang w:bidi="ar-EG"/>
        </w:rPr>
      </w:pPr>
      <w:proofErr w:type="gramStart"/>
      <w:r w:rsidRPr="00ED485F">
        <w:rPr>
          <w:rFonts w:hint="cs"/>
          <w:rtl/>
          <w:lang w:bidi="ar-EG"/>
        </w:rPr>
        <w:t>يمكن</w:t>
      </w:r>
      <w:proofErr w:type="gramEnd"/>
      <w:r w:rsidR="00ED485F">
        <w:rPr>
          <w:rFonts w:hint="cs"/>
          <w:rtl/>
          <w:lang w:bidi="ar-EG"/>
        </w:rPr>
        <w:t>،</w:t>
      </w:r>
      <w:r w:rsidRPr="00ED485F">
        <w:rPr>
          <w:rFonts w:hint="cs"/>
          <w:rtl/>
          <w:lang w:bidi="ar-EG"/>
        </w:rPr>
        <w:t xml:space="preserve"> </w:t>
      </w:r>
      <w:r w:rsidR="00ED485F" w:rsidRPr="00ED485F">
        <w:rPr>
          <w:rFonts w:hint="cs"/>
          <w:rtl/>
          <w:lang w:bidi="ar-EG"/>
        </w:rPr>
        <w:t>إلى حد</w:t>
      </w:r>
      <w:r w:rsidRPr="00ED485F">
        <w:rPr>
          <w:rFonts w:hint="cs"/>
          <w:rtl/>
          <w:lang w:bidi="ar-EG"/>
        </w:rPr>
        <w:t xml:space="preserve"> كبير</w:t>
      </w:r>
      <w:r w:rsidR="00ED485F">
        <w:rPr>
          <w:rFonts w:hint="cs"/>
          <w:rtl/>
          <w:lang w:bidi="ar-EG"/>
        </w:rPr>
        <w:t>،</w:t>
      </w:r>
      <w:r w:rsidRPr="00ED485F">
        <w:rPr>
          <w:rFonts w:hint="cs"/>
          <w:rtl/>
          <w:lang w:bidi="ar-EG"/>
        </w:rPr>
        <w:t xml:space="preserve"> اختصار هذه الدراسة وصقلها، </w:t>
      </w:r>
      <w:r w:rsidR="00ED485F" w:rsidRPr="00ED485F">
        <w:rPr>
          <w:rFonts w:hint="cs"/>
          <w:rtl/>
          <w:lang w:bidi="ar-EG"/>
        </w:rPr>
        <w:t>كما يمكن</w:t>
      </w:r>
      <w:r w:rsidRPr="00ED485F">
        <w:rPr>
          <w:rFonts w:hint="cs"/>
          <w:rtl/>
          <w:lang w:bidi="ar-EG"/>
        </w:rPr>
        <w:t>، في الوقت نفسه،</w:t>
      </w:r>
      <w:r w:rsidR="00B21E9B" w:rsidRPr="00ED485F">
        <w:rPr>
          <w:rFonts w:hint="cs"/>
          <w:rtl/>
          <w:lang w:bidi="ar-EG"/>
        </w:rPr>
        <w:t xml:space="preserve"> أن</w:t>
      </w:r>
      <w:r w:rsidRPr="00ED485F">
        <w:rPr>
          <w:rFonts w:hint="cs"/>
          <w:rtl/>
          <w:lang w:bidi="ar-EG"/>
        </w:rPr>
        <w:t xml:space="preserve"> </w:t>
      </w:r>
      <w:r w:rsidR="00B21E9B" w:rsidRPr="00ED485F">
        <w:rPr>
          <w:rFonts w:hint="cs"/>
          <w:rtl/>
          <w:lang w:bidi="ar-EG"/>
        </w:rPr>
        <w:t>تمتد</w:t>
      </w:r>
      <w:r w:rsidR="00ED485F">
        <w:rPr>
          <w:rFonts w:hint="cs"/>
          <w:rtl/>
          <w:lang w:bidi="ar-EG"/>
        </w:rPr>
        <w:t xml:space="preserve"> الدراسة</w:t>
      </w:r>
      <w:r w:rsidR="00B21E9B" w:rsidRPr="00ED485F">
        <w:rPr>
          <w:rFonts w:hint="cs"/>
          <w:rtl/>
          <w:lang w:bidi="ar-EG"/>
        </w:rPr>
        <w:t xml:space="preserve"> </w:t>
      </w:r>
      <w:r w:rsidRPr="00ED485F">
        <w:rPr>
          <w:rFonts w:hint="cs"/>
          <w:rtl/>
          <w:lang w:bidi="ar-EG"/>
        </w:rPr>
        <w:t>لتشمل بعض الموضوعات التي</w:t>
      </w:r>
      <w:r w:rsidR="00B21E9B" w:rsidRPr="00ED485F">
        <w:rPr>
          <w:rFonts w:hint="cs"/>
          <w:rtl/>
          <w:lang w:bidi="ar-EG"/>
        </w:rPr>
        <w:t xml:space="preserve"> أُغفلت </w:t>
      </w:r>
      <w:r w:rsidRPr="00ED485F">
        <w:rPr>
          <w:rFonts w:hint="cs"/>
          <w:rtl/>
          <w:lang w:bidi="ar-EG"/>
        </w:rPr>
        <w:t>في النسخة الحالية</w:t>
      </w:r>
      <w:r w:rsidR="00B21E9B" w:rsidRPr="00ED485F">
        <w:rPr>
          <w:rFonts w:hint="cs"/>
          <w:rtl/>
          <w:lang w:bidi="ar-EG"/>
        </w:rPr>
        <w:t xml:space="preserve">. </w:t>
      </w:r>
      <w:r w:rsidR="007A4CD6" w:rsidRPr="00ED485F">
        <w:rPr>
          <w:rFonts w:hint="cs"/>
          <w:rtl/>
          <w:lang w:bidi="ar-EG"/>
        </w:rPr>
        <w:t>و</w:t>
      </w:r>
      <w:r w:rsidR="00B21E9B" w:rsidRPr="00ED485F">
        <w:rPr>
          <w:rFonts w:hint="cs"/>
          <w:rtl/>
          <w:lang w:bidi="ar-EG"/>
        </w:rPr>
        <w:t xml:space="preserve">يمكن أيضا تحسين الورقة من خلال </w:t>
      </w:r>
      <w:r w:rsidR="00ED485F" w:rsidRPr="00ED485F">
        <w:rPr>
          <w:rFonts w:hint="cs"/>
          <w:rtl/>
          <w:lang w:bidi="ar-EG"/>
        </w:rPr>
        <w:t xml:space="preserve">تقديم </w:t>
      </w:r>
      <w:r w:rsidR="00EC2EE7" w:rsidRPr="00ED485F">
        <w:rPr>
          <w:rFonts w:hint="cs"/>
          <w:rtl/>
          <w:lang w:bidi="ar-EG"/>
        </w:rPr>
        <w:t>مزيد من التفاصيل عن</w:t>
      </w:r>
      <w:r w:rsidR="00B21E9B" w:rsidRPr="00ED485F">
        <w:rPr>
          <w:rFonts w:hint="cs"/>
          <w:rtl/>
          <w:lang w:bidi="ar-EG"/>
        </w:rPr>
        <w:t xml:space="preserve"> نقاط </w:t>
      </w:r>
      <w:r w:rsidR="00ED485F" w:rsidRPr="00ED485F">
        <w:rPr>
          <w:rFonts w:hint="cs"/>
          <w:rtl/>
          <w:lang w:bidi="ar-EG"/>
        </w:rPr>
        <w:t>ال</w:t>
      </w:r>
      <w:r w:rsidR="00B21E9B" w:rsidRPr="00ED485F">
        <w:rPr>
          <w:rFonts w:hint="cs"/>
          <w:rtl/>
          <w:lang w:bidi="ar-EG"/>
        </w:rPr>
        <w:t>قو</w:t>
      </w:r>
      <w:r w:rsidR="00ED485F" w:rsidRPr="00ED485F">
        <w:rPr>
          <w:rFonts w:hint="cs"/>
          <w:rtl/>
          <w:lang w:bidi="ar-EG"/>
        </w:rPr>
        <w:t xml:space="preserve">ة بها، لاسيما مناقشة </w:t>
      </w:r>
      <w:r w:rsidR="00B21E9B" w:rsidRPr="00ED485F">
        <w:rPr>
          <w:rFonts w:hint="cs"/>
          <w:rtl/>
          <w:lang w:bidi="ar-EG"/>
        </w:rPr>
        <w:t xml:space="preserve">هوامش المرونة في إطار اتفاق </w:t>
      </w:r>
      <w:proofErr w:type="spellStart"/>
      <w:r w:rsidR="00B21E9B" w:rsidRPr="00ED485F">
        <w:rPr>
          <w:rFonts w:hint="cs"/>
          <w:rtl/>
          <w:lang w:bidi="ar-EG"/>
        </w:rPr>
        <w:t>تريبس</w:t>
      </w:r>
      <w:proofErr w:type="spellEnd"/>
      <w:r w:rsidR="00B21E9B" w:rsidRPr="00ED485F">
        <w:rPr>
          <w:rFonts w:hint="cs"/>
          <w:rtl/>
          <w:lang w:bidi="ar-EG"/>
        </w:rPr>
        <w:t xml:space="preserve"> لاستخدام البراءات كأداة لنقل التكنولوجيا</w:t>
      </w:r>
      <w:r w:rsidR="00ED485F" w:rsidRPr="00ED485F">
        <w:rPr>
          <w:rFonts w:hint="cs"/>
          <w:rtl/>
          <w:lang w:bidi="ar-EG"/>
        </w:rPr>
        <w:t>، كما أن</w:t>
      </w:r>
      <w:r w:rsidR="00B21E9B" w:rsidRPr="00ED485F">
        <w:rPr>
          <w:rFonts w:hint="cs"/>
          <w:rtl/>
          <w:lang w:bidi="ar-EG"/>
        </w:rPr>
        <w:t xml:space="preserve"> إجراء مناقشة </w:t>
      </w:r>
      <w:r w:rsidR="00EC2EE7" w:rsidRPr="00ED485F">
        <w:rPr>
          <w:rFonts w:hint="cs"/>
          <w:rtl/>
          <w:lang w:bidi="ar-EG"/>
        </w:rPr>
        <w:t>أكثر تنظيما</w:t>
      </w:r>
      <w:r w:rsidR="00B21E9B" w:rsidRPr="00ED485F">
        <w:rPr>
          <w:rFonts w:hint="cs"/>
          <w:rtl/>
          <w:lang w:bidi="ar-EG"/>
        </w:rPr>
        <w:t xml:space="preserve"> </w:t>
      </w:r>
      <w:r w:rsidR="00ED485F" w:rsidRPr="00ED485F">
        <w:rPr>
          <w:rFonts w:hint="cs"/>
          <w:rtl/>
          <w:lang w:bidi="ar-EG"/>
        </w:rPr>
        <w:t xml:space="preserve">من شأنه </w:t>
      </w:r>
      <w:r w:rsidR="00B21E9B" w:rsidRPr="00ED485F">
        <w:rPr>
          <w:rFonts w:hint="cs"/>
          <w:rtl/>
          <w:lang w:bidi="ar-EG"/>
        </w:rPr>
        <w:t xml:space="preserve">أن </w:t>
      </w:r>
      <w:r w:rsidR="00ED485F" w:rsidRPr="00ED485F">
        <w:rPr>
          <w:rFonts w:hint="cs"/>
          <w:rtl/>
          <w:lang w:bidi="ar-EG"/>
        </w:rPr>
        <w:t>ي</w:t>
      </w:r>
      <w:r w:rsidR="00B21E9B" w:rsidRPr="00ED485F">
        <w:rPr>
          <w:rFonts w:hint="cs"/>
          <w:rtl/>
          <w:lang w:bidi="ar-EG"/>
        </w:rPr>
        <w:t>ساعد في هذا الصدد،</w:t>
      </w:r>
      <w:r w:rsidR="00EC2EE7" w:rsidRPr="00ED485F">
        <w:rPr>
          <w:rFonts w:hint="cs"/>
          <w:rtl/>
          <w:lang w:bidi="ar-EG"/>
        </w:rPr>
        <w:t xml:space="preserve"> </w:t>
      </w:r>
      <w:r w:rsidR="00ED485F">
        <w:rPr>
          <w:rFonts w:hint="cs"/>
          <w:rtl/>
          <w:lang w:bidi="ar-EG"/>
        </w:rPr>
        <w:t>كذلك</w:t>
      </w:r>
      <w:r w:rsidR="009C69E7" w:rsidRPr="00ED485F">
        <w:rPr>
          <w:rFonts w:hint="cs"/>
          <w:rtl/>
          <w:lang w:bidi="ar-EG"/>
        </w:rPr>
        <w:t xml:space="preserve"> إجراء </w:t>
      </w:r>
      <w:r w:rsidR="00ED485F" w:rsidRPr="00ED485F">
        <w:rPr>
          <w:rFonts w:hint="cs"/>
          <w:rtl/>
          <w:lang w:bidi="ar-EG"/>
        </w:rPr>
        <w:t>ب</w:t>
      </w:r>
      <w:r w:rsidR="00EC2EE7" w:rsidRPr="00ED485F">
        <w:rPr>
          <w:rFonts w:hint="cs"/>
          <w:rtl/>
          <w:lang w:bidi="ar-EG"/>
        </w:rPr>
        <w:t xml:space="preserve">عض المناقشات </w:t>
      </w:r>
      <w:r w:rsidR="00ED485F" w:rsidRPr="00ED485F">
        <w:rPr>
          <w:rFonts w:hint="cs"/>
          <w:rtl/>
          <w:lang w:bidi="ar-EG"/>
        </w:rPr>
        <w:t>حول</w:t>
      </w:r>
      <w:r w:rsidR="009C69E7" w:rsidRPr="00ED485F">
        <w:rPr>
          <w:rFonts w:hint="cs"/>
          <w:rtl/>
          <w:lang w:bidi="ar-EG"/>
        </w:rPr>
        <w:t xml:space="preserve"> </w:t>
      </w:r>
      <w:r w:rsidR="00ED485F" w:rsidRPr="00ED485F">
        <w:rPr>
          <w:rFonts w:hint="cs"/>
          <w:rtl/>
          <w:lang w:bidi="ar-EG"/>
        </w:rPr>
        <w:t xml:space="preserve">الكيفية التي يحد بها </w:t>
      </w:r>
      <w:r w:rsidR="00ED485F">
        <w:rPr>
          <w:rFonts w:hint="cs"/>
          <w:rtl/>
          <w:lang w:bidi="ar-EG"/>
        </w:rPr>
        <w:t>ا</w:t>
      </w:r>
      <w:r w:rsidR="00EC2EE7" w:rsidRPr="00ED485F">
        <w:rPr>
          <w:rFonts w:hint="cs"/>
          <w:rtl/>
          <w:lang w:bidi="ar-EG"/>
        </w:rPr>
        <w:t>ستخدام</w:t>
      </w:r>
      <w:r w:rsidR="00ED485F">
        <w:rPr>
          <w:rFonts w:hint="cs"/>
          <w:rtl/>
          <w:lang w:bidi="ar-EG"/>
        </w:rPr>
        <w:t xml:space="preserve"> ا</w:t>
      </w:r>
      <w:r w:rsidR="009C69E7" w:rsidRPr="00ED485F">
        <w:rPr>
          <w:rFonts w:hint="cs"/>
          <w:rtl/>
          <w:lang w:bidi="ar-EG"/>
        </w:rPr>
        <w:t>لبراءات</w:t>
      </w:r>
      <w:r w:rsidR="00ED485F">
        <w:rPr>
          <w:rFonts w:hint="cs"/>
          <w:rtl/>
          <w:lang w:bidi="ar-EG"/>
        </w:rPr>
        <w:t xml:space="preserve"> على هذا النحو من</w:t>
      </w:r>
      <w:r w:rsidR="00B21E9B" w:rsidRPr="00ED485F">
        <w:rPr>
          <w:rFonts w:hint="cs"/>
          <w:rtl/>
          <w:lang w:bidi="ar-EG"/>
        </w:rPr>
        <w:t xml:space="preserve"> </w:t>
      </w:r>
      <w:r w:rsidR="009C69E7" w:rsidRPr="00ED485F">
        <w:rPr>
          <w:rFonts w:hint="cs"/>
          <w:rtl/>
          <w:lang w:bidi="ar-EG"/>
        </w:rPr>
        <w:t>عدم اليقين الناجم عن الإفراط في التقاضي</w:t>
      </w:r>
      <w:r w:rsidRPr="00ED485F">
        <w:rPr>
          <w:rFonts w:hint="cs"/>
          <w:rtl/>
          <w:lang w:bidi="ar-EG"/>
        </w:rPr>
        <w:t xml:space="preserve"> </w:t>
      </w:r>
      <w:r w:rsidR="009C69E7" w:rsidRPr="00ED485F">
        <w:rPr>
          <w:rFonts w:hint="cs"/>
          <w:rtl/>
          <w:lang w:bidi="ar-EG"/>
        </w:rPr>
        <w:t>(كما قد يحدث في غياب التنسيق العام)</w:t>
      </w:r>
      <w:r w:rsidR="00ED485F" w:rsidRPr="00ED485F">
        <w:rPr>
          <w:rFonts w:hint="cs"/>
          <w:rtl/>
          <w:lang w:bidi="ar-EG"/>
        </w:rPr>
        <w:t>.</w:t>
      </w:r>
    </w:p>
    <w:p w:rsidR="00ED485F" w:rsidRPr="00A375CD" w:rsidRDefault="00ED485F" w:rsidP="00283710">
      <w:pPr>
        <w:pStyle w:val="EndofDocumentAR"/>
        <w:rPr>
          <w:rtl/>
          <w:lang w:bidi="ar-EG"/>
        </w:rPr>
      </w:pPr>
      <w:r w:rsidRPr="00ED485F">
        <w:rPr>
          <w:rFonts w:hint="cs"/>
          <w:rtl/>
          <w:lang w:bidi="ar-EG"/>
        </w:rPr>
        <w:t xml:space="preserve">[نهاية المرفق الثاني </w:t>
      </w:r>
      <w:proofErr w:type="gramStart"/>
      <w:r w:rsidRPr="00ED485F">
        <w:rPr>
          <w:rFonts w:hint="cs"/>
          <w:rtl/>
          <w:lang w:bidi="ar-EG"/>
        </w:rPr>
        <w:t>والوثيقة</w:t>
      </w:r>
      <w:proofErr w:type="gramEnd"/>
      <w:r w:rsidRPr="00ED485F">
        <w:rPr>
          <w:rFonts w:hint="cs"/>
          <w:rtl/>
          <w:lang w:bidi="ar-EG"/>
        </w:rPr>
        <w:t>]</w:t>
      </w:r>
    </w:p>
    <w:sectPr w:rsidR="00ED485F" w:rsidRPr="00A375CD" w:rsidSect="005630AE">
      <w:headerReference w:type="default" r:id="rId13"/>
      <w:headerReference w:type="first" r:id="rId14"/>
      <w:pgSz w:w="11907" w:h="16840" w:code="9"/>
      <w:pgMar w:top="567" w:right="1418" w:bottom="1418" w:left="1134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9E5" w:rsidRDefault="003659E5">
      <w:r>
        <w:separator/>
      </w:r>
    </w:p>
  </w:endnote>
  <w:endnote w:type="continuationSeparator" w:id="0">
    <w:p w:rsidR="003659E5" w:rsidRDefault="0036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9E5" w:rsidRDefault="003659E5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3659E5" w:rsidRDefault="003659E5" w:rsidP="009622BF">
      <w:pPr>
        <w:bidi/>
      </w:pPr>
      <w:r>
        <w:separator/>
      </w:r>
    </w:p>
  </w:footnote>
  <w:footnote w:id="1">
    <w:p w:rsidR="00E34448" w:rsidRDefault="00E34448" w:rsidP="00DC57C2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 xml:space="preserve">انظر: إم. إيه </w:t>
      </w:r>
      <w:proofErr w:type="spellStart"/>
      <w:r>
        <w:rPr>
          <w:rFonts w:hint="cs"/>
          <w:rtl/>
          <w:lang w:bidi="ar-EG"/>
        </w:rPr>
        <w:t>هيللر</w:t>
      </w:r>
      <w:proofErr w:type="spellEnd"/>
      <w:r>
        <w:rPr>
          <w:rFonts w:hint="cs"/>
          <w:rtl/>
          <w:lang w:bidi="ar-EG"/>
        </w:rPr>
        <w:t xml:space="preserve">، </w:t>
      </w:r>
      <w:proofErr w:type="spellStart"/>
      <w:r>
        <w:rPr>
          <w:rFonts w:hint="cs"/>
          <w:rtl/>
          <w:lang w:bidi="ar-EG"/>
        </w:rPr>
        <w:t>إيزنبرغ</w:t>
      </w:r>
      <w:proofErr w:type="spellEnd"/>
      <w:r>
        <w:rPr>
          <w:rFonts w:hint="cs"/>
          <w:rtl/>
          <w:lang w:bidi="ar-EG"/>
        </w:rPr>
        <w:t xml:space="preserve"> (1998)، " هل تردع البراءات الابتكار؟ الحقوق التوفيقية في البحوث الطبية الحيوية"</w:t>
      </w:r>
      <w:r w:rsidRPr="004B1E71">
        <w:rPr>
          <w:lang w:bidi="ar-EG"/>
        </w:rPr>
        <w:t xml:space="preserve">“Can Patents Deter Innovation? </w:t>
      </w:r>
      <w:proofErr w:type="gramStart"/>
      <w:r w:rsidRPr="004B1E71">
        <w:rPr>
          <w:lang w:bidi="ar-EG"/>
        </w:rPr>
        <w:t xml:space="preserve">The </w:t>
      </w:r>
      <w:proofErr w:type="spellStart"/>
      <w:r w:rsidRPr="004B1E71">
        <w:rPr>
          <w:lang w:bidi="ar-EG"/>
        </w:rPr>
        <w:t>Anticommons</w:t>
      </w:r>
      <w:proofErr w:type="spellEnd"/>
      <w:r w:rsidRPr="004B1E71">
        <w:rPr>
          <w:lang w:bidi="ar-EG"/>
        </w:rPr>
        <w:t xml:space="preserve"> in Biomedical Research”</w:t>
      </w:r>
      <w:r>
        <w:rPr>
          <w:rFonts w:hint="cs"/>
          <w:rtl/>
          <w:lang w:bidi="ar-EG"/>
        </w:rPr>
        <w:t>، مجلة ساينس.</w:t>
      </w:r>
      <w:proofErr w:type="gramEnd"/>
      <w:r>
        <w:rPr>
          <w:rFonts w:hint="cs"/>
          <w:rtl/>
          <w:lang w:bidi="ar-EG"/>
        </w:rPr>
        <w:t xml:space="preserve"> 280: 698-701؛ </w:t>
      </w:r>
      <w:proofErr w:type="spellStart"/>
      <w:r>
        <w:rPr>
          <w:rFonts w:hint="cs"/>
          <w:rtl/>
          <w:lang w:bidi="ar-EG"/>
        </w:rPr>
        <w:t>إف</w:t>
      </w:r>
      <w:proofErr w:type="spellEnd"/>
      <w:r>
        <w:rPr>
          <w:rFonts w:hint="cs"/>
          <w:rtl/>
          <w:lang w:bidi="ar-EG"/>
        </w:rPr>
        <w:t xml:space="preserve">. </w:t>
      </w:r>
      <w:proofErr w:type="spellStart"/>
      <w:r>
        <w:rPr>
          <w:rFonts w:hint="cs"/>
          <w:rtl/>
          <w:lang w:bidi="ar-EG"/>
        </w:rPr>
        <w:t>موراي</w:t>
      </w:r>
      <w:proofErr w:type="spellEnd"/>
      <w:r>
        <w:rPr>
          <w:rFonts w:hint="cs"/>
          <w:rtl/>
          <w:lang w:bidi="ar-EG"/>
        </w:rPr>
        <w:t>، إس. سترن (2007) "هل تعوق حقوق الملكية الفكرية الرسمية التدفق الحر للمعارف العلمية</w:t>
      </w:r>
      <w:r w:rsidRPr="004B1E71">
        <w:rPr>
          <w:lang w:bidi="ar-EG"/>
        </w:rPr>
        <w:t>“Do formal intellectual property rights hinder the free flow of scientific knowledge</w:t>
      </w:r>
      <w:r w:rsidRPr="004B1E71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؟: اختبار تجريبي لفرضية الحقوق التوفيقية". غيه أوف </w:t>
      </w:r>
      <w:proofErr w:type="spellStart"/>
      <w:r>
        <w:rPr>
          <w:rFonts w:hint="cs"/>
          <w:rtl/>
          <w:lang w:bidi="ar-EG"/>
        </w:rPr>
        <w:t>إيكون</w:t>
      </w:r>
      <w:proofErr w:type="spellEnd"/>
      <w:r>
        <w:rPr>
          <w:rFonts w:hint="cs"/>
          <w:rtl/>
          <w:lang w:bidi="ar-EG"/>
        </w:rPr>
        <w:t xml:space="preserve"> </w:t>
      </w:r>
      <w:proofErr w:type="spellStart"/>
      <w:r w:rsidRPr="004B1E71">
        <w:rPr>
          <w:lang w:bidi="ar-EG"/>
        </w:rPr>
        <w:t>Behav</w:t>
      </w:r>
      <w:proofErr w:type="spellEnd"/>
      <w:r w:rsidRPr="004B1E71">
        <w:rPr>
          <w:lang w:bidi="ar-EG"/>
        </w:rPr>
        <w:t xml:space="preserve">. </w:t>
      </w:r>
      <w:proofErr w:type="gramStart"/>
      <w:r w:rsidRPr="004B1E71">
        <w:rPr>
          <w:lang w:bidi="ar-EG"/>
        </w:rPr>
        <w:t>&amp; Org.</w:t>
      </w:r>
      <w:r>
        <w:rPr>
          <w:rFonts w:hint="cs"/>
          <w:rtl/>
          <w:lang w:bidi="ar-EG"/>
        </w:rPr>
        <w:t xml:space="preserve"> 63/4، ص 648-687، </w:t>
      </w:r>
      <w:proofErr w:type="spellStart"/>
      <w:r>
        <w:rPr>
          <w:rFonts w:hint="cs"/>
          <w:rtl/>
          <w:lang w:bidi="ar-EG"/>
        </w:rPr>
        <w:t>إف</w:t>
      </w:r>
      <w:proofErr w:type="spellEnd"/>
      <w:r>
        <w:rPr>
          <w:rFonts w:hint="cs"/>
          <w:rtl/>
          <w:lang w:bidi="ar-EG"/>
        </w:rPr>
        <w:t>.</w:t>
      </w:r>
      <w:proofErr w:type="gramEnd"/>
      <w:r>
        <w:rPr>
          <w:rFonts w:hint="cs"/>
          <w:rtl/>
          <w:lang w:bidi="ar-EG"/>
        </w:rPr>
        <w:t xml:space="preserve"> </w:t>
      </w:r>
      <w:proofErr w:type="spellStart"/>
      <w:r>
        <w:rPr>
          <w:rFonts w:hint="cs"/>
          <w:rtl/>
          <w:lang w:bidi="ar-EG"/>
        </w:rPr>
        <w:t>موراي</w:t>
      </w:r>
      <w:proofErr w:type="spellEnd"/>
      <w:r>
        <w:rPr>
          <w:rFonts w:hint="cs"/>
          <w:rtl/>
          <w:lang w:bidi="ar-EG"/>
        </w:rPr>
        <w:t xml:space="preserve">، بي </w:t>
      </w:r>
      <w:proofErr w:type="spellStart"/>
      <w:r>
        <w:rPr>
          <w:rFonts w:hint="cs"/>
          <w:rtl/>
          <w:lang w:bidi="ar-EG"/>
        </w:rPr>
        <w:t>أجيون</w:t>
      </w:r>
      <w:proofErr w:type="spellEnd"/>
      <w:r>
        <w:rPr>
          <w:rFonts w:hint="cs"/>
          <w:rtl/>
          <w:lang w:bidi="ar-EG"/>
        </w:rPr>
        <w:t xml:space="preserve">، إم. </w:t>
      </w:r>
      <w:proofErr w:type="spellStart"/>
      <w:r>
        <w:rPr>
          <w:rFonts w:hint="cs"/>
          <w:rtl/>
          <w:lang w:bidi="ar-EG"/>
        </w:rPr>
        <w:t>ديواتربونت</w:t>
      </w:r>
      <w:proofErr w:type="spellEnd"/>
      <w:r>
        <w:rPr>
          <w:rFonts w:hint="cs"/>
          <w:rtl/>
          <w:lang w:bidi="ar-EG"/>
        </w:rPr>
        <w:t>، غيه كوليف، إس. سترن (2009) "من الفئران والأكاديميين: دراسة أثر الانفتاح على الابتكار"</w:t>
      </w:r>
      <w:r w:rsidRPr="006E2E86">
        <w:rPr>
          <w:lang w:bidi="ar-EG"/>
        </w:rPr>
        <w:t>“Of Mice and Academics: Examining the Effect of Openness on Innovation”</w:t>
      </w:r>
      <w:r>
        <w:rPr>
          <w:rFonts w:hint="cs"/>
          <w:rtl/>
          <w:lang w:bidi="ar-EG"/>
        </w:rPr>
        <w:t>،  ورقة عمل المكتب القومي للبحوث الاقتصادية</w:t>
      </w:r>
      <w:r w:rsidR="00A460C2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(</w:t>
      </w:r>
      <w:r w:rsidRPr="006E2E86">
        <w:rPr>
          <w:lang w:bidi="ar-EG"/>
        </w:rPr>
        <w:t>NBER</w:t>
      </w:r>
      <w:r>
        <w:rPr>
          <w:rFonts w:hint="cs"/>
          <w:rtl/>
          <w:lang w:bidi="ar-EG"/>
        </w:rPr>
        <w:t>) 14819، كامبريدج ، ماساتشوستس.</w:t>
      </w:r>
    </w:p>
  </w:footnote>
  <w:footnote w:id="2">
    <w:p w:rsidR="00E34448" w:rsidRDefault="00E34448" w:rsidP="002B1BD9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 xml:space="preserve">انظر: آر. إس. </w:t>
      </w:r>
      <w:proofErr w:type="spellStart"/>
      <w:r>
        <w:rPr>
          <w:rFonts w:hint="cs"/>
          <w:rtl/>
          <w:lang w:bidi="ar-EG"/>
        </w:rPr>
        <w:t>إيزنبرغ</w:t>
      </w:r>
      <w:proofErr w:type="spellEnd"/>
      <w:r>
        <w:rPr>
          <w:rFonts w:hint="cs"/>
          <w:rtl/>
          <w:lang w:bidi="ar-EG"/>
        </w:rPr>
        <w:t xml:space="preserve"> (2003)، سيوف البراءات ودروعها </w:t>
      </w:r>
      <w:r w:rsidRPr="002B1BD9">
        <w:rPr>
          <w:rFonts w:ascii="Arial" w:eastAsia="SimSun" w:hAnsi="Arial" w:cs="Arial"/>
          <w:sz w:val="22"/>
          <w:szCs w:val="18"/>
          <w:lang w:eastAsia="zh-CN"/>
        </w:rPr>
        <w:t xml:space="preserve"> </w:t>
      </w:r>
      <w:r w:rsidRPr="002B1BD9">
        <w:rPr>
          <w:lang w:bidi="ar-EG"/>
        </w:rPr>
        <w:t>Patent Swords and Shields</w:t>
      </w:r>
      <w:r>
        <w:rPr>
          <w:rFonts w:hint="cs"/>
          <w:rtl/>
          <w:lang w:bidi="ar-EG"/>
        </w:rPr>
        <w:t>. مجلة ساينس، 299، 1018-1019</w:t>
      </w:r>
    </w:p>
  </w:footnote>
  <w:footnote w:id="3">
    <w:p w:rsidR="00E34448" w:rsidRDefault="00E34448" w:rsidP="00E85DDD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 xml:space="preserve">انظر جيه </w:t>
      </w:r>
      <w:proofErr w:type="spellStart"/>
      <w:r>
        <w:rPr>
          <w:rFonts w:hint="cs"/>
          <w:rtl/>
          <w:lang w:bidi="ar-EG"/>
        </w:rPr>
        <w:t>بيسن</w:t>
      </w:r>
      <w:proofErr w:type="spellEnd"/>
      <w:r>
        <w:rPr>
          <w:rFonts w:hint="cs"/>
          <w:rtl/>
          <w:lang w:bidi="ar-EG"/>
        </w:rPr>
        <w:t xml:space="preserve">، جيه إم </w:t>
      </w:r>
      <w:proofErr w:type="spellStart"/>
      <w:r>
        <w:rPr>
          <w:rFonts w:hint="cs"/>
          <w:rtl/>
          <w:lang w:bidi="ar-EG"/>
        </w:rPr>
        <w:t>ميور</w:t>
      </w:r>
      <w:proofErr w:type="spellEnd"/>
      <w:r>
        <w:rPr>
          <w:rFonts w:hint="cs"/>
          <w:rtl/>
          <w:lang w:bidi="ar-EG"/>
        </w:rPr>
        <w:t xml:space="preserve"> (2008) فشل البراءات: كيف يعرض القضاة والبيروقراطيون والمحامون المبتكرين  للخطر</w:t>
      </w:r>
      <w:r w:rsidRPr="00E85DDD">
        <w:rPr>
          <w:rFonts w:ascii="Calibri" w:eastAsia="SimSun" w:hAnsi="Calibri" w:cs="Times New Roman"/>
          <w:sz w:val="20"/>
          <w:szCs w:val="20"/>
          <w:lang w:eastAsia="zh-CN"/>
        </w:rPr>
        <w:t xml:space="preserve"> </w:t>
      </w:r>
      <w:r w:rsidRPr="00E85DDD">
        <w:rPr>
          <w:lang w:bidi="ar-EG"/>
        </w:rPr>
        <w:t>Patent failure: How judges, bureaucrats, and lawyers put innovators at risk</w:t>
      </w:r>
      <w:r>
        <w:rPr>
          <w:rFonts w:hint="cs"/>
          <w:rtl/>
          <w:lang w:bidi="ar-EG"/>
        </w:rPr>
        <w:t xml:space="preserve">.  مطبعة جامعة </w:t>
      </w:r>
      <w:proofErr w:type="spellStart"/>
      <w:r>
        <w:rPr>
          <w:rFonts w:hint="cs"/>
          <w:rtl/>
          <w:lang w:bidi="ar-EG"/>
        </w:rPr>
        <w:t>برينستون</w:t>
      </w:r>
      <w:proofErr w:type="spellEnd"/>
      <w:r>
        <w:rPr>
          <w:rFonts w:hint="cs"/>
          <w:rtl/>
          <w:lang w:bidi="ar-EG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448" w:rsidRDefault="00E34448" w:rsidP="005804FC">
    <w:r>
      <w:rPr>
        <w:lang w:val="fr-CH"/>
      </w:rPr>
      <w:t>CDIP</w:t>
    </w:r>
    <w:r>
      <w:t>/14/--</w:t>
    </w:r>
  </w:p>
  <w:p w:rsidR="00E34448" w:rsidRDefault="00E34448" w:rsidP="00D61541">
    <w:r>
      <w:fldChar w:fldCharType="begin"/>
    </w:r>
    <w:r>
      <w:instrText xml:space="preserve"> PAGE  \* MERGEFORMAT </w:instrText>
    </w:r>
    <w:r>
      <w:fldChar w:fldCharType="separate"/>
    </w:r>
    <w:r w:rsidR="005630AE">
      <w:rPr>
        <w:noProof/>
      </w:rPr>
      <w:t>3</w:t>
    </w:r>
    <w:r>
      <w:fldChar w:fldCharType="end"/>
    </w:r>
  </w:p>
  <w:p w:rsidR="00E34448" w:rsidRDefault="00E34448" w:rsidP="00D615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8517762"/>
      <w:docPartObj>
        <w:docPartGallery w:val="Page Numbers (Top of Page)"/>
        <w:docPartUnique/>
      </w:docPartObj>
    </w:sdtPr>
    <w:sdtEndPr>
      <w:rPr>
        <w:noProof/>
      </w:rPr>
    </w:sdtEndPr>
    <w:sdtContent>
      <w:p w:rsidR="005630AE" w:rsidRDefault="005630AE" w:rsidP="005630AE">
        <w:pPr>
          <w:pStyle w:val="Header"/>
        </w:pPr>
        <w:r w:rsidRPr="005630AE">
          <w:rPr>
            <w:lang w:val="fr-CH"/>
          </w:rPr>
          <w:t>CDIP</w:t>
        </w:r>
        <w:r w:rsidRPr="005630AE">
          <w:t>/14/</w:t>
        </w:r>
        <w:r>
          <w:t>INF/7</w:t>
        </w:r>
      </w:p>
      <w:p w:rsidR="005630AE" w:rsidRPr="005630AE" w:rsidRDefault="005630AE" w:rsidP="003530EF">
        <w:pPr>
          <w:pStyle w:val="Header"/>
        </w:pPr>
        <w:r>
          <w:t>Annex I</w:t>
        </w:r>
      </w:p>
      <w:p w:rsidR="005630AE" w:rsidRDefault="005630AE" w:rsidP="005630AE">
        <w:pPr>
          <w:pStyle w:val="Head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7D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630AE" w:rsidRDefault="005630AE" w:rsidP="00D6154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4B6" w:rsidRDefault="00F834B6">
    <w:pPr>
      <w:pStyle w:val="Header"/>
    </w:pPr>
    <w:r>
      <w:t>CDIP/14/INF/7</w:t>
    </w:r>
  </w:p>
  <w:p w:rsidR="00F834B6" w:rsidRDefault="00F834B6">
    <w:pPr>
      <w:pStyle w:val="Header"/>
    </w:pPr>
    <w:r>
      <w:t>ANNEX</w:t>
    </w:r>
    <w:r w:rsidR="005630AE">
      <w:t xml:space="preserve"> I</w:t>
    </w:r>
  </w:p>
  <w:p w:rsidR="00F834B6" w:rsidRPr="00F834B6" w:rsidRDefault="00F834B6">
    <w:pPr>
      <w:pStyle w:val="Header"/>
      <w:rPr>
        <w:rFonts w:ascii="Arabic Typesetting" w:hAnsi="Arabic Typesetting" w:cs="Arabic Typesetting"/>
        <w:sz w:val="36"/>
        <w:szCs w:val="36"/>
        <w:rtl/>
      </w:rPr>
    </w:pPr>
    <w:proofErr w:type="gramStart"/>
    <w:r w:rsidRPr="00F834B6">
      <w:rPr>
        <w:rFonts w:ascii="Arabic Typesetting" w:hAnsi="Arabic Typesetting" w:cs="Arabic Typesetting"/>
        <w:sz w:val="36"/>
        <w:szCs w:val="36"/>
        <w:rtl/>
      </w:rPr>
      <w:t>المرفق</w:t>
    </w:r>
    <w:proofErr w:type="gramEnd"/>
    <w:r w:rsidR="005630AE">
      <w:rPr>
        <w:rFonts w:ascii="Arabic Typesetting" w:hAnsi="Arabic Typesetting" w:cs="Arabic Typesetting" w:hint="cs"/>
        <w:sz w:val="36"/>
        <w:szCs w:val="36"/>
        <w:rtl/>
      </w:rPr>
      <w:t xml:space="preserve"> الأول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7544661"/>
      <w:docPartObj>
        <w:docPartGallery w:val="Page Numbers (Top of Page)"/>
        <w:docPartUnique/>
      </w:docPartObj>
    </w:sdtPr>
    <w:sdtEndPr>
      <w:rPr>
        <w:noProof/>
      </w:rPr>
    </w:sdtEndPr>
    <w:sdtContent>
      <w:p w:rsidR="003530EF" w:rsidRDefault="003530EF" w:rsidP="005630AE">
        <w:pPr>
          <w:pStyle w:val="Header"/>
        </w:pPr>
        <w:r w:rsidRPr="005630AE">
          <w:rPr>
            <w:lang w:val="fr-CH"/>
          </w:rPr>
          <w:t>CDIP</w:t>
        </w:r>
        <w:r w:rsidRPr="005630AE">
          <w:t>/14/</w:t>
        </w:r>
        <w:r>
          <w:t>INF/7</w:t>
        </w:r>
      </w:p>
      <w:p w:rsidR="003530EF" w:rsidRPr="005630AE" w:rsidRDefault="003530EF" w:rsidP="003530EF">
        <w:pPr>
          <w:pStyle w:val="Header"/>
        </w:pPr>
        <w:r>
          <w:t>Annex II</w:t>
        </w:r>
      </w:p>
      <w:p w:rsidR="003530EF" w:rsidRDefault="003530EF" w:rsidP="005630AE">
        <w:pPr>
          <w:pStyle w:val="Head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7D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30EF" w:rsidRDefault="003530EF" w:rsidP="00D61541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0AE" w:rsidRDefault="005630AE">
    <w:pPr>
      <w:pStyle w:val="Header"/>
    </w:pPr>
    <w:r>
      <w:t>CDIP/14/INF/7</w:t>
    </w:r>
  </w:p>
  <w:p w:rsidR="005630AE" w:rsidRDefault="005630AE">
    <w:pPr>
      <w:pStyle w:val="Header"/>
    </w:pPr>
    <w:r>
      <w:t>ANNEX II</w:t>
    </w:r>
  </w:p>
  <w:p w:rsidR="005630AE" w:rsidRDefault="005630AE" w:rsidP="005630AE">
    <w:pPr>
      <w:pStyle w:val="Header"/>
      <w:rPr>
        <w:rFonts w:ascii="Arabic Typesetting" w:hAnsi="Arabic Typesetting" w:cs="Arabic Typesetting"/>
        <w:sz w:val="36"/>
        <w:szCs w:val="36"/>
        <w:rtl/>
      </w:rPr>
    </w:pPr>
    <w:proofErr w:type="gramStart"/>
    <w:r w:rsidRPr="00F834B6">
      <w:rPr>
        <w:rFonts w:ascii="Arabic Typesetting" w:hAnsi="Arabic Typesetting" w:cs="Arabic Typesetting"/>
        <w:sz w:val="36"/>
        <w:szCs w:val="36"/>
        <w:rtl/>
      </w:rPr>
      <w:t>المرفق</w:t>
    </w:r>
    <w:proofErr w:type="gramEnd"/>
    <w:r>
      <w:rPr>
        <w:rFonts w:ascii="Arabic Typesetting" w:hAnsi="Arabic Typesetting" w:cs="Arabic Typesetting" w:hint="cs"/>
        <w:sz w:val="36"/>
        <w:szCs w:val="36"/>
        <w:rtl/>
      </w:rPr>
      <w:t xml:space="preserve"> الثاني</w:t>
    </w:r>
  </w:p>
  <w:p w:rsidR="009C735A" w:rsidRPr="00F834B6" w:rsidRDefault="009C735A" w:rsidP="005630AE">
    <w:pPr>
      <w:pStyle w:val="Header"/>
      <w:rPr>
        <w:rFonts w:ascii="Arabic Typesetting" w:hAnsi="Arabic Typesetting" w:cs="Arabic Typesetting"/>
        <w:sz w:val="36"/>
        <w:szCs w:val="36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139B8"/>
    <w:multiLevelType w:val="hybridMultilevel"/>
    <w:tmpl w:val="8E387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2069ED"/>
    <w:multiLevelType w:val="hybridMultilevel"/>
    <w:tmpl w:val="FF482C6E"/>
    <w:lvl w:ilvl="0" w:tplc="29BA1626">
      <w:start w:val="1"/>
      <w:numFmt w:val="arabicAbja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ED1CCD"/>
    <w:multiLevelType w:val="hybridMultilevel"/>
    <w:tmpl w:val="29B8BFAA"/>
    <w:lvl w:ilvl="0" w:tplc="5F2CA4E4">
      <w:start w:val="5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1A8E7B8C"/>
    <w:multiLevelType w:val="hybridMultilevel"/>
    <w:tmpl w:val="EE2464EE"/>
    <w:lvl w:ilvl="0" w:tplc="A91E97B2">
      <w:start w:val="8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DF7213"/>
    <w:multiLevelType w:val="hybridMultilevel"/>
    <w:tmpl w:val="0F7C65B2"/>
    <w:lvl w:ilvl="0" w:tplc="29BA1626">
      <w:start w:val="1"/>
      <w:numFmt w:val="arabicAbjad"/>
      <w:lvlText w:val="(%1)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FD1532"/>
    <w:multiLevelType w:val="hybridMultilevel"/>
    <w:tmpl w:val="58ECE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024B52"/>
    <w:multiLevelType w:val="hybridMultilevel"/>
    <w:tmpl w:val="8634DF84"/>
    <w:lvl w:ilvl="0" w:tplc="29BA1626">
      <w:start w:val="1"/>
      <w:numFmt w:val="arabicAbja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7266A3"/>
    <w:multiLevelType w:val="hybridMultilevel"/>
    <w:tmpl w:val="ACC80912"/>
    <w:lvl w:ilvl="0" w:tplc="4678DDA6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4BF1225"/>
    <w:multiLevelType w:val="hybridMultilevel"/>
    <w:tmpl w:val="6BF41182"/>
    <w:lvl w:ilvl="0" w:tplc="16F05362">
      <w:start w:val="1"/>
      <w:numFmt w:val="arabicAbjad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FD4C02"/>
    <w:multiLevelType w:val="hybridMultilevel"/>
    <w:tmpl w:val="054EED62"/>
    <w:lvl w:ilvl="0" w:tplc="4678DDA6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8">
    <w:nsid w:val="7A427922"/>
    <w:multiLevelType w:val="hybridMultilevel"/>
    <w:tmpl w:val="20AEF9D0"/>
    <w:lvl w:ilvl="0" w:tplc="29BA1626">
      <w:start w:val="1"/>
      <w:numFmt w:val="arabicAbja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C71F2B"/>
    <w:multiLevelType w:val="hybridMultilevel"/>
    <w:tmpl w:val="B47CAA36"/>
    <w:lvl w:ilvl="0" w:tplc="431E4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4"/>
  </w:num>
  <w:num w:numId="2">
    <w:abstractNumId w:val="22"/>
  </w:num>
  <w:num w:numId="3">
    <w:abstractNumId w:val="13"/>
  </w:num>
  <w:num w:numId="4">
    <w:abstractNumId w:val="27"/>
  </w:num>
  <w:num w:numId="5">
    <w:abstractNumId w:val="8"/>
  </w:num>
  <w:num w:numId="6">
    <w:abstractNumId w:val="29"/>
  </w:num>
  <w:num w:numId="7">
    <w:abstractNumId w:val="18"/>
  </w:num>
  <w:num w:numId="8">
    <w:abstractNumId w:val="26"/>
  </w:num>
  <w:num w:numId="9">
    <w:abstractNumId w:val="24"/>
  </w:num>
  <w:num w:numId="10">
    <w:abstractNumId w:val="31"/>
  </w:num>
  <w:num w:numId="11">
    <w:abstractNumId w:val="1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9"/>
  </w:num>
  <w:num w:numId="23">
    <w:abstractNumId w:val="17"/>
  </w:num>
  <w:num w:numId="24">
    <w:abstractNumId w:val="17"/>
  </w:num>
  <w:num w:numId="25">
    <w:abstractNumId w:val="17"/>
  </w:num>
  <w:num w:numId="26">
    <w:abstractNumId w:val="30"/>
  </w:num>
  <w:num w:numId="27">
    <w:abstractNumId w:val="21"/>
  </w:num>
  <w:num w:numId="28">
    <w:abstractNumId w:val="17"/>
  </w:num>
  <w:num w:numId="29">
    <w:abstractNumId w:val="17"/>
  </w:num>
  <w:num w:numId="30">
    <w:abstractNumId w:val="17"/>
  </w:num>
  <w:num w:numId="31">
    <w:abstractNumId w:val="25"/>
  </w:num>
  <w:num w:numId="32">
    <w:abstractNumId w:val="12"/>
  </w:num>
  <w:num w:numId="33">
    <w:abstractNumId w:val="15"/>
  </w:num>
  <w:num w:numId="34">
    <w:abstractNumId w:val="17"/>
  </w:num>
  <w:num w:numId="35">
    <w:abstractNumId w:val="17"/>
  </w:num>
  <w:num w:numId="36">
    <w:abstractNumId w:val="17"/>
  </w:num>
  <w:num w:numId="37">
    <w:abstractNumId w:val="17"/>
  </w:num>
  <w:num w:numId="38">
    <w:abstractNumId w:val="28"/>
  </w:num>
  <w:num w:numId="39">
    <w:abstractNumId w:val="17"/>
  </w:num>
  <w:num w:numId="40">
    <w:abstractNumId w:val="17"/>
  </w:num>
  <w:num w:numId="41">
    <w:abstractNumId w:val="17"/>
  </w:num>
  <w:num w:numId="42">
    <w:abstractNumId w:val="20"/>
  </w:num>
  <w:num w:numId="43">
    <w:abstractNumId w:val="23"/>
  </w:num>
  <w:num w:numId="44">
    <w:abstractNumId w:val="11"/>
  </w:num>
  <w:num w:numId="45">
    <w:abstractNumId w:val="17"/>
  </w:num>
  <w:num w:numId="46">
    <w:abstractNumId w:val="17"/>
  </w:num>
  <w:num w:numId="47">
    <w:abstractNumId w:val="16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5E4"/>
    <w:rsid w:val="00001177"/>
    <w:rsid w:val="00002CBE"/>
    <w:rsid w:val="00003232"/>
    <w:rsid w:val="000033DA"/>
    <w:rsid w:val="0000579F"/>
    <w:rsid w:val="00007016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54C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2CBC"/>
    <w:rsid w:val="00033D2C"/>
    <w:rsid w:val="00035CE8"/>
    <w:rsid w:val="00036041"/>
    <w:rsid w:val="00037B73"/>
    <w:rsid w:val="000400D6"/>
    <w:rsid w:val="00040637"/>
    <w:rsid w:val="00040688"/>
    <w:rsid w:val="0004070F"/>
    <w:rsid w:val="0004115B"/>
    <w:rsid w:val="000422DF"/>
    <w:rsid w:val="00042F2D"/>
    <w:rsid w:val="000432B2"/>
    <w:rsid w:val="000432CF"/>
    <w:rsid w:val="000438A8"/>
    <w:rsid w:val="00044AC0"/>
    <w:rsid w:val="00045B68"/>
    <w:rsid w:val="00045E69"/>
    <w:rsid w:val="00046B1D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5FFE"/>
    <w:rsid w:val="000571DD"/>
    <w:rsid w:val="00057D1E"/>
    <w:rsid w:val="00061FF5"/>
    <w:rsid w:val="00062502"/>
    <w:rsid w:val="00063C91"/>
    <w:rsid w:val="000640E7"/>
    <w:rsid w:val="00066D51"/>
    <w:rsid w:val="00066DC7"/>
    <w:rsid w:val="0006794A"/>
    <w:rsid w:val="00067F31"/>
    <w:rsid w:val="00071138"/>
    <w:rsid w:val="00071947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19F"/>
    <w:rsid w:val="00095AE2"/>
    <w:rsid w:val="000962DF"/>
    <w:rsid w:val="00096317"/>
    <w:rsid w:val="0009661E"/>
    <w:rsid w:val="000A12BC"/>
    <w:rsid w:val="000A1306"/>
    <w:rsid w:val="000A1521"/>
    <w:rsid w:val="000A182F"/>
    <w:rsid w:val="000A2FC1"/>
    <w:rsid w:val="000A3A57"/>
    <w:rsid w:val="000A5408"/>
    <w:rsid w:val="000A6510"/>
    <w:rsid w:val="000B0066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0686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C76EF"/>
    <w:rsid w:val="000D0C07"/>
    <w:rsid w:val="000D0C7C"/>
    <w:rsid w:val="000D1A1D"/>
    <w:rsid w:val="000D1FBB"/>
    <w:rsid w:val="000D3CFD"/>
    <w:rsid w:val="000D5FB7"/>
    <w:rsid w:val="000E06A5"/>
    <w:rsid w:val="000E0AD7"/>
    <w:rsid w:val="000E16EB"/>
    <w:rsid w:val="000E4D2E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6B13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1CBA"/>
    <w:rsid w:val="00112524"/>
    <w:rsid w:val="00113769"/>
    <w:rsid w:val="00114141"/>
    <w:rsid w:val="00114827"/>
    <w:rsid w:val="00114A7C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498B"/>
    <w:rsid w:val="001252B1"/>
    <w:rsid w:val="00126897"/>
    <w:rsid w:val="0012696D"/>
    <w:rsid w:val="00130FC9"/>
    <w:rsid w:val="001310EE"/>
    <w:rsid w:val="001318B7"/>
    <w:rsid w:val="0013191A"/>
    <w:rsid w:val="00131E8F"/>
    <w:rsid w:val="00135C24"/>
    <w:rsid w:val="0013619E"/>
    <w:rsid w:val="00136389"/>
    <w:rsid w:val="00136A1A"/>
    <w:rsid w:val="00136A96"/>
    <w:rsid w:val="00136D1B"/>
    <w:rsid w:val="001376B6"/>
    <w:rsid w:val="00140A35"/>
    <w:rsid w:val="00140C36"/>
    <w:rsid w:val="00141667"/>
    <w:rsid w:val="00142F4D"/>
    <w:rsid w:val="0014339E"/>
    <w:rsid w:val="00143428"/>
    <w:rsid w:val="0014412C"/>
    <w:rsid w:val="001445F3"/>
    <w:rsid w:val="001446B7"/>
    <w:rsid w:val="00144713"/>
    <w:rsid w:val="00144CC3"/>
    <w:rsid w:val="00147420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283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19A0"/>
    <w:rsid w:val="00173005"/>
    <w:rsid w:val="0017385A"/>
    <w:rsid w:val="00175448"/>
    <w:rsid w:val="001757AF"/>
    <w:rsid w:val="00175825"/>
    <w:rsid w:val="0017666F"/>
    <w:rsid w:val="001768C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3B6A"/>
    <w:rsid w:val="001A4A9C"/>
    <w:rsid w:val="001A6B88"/>
    <w:rsid w:val="001A6C33"/>
    <w:rsid w:val="001A6E68"/>
    <w:rsid w:val="001B2ABC"/>
    <w:rsid w:val="001B3131"/>
    <w:rsid w:val="001B4B2F"/>
    <w:rsid w:val="001B7C00"/>
    <w:rsid w:val="001C09D2"/>
    <w:rsid w:val="001C130D"/>
    <w:rsid w:val="001C1620"/>
    <w:rsid w:val="001C18B2"/>
    <w:rsid w:val="001C1994"/>
    <w:rsid w:val="001C2933"/>
    <w:rsid w:val="001C5EEE"/>
    <w:rsid w:val="001C6A73"/>
    <w:rsid w:val="001C73C2"/>
    <w:rsid w:val="001D0474"/>
    <w:rsid w:val="001D0E04"/>
    <w:rsid w:val="001D141D"/>
    <w:rsid w:val="001D1EBD"/>
    <w:rsid w:val="001D2184"/>
    <w:rsid w:val="001D24F3"/>
    <w:rsid w:val="001D2678"/>
    <w:rsid w:val="001D2DC4"/>
    <w:rsid w:val="001D36F5"/>
    <w:rsid w:val="001D5A16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2B4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1C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C82"/>
    <w:rsid w:val="00234E82"/>
    <w:rsid w:val="00235C9D"/>
    <w:rsid w:val="002373B7"/>
    <w:rsid w:val="002412D4"/>
    <w:rsid w:val="00241940"/>
    <w:rsid w:val="0024220D"/>
    <w:rsid w:val="00242BD3"/>
    <w:rsid w:val="00242C02"/>
    <w:rsid w:val="00243155"/>
    <w:rsid w:val="00245540"/>
    <w:rsid w:val="00245C3E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277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35A3"/>
    <w:rsid w:val="00283710"/>
    <w:rsid w:val="00285018"/>
    <w:rsid w:val="00286744"/>
    <w:rsid w:val="00287C4A"/>
    <w:rsid w:val="002909B9"/>
    <w:rsid w:val="00292CEE"/>
    <w:rsid w:val="00292D22"/>
    <w:rsid w:val="002930ED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BD9"/>
    <w:rsid w:val="002B1F0F"/>
    <w:rsid w:val="002B53D3"/>
    <w:rsid w:val="002B6202"/>
    <w:rsid w:val="002B62F3"/>
    <w:rsid w:val="002C014C"/>
    <w:rsid w:val="002C0440"/>
    <w:rsid w:val="002C060C"/>
    <w:rsid w:val="002C0BA6"/>
    <w:rsid w:val="002C12A7"/>
    <w:rsid w:val="002C1701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3DAE"/>
    <w:rsid w:val="002E639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4B94"/>
    <w:rsid w:val="00325C8B"/>
    <w:rsid w:val="00326CCC"/>
    <w:rsid w:val="00327011"/>
    <w:rsid w:val="00334127"/>
    <w:rsid w:val="00335CA6"/>
    <w:rsid w:val="003365F0"/>
    <w:rsid w:val="00336C50"/>
    <w:rsid w:val="00337388"/>
    <w:rsid w:val="0034007D"/>
    <w:rsid w:val="003418ED"/>
    <w:rsid w:val="003433E5"/>
    <w:rsid w:val="00344082"/>
    <w:rsid w:val="0034582C"/>
    <w:rsid w:val="00345916"/>
    <w:rsid w:val="00345CAC"/>
    <w:rsid w:val="0034789E"/>
    <w:rsid w:val="003501DA"/>
    <w:rsid w:val="003503E2"/>
    <w:rsid w:val="00350439"/>
    <w:rsid w:val="00351DC1"/>
    <w:rsid w:val="003530EF"/>
    <w:rsid w:val="003534EE"/>
    <w:rsid w:val="00354C85"/>
    <w:rsid w:val="0035707B"/>
    <w:rsid w:val="003600A2"/>
    <w:rsid w:val="003612D8"/>
    <w:rsid w:val="00362810"/>
    <w:rsid w:val="003637B6"/>
    <w:rsid w:val="00363F89"/>
    <w:rsid w:val="00363FB0"/>
    <w:rsid w:val="003646D6"/>
    <w:rsid w:val="00364FC6"/>
    <w:rsid w:val="0036541D"/>
    <w:rsid w:val="003659E5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078D"/>
    <w:rsid w:val="00381802"/>
    <w:rsid w:val="003818B3"/>
    <w:rsid w:val="0038356A"/>
    <w:rsid w:val="0038382F"/>
    <w:rsid w:val="0038443F"/>
    <w:rsid w:val="00385427"/>
    <w:rsid w:val="0038546E"/>
    <w:rsid w:val="00385584"/>
    <w:rsid w:val="00387542"/>
    <w:rsid w:val="00387C6B"/>
    <w:rsid w:val="00390C41"/>
    <w:rsid w:val="00390F67"/>
    <w:rsid w:val="00390FC0"/>
    <w:rsid w:val="003911B2"/>
    <w:rsid w:val="00391AFE"/>
    <w:rsid w:val="00392705"/>
    <w:rsid w:val="0039283A"/>
    <w:rsid w:val="003937F0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6D03"/>
    <w:rsid w:val="003A78C7"/>
    <w:rsid w:val="003A7E9A"/>
    <w:rsid w:val="003B12F8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6E2C"/>
    <w:rsid w:val="003C72F6"/>
    <w:rsid w:val="003D073C"/>
    <w:rsid w:val="003D0791"/>
    <w:rsid w:val="003D0CB3"/>
    <w:rsid w:val="003D1130"/>
    <w:rsid w:val="003D2BDE"/>
    <w:rsid w:val="003D37D4"/>
    <w:rsid w:val="003D47A7"/>
    <w:rsid w:val="003D56B5"/>
    <w:rsid w:val="003D5DCC"/>
    <w:rsid w:val="003D6B84"/>
    <w:rsid w:val="003D7500"/>
    <w:rsid w:val="003E1A49"/>
    <w:rsid w:val="003E2D01"/>
    <w:rsid w:val="003E330E"/>
    <w:rsid w:val="003E3AE3"/>
    <w:rsid w:val="003E5733"/>
    <w:rsid w:val="003E5E27"/>
    <w:rsid w:val="003E62AF"/>
    <w:rsid w:val="003E6FD2"/>
    <w:rsid w:val="003E788F"/>
    <w:rsid w:val="003E7A97"/>
    <w:rsid w:val="003E7D3A"/>
    <w:rsid w:val="003F0950"/>
    <w:rsid w:val="003F09C9"/>
    <w:rsid w:val="003F0AFE"/>
    <w:rsid w:val="003F233B"/>
    <w:rsid w:val="003F4C37"/>
    <w:rsid w:val="003F67AE"/>
    <w:rsid w:val="003F6BBB"/>
    <w:rsid w:val="003F719F"/>
    <w:rsid w:val="003F7C7A"/>
    <w:rsid w:val="0040033D"/>
    <w:rsid w:val="004007E1"/>
    <w:rsid w:val="00400B1F"/>
    <w:rsid w:val="004032D2"/>
    <w:rsid w:val="00403C4F"/>
    <w:rsid w:val="00404416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0E6"/>
    <w:rsid w:val="00417E93"/>
    <w:rsid w:val="00422A2A"/>
    <w:rsid w:val="00424BB4"/>
    <w:rsid w:val="004258CD"/>
    <w:rsid w:val="004261D2"/>
    <w:rsid w:val="00427652"/>
    <w:rsid w:val="00427B16"/>
    <w:rsid w:val="00430390"/>
    <w:rsid w:val="004303D1"/>
    <w:rsid w:val="00431F8F"/>
    <w:rsid w:val="004335A8"/>
    <w:rsid w:val="00433B8E"/>
    <w:rsid w:val="00433C0A"/>
    <w:rsid w:val="004349FA"/>
    <w:rsid w:val="00437984"/>
    <w:rsid w:val="004406BD"/>
    <w:rsid w:val="00442FBE"/>
    <w:rsid w:val="004433B1"/>
    <w:rsid w:val="00443571"/>
    <w:rsid w:val="004444E3"/>
    <w:rsid w:val="004447FD"/>
    <w:rsid w:val="00445032"/>
    <w:rsid w:val="004450CB"/>
    <w:rsid w:val="0044683E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0570"/>
    <w:rsid w:val="004627AE"/>
    <w:rsid w:val="0046298E"/>
    <w:rsid w:val="00463B5E"/>
    <w:rsid w:val="004647BB"/>
    <w:rsid w:val="0046482B"/>
    <w:rsid w:val="004648E0"/>
    <w:rsid w:val="00470628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664"/>
    <w:rsid w:val="00482CB2"/>
    <w:rsid w:val="00483D06"/>
    <w:rsid w:val="00485A4A"/>
    <w:rsid w:val="00485CF7"/>
    <w:rsid w:val="00485E70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4A07"/>
    <w:rsid w:val="00497356"/>
    <w:rsid w:val="004A076F"/>
    <w:rsid w:val="004A0D1F"/>
    <w:rsid w:val="004A1431"/>
    <w:rsid w:val="004A1DC1"/>
    <w:rsid w:val="004A31A2"/>
    <w:rsid w:val="004A48A7"/>
    <w:rsid w:val="004A655D"/>
    <w:rsid w:val="004A6D4F"/>
    <w:rsid w:val="004B01AA"/>
    <w:rsid w:val="004B01B1"/>
    <w:rsid w:val="004B08D1"/>
    <w:rsid w:val="004B10E6"/>
    <w:rsid w:val="004B198F"/>
    <w:rsid w:val="004B1E71"/>
    <w:rsid w:val="004B2C9A"/>
    <w:rsid w:val="004B46D0"/>
    <w:rsid w:val="004B4BF6"/>
    <w:rsid w:val="004B57B0"/>
    <w:rsid w:val="004B60CE"/>
    <w:rsid w:val="004B61C9"/>
    <w:rsid w:val="004C0B26"/>
    <w:rsid w:val="004C0EA3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58C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D6C73"/>
    <w:rsid w:val="004E1264"/>
    <w:rsid w:val="004E1958"/>
    <w:rsid w:val="004E2CBC"/>
    <w:rsid w:val="004E3CC3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2AAB"/>
    <w:rsid w:val="004F30D6"/>
    <w:rsid w:val="004F34A5"/>
    <w:rsid w:val="004F40D6"/>
    <w:rsid w:val="004F5B38"/>
    <w:rsid w:val="004F6925"/>
    <w:rsid w:val="005038F0"/>
    <w:rsid w:val="00503AE1"/>
    <w:rsid w:val="00503CA6"/>
    <w:rsid w:val="00503FAE"/>
    <w:rsid w:val="00504540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CF1"/>
    <w:rsid w:val="00511D00"/>
    <w:rsid w:val="005137E7"/>
    <w:rsid w:val="00513AC2"/>
    <w:rsid w:val="00515788"/>
    <w:rsid w:val="00516256"/>
    <w:rsid w:val="005162CF"/>
    <w:rsid w:val="00517A63"/>
    <w:rsid w:val="00517C8D"/>
    <w:rsid w:val="00517FD1"/>
    <w:rsid w:val="005219E6"/>
    <w:rsid w:val="00521B4A"/>
    <w:rsid w:val="005220DA"/>
    <w:rsid w:val="0052212E"/>
    <w:rsid w:val="00522E91"/>
    <w:rsid w:val="0052302D"/>
    <w:rsid w:val="005236A5"/>
    <w:rsid w:val="00524AFD"/>
    <w:rsid w:val="00525CC9"/>
    <w:rsid w:val="005266BD"/>
    <w:rsid w:val="0052772D"/>
    <w:rsid w:val="00530442"/>
    <w:rsid w:val="00534AF0"/>
    <w:rsid w:val="00535060"/>
    <w:rsid w:val="00535738"/>
    <w:rsid w:val="0053613F"/>
    <w:rsid w:val="00537D54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533"/>
    <w:rsid w:val="00560C6A"/>
    <w:rsid w:val="00560F85"/>
    <w:rsid w:val="005610A0"/>
    <w:rsid w:val="005620AD"/>
    <w:rsid w:val="0056248F"/>
    <w:rsid w:val="005630AE"/>
    <w:rsid w:val="00564985"/>
    <w:rsid w:val="00565379"/>
    <w:rsid w:val="005674C3"/>
    <w:rsid w:val="00567990"/>
    <w:rsid w:val="00567C4C"/>
    <w:rsid w:val="00572782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04FC"/>
    <w:rsid w:val="00581FF0"/>
    <w:rsid w:val="005825FC"/>
    <w:rsid w:val="00582A90"/>
    <w:rsid w:val="00583437"/>
    <w:rsid w:val="00583C5D"/>
    <w:rsid w:val="00583CE0"/>
    <w:rsid w:val="00584B4A"/>
    <w:rsid w:val="00584DCB"/>
    <w:rsid w:val="00585498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1B0A"/>
    <w:rsid w:val="005A255F"/>
    <w:rsid w:val="005A330E"/>
    <w:rsid w:val="005A42A1"/>
    <w:rsid w:val="005A5554"/>
    <w:rsid w:val="005A5651"/>
    <w:rsid w:val="005A572F"/>
    <w:rsid w:val="005A6AFE"/>
    <w:rsid w:val="005A7BF3"/>
    <w:rsid w:val="005A7CE0"/>
    <w:rsid w:val="005A7DE0"/>
    <w:rsid w:val="005B0AEF"/>
    <w:rsid w:val="005B37D9"/>
    <w:rsid w:val="005B445B"/>
    <w:rsid w:val="005B474E"/>
    <w:rsid w:val="005B489A"/>
    <w:rsid w:val="005B5DDB"/>
    <w:rsid w:val="005B63A6"/>
    <w:rsid w:val="005B64D1"/>
    <w:rsid w:val="005B65E4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446D"/>
    <w:rsid w:val="005D5912"/>
    <w:rsid w:val="005D6610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1B"/>
    <w:rsid w:val="005F34FB"/>
    <w:rsid w:val="005F39A0"/>
    <w:rsid w:val="005F5CC9"/>
    <w:rsid w:val="005F6B68"/>
    <w:rsid w:val="005F6F2E"/>
    <w:rsid w:val="005F7D0F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7A3"/>
    <w:rsid w:val="00614EB1"/>
    <w:rsid w:val="00614F67"/>
    <w:rsid w:val="00615277"/>
    <w:rsid w:val="00615519"/>
    <w:rsid w:val="00615CED"/>
    <w:rsid w:val="00615CFC"/>
    <w:rsid w:val="00617A92"/>
    <w:rsid w:val="0062043D"/>
    <w:rsid w:val="00620CEE"/>
    <w:rsid w:val="00622558"/>
    <w:rsid w:val="00622D5F"/>
    <w:rsid w:val="00622EAE"/>
    <w:rsid w:val="0062334E"/>
    <w:rsid w:val="00623A4F"/>
    <w:rsid w:val="00624D17"/>
    <w:rsid w:val="00624F56"/>
    <w:rsid w:val="006256D2"/>
    <w:rsid w:val="006260EF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1AF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BED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0F73"/>
    <w:rsid w:val="00651143"/>
    <w:rsid w:val="00651959"/>
    <w:rsid w:val="00652360"/>
    <w:rsid w:val="00653149"/>
    <w:rsid w:val="006531E4"/>
    <w:rsid w:val="006533C5"/>
    <w:rsid w:val="00654505"/>
    <w:rsid w:val="006571CC"/>
    <w:rsid w:val="006575ED"/>
    <w:rsid w:val="006578FD"/>
    <w:rsid w:val="00660060"/>
    <w:rsid w:val="006609AA"/>
    <w:rsid w:val="00660B8F"/>
    <w:rsid w:val="00660E03"/>
    <w:rsid w:val="006618B3"/>
    <w:rsid w:val="00662EDE"/>
    <w:rsid w:val="00664C9F"/>
    <w:rsid w:val="00666548"/>
    <w:rsid w:val="0066686F"/>
    <w:rsid w:val="00666A71"/>
    <w:rsid w:val="00667537"/>
    <w:rsid w:val="00667FFA"/>
    <w:rsid w:val="00670865"/>
    <w:rsid w:val="00671AED"/>
    <w:rsid w:val="006725B5"/>
    <w:rsid w:val="00673376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7B1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19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6B33"/>
    <w:rsid w:val="006B79A4"/>
    <w:rsid w:val="006C1254"/>
    <w:rsid w:val="006C1AA9"/>
    <w:rsid w:val="006C2DC5"/>
    <w:rsid w:val="006C480B"/>
    <w:rsid w:val="006C5583"/>
    <w:rsid w:val="006C570B"/>
    <w:rsid w:val="006C572E"/>
    <w:rsid w:val="006C5997"/>
    <w:rsid w:val="006C5CD2"/>
    <w:rsid w:val="006D0636"/>
    <w:rsid w:val="006D06DC"/>
    <w:rsid w:val="006D08DA"/>
    <w:rsid w:val="006D4B25"/>
    <w:rsid w:val="006D6E46"/>
    <w:rsid w:val="006D7FA8"/>
    <w:rsid w:val="006E2E86"/>
    <w:rsid w:val="006E357C"/>
    <w:rsid w:val="006E4601"/>
    <w:rsid w:val="006E5B86"/>
    <w:rsid w:val="006E63FF"/>
    <w:rsid w:val="006E652D"/>
    <w:rsid w:val="006E6D55"/>
    <w:rsid w:val="006E7572"/>
    <w:rsid w:val="006F2F22"/>
    <w:rsid w:val="006F434A"/>
    <w:rsid w:val="006F7974"/>
    <w:rsid w:val="00700A60"/>
    <w:rsid w:val="00705027"/>
    <w:rsid w:val="00710494"/>
    <w:rsid w:val="007117BD"/>
    <w:rsid w:val="0071361B"/>
    <w:rsid w:val="00715129"/>
    <w:rsid w:val="007154CE"/>
    <w:rsid w:val="00715B25"/>
    <w:rsid w:val="00716020"/>
    <w:rsid w:val="00716BBD"/>
    <w:rsid w:val="00720860"/>
    <w:rsid w:val="00721087"/>
    <w:rsid w:val="00721530"/>
    <w:rsid w:val="00723422"/>
    <w:rsid w:val="007260FE"/>
    <w:rsid w:val="00726430"/>
    <w:rsid w:val="00726DD6"/>
    <w:rsid w:val="0073076E"/>
    <w:rsid w:val="0073117A"/>
    <w:rsid w:val="00732715"/>
    <w:rsid w:val="00733416"/>
    <w:rsid w:val="0073377E"/>
    <w:rsid w:val="00733E05"/>
    <w:rsid w:val="007341AD"/>
    <w:rsid w:val="00734F06"/>
    <w:rsid w:val="00735C8A"/>
    <w:rsid w:val="00735FE2"/>
    <w:rsid w:val="0073719A"/>
    <w:rsid w:val="0073797B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568"/>
    <w:rsid w:val="00780B1A"/>
    <w:rsid w:val="007810D3"/>
    <w:rsid w:val="0078264A"/>
    <w:rsid w:val="00783D11"/>
    <w:rsid w:val="00785E46"/>
    <w:rsid w:val="00787917"/>
    <w:rsid w:val="00791489"/>
    <w:rsid w:val="00791683"/>
    <w:rsid w:val="00792DF7"/>
    <w:rsid w:val="00792F0C"/>
    <w:rsid w:val="00795460"/>
    <w:rsid w:val="00796CF7"/>
    <w:rsid w:val="007A0313"/>
    <w:rsid w:val="007A0A83"/>
    <w:rsid w:val="007A1E01"/>
    <w:rsid w:val="007A4BB3"/>
    <w:rsid w:val="007A4CD6"/>
    <w:rsid w:val="007A4EAF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C6CB2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18E5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4AAF"/>
    <w:rsid w:val="007F528D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3EAF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26DD"/>
    <w:rsid w:val="00833578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65628"/>
    <w:rsid w:val="00867EA4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19E"/>
    <w:rsid w:val="008803F5"/>
    <w:rsid w:val="008812BF"/>
    <w:rsid w:val="00881341"/>
    <w:rsid w:val="00882931"/>
    <w:rsid w:val="00884095"/>
    <w:rsid w:val="008848FC"/>
    <w:rsid w:val="00884939"/>
    <w:rsid w:val="00884D96"/>
    <w:rsid w:val="008853E0"/>
    <w:rsid w:val="00885B25"/>
    <w:rsid w:val="00885BE2"/>
    <w:rsid w:val="008863C8"/>
    <w:rsid w:val="00886D40"/>
    <w:rsid w:val="00887A0E"/>
    <w:rsid w:val="008907F3"/>
    <w:rsid w:val="00891B1B"/>
    <w:rsid w:val="008920C2"/>
    <w:rsid w:val="00895702"/>
    <w:rsid w:val="00897566"/>
    <w:rsid w:val="0089757B"/>
    <w:rsid w:val="008A04A1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E7F"/>
    <w:rsid w:val="008B4F60"/>
    <w:rsid w:val="008B559A"/>
    <w:rsid w:val="008B598F"/>
    <w:rsid w:val="008B66A5"/>
    <w:rsid w:val="008B7F4A"/>
    <w:rsid w:val="008C0266"/>
    <w:rsid w:val="008C06AB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841"/>
    <w:rsid w:val="008D3CC5"/>
    <w:rsid w:val="008D564A"/>
    <w:rsid w:val="008D5E47"/>
    <w:rsid w:val="008D7D8C"/>
    <w:rsid w:val="008E004E"/>
    <w:rsid w:val="008E04FB"/>
    <w:rsid w:val="008E3AFC"/>
    <w:rsid w:val="008E3E79"/>
    <w:rsid w:val="008E5282"/>
    <w:rsid w:val="008E5E2C"/>
    <w:rsid w:val="008E78F1"/>
    <w:rsid w:val="008F03CE"/>
    <w:rsid w:val="008F075B"/>
    <w:rsid w:val="008F097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2F0"/>
    <w:rsid w:val="00900959"/>
    <w:rsid w:val="00901900"/>
    <w:rsid w:val="00901B7A"/>
    <w:rsid w:val="00901EE8"/>
    <w:rsid w:val="00901F6C"/>
    <w:rsid w:val="0090266B"/>
    <w:rsid w:val="00902F06"/>
    <w:rsid w:val="009035DB"/>
    <w:rsid w:val="00903FD0"/>
    <w:rsid w:val="00904671"/>
    <w:rsid w:val="00905BC5"/>
    <w:rsid w:val="009064AA"/>
    <w:rsid w:val="00912257"/>
    <w:rsid w:val="00912DD2"/>
    <w:rsid w:val="00913495"/>
    <w:rsid w:val="00913874"/>
    <w:rsid w:val="009141D7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4283"/>
    <w:rsid w:val="00925956"/>
    <w:rsid w:val="00925DD2"/>
    <w:rsid w:val="00926344"/>
    <w:rsid w:val="00926929"/>
    <w:rsid w:val="00927301"/>
    <w:rsid w:val="00927E9D"/>
    <w:rsid w:val="00930671"/>
    <w:rsid w:val="00931859"/>
    <w:rsid w:val="0093205C"/>
    <w:rsid w:val="009343F5"/>
    <w:rsid w:val="0093456A"/>
    <w:rsid w:val="009345AE"/>
    <w:rsid w:val="00935301"/>
    <w:rsid w:val="00936F64"/>
    <w:rsid w:val="00937629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3B0"/>
    <w:rsid w:val="00946AB3"/>
    <w:rsid w:val="00947074"/>
    <w:rsid w:val="0094752A"/>
    <w:rsid w:val="00947D01"/>
    <w:rsid w:val="00950394"/>
    <w:rsid w:val="009503EA"/>
    <w:rsid w:val="0095112D"/>
    <w:rsid w:val="00952124"/>
    <w:rsid w:val="009539A0"/>
    <w:rsid w:val="00956244"/>
    <w:rsid w:val="00956A06"/>
    <w:rsid w:val="00957435"/>
    <w:rsid w:val="009578D0"/>
    <w:rsid w:val="009600C6"/>
    <w:rsid w:val="00960D80"/>
    <w:rsid w:val="009621CE"/>
    <w:rsid w:val="009622BF"/>
    <w:rsid w:val="00962D73"/>
    <w:rsid w:val="009651B8"/>
    <w:rsid w:val="009653A7"/>
    <w:rsid w:val="009653F3"/>
    <w:rsid w:val="0096587A"/>
    <w:rsid w:val="009666E7"/>
    <w:rsid w:val="00967278"/>
    <w:rsid w:val="00971568"/>
    <w:rsid w:val="0097263C"/>
    <w:rsid w:val="009728F2"/>
    <w:rsid w:val="00972BEF"/>
    <w:rsid w:val="00973BCF"/>
    <w:rsid w:val="009744BC"/>
    <w:rsid w:val="00974E60"/>
    <w:rsid w:val="00975896"/>
    <w:rsid w:val="00975DF1"/>
    <w:rsid w:val="00976AFE"/>
    <w:rsid w:val="00977AB7"/>
    <w:rsid w:val="0098246B"/>
    <w:rsid w:val="00983975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46F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A62FD"/>
    <w:rsid w:val="009B010D"/>
    <w:rsid w:val="009B0AAB"/>
    <w:rsid w:val="009B0D3E"/>
    <w:rsid w:val="009B2AD1"/>
    <w:rsid w:val="009B3224"/>
    <w:rsid w:val="009B3A61"/>
    <w:rsid w:val="009B4935"/>
    <w:rsid w:val="009B528E"/>
    <w:rsid w:val="009B54FE"/>
    <w:rsid w:val="009B77DD"/>
    <w:rsid w:val="009C076C"/>
    <w:rsid w:val="009C13BF"/>
    <w:rsid w:val="009C28E4"/>
    <w:rsid w:val="009C2943"/>
    <w:rsid w:val="009C4B2C"/>
    <w:rsid w:val="009C4CB3"/>
    <w:rsid w:val="009C4F15"/>
    <w:rsid w:val="009C511C"/>
    <w:rsid w:val="009C5416"/>
    <w:rsid w:val="009C587B"/>
    <w:rsid w:val="009C64C5"/>
    <w:rsid w:val="009C69E7"/>
    <w:rsid w:val="009C6F87"/>
    <w:rsid w:val="009C7166"/>
    <w:rsid w:val="009C735A"/>
    <w:rsid w:val="009C742C"/>
    <w:rsid w:val="009D2376"/>
    <w:rsid w:val="009D2D48"/>
    <w:rsid w:val="009D3103"/>
    <w:rsid w:val="009D40D8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4DE"/>
    <w:rsid w:val="009D76A3"/>
    <w:rsid w:val="009E09F5"/>
    <w:rsid w:val="009E0DBC"/>
    <w:rsid w:val="009E1180"/>
    <w:rsid w:val="009E11BD"/>
    <w:rsid w:val="009E1DF8"/>
    <w:rsid w:val="009E2C1A"/>
    <w:rsid w:val="009E2C4B"/>
    <w:rsid w:val="009E2E0C"/>
    <w:rsid w:val="009E3218"/>
    <w:rsid w:val="009E3248"/>
    <w:rsid w:val="009E3BED"/>
    <w:rsid w:val="009E3E55"/>
    <w:rsid w:val="009E4506"/>
    <w:rsid w:val="009E455E"/>
    <w:rsid w:val="009E487A"/>
    <w:rsid w:val="009E4FFB"/>
    <w:rsid w:val="009F045D"/>
    <w:rsid w:val="009F0DEC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3585"/>
    <w:rsid w:val="00A041AA"/>
    <w:rsid w:val="00A05AA4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2F58"/>
    <w:rsid w:val="00A337E5"/>
    <w:rsid w:val="00A35BA9"/>
    <w:rsid w:val="00A3658D"/>
    <w:rsid w:val="00A36E51"/>
    <w:rsid w:val="00A375CD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0C2"/>
    <w:rsid w:val="00A46A1E"/>
    <w:rsid w:val="00A46E0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673CE"/>
    <w:rsid w:val="00A71670"/>
    <w:rsid w:val="00A7179D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1F4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588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B29"/>
    <w:rsid w:val="00AA5EBD"/>
    <w:rsid w:val="00AA628B"/>
    <w:rsid w:val="00AA6DE4"/>
    <w:rsid w:val="00AA7408"/>
    <w:rsid w:val="00AA7D1F"/>
    <w:rsid w:val="00AB02C6"/>
    <w:rsid w:val="00AB246B"/>
    <w:rsid w:val="00AB2E96"/>
    <w:rsid w:val="00AB333D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C72E6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2D6"/>
    <w:rsid w:val="00AE7348"/>
    <w:rsid w:val="00AE7394"/>
    <w:rsid w:val="00AE7CD2"/>
    <w:rsid w:val="00AF0B77"/>
    <w:rsid w:val="00AF138B"/>
    <w:rsid w:val="00AF160F"/>
    <w:rsid w:val="00AF1919"/>
    <w:rsid w:val="00AF1B7B"/>
    <w:rsid w:val="00AF1E2C"/>
    <w:rsid w:val="00AF3291"/>
    <w:rsid w:val="00AF395E"/>
    <w:rsid w:val="00AF4D6A"/>
    <w:rsid w:val="00AF5D2C"/>
    <w:rsid w:val="00AF5D6E"/>
    <w:rsid w:val="00AF6318"/>
    <w:rsid w:val="00B0072E"/>
    <w:rsid w:val="00B02B87"/>
    <w:rsid w:val="00B03B63"/>
    <w:rsid w:val="00B03CDB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0CAA"/>
    <w:rsid w:val="00B21771"/>
    <w:rsid w:val="00B2191C"/>
    <w:rsid w:val="00B21B30"/>
    <w:rsid w:val="00B21E9B"/>
    <w:rsid w:val="00B21FE2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CC8"/>
    <w:rsid w:val="00B36D20"/>
    <w:rsid w:val="00B36F67"/>
    <w:rsid w:val="00B40633"/>
    <w:rsid w:val="00B42751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682E"/>
    <w:rsid w:val="00B57EF2"/>
    <w:rsid w:val="00B604F3"/>
    <w:rsid w:val="00B6101C"/>
    <w:rsid w:val="00B615ED"/>
    <w:rsid w:val="00B61C7B"/>
    <w:rsid w:val="00B63A9D"/>
    <w:rsid w:val="00B6445B"/>
    <w:rsid w:val="00B64888"/>
    <w:rsid w:val="00B64DAF"/>
    <w:rsid w:val="00B6706A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51C"/>
    <w:rsid w:val="00BA1987"/>
    <w:rsid w:val="00BA2682"/>
    <w:rsid w:val="00BA31E4"/>
    <w:rsid w:val="00BA389D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32E6"/>
    <w:rsid w:val="00BB40DF"/>
    <w:rsid w:val="00BB5E2C"/>
    <w:rsid w:val="00BB62FA"/>
    <w:rsid w:val="00BB77D7"/>
    <w:rsid w:val="00BB7D9E"/>
    <w:rsid w:val="00BC0E51"/>
    <w:rsid w:val="00BC16AC"/>
    <w:rsid w:val="00BC20B1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1063"/>
    <w:rsid w:val="00BD2603"/>
    <w:rsid w:val="00BD486C"/>
    <w:rsid w:val="00BD4EEC"/>
    <w:rsid w:val="00BD4F34"/>
    <w:rsid w:val="00BD537C"/>
    <w:rsid w:val="00BD5CAC"/>
    <w:rsid w:val="00BD5E50"/>
    <w:rsid w:val="00BD6F5B"/>
    <w:rsid w:val="00BD7662"/>
    <w:rsid w:val="00BE05ED"/>
    <w:rsid w:val="00BE350E"/>
    <w:rsid w:val="00BE3801"/>
    <w:rsid w:val="00BE38CF"/>
    <w:rsid w:val="00BE394B"/>
    <w:rsid w:val="00BE40AF"/>
    <w:rsid w:val="00BE48A8"/>
    <w:rsid w:val="00BE528F"/>
    <w:rsid w:val="00BE5547"/>
    <w:rsid w:val="00BE5850"/>
    <w:rsid w:val="00BE58D6"/>
    <w:rsid w:val="00BE5CA6"/>
    <w:rsid w:val="00BE707F"/>
    <w:rsid w:val="00BE7F5D"/>
    <w:rsid w:val="00BF0707"/>
    <w:rsid w:val="00BF0A01"/>
    <w:rsid w:val="00BF164F"/>
    <w:rsid w:val="00BF1AAF"/>
    <w:rsid w:val="00BF268B"/>
    <w:rsid w:val="00BF4D03"/>
    <w:rsid w:val="00BF4E85"/>
    <w:rsid w:val="00BF54BD"/>
    <w:rsid w:val="00BF5892"/>
    <w:rsid w:val="00C01804"/>
    <w:rsid w:val="00C0232A"/>
    <w:rsid w:val="00C026BC"/>
    <w:rsid w:val="00C02AD4"/>
    <w:rsid w:val="00C03869"/>
    <w:rsid w:val="00C07988"/>
    <w:rsid w:val="00C07C5E"/>
    <w:rsid w:val="00C10068"/>
    <w:rsid w:val="00C10AC5"/>
    <w:rsid w:val="00C10D6B"/>
    <w:rsid w:val="00C12DAD"/>
    <w:rsid w:val="00C12DBB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059B"/>
    <w:rsid w:val="00C32151"/>
    <w:rsid w:val="00C3217A"/>
    <w:rsid w:val="00C33551"/>
    <w:rsid w:val="00C3357D"/>
    <w:rsid w:val="00C33BE9"/>
    <w:rsid w:val="00C33C13"/>
    <w:rsid w:val="00C347DD"/>
    <w:rsid w:val="00C348C7"/>
    <w:rsid w:val="00C35B2A"/>
    <w:rsid w:val="00C36742"/>
    <w:rsid w:val="00C374AD"/>
    <w:rsid w:val="00C407F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3C62"/>
    <w:rsid w:val="00C54C1B"/>
    <w:rsid w:val="00C54DBA"/>
    <w:rsid w:val="00C55C1D"/>
    <w:rsid w:val="00C57ED3"/>
    <w:rsid w:val="00C61640"/>
    <w:rsid w:val="00C61AA7"/>
    <w:rsid w:val="00C61B8E"/>
    <w:rsid w:val="00C6599D"/>
    <w:rsid w:val="00C668DE"/>
    <w:rsid w:val="00C7044F"/>
    <w:rsid w:val="00C720F8"/>
    <w:rsid w:val="00C7294B"/>
    <w:rsid w:val="00C75139"/>
    <w:rsid w:val="00C7525C"/>
    <w:rsid w:val="00C7541C"/>
    <w:rsid w:val="00C76CF7"/>
    <w:rsid w:val="00C80F67"/>
    <w:rsid w:val="00C83A4C"/>
    <w:rsid w:val="00C8533B"/>
    <w:rsid w:val="00C858BA"/>
    <w:rsid w:val="00C86977"/>
    <w:rsid w:val="00C908EB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161C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1C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0D67"/>
    <w:rsid w:val="00D21D89"/>
    <w:rsid w:val="00D22522"/>
    <w:rsid w:val="00D22657"/>
    <w:rsid w:val="00D228DF"/>
    <w:rsid w:val="00D23557"/>
    <w:rsid w:val="00D2427F"/>
    <w:rsid w:val="00D24BB7"/>
    <w:rsid w:val="00D2506D"/>
    <w:rsid w:val="00D25447"/>
    <w:rsid w:val="00D263AE"/>
    <w:rsid w:val="00D26D21"/>
    <w:rsid w:val="00D27855"/>
    <w:rsid w:val="00D27E5A"/>
    <w:rsid w:val="00D31021"/>
    <w:rsid w:val="00D329B9"/>
    <w:rsid w:val="00D33412"/>
    <w:rsid w:val="00D3409F"/>
    <w:rsid w:val="00D3482C"/>
    <w:rsid w:val="00D34F87"/>
    <w:rsid w:val="00D350D4"/>
    <w:rsid w:val="00D3664C"/>
    <w:rsid w:val="00D3683A"/>
    <w:rsid w:val="00D379C5"/>
    <w:rsid w:val="00D37C36"/>
    <w:rsid w:val="00D40559"/>
    <w:rsid w:val="00D405B8"/>
    <w:rsid w:val="00D4060E"/>
    <w:rsid w:val="00D41493"/>
    <w:rsid w:val="00D4200A"/>
    <w:rsid w:val="00D4267F"/>
    <w:rsid w:val="00D441E9"/>
    <w:rsid w:val="00D44425"/>
    <w:rsid w:val="00D44FC8"/>
    <w:rsid w:val="00D4573E"/>
    <w:rsid w:val="00D45D49"/>
    <w:rsid w:val="00D45D8F"/>
    <w:rsid w:val="00D47388"/>
    <w:rsid w:val="00D50332"/>
    <w:rsid w:val="00D51E2B"/>
    <w:rsid w:val="00D52B95"/>
    <w:rsid w:val="00D5362B"/>
    <w:rsid w:val="00D53A09"/>
    <w:rsid w:val="00D53FFE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4E5A"/>
    <w:rsid w:val="00D654D5"/>
    <w:rsid w:val="00D65A9D"/>
    <w:rsid w:val="00D65CB5"/>
    <w:rsid w:val="00D677BB"/>
    <w:rsid w:val="00D67FB3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1901"/>
    <w:rsid w:val="00D82A5C"/>
    <w:rsid w:val="00D82D11"/>
    <w:rsid w:val="00D83CD3"/>
    <w:rsid w:val="00D83E51"/>
    <w:rsid w:val="00D8428A"/>
    <w:rsid w:val="00D84719"/>
    <w:rsid w:val="00D856EA"/>
    <w:rsid w:val="00D85ACD"/>
    <w:rsid w:val="00D85BF9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465"/>
    <w:rsid w:val="00DB2AF6"/>
    <w:rsid w:val="00DB364F"/>
    <w:rsid w:val="00DB39E7"/>
    <w:rsid w:val="00DB3B3E"/>
    <w:rsid w:val="00DB71DB"/>
    <w:rsid w:val="00DB71E1"/>
    <w:rsid w:val="00DB7B0F"/>
    <w:rsid w:val="00DB7CB3"/>
    <w:rsid w:val="00DC03E7"/>
    <w:rsid w:val="00DC0D57"/>
    <w:rsid w:val="00DC1521"/>
    <w:rsid w:val="00DC16F7"/>
    <w:rsid w:val="00DC1CA3"/>
    <w:rsid w:val="00DC2641"/>
    <w:rsid w:val="00DC2B1E"/>
    <w:rsid w:val="00DC4351"/>
    <w:rsid w:val="00DC57C2"/>
    <w:rsid w:val="00DC64DD"/>
    <w:rsid w:val="00DC7481"/>
    <w:rsid w:val="00DC7591"/>
    <w:rsid w:val="00DD0133"/>
    <w:rsid w:val="00DD0839"/>
    <w:rsid w:val="00DD26D0"/>
    <w:rsid w:val="00DD3402"/>
    <w:rsid w:val="00DD47D5"/>
    <w:rsid w:val="00DD6729"/>
    <w:rsid w:val="00DD7530"/>
    <w:rsid w:val="00DD7960"/>
    <w:rsid w:val="00DD7B0D"/>
    <w:rsid w:val="00DE1F29"/>
    <w:rsid w:val="00DE3FEB"/>
    <w:rsid w:val="00DE4905"/>
    <w:rsid w:val="00DE510C"/>
    <w:rsid w:val="00DE66CC"/>
    <w:rsid w:val="00DE7811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DF7D28"/>
    <w:rsid w:val="00E00CCA"/>
    <w:rsid w:val="00E00CDD"/>
    <w:rsid w:val="00E01623"/>
    <w:rsid w:val="00E01899"/>
    <w:rsid w:val="00E03FE3"/>
    <w:rsid w:val="00E0449F"/>
    <w:rsid w:val="00E061E8"/>
    <w:rsid w:val="00E06932"/>
    <w:rsid w:val="00E06951"/>
    <w:rsid w:val="00E10C94"/>
    <w:rsid w:val="00E10EC4"/>
    <w:rsid w:val="00E118D7"/>
    <w:rsid w:val="00E13F46"/>
    <w:rsid w:val="00E15BD4"/>
    <w:rsid w:val="00E16458"/>
    <w:rsid w:val="00E16716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6F17"/>
    <w:rsid w:val="00E27986"/>
    <w:rsid w:val="00E27D23"/>
    <w:rsid w:val="00E30A8A"/>
    <w:rsid w:val="00E31BC7"/>
    <w:rsid w:val="00E31E7F"/>
    <w:rsid w:val="00E31F16"/>
    <w:rsid w:val="00E34448"/>
    <w:rsid w:val="00E36023"/>
    <w:rsid w:val="00E363CD"/>
    <w:rsid w:val="00E365C4"/>
    <w:rsid w:val="00E36C7F"/>
    <w:rsid w:val="00E37652"/>
    <w:rsid w:val="00E3768F"/>
    <w:rsid w:val="00E402BC"/>
    <w:rsid w:val="00E40DFD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3E55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031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5E0"/>
    <w:rsid w:val="00E7584A"/>
    <w:rsid w:val="00E760D0"/>
    <w:rsid w:val="00E76D85"/>
    <w:rsid w:val="00E771F3"/>
    <w:rsid w:val="00E77C2E"/>
    <w:rsid w:val="00E80A1A"/>
    <w:rsid w:val="00E8292A"/>
    <w:rsid w:val="00E82DE7"/>
    <w:rsid w:val="00E83EC0"/>
    <w:rsid w:val="00E84116"/>
    <w:rsid w:val="00E84C5C"/>
    <w:rsid w:val="00E85533"/>
    <w:rsid w:val="00E85DDD"/>
    <w:rsid w:val="00E86343"/>
    <w:rsid w:val="00E866CD"/>
    <w:rsid w:val="00E877ED"/>
    <w:rsid w:val="00E901FD"/>
    <w:rsid w:val="00E915B2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8A9"/>
    <w:rsid w:val="00EA3D9C"/>
    <w:rsid w:val="00EA43C0"/>
    <w:rsid w:val="00EA4CB0"/>
    <w:rsid w:val="00EA566F"/>
    <w:rsid w:val="00EA747C"/>
    <w:rsid w:val="00EB2857"/>
    <w:rsid w:val="00EB30B7"/>
    <w:rsid w:val="00EB38A5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7AC"/>
    <w:rsid w:val="00EC0889"/>
    <w:rsid w:val="00EC0C13"/>
    <w:rsid w:val="00EC148C"/>
    <w:rsid w:val="00EC1BBB"/>
    <w:rsid w:val="00EC2D7D"/>
    <w:rsid w:val="00EC2EE7"/>
    <w:rsid w:val="00EC36AD"/>
    <w:rsid w:val="00EC3BCF"/>
    <w:rsid w:val="00EC56B1"/>
    <w:rsid w:val="00EC5A30"/>
    <w:rsid w:val="00EC5BD8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38E6"/>
    <w:rsid w:val="00ED485F"/>
    <w:rsid w:val="00ED4D96"/>
    <w:rsid w:val="00ED5A40"/>
    <w:rsid w:val="00ED5F21"/>
    <w:rsid w:val="00ED602C"/>
    <w:rsid w:val="00ED62B5"/>
    <w:rsid w:val="00ED6DDB"/>
    <w:rsid w:val="00ED702E"/>
    <w:rsid w:val="00ED760D"/>
    <w:rsid w:val="00ED7985"/>
    <w:rsid w:val="00ED7A9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EF7781"/>
    <w:rsid w:val="00F004D1"/>
    <w:rsid w:val="00F00C0D"/>
    <w:rsid w:val="00F0128B"/>
    <w:rsid w:val="00F02663"/>
    <w:rsid w:val="00F03369"/>
    <w:rsid w:val="00F04E62"/>
    <w:rsid w:val="00F050AA"/>
    <w:rsid w:val="00F05E6D"/>
    <w:rsid w:val="00F10BFB"/>
    <w:rsid w:val="00F111AC"/>
    <w:rsid w:val="00F11800"/>
    <w:rsid w:val="00F11B61"/>
    <w:rsid w:val="00F135D6"/>
    <w:rsid w:val="00F13922"/>
    <w:rsid w:val="00F13DBC"/>
    <w:rsid w:val="00F15D9C"/>
    <w:rsid w:val="00F15FCF"/>
    <w:rsid w:val="00F16613"/>
    <w:rsid w:val="00F175B1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06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56E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33D"/>
    <w:rsid w:val="00F64A3A"/>
    <w:rsid w:val="00F64F35"/>
    <w:rsid w:val="00F64FC4"/>
    <w:rsid w:val="00F65DE3"/>
    <w:rsid w:val="00F67E6A"/>
    <w:rsid w:val="00F700A4"/>
    <w:rsid w:val="00F70472"/>
    <w:rsid w:val="00F71430"/>
    <w:rsid w:val="00F71A8A"/>
    <w:rsid w:val="00F72BEE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34B6"/>
    <w:rsid w:val="00F8465D"/>
    <w:rsid w:val="00F848B3"/>
    <w:rsid w:val="00F85755"/>
    <w:rsid w:val="00F86A0B"/>
    <w:rsid w:val="00F87431"/>
    <w:rsid w:val="00F8765C"/>
    <w:rsid w:val="00F87A53"/>
    <w:rsid w:val="00F87CF4"/>
    <w:rsid w:val="00F90112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6FB8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68B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2BA9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F643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43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43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customStyle="1" w:styleId="hps">
    <w:name w:val="hps"/>
    <w:basedOn w:val="DefaultParagraphFont"/>
    <w:rsid w:val="00D8428A"/>
  </w:style>
  <w:style w:type="character" w:customStyle="1" w:styleId="HeaderChar">
    <w:name w:val="Header Char"/>
    <w:basedOn w:val="DefaultParagraphFont"/>
    <w:link w:val="Header"/>
    <w:uiPriority w:val="99"/>
    <w:rsid w:val="005630AE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F643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43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43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customStyle="1" w:styleId="hps">
    <w:name w:val="hps"/>
    <w:basedOn w:val="DefaultParagraphFont"/>
    <w:rsid w:val="00D8428A"/>
  </w:style>
  <w:style w:type="character" w:customStyle="1" w:styleId="HeaderChar">
    <w:name w:val="Header Char"/>
    <w:basedOn w:val="DefaultParagraphFont"/>
    <w:link w:val="Header"/>
    <w:uiPriority w:val="99"/>
    <w:rsid w:val="005630AE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CDIP_14_AR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C00C1-7F0C-4EEA-B4D5-C9C79D57E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CDIP_14_AR .dotx</Template>
  <TotalTime>1862</TotalTime>
  <Pages>9</Pages>
  <Words>2990</Words>
  <Characters>16224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CDIP/12/-- (Arabic)</vt:lpstr>
    </vt:vector>
  </TitlesOfParts>
  <Company>World Intellectual Property Organization</Company>
  <LinksUpToDate>false</LinksUpToDate>
  <CharactersWithSpaces>19176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CDIP/12/-- (Arabic)</dc:title>
  <dc:creator>YOUSSEF Randa</dc:creator>
  <cp:lastModifiedBy>YOUSSEF Randa</cp:lastModifiedBy>
  <cp:revision>191</cp:revision>
  <cp:lastPrinted>2014-10-02T14:53:00Z</cp:lastPrinted>
  <dcterms:created xsi:type="dcterms:W3CDTF">2014-09-24T07:36:00Z</dcterms:created>
  <dcterms:modified xsi:type="dcterms:W3CDTF">2014-10-02T14:53:00Z</dcterms:modified>
</cp:coreProperties>
</file>