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2A90">
            <w:pPr>
              <w:pStyle w:val="DocumentCodeAR"/>
              <w:bidi/>
              <w:rPr>
                <w:rtl/>
              </w:rPr>
            </w:pPr>
            <w:r>
              <w:t>CDIP</w:t>
            </w:r>
            <w:r w:rsidR="00100F97">
              <w:t>/</w:t>
            </w:r>
            <w:r w:rsidR="00A871F4">
              <w:t>12</w:t>
            </w:r>
            <w:r w:rsidR="00BE7C47">
              <w:t>/10</w:t>
            </w:r>
          </w:p>
        </w:tc>
      </w:tr>
      <w:tr w:rsidR="001667B6" w:rsidRPr="00582A90" w:rsidTr="00582A90">
        <w:tc>
          <w:tcPr>
            <w:tcW w:w="9571" w:type="dxa"/>
            <w:gridSpan w:val="3"/>
            <w:shd w:val="clear" w:color="auto" w:fill="auto"/>
          </w:tcPr>
          <w:p w:rsidR="001667B6" w:rsidRPr="00B6101C" w:rsidRDefault="00B6101C" w:rsidP="00BE7C47">
            <w:pPr>
              <w:pStyle w:val="DocumentLanguageAR"/>
              <w:bidi/>
              <w:rPr>
                <w:rtl/>
              </w:rPr>
            </w:pPr>
            <w:r w:rsidRPr="00B6101C">
              <w:rPr>
                <w:rFonts w:hint="cs"/>
                <w:rtl/>
              </w:rPr>
              <w:t xml:space="preserve">الأصل: </w:t>
            </w:r>
            <w:r w:rsidR="00BE7C47">
              <w:rPr>
                <w:rFonts w:hint="cs"/>
                <w:rtl/>
              </w:rPr>
              <w:t>بالإنكليزية</w:t>
            </w:r>
          </w:p>
        </w:tc>
      </w:tr>
      <w:tr w:rsidR="001667B6" w:rsidRPr="00582A90" w:rsidTr="00582A90">
        <w:tc>
          <w:tcPr>
            <w:tcW w:w="9571" w:type="dxa"/>
            <w:gridSpan w:val="3"/>
            <w:shd w:val="clear" w:color="auto" w:fill="auto"/>
          </w:tcPr>
          <w:p w:rsidR="001667B6" w:rsidRPr="00B6101C" w:rsidRDefault="00B6101C" w:rsidP="00BE7C47">
            <w:pPr>
              <w:pStyle w:val="DocumentDateAR"/>
              <w:bidi/>
              <w:rPr>
                <w:rtl/>
              </w:rPr>
            </w:pPr>
            <w:r w:rsidRPr="00B6101C">
              <w:rPr>
                <w:rFonts w:hint="cs"/>
                <w:rtl/>
              </w:rPr>
              <w:t xml:space="preserve">التاريخ: </w:t>
            </w:r>
            <w:r w:rsidR="00BE7C47">
              <w:rPr>
                <w:rFonts w:hint="cs"/>
                <w:rtl/>
              </w:rPr>
              <w:t>15</w:t>
            </w:r>
            <w:r w:rsidRPr="00B6101C">
              <w:rPr>
                <w:rFonts w:hint="cs"/>
                <w:rtl/>
              </w:rPr>
              <w:t xml:space="preserve"> </w:t>
            </w:r>
            <w:r w:rsidR="00BE7C47">
              <w:rPr>
                <w:rFonts w:hint="cs"/>
                <w:rtl/>
              </w:rPr>
              <w:t>نوفمبر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r w:rsidR="00A871F4">
        <w:rPr>
          <w:rFonts w:ascii="Cambria Math" w:hAnsi="Cambria Math" w:hint="cs"/>
          <w:rtl/>
        </w:rPr>
        <w:t>الثانية</w:t>
      </w:r>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من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Default="00E1436F" w:rsidP="00E1436F">
      <w:pPr>
        <w:pStyle w:val="DocumentTitleAR"/>
        <w:bidi/>
        <w:rPr>
          <w:rFonts w:hint="cs"/>
          <w:rtl/>
        </w:rPr>
      </w:pPr>
      <w:r>
        <w:rPr>
          <w:rFonts w:hint="cs"/>
          <w:rtl/>
        </w:rPr>
        <w:t xml:space="preserve">مشروع رائد ضمن </w:t>
      </w:r>
      <w:r w:rsidR="00BE7C47">
        <w:rPr>
          <w:rFonts w:hint="cs"/>
          <w:rtl/>
        </w:rPr>
        <w:t>جدول أعمال التنمية بشأن الملكية الفكرية والسياحة: دعم الأهداف الإنمائية والحفاظ على التراث الثقافي</w:t>
      </w:r>
    </w:p>
    <w:p w:rsidR="00BE7C47" w:rsidRDefault="00BE7C47" w:rsidP="00BE7C47">
      <w:pPr>
        <w:pStyle w:val="PreparedbyAR"/>
        <w:bidi/>
        <w:rPr>
          <w:rFonts w:hint="cs"/>
          <w:rtl/>
        </w:rPr>
      </w:pPr>
    </w:p>
    <w:p w:rsidR="00BE7C47" w:rsidRDefault="00BE7C47" w:rsidP="00BE7C47">
      <w:pPr>
        <w:pStyle w:val="NumberedParaAR"/>
        <w:rPr>
          <w:rFonts w:hint="cs"/>
        </w:rPr>
      </w:pPr>
      <w:r>
        <w:rPr>
          <w:rFonts w:hint="cs"/>
          <w:rtl/>
        </w:rPr>
        <w:t>قدمت البعثة الدائمة لجمهورية مصر العربية، عن طريق بلاغ مؤرخ 14 نوفمبر 2013 وجهته إل</w:t>
      </w:r>
      <w:r w:rsidR="00E1436F">
        <w:rPr>
          <w:rFonts w:hint="cs"/>
          <w:rtl/>
        </w:rPr>
        <w:t>ى</w:t>
      </w:r>
      <w:r>
        <w:rPr>
          <w:rFonts w:hint="cs"/>
          <w:rtl/>
        </w:rPr>
        <w:t xml:space="preserve"> الأمانة، ورقة مفاهيم بخصوص "</w:t>
      </w:r>
      <w:r w:rsidRPr="00BE7C47">
        <w:rPr>
          <w:rtl/>
        </w:rPr>
        <w:t>مشروع رائد ضمن جدول أعمال التنمية بشأن الملكية الفكرية والسياحة: دعم الأهداف الإنمائية والحفاظ على التراث الثقافي</w:t>
      </w:r>
      <w:r>
        <w:rPr>
          <w:rFonts w:hint="cs"/>
          <w:rtl/>
        </w:rPr>
        <w:t>"، كي تنظر فيه اللجنة المعنية بالتنمية والملكية الفكرية في دورتها الثانية عشرة.</w:t>
      </w:r>
    </w:p>
    <w:p w:rsidR="00BE7C47" w:rsidRDefault="00BE7C47" w:rsidP="00E1436F">
      <w:pPr>
        <w:pStyle w:val="NumberedParaAR"/>
        <w:rPr>
          <w:rFonts w:hint="cs"/>
        </w:rPr>
      </w:pPr>
      <w:r>
        <w:rPr>
          <w:rFonts w:hint="cs"/>
          <w:rtl/>
        </w:rPr>
        <w:t>ويرد في مرفق هذه الوثيقة بلاغ جمهورية م</w:t>
      </w:r>
      <w:r w:rsidR="00EB46DF">
        <w:rPr>
          <w:rFonts w:hint="cs"/>
          <w:rtl/>
        </w:rPr>
        <w:t>صر العربية المذكور أعلاه ومرفقه</w:t>
      </w:r>
      <w:r>
        <w:rPr>
          <w:rFonts w:hint="cs"/>
          <w:rtl/>
        </w:rPr>
        <w:t>.</w:t>
      </w:r>
    </w:p>
    <w:p w:rsidR="00BE7C47" w:rsidRDefault="00BE7C47" w:rsidP="00BE7C47">
      <w:pPr>
        <w:pStyle w:val="DecisionParaAR"/>
        <w:rPr>
          <w:rFonts w:hint="cs"/>
        </w:rPr>
      </w:pPr>
      <w:r>
        <w:rPr>
          <w:rFonts w:hint="cs"/>
          <w:rtl/>
        </w:rPr>
        <w:t>إن اللجنة مدعوة إلى الإحاطة علما بالمعلومات الواردة في مرفق هذه الوثيقة.</w:t>
      </w:r>
    </w:p>
    <w:p w:rsidR="00A901E6" w:rsidRDefault="00BE7C47" w:rsidP="00BE7C47">
      <w:pPr>
        <w:pStyle w:val="EndofDocumentAR"/>
        <w:rPr>
          <w:rtl/>
        </w:rPr>
        <w:sectPr w:rsidR="00A901E6"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tbl>
      <w:tblPr>
        <w:bidiVisual/>
        <w:tblW w:w="9538" w:type="dxa"/>
        <w:tblLook w:val="01E0" w:firstRow="1" w:lastRow="1" w:firstColumn="1" w:lastColumn="1" w:noHBand="0" w:noVBand="0"/>
      </w:tblPr>
      <w:tblGrid>
        <w:gridCol w:w="3178"/>
        <w:gridCol w:w="1800"/>
        <w:gridCol w:w="4560"/>
      </w:tblGrid>
      <w:tr w:rsidR="00A901E6" w:rsidRPr="00A901E6" w:rsidTr="009E599E">
        <w:trPr>
          <w:trHeight w:val="1643"/>
        </w:trPr>
        <w:tc>
          <w:tcPr>
            <w:tcW w:w="3178" w:type="dxa"/>
          </w:tcPr>
          <w:p w:rsidR="00A901E6" w:rsidRPr="00A901E6" w:rsidRDefault="00A901E6" w:rsidP="00A901E6">
            <w:pPr>
              <w:bidi/>
              <w:spacing w:before="240" w:line="192" w:lineRule="auto"/>
              <w:jc w:val="center"/>
              <w:rPr>
                <w:rFonts w:ascii="Times New (W1)" w:hAnsi="Times New (W1)" w:cs="Traditional Arabic"/>
                <w:b/>
                <w:bCs/>
                <w:sz w:val="24"/>
                <w:szCs w:val="24"/>
                <w:rtl/>
              </w:rPr>
            </w:pPr>
            <w:r w:rsidRPr="00A901E6">
              <w:rPr>
                <w:rFonts w:ascii="Times New (W1)" w:hAnsi="Times New (W1)" w:cs="Times New Roman"/>
                <w:b/>
                <w:bCs/>
                <w:color w:val="000000"/>
                <w:sz w:val="24"/>
                <w:szCs w:val="24"/>
                <w:rtl/>
              </w:rPr>
              <w:lastRenderedPageBreak/>
              <w:t>البعثة الدائمة لجمهورية مصر العربية</w:t>
            </w:r>
            <w:r w:rsidRPr="00A901E6">
              <w:rPr>
                <w:rFonts w:ascii="Times New (W1)" w:hAnsi="Times New (W1)" w:cs="Traditional Arabic" w:hint="eastAsia"/>
                <w:b/>
                <w:bCs/>
                <w:sz w:val="24"/>
                <w:szCs w:val="24"/>
                <w:rtl/>
              </w:rPr>
              <w:t xml:space="preserve"> </w:t>
            </w:r>
          </w:p>
          <w:p w:rsidR="00A901E6" w:rsidRPr="00A901E6" w:rsidRDefault="00A901E6" w:rsidP="00A901E6">
            <w:pPr>
              <w:tabs>
                <w:tab w:val="center" w:pos="1562"/>
                <w:tab w:val="right" w:pos="3125"/>
              </w:tabs>
              <w:bidi/>
              <w:spacing w:line="192" w:lineRule="auto"/>
              <w:jc w:val="center"/>
              <w:rPr>
                <w:rFonts w:ascii="Times New (W1)" w:hAnsi="Times New (W1)" w:cs="Traditional Arabic"/>
                <w:b/>
                <w:bCs/>
                <w:sz w:val="24"/>
                <w:szCs w:val="24"/>
                <w:rtl/>
              </w:rPr>
            </w:pPr>
            <w:r w:rsidRPr="00A901E6">
              <w:rPr>
                <w:rFonts w:ascii="Times New (W1)" w:hAnsi="Times New (W1)" w:cs="Traditional Arabic" w:hint="eastAsia"/>
                <w:b/>
                <w:bCs/>
                <w:sz w:val="24"/>
                <w:szCs w:val="24"/>
                <w:rtl/>
              </w:rPr>
              <w:t>لـدى</w:t>
            </w:r>
            <w:r w:rsidRPr="00A901E6">
              <w:rPr>
                <w:rFonts w:ascii="Times New (W1)" w:hAnsi="Times New (W1)" w:cs="Traditional Arabic"/>
                <w:b/>
                <w:bCs/>
                <w:sz w:val="24"/>
                <w:szCs w:val="24"/>
                <w:rtl/>
              </w:rPr>
              <w:t xml:space="preserve"> </w:t>
            </w:r>
            <w:r w:rsidRPr="00A901E6">
              <w:rPr>
                <w:rFonts w:ascii="Times New (W1)" w:hAnsi="Times New (W1)" w:cs="Traditional Arabic" w:hint="eastAsia"/>
                <w:b/>
                <w:bCs/>
                <w:sz w:val="24"/>
                <w:szCs w:val="24"/>
                <w:rtl/>
              </w:rPr>
              <w:t>الأمـم</w:t>
            </w:r>
            <w:r w:rsidRPr="00A901E6">
              <w:rPr>
                <w:rFonts w:ascii="Times New (W1)" w:hAnsi="Times New (W1)" w:cs="Traditional Arabic"/>
                <w:b/>
                <w:bCs/>
                <w:sz w:val="24"/>
                <w:szCs w:val="24"/>
                <w:rtl/>
              </w:rPr>
              <w:t xml:space="preserve"> </w:t>
            </w:r>
            <w:r w:rsidRPr="00A901E6">
              <w:rPr>
                <w:rFonts w:ascii="Times New (W1)" w:hAnsi="Times New (W1)" w:cs="Traditional Arabic" w:hint="eastAsia"/>
                <w:b/>
                <w:bCs/>
                <w:sz w:val="24"/>
                <w:szCs w:val="24"/>
                <w:rtl/>
              </w:rPr>
              <w:t>المتحـدة</w:t>
            </w:r>
          </w:p>
          <w:p w:rsidR="00A901E6" w:rsidRPr="00A901E6" w:rsidRDefault="00A901E6" w:rsidP="00A901E6">
            <w:pPr>
              <w:bidi/>
              <w:spacing w:line="192" w:lineRule="auto"/>
              <w:jc w:val="center"/>
              <w:rPr>
                <w:rFonts w:ascii="Times New (W1)" w:hAnsi="Times New (W1)" w:cs="Traditional Arabic"/>
                <w:b/>
                <w:bCs/>
                <w:sz w:val="24"/>
                <w:szCs w:val="24"/>
                <w:rtl/>
              </w:rPr>
            </w:pPr>
            <w:r w:rsidRPr="00A901E6">
              <w:rPr>
                <w:rFonts w:ascii="Times New (W1)" w:hAnsi="Times New (W1)" w:cs="Traditional Arabic" w:hint="eastAsia"/>
                <w:b/>
                <w:bCs/>
                <w:sz w:val="24"/>
                <w:szCs w:val="24"/>
                <w:rtl/>
              </w:rPr>
              <w:t>والمنظمـات</w:t>
            </w:r>
            <w:r w:rsidRPr="00A901E6">
              <w:rPr>
                <w:rFonts w:ascii="Times New (W1)" w:hAnsi="Times New (W1)" w:cs="Traditional Arabic"/>
                <w:b/>
                <w:bCs/>
                <w:sz w:val="24"/>
                <w:szCs w:val="24"/>
                <w:rtl/>
              </w:rPr>
              <w:t xml:space="preserve"> </w:t>
            </w:r>
            <w:r w:rsidRPr="00A901E6">
              <w:rPr>
                <w:rFonts w:ascii="Times New (W1)" w:hAnsi="Times New (W1)" w:cs="Traditional Arabic" w:hint="eastAsia"/>
                <w:b/>
                <w:bCs/>
                <w:sz w:val="24"/>
                <w:szCs w:val="24"/>
                <w:rtl/>
              </w:rPr>
              <w:t>الدولـية</w:t>
            </w:r>
          </w:p>
          <w:p w:rsidR="00A901E6" w:rsidRPr="00A901E6" w:rsidRDefault="00A901E6" w:rsidP="00A901E6">
            <w:pPr>
              <w:bidi/>
              <w:spacing w:line="192" w:lineRule="auto"/>
              <w:jc w:val="center"/>
              <w:rPr>
                <w:rFonts w:ascii="Times New (W1)" w:hAnsi="Times New (W1)" w:cs="Traditional Arabic"/>
                <w:b/>
                <w:bCs/>
                <w:sz w:val="44"/>
                <w:szCs w:val="44"/>
              </w:rPr>
            </w:pPr>
            <w:proofErr w:type="spellStart"/>
            <w:r w:rsidRPr="00A901E6">
              <w:rPr>
                <w:rFonts w:ascii="Times New (W1)" w:hAnsi="Times New (W1)" w:cs="Traditional Arabic" w:hint="eastAsia"/>
                <w:b/>
                <w:bCs/>
                <w:sz w:val="24"/>
                <w:szCs w:val="24"/>
                <w:rtl/>
              </w:rPr>
              <w:t>فى</w:t>
            </w:r>
            <w:proofErr w:type="spellEnd"/>
            <w:r w:rsidRPr="00A901E6">
              <w:rPr>
                <w:rFonts w:ascii="Times New (W1)" w:hAnsi="Times New (W1)" w:cs="Traditional Arabic"/>
                <w:b/>
                <w:bCs/>
                <w:sz w:val="24"/>
                <w:szCs w:val="24"/>
                <w:rtl/>
              </w:rPr>
              <w:t xml:space="preserve"> </w:t>
            </w:r>
            <w:r w:rsidRPr="00A901E6">
              <w:rPr>
                <w:rFonts w:ascii="Times New (W1)" w:hAnsi="Times New (W1)" w:cs="Traditional Arabic" w:hint="eastAsia"/>
                <w:b/>
                <w:bCs/>
                <w:sz w:val="24"/>
                <w:szCs w:val="24"/>
                <w:rtl/>
              </w:rPr>
              <w:t>جنيـف</w:t>
            </w:r>
          </w:p>
        </w:tc>
        <w:tc>
          <w:tcPr>
            <w:tcW w:w="1800" w:type="dxa"/>
          </w:tcPr>
          <w:p w:rsidR="00A901E6" w:rsidRPr="00A901E6" w:rsidRDefault="00A901E6" w:rsidP="00A901E6">
            <w:pPr>
              <w:bidi/>
              <w:jc w:val="center"/>
              <w:rPr>
                <w:rFonts w:ascii="Times New (W1)" w:hAnsi="Times New (W1)" w:cs="Simplified Arabic"/>
                <w:b/>
                <w:bCs/>
                <w:sz w:val="44"/>
                <w:szCs w:val="44"/>
              </w:rPr>
            </w:pPr>
            <w:r w:rsidRPr="00A901E6">
              <w:rPr>
                <w:rFonts w:ascii="Times New (W1)" w:hAnsi="Times New (W1)" w:cs="Times New (W1)"/>
                <w:b/>
                <w:bCs/>
                <w:noProof/>
                <w:color w:val="000000"/>
                <w:sz w:val="24"/>
                <w:szCs w:val="24"/>
              </w:rPr>
              <w:drawing>
                <wp:inline distT="0" distB="0" distL="0" distR="0" wp14:anchorId="2002C43D" wp14:editId="252F2124">
                  <wp:extent cx="695325" cy="91440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695325" cy="914400"/>
                          </a:xfrm>
                          <a:prstGeom prst="rect">
                            <a:avLst/>
                          </a:prstGeom>
                          <a:noFill/>
                          <a:ln>
                            <a:noFill/>
                          </a:ln>
                        </pic:spPr>
                      </pic:pic>
                    </a:graphicData>
                  </a:graphic>
                </wp:inline>
              </w:drawing>
            </w:r>
          </w:p>
          <w:p w:rsidR="00A901E6" w:rsidRPr="00A901E6" w:rsidRDefault="00A901E6" w:rsidP="00A901E6">
            <w:pPr>
              <w:bidi/>
              <w:jc w:val="center"/>
              <w:rPr>
                <w:rFonts w:ascii="Times New (W1)" w:hAnsi="Times New (W1)" w:cs="Traditional Arabic"/>
                <w:b/>
                <w:bCs/>
                <w:sz w:val="44"/>
                <w:szCs w:val="44"/>
              </w:rPr>
            </w:pPr>
          </w:p>
        </w:tc>
        <w:tc>
          <w:tcPr>
            <w:tcW w:w="4560" w:type="dxa"/>
          </w:tcPr>
          <w:p w:rsidR="00A901E6" w:rsidRPr="00A901E6" w:rsidRDefault="00A901E6" w:rsidP="00A901E6">
            <w:pPr>
              <w:spacing w:before="240" w:line="312" w:lineRule="auto"/>
              <w:jc w:val="center"/>
              <w:rPr>
                <w:rFonts w:ascii="Monotype Corsiva" w:hAnsi="Monotype Corsiva" w:cs="Traditional Arabic"/>
                <w:b/>
                <w:bCs/>
                <w:sz w:val="24"/>
                <w:szCs w:val="24"/>
              </w:rPr>
            </w:pPr>
            <w:r w:rsidRPr="00A901E6">
              <w:rPr>
                <w:rFonts w:ascii="Monotype Corsiva" w:hAnsi="Monotype Corsiva" w:cs="Traditional Arabic"/>
                <w:b/>
                <w:bCs/>
                <w:sz w:val="24"/>
                <w:szCs w:val="24"/>
              </w:rPr>
              <w:t xml:space="preserve">Permanent </w:t>
            </w:r>
            <w:smartTag w:uri="urn:schemas-microsoft-com:office:smarttags" w:element="City">
              <w:r w:rsidRPr="00A901E6">
                <w:rPr>
                  <w:rFonts w:ascii="Monotype Corsiva" w:hAnsi="Monotype Corsiva" w:cs="Traditional Arabic"/>
                  <w:b/>
                  <w:bCs/>
                  <w:sz w:val="24"/>
                  <w:szCs w:val="24"/>
                </w:rPr>
                <w:t>Mission</w:t>
              </w:r>
            </w:smartTag>
            <w:r w:rsidRPr="00A901E6">
              <w:rPr>
                <w:rFonts w:ascii="Monotype Corsiva" w:hAnsi="Monotype Corsiva" w:cs="Traditional Arabic"/>
                <w:b/>
                <w:bCs/>
                <w:sz w:val="24"/>
                <w:szCs w:val="24"/>
              </w:rPr>
              <w:t xml:space="preserve"> of the </w:t>
            </w:r>
            <w:smartTag w:uri="urn:schemas-microsoft-com:office:smarttags" w:element="PlaceName">
              <w:r w:rsidRPr="00A901E6">
                <w:rPr>
                  <w:rFonts w:ascii="Monotype Corsiva" w:hAnsi="Monotype Corsiva" w:cs="Traditional Arabic"/>
                  <w:b/>
                  <w:bCs/>
                  <w:sz w:val="24"/>
                  <w:szCs w:val="24"/>
                </w:rPr>
                <w:t>Arab</w:t>
              </w:r>
            </w:smartTag>
            <w:r w:rsidRPr="00A901E6">
              <w:rPr>
                <w:rFonts w:ascii="Monotype Corsiva" w:hAnsi="Monotype Corsiva" w:cs="Traditional Arabic"/>
                <w:b/>
                <w:bCs/>
                <w:sz w:val="24"/>
                <w:szCs w:val="24"/>
              </w:rPr>
              <w:t xml:space="preserve"> </w:t>
            </w:r>
            <w:smartTag w:uri="urn:schemas-microsoft-com:office:smarttags" w:element="PlaceType">
              <w:r w:rsidRPr="00A901E6">
                <w:rPr>
                  <w:rFonts w:ascii="Monotype Corsiva" w:hAnsi="Monotype Corsiva" w:cs="Traditional Arabic"/>
                  <w:b/>
                  <w:bCs/>
                  <w:sz w:val="24"/>
                  <w:szCs w:val="24"/>
                </w:rPr>
                <w:t>Republic</w:t>
              </w:r>
            </w:smartTag>
            <w:r w:rsidRPr="00A901E6">
              <w:rPr>
                <w:rFonts w:ascii="Monotype Corsiva" w:hAnsi="Monotype Corsiva" w:cs="Traditional Arabic"/>
                <w:b/>
                <w:bCs/>
                <w:sz w:val="24"/>
                <w:szCs w:val="24"/>
              </w:rPr>
              <w:t xml:space="preserve"> of </w:t>
            </w:r>
            <w:smartTag w:uri="urn:schemas-microsoft-com:office:smarttags" w:element="country-region">
              <w:smartTag w:uri="urn:schemas-microsoft-com:office:smarttags" w:element="place">
                <w:r w:rsidRPr="00A901E6">
                  <w:rPr>
                    <w:rFonts w:ascii="Monotype Corsiva" w:hAnsi="Monotype Corsiva" w:cs="Traditional Arabic"/>
                    <w:b/>
                    <w:bCs/>
                    <w:sz w:val="24"/>
                    <w:szCs w:val="24"/>
                  </w:rPr>
                  <w:t>Egypt</w:t>
                </w:r>
              </w:smartTag>
            </w:smartTag>
          </w:p>
          <w:p w:rsidR="00A901E6" w:rsidRPr="00A901E6" w:rsidRDefault="00A901E6" w:rsidP="00A901E6">
            <w:pPr>
              <w:spacing w:line="312" w:lineRule="auto"/>
              <w:jc w:val="center"/>
              <w:rPr>
                <w:rFonts w:ascii="Monotype Corsiva" w:hAnsi="Monotype Corsiva" w:cs="Traditional Arabic"/>
                <w:b/>
                <w:bCs/>
                <w:sz w:val="24"/>
                <w:szCs w:val="24"/>
              </w:rPr>
            </w:pPr>
            <w:r w:rsidRPr="00A901E6">
              <w:rPr>
                <w:rFonts w:ascii="Monotype Corsiva" w:hAnsi="Monotype Corsiva" w:cs="Traditional Arabic"/>
                <w:b/>
                <w:bCs/>
                <w:sz w:val="24"/>
                <w:szCs w:val="24"/>
              </w:rPr>
              <w:t>to the United Nations Office</w:t>
            </w:r>
          </w:p>
          <w:p w:rsidR="00A901E6" w:rsidRPr="00A901E6" w:rsidRDefault="00A901E6" w:rsidP="00A901E6">
            <w:pPr>
              <w:bidi/>
              <w:spacing w:line="312" w:lineRule="auto"/>
              <w:jc w:val="center"/>
              <w:rPr>
                <w:rFonts w:ascii="Monotype Corsiva" w:hAnsi="Monotype Corsiva" w:cs="Traditional Arabic"/>
                <w:b/>
                <w:bCs/>
                <w:sz w:val="24"/>
                <w:szCs w:val="24"/>
              </w:rPr>
            </w:pPr>
            <w:r w:rsidRPr="00A901E6">
              <w:rPr>
                <w:rFonts w:ascii="Monotype Corsiva" w:hAnsi="Monotype Corsiva" w:cs="Traditional Arabic"/>
                <w:b/>
                <w:bCs/>
                <w:sz w:val="24"/>
                <w:szCs w:val="24"/>
              </w:rPr>
              <w:t xml:space="preserve">&amp;International </w:t>
            </w:r>
            <w:proofErr w:type="spellStart"/>
            <w:r w:rsidRPr="00A901E6">
              <w:rPr>
                <w:rFonts w:ascii="Monotype Corsiva" w:hAnsi="Monotype Corsiva" w:cs="Traditional Arabic"/>
                <w:b/>
                <w:bCs/>
                <w:sz w:val="24"/>
                <w:szCs w:val="24"/>
              </w:rPr>
              <w:t>Organisations</w:t>
            </w:r>
            <w:proofErr w:type="spellEnd"/>
          </w:p>
          <w:p w:rsidR="00A901E6" w:rsidRPr="00A901E6" w:rsidRDefault="00A901E6" w:rsidP="00A901E6">
            <w:pPr>
              <w:bidi/>
              <w:spacing w:line="312" w:lineRule="auto"/>
              <w:jc w:val="center"/>
              <w:rPr>
                <w:rFonts w:ascii="Lucida Calligraphy" w:hAnsi="Lucida Calligraphy" w:cs="Traditional Arabic"/>
                <w:b/>
                <w:bCs/>
                <w:sz w:val="44"/>
                <w:szCs w:val="44"/>
              </w:rPr>
            </w:pPr>
            <w:r w:rsidRPr="00A901E6">
              <w:rPr>
                <w:rFonts w:ascii="Monotype Corsiva" w:hAnsi="Monotype Corsiva" w:cs="Traditional Arabic"/>
                <w:b/>
                <w:bCs/>
                <w:sz w:val="24"/>
                <w:szCs w:val="24"/>
              </w:rPr>
              <w:t xml:space="preserve">in </w:t>
            </w:r>
            <w:smartTag w:uri="urn:schemas-microsoft-com:office:smarttags" w:element="place">
              <w:smartTag w:uri="urn:schemas-microsoft-com:office:smarttags" w:element="City">
                <w:r w:rsidRPr="00A901E6">
                  <w:rPr>
                    <w:rFonts w:ascii="Monotype Corsiva" w:hAnsi="Monotype Corsiva" w:cs="Traditional Arabic"/>
                    <w:b/>
                    <w:bCs/>
                    <w:sz w:val="24"/>
                    <w:szCs w:val="24"/>
                  </w:rPr>
                  <w:t>Geneva</w:t>
                </w:r>
              </w:smartTag>
            </w:smartTag>
          </w:p>
        </w:tc>
      </w:tr>
    </w:tbl>
    <w:p w:rsidR="00A901E6" w:rsidRDefault="009E599E" w:rsidP="00E1436F">
      <w:pPr>
        <w:pStyle w:val="NormalParaAR"/>
        <w:spacing w:before="600"/>
        <w:rPr>
          <w:rFonts w:hint="cs"/>
          <w:rtl/>
        </w:rPr>
      </w:pPr>
      <w:r>
        <w:rPr>
          <w:rFonts w:hint="cs"/>
          <w:rtl/>
        </w:rPr>
        <w:t xml:space="preserve">تهدي البعثة الدائمة لجمهورية مصر العربية لدى مكتب الأمم المتحدة ومنظمة التجارة العالمية والوكالات المتخصصة بجنيف تحياتها إلى المكتب الدولي للمنظمة العالمية للملكية الفكرية وتتشرف، في </w:t>
      </w:r>
      <w:r w:rsidR="00E1436F">
        <w:rPr>
          <w:rFonts w:hint="cs"/>
          <w:rtl/>
        </w:rPr>
        <w:t xml:space="preserve">معرض </w:t>
      </w:r>
      <w:r>
        <w:rPr>
          <w:rFonts w:hint="cs"/>
          <w:rtl/>
        </w:rPr>
        <w:t xml:space="preserve">إشارتها إلى انعقاد الدورة الثانية عشرة للجنة المعنية بالتنمية والملكية الفكرية (اللجنة) في الفترة من 18 إلى 21 نوفمبر 2013، بأن ترفق طيه ورقة </w:t>
      </w:r>
      <w:r w:rsidR="00E1436F">
        <w:rPr>
          <w:rFonts w:hint="cs"/>
          <w:rtl/>
        </w:rPr>
        <w:t>مفاهيم</w:t>
      </w:r>
      <w:r>
        <w:rPr>
          <w:rFonts w:hint="cs"/>
          <w:rtl/>
        </w:rPr>
        <w:t xml:space="preserve"> مصر بخصوص </w:t>
      </w:r>
      <w:r w:rsidR="00BE7C47" w:rsidRPr="009E599E">
        <w:rPr>
          <w:rFonts w:hint="cs"/>
          <w:rtl/>
        </w:rPr>
        <w:t>"</w:t>
      </w:r>
      <w:r w:rsidR="00BE7C47" w:rsidRPr="009E599E">
        <w:rPr>
          <w:rtl/>
        </w:rPr>
        <w:t>مشروع رائد ضمن جدول أعمال التنمية بشأن الملكية الفكرية والسياحة: دعم الأهداف الإنمائية والحفاظ على التراث الثقافي</w:t>
      </w:r>
      <w:r w:rsidRPr="009E599E">
        <w:rPr>
          <w:rFonts w:hint="cs"/>
          <w:rtl/>
        </w:rPr>
        <w:t>"</w:t>
      </w:r>
      <w:r>
        <w:rPr>
          <w:rFonts w:hint="cs"/>
          <w:rtl/>
        </w:rPr>
        <w:t>. وتكون البعثة شاكرة لو عُرضت هذه المسألة في إطار جدول أعمال الدورة الثانية عشرة للجنة (</w:t>
      </w:r>
      <w:r w:rsidRPr="009E599E">
        <w:t>CDIP/12/1 PROV. 3</w:t>
      </w:r>
      <w:r>
        <w:rPr>
          <w:rFonts w:hint="cs"/>
          <w:rtl/>
        </w:rPr>
        <w:t>) كي تنظر فيها اللجنة.</w:t>
      </w:r>
    </w:p>
    <w:p w:rsidR="009E599E" w:rsidRDefault="009E599E" w:rsidP="009E599E">
      <w:pPr>
        <w:pStyle w:val="NormalParaAR"/>
        <w:spacing w:before="600"/>
        <w:rPr>
          <w:rFonts w:hint="cs"/>
          <w:rtl/>
        </w:rPr>
      </w:pPr>
      <w:r>
        <w:rPr>
          <w:rFonts w:hint="cs"/>
          <w:rtl/>
        </w:rPr>
        <w:t xml:space="preserve">وتغتنم </w:t>
      </w:r>
      <w:r w:rsidRPr="009E599E">
        <w:rPr>
          <w:rtl/>
        </w:rPr>
        <w:t>البعثة الدائمة لجمهورية مصر العربية لدى مكتب الأمم المتحدة ومنظمة التجارة العالمية والوكالات المتخصصة بجنيف</w:t>
      </w:r>
      <w:r>
        <w:rPr>
          <w:rFonts w:hint="cs"/>
          <w:rtl/>
        </w:rPr>
        <w:t xml:space="preserve"> هذه الفرصة للإعراب، مجددا، للمكتب الدولي للمنظمة العالمية للملكية الفكرية عن بالغ التقدير.</w:t>
      </w:r>
    </w:p>
    <w:p w:rsidR="009A630D" w:rsidRDefault="009A630D" w:rsidP="009A630D">
      <w:pPr>
        <w:pStyle w:val="EndofDocumentAR"/>
        <w:spacing w:before="360"/>
        <w:rPr>
          <w:rtl/>
        </w:rPr>
        <w:sectPr w:rsidR="009A630D" w:rsidSect="00C4799A">
          <w:headerReference w:type="first" r:id="rId11"/>
          <w:pgSz w:w="11907" w:h="16840" w:code="9"/>
          <w:pgMar w:top="567" w:right="1418" w:bottom="1418" w:left="1134" w:header="510" w:footer="1021" w:gutter="0"/>
          <w:pgNumType w:start="1"/>
          <w:cols w:space="720"/>
          <w:titlePg/>
          <w:docGrid w:linePitch="299"/>
        </w:sectPr>
      </w:pPr>
      <w:r>
        <w:rPr>
          <w:rFonts w:hint="cs"/>
          <w:rtl/>
        </w:rPr>
        <w:t>جنيف، 14 نوفمبر 2013</w:t>
      </w:r>
    </w:p>
    <w:p w:rsidR="009E599E" w:rsidRPr="009A630D" w:rsidRDefault="009A630D" w:rsidP="009A630D">
      <w:pPr>
        <w:pStyle w:val="NormalParaAR"/>
        <w:pBdr>
          <w:top w:val="single" w:sz="4" w:space="1" w:color="auto"/>
          <w:left w:val="single" w:sz="4" w:space="4" w:color="auto"/>
          <w:bottom w:val="single" w:sz="4" w:space="1" w:color="auto"/>
          <w:right w:val="single" w:sz="4" w:space="4" w:color="auto"/>
        </w:pBdr>
        <w:jc w:val="center"/>
        <w:rPr>
          <w:rFonts w:hint="cs"/>
          <w:b/>
          <w:bCs/>
          <w:rtl/>
        </w:rPr>
      </w:pPr>
      <w:r w:rsidRPr="009A630D">
        <w:rPr>
          <w:rFonts w:hint="cs"/>
          <w:b/>
          <w:bCs/>
          <w:rtl/>
        </w:rPr>
        <w:t>ورقة مفاهيم</w:t>
      </w:r>
    </w:p>
    <w:p w:rsidR="009A630D" w:rsidRDefault="009A630D" w:rsidP="004A395F">
      <w:pPr>
        <w:pStyle w:val="NormalParaAR"/>
        <w:pBdr>
          <w:top w:val="single" w:sz="4" w:space="1" w:color="auto"/>
          <w:left w:val="single" w:sz="4" w:space="4" w:color="auto"/>
          <w:bottom w:val="single" w:sz="4" w:space="1" w:color="auto"/>
          <w:right w:val="single" w:sz="4" w:space="4" w:color="auto"/>
        </w:pBdr>
        <w:jc w:val="center"/>
        <w:rPr>
          <w:rFonts w:hint="cs"/>
          <w:b/>
          <w:bCs/>
          <w:rtl/>
        </w:rPr>
      </w:pPr>
      <w:r w:rsidRPr="009A630D">
        <w:rPr>
          <w:rFonts w:hint="cs"/>
          <w:b/>
          <w:bCs/>
          <w:rtl/>
        </w:rPr>
        <w:t xml:space="preserve">مشروع </w:t>
      </w:r>
      <w:r w:rsidR="004A395F">
        <w:rPr>
          <w:rFonts w:hint="cs"/>
          <w:b/>
          <w:bCs/>
          <w:rtl/>
        </w:rPr>
        <w:t xml:space="preserve">رائد ضمن </w:t>
      </w:r>
      <w:r w:rsidRPr="009A630D">
        <w:rPr>
          <w:rFonts w:hint="cs"/>
          <w:b/>
          <w:bCs/>
          <w:rtl/>
        </w:rPr>
        <w:t xml:space="preserve">جدول أعمال التنمية </w:t>
      </w:r>
      <w:r>
        <w:rPr>
          <w:b/>
          <w:bCs/>
          <w:rtl/>
        </w:rPr>
        <w:t>بشأن</w:t>
      </w:r>
    </w:p>
    <w:p w:rsidR="009A630D" w:rsidRDefault="009A630D" w:rsidP="009A630D">
      <w:pPr>
        <w:pStyle w:val="NormalParaAR"/>
        <w:pBdr>
          <w:top w:val="single" w:sz="4" w:space="1" w:color="auto"/>
          <w:left w:val="single" w:sz="4" w:space="4" w:color="auto"/>
          <w:bottom w:val="single" w:sz="4" w:space="1" w:color="auto"/>
          <w:right w:val="single" w:sz="4" w:space="4" w:color="auto"/>
        </w:pBdr>
        <w:jc w:val="center"/>
        <w:rPr>
          <w:rFonts w:hint="cs"/>
          <w:rtl/>
        </w:rPr>
      </w:pPr>
      <w:r w:rsidRPr="009A630D">
        <w:rPr>
          <w:b/>
          <w:bCs/>
          <w:rtl/>
        </w:rPr>
        <w:t>الملكية الفكرية والسياحة: دعم الأهداف الإنمائية والحفاظ على التراث الثقافي</w:t>
      </w:r>
    </w:p>
    <w:p w:rsidR="009A630D" w:rsidRPr="009A630D" w:rsidRDefault="009A630D" w:rsidP="00C4799A">
      <w:pPr>
        <w:pStyle w:val="NormalParaAR"/>
        <w:rPr>
          <w:rFonts w:hint="cs"/>
          <w:b/>
          <w:bCs/>
          <w:rtl/>
        </w:rPr>
      </w:pPr>
      <w:r w:rsidRPr="009A630D">
        <w:rPr>
          <w:rFonts w:hint="cs"/>
          <w:b/>
          <w:bCs/>
          <w:rtl/>
        </w:rPr>
        <w:t>أولا.</w:t>
      </w:r>
      <w:r w:rsidRPr="009A630D">
        <w:rPr>
          <w:b/>
          <w:bCs/>
          <w:rtl/>
        </w:rPr>
        <w:tab/>
      </w:r>
      <w:r w:rsidR="00C32B07">
        <w:rPr>
          <w:rFonts w:hint="cs"/>
          <w:b/>
          <w:bCs/>
          <w:rtl/>
        </w:rPr>
        <w:t>معلومات أ</w:t>
      </w:r>
      <w:bookmarkStart w:id="2" w:name="_GoBack"/>
      <w:bookmarkEnd w:id="2"/>
      <w:r w:rsidRPr="009A630D">
        <w:rPr>
          <w:rFonts w:hint="cs"/>
          <w:b/>
          <w:bCs/>
          <w:rtl/>
        </w:rPr>
        <w:t>ساسية</w:t>
      </w:r>
    </w:p>
    <w:p w:rsidR="009A630D" w:rsidRDefault="009A630D" w:rsidP="00107B30">
      <w:pPr>
        <w:pStyle w:val="NormalParaAR"/>
        <w:rPr>
          <w:rFonts w:hint="cs"/>
          <w:rtl/>
        </w:rPr>
      </w:pPr>
      <w:r>
        <w:rPr>
          <w:rFonts w:hint="cs"/>
          <w:rtl/>
        </w:rPr>
        <w:t>إن النجاح في اقتصاد اليوم الذي باتت تسوده العولة يكمن في جلب قيمة مضافة وتوفير منتج مميَّز. وذلك ينطبق على المنتجات والسلع على حد سواء. وتكفل مختلف الخيارات المتاحة ضمن نظام الملكية الفكرية مجموعة متنوعة من الإمكانيات التي يمكن للشركات التعويل عليها لتمييز منتجاتها عن منتجات الغير والتواصل مع المستهلك. فبإمكان العلامات التجارية والتصاميم الصناعية والبيانات الجغرافية وحق المؤلف وأدوات محتملة أخرى تأدية دور هام في تعزيز القدرة التنافسية ل</w:t>
      </w:r>
      <w:r w:rsidR="009835BE">
        <w:rPr>
          <w:rFonts w:hint="cs"/>
          <w:rtl/>
        </w:rPr>
        <w:t>مختلف الوكالات والرابطات والجهات</w:t>
      </w:r>
      <w:r>
        <w:rPr>
          <w:rFonts w:hint="cs"/>
          <w:rtl/>
        </w:rPr>
        <w:t xml:space="preserve"> </w:t>
      </w:r>
      <w:r w:rsidR="00107B30">
        <w:rPr>
          <w:rFonts w:hint="cs"/>
          <w:rtl/>
        </w:rPr>
        <w:t>الفاعلة</w:t>
      </w:r>
      <w:r>
        <w:rPr>
          <w:rFonts w:hint="cs"/>
          <w:rtl/>
        </w:rPr>
        <w:t xml:space="preserve"> </w:t>
      </w:r>
      <w:r w:rsidR="009835BE">
        <w:rPr>
          <w:rFonts w:hint="cs"/>
          <w:rtl/>
        </w:rPr>
        <w:t>والعاملة في قطاع السياحة.</w:t>
      </w:r>
    </w:p>
    <w:p w:rsidR="009835BE" w:rsidRPr="009835BE" w:rsidRDefault="009835BE" w:rsidP="009835BE">
      <w:pPr>
        <w:pStyle w:val="NormalParaAR"/>
        <w:rPr>
          <w:rFonts w:hint="cs"/>
          <w:b/>
          <w:bCs/>
          <w:rtl/>
        </w:rPr>
      </w:pPr>
      <w:r w:rsidRPr="009835BE">
        <w:rPr>
          <w:rFonts w:hint="cs"/>
          <w:b/>
          <w:bCs/>
          <w:rtl/>
        </w:rPr>
        <w:t>ثانيا.</w:t>
      </w:r>
      <w:r w:rsidRPr="009835BE">
        <w:rPr>
          <w:b/>
          <w:bCs/>
          <w:rtl/>
        </w:rPr>
        <w:tab/>
      </w:r>
      <w:r w:rsidRPr="009835BE">
        <w:rPr>
          <w:rFonts w:hint="cs"/>
          <w:b/>
          <w:bCs/>
          <w:rtl/>
        </w:rPr>
        <w:t>الأهداف المنشودة</w:t>
      </w:r>
    </w:p>
    <w:p w:rsidR="009835BE" w:rsidRDefault="009835BE" w:rsidP="009835BE">
      <w:pPr>
        <w:pStyle w:val="NormalParaAR"/>
        <w:numPr>
          <w:ilvl w:val="0"/>
          <w:numId w:val="21"/>
        </w:numPr>
        <w:rPr>
          <w:rFonts w:hint="cs"/>
        </w:rPr>
      </w:pPr>
      <w:r>
        <w:rPr>
          <w:rFonts w:hint="cs"/>
          <w:rtl/>
        </w:rPr>
        <w:t>تشجيع الاستخدام الفعال لأدوات وصكوك الملكية الفكرية المناسبة للا</w:t>
      </w:r>
      <w:r w:rsidR="0062735D">
        <w:rPr>
          <w:rFonts w:hint="cs"/>
          <w:rtl/>
        </w:rPr>
        <w:t>حتياجات الوطنية من أجل دعم تطوير</w:t>
      </w:r>
      <w:r>
        <w:rPr>
          <w:rFonts w:hint="cs"/>
          <w:rtl/>
        </w:rPr>
        <w:t xml:space="preserve"> قطاع السياحة والحفاظ على التراث الثقافي.</w:t>
      </w:r>
    </w:p>
    <w:p w:rsidR="009835BE" w:rsidRDefault="00475173" w:rsidP="009835BE">
      <w:pPr>
        <w:pStyle w:val="NormalParaAR"/>
        <w:numPr>
          <w:ilvl w:val="0"/>
          <w:numId w:val="21"/>
        </w:numPr>
        <w:rPr>
          <w:rFonts w:hint="cs"/>
        </w:rPr>
      </w:pPr>
      <w:r>
        <w:rPr>
          <w:rFonts w:hint="cs"/>
          <w:rtl/>
        </w:rPr>
        <w:t>و</w:t>
      </w:r>
      <w:r w:rsidR="009835BE">
        <w:rPr>
          <w:rFonts w:hint="cs"/>
          <w:rtl/>
        </w:rPr>
        <w:t xml:space="preserve">مساعدة المدن والمناطق والجهات الرئيسية الفاعلة في الصناعة السياحية، لا سيما الشركات الصغيرة والمتوسطة، على استخدام أنظمة </w:t>
      </w:r>
      <w:r w:rsidR="009620AE">
        <w:rPr>
          <w:rFonts w:hint="cs"/>
          <w:rtl/>
        </w:rPr>
        <w:t xml:space="preserve">وأدوات </w:t>
      </w:r>
      <w:r w:rsidR="009835BE">
        <w:rPr>
          <w:rFonts w:hint="cs"/>
          <w:rtl/>
        </w:rPr>
        <w:t xml:space="preserve">الملكية الفكرية </w:t>
      </w:r>
      <w:r w:rsidR="009620AE">
        <w:rPr>
          <w:rFonts w:hint="cs"/>
          <w:rtl/>
        </w:rPr>
        <w:t xml:space="preserve">المناسبة للاحتياجات الوطنية لتمييز نفسها </w:t>
      </w:r>
      <w:r w:rsidR="00100C47">
        <w:rPr>
          <w:rFonts w:hint="cs"/>
          <w:rtl/>
        </w:rPr>
        <w:t xml:space="preserve">عن غيرها </w:t>
      </w:r>
      <w:r w:rsidR="009620AE">
        <w:rPr>
          <w:rFonts w:hint="cs"/>
          <w:rtl/>
        </w:rPr>
        <w:t>والبروز في السوق كجهات تقدم منتجا فريدا ومميّزا.</w:t>
      </w:r>
    </w:p>
    <w:p w:rsidR="009620AE" w:rsidRDefault="00475173" w:rsidP="009835BE">
      <w:pPr>
        <w:pStyle w:val="NormalParaAR"/>
        <w:numPr>
          <w:ilvl w:val="0"/>
          <w:numId w:val="21"/>
        </w:numPr>
        <w:rPr>
          <w:rFonts w:hint="cs"/>
        </w:rPr>
      </w:pPr>
      <w:r>
        <w:rPr>
          <w:rFonts w:hint="cs"/>
          <w:rtl/>
        </w:rPr>
        <w:t>و</w:t>
      </w:r>
      <w:r w:rsidR="009620AE">
        <w:rPr>
          <w:rFonts w:hint="cs"/>
          <w:rtl/>
        </w:rPr>
        <w:t xml:space="preserve">المساعدة على إدراج تعليم الملكية الفكرية في </w:t>
      </w:r>
      <w:r w:rsidR="00100C47">
        <w:rPr>
          <w:rFonts w:hint="cs"/>
          <w:rtl/>
        </w:rPr>
        <w:t>ال</w:t>
      </w:r>
      <w:r w:rsidR="009620AE">
        <w:rPr>
          <w:rFonts w:hint="cs"/>
          <w:rtl/>
        </w:rPr>
        <w:t>مناهج التعليمية لبرامج الإدارة السياحية/الفندقية والمدارس والجامعات ذات الصلة.</w:t>
      </w:r>
    </w:p>
    <w:p w:rsidR="009620AE" w:rsidRPr="009620AE" w:rsidRDefault="009620AE" w:rsidP="009620AE">
      <w:pPr>
        <w:pStyle w:val="NormalParaAR"/>
        <w:rPr>
          <w:rFonts w:hint="cs"/>
          <w:b/>
          <w:bCs/>
          <w:rtl/>
        </w:rPr>
      </w:pPr>
      <w:r w:rsidRPr="009620AE">
        <w:rPr>
          <w:rFonts w:hint="cs"/>
          <w:b/>
          <w:bCs/>
          <w:rtl/>
        </w:rPr>
        <w:t>ثالثا.</w:t>
      </w:r>
      <w:r w:rsidRPr="009620AE">
        <w:rPr>
          <w:b/>
          <w:bCs/>
          <w:rtl/>
        </w:rPr>
        <w:tab/>
      </w:r>
      <w:r w:rsidRPr="009620AE">
        <w:rPr>
          <w:rFonts w:hint="cs"/>
          <w:b/>
          <w:bCs/>
          <w:rtl/>
        </w:rPr>
        <w:t>الأنشطة المقترحة</w:t>
      </w:r>
    </w:p>
    <w:p w:rsidR="009620AE" w:rsidRDefault="00475173" w:rsidP="00100C47">
      <w:pPr>
        <w:pStyle w:val="NormalParaAR"/>
        <w:numPr>
          <w:ilvl w:val="0"/>
          <w:numId w:val="21"/>
        </w:numPr>
        <w:rPr>
          <w:rFonts w:hint="cs"/>
        </w:rPr>
      </w:pPr>
      <w:r>
        <w:rPr>
          <w:rFonts w:hint="cs"/>
          <w:rtl/>
        </w:rPr>
        <w:t xml:space="preserve">إعداد منشور (منشورات) يتعلق بالقطاع المعني ويتناسب مع مقتضياته لشرح نظام الملكية الفكرية المناسب للاحتياجات الوطنية </w:t>
      </w:r>
      <w:r w:rsidR="00107B30">
        <w:rPr>
          <w:rFonts w:hint="cs"/>
          <w:rtl/>
        </w:rPr>
        <w:t xml:space="preserve">وأسلوب إدارته للجهات الرئيسية الفاعلة في الصناعة السياحية، والترويج له </w:t>
      </w:r>
      <w:r w:rsidR="00100C47">
        <w:rPr>
          <w:rFonts w:hint="cs"/>
          <w:rtl/>
        </w:rPr>
        <w:t>بين</w:t>
      </w:r>
      <w:r w:rsidR="00107B30">
        <w:rPr>
          <w:rFonts w:hint="cs"/>
          <w:rtl/>
        </w:rPr>
        <w:t xml:space="preserve"> تلك الجهات.</w:t>
      </w:r>
    </w:p>
    <w:p w:rsidR="00107B30" w:rsidRDefault="0013615B" w:rsidP="00107B30">
      <w:pPr>
        <w:pStyle w:val="NormalParaAR"/>
        <w:numPr>
          <w:ilvl w:val="0"/>
          <w:numId w:val="21"/>
        </w:numPr>
        <w:rPr>
          <w:rFonts w:hint="cs"/>
        </w:rPr>
      </w:pPr>
      <w:r>
        <w:rPr>
          <w:rFonts w:hint="cs"/>
          <w:rtl/>
        </w:rPr>
        <w:t>و</w:t>
      </w:r>
      <w:r w:rsidR="00107B30">
        <w:rPr>
          <w:rFonts w:hint="cs"/>
          <w:rtl/>
        </w:rPr>
        <w:t>وضع مشروع مناهج تعليمية لإدراج مادة تعل</w:t>
      </w:r>
      <w:r w:rsidR="00100C47">
        <w:rPr>
          <w:rFonts w:hint="cs"/>
          <w:rtl/>
        </w:rPr>
        <w:t>يمية بشأن الملكية الفكرية وتطوير</w:t>
      </w:r>
      <w:r w:rsidR="00107B30">
        <w:rPr>
          <w:rFonts w:hint="cs"/>
          <w:rtl/>
        </w:rPr>
        <w:t xml:space="preserve"> السياحة والحفاظ على التراث الثقافي في برامج التعليم المهني الخاصة بالسياحة، مثل برامج التعليم المُتبعة في مدارس الإدارة الفندقية والجامعات وغيرها.</w:t>
      </w:r>
    </w:p>
    <w:p w:rsidR="00107B30" w:rsidRDefault="00107B30" w:rsidP="00100C47">
      <w:pPr>
        <w:pStyle w:val="NormalParaAR"/>
        <w:numPr>
          <w:ilvl w:val="0"/>
          <w:numId w:val="21"/>
        </w:numPr>
        <w:rPr>
          <w:rFonts w:hint="cs"/>
        </w:rPr>
      </w:pPr>
      <w:r>
        <w:rPr>
          <w:rFonts w:hint="cs"/>
          <w:rtl/>
        </w:rPr>
        <w:t xml:space="preserve">وإذكاء وعي الجهات الرئيسية الفاعلة في هذا </w:t>
      </w:r>
      <w:r w:rsidR="00100C47">
        <w:rPr>
          <w:rFonts w:hint="cs"/>
          <w:rtl/>
        </w:rPr>
        <w:t>القطاع</w:t>
      </w:r>
      <w:r>
        <w:rPr>
          <w:rFonts w:hint="cs"/>
          <w:rtl/>
        </w:rPr>
        <w:t>، بما في ذلك الوزارات ووكالات الترويج ورابطات الفناد</w:t>
      </w:r>
      <w:r w:rsidR="00100C47">
        <w:rPr>
          <w:rFonts w:hint="cs"/>
          <w:rtl/>
        </w:rPr>
        <w:t>ق والمطاعم ومراكز الترفيه ومنظمو</w:t>
      </w:r>
      <w:r>
        <w:rPr>
          <w:rFonts w:hint="cs"/>
          <w:rtl/>
        </w:rPr>
        <w:t xml:space="preserve"> الرحلات السياحية ووكلاء الأسفار وغيرهم، بفائدة استخدام أنظمة/أدوات الملكية الفكرية </w:t>
      </w:r>
      <w:r w:rsidR="0013615B">
        <w:rPr>
          <w:rFonts w:hint="cs"/>
          <w:rtl/>
        </w:rPr>
        <w:t>المناسبة للاحتياجات الوطنية من أجل تعزيز ميزتهم التنافسية.</w:t>
      </w:r>
    </w:p>
    <w:p w:rsidR="0013615B" w:rsidRDefault="0013615B" w:rsidP="0013615B">
      <w:pPr>
        <w:pStyle w:val="NormalParaAR"/>
        <w:numPr>
          <w:ilvl w:val="0"/>
          <w:numId w:val="21"/>
        </w:numPr>
        <w:rPr>
          <w:rFonts w:hint="cs"/>
        </w:rPr>
      </w:pPr>
      <w:r>
        <w:rPr>
          <w:rFonts w:hint="cs"/>
          <w:rtl/>
        </w:rPr>
        <w:t>وزيادة قدرة المكاتب الوطنية للملكية الفكرية على توفير دعم مخصّص للجهات الرئيسية الفاعلة في قطاع السياحة وعلى تنظيم حملات توعية خاصة بذلك القطاع.</w:t>
      </w:r>
    </w:p>
    <w:p w:rsidR="0013615B" w:rsidRDefault="0013615B" w:rsidP="0013615B">
      <w:pPr>
        <w:pStyle w:val="NormalParaAR"/>
        <w:numPr>
          <w:ilvl w:val="0"/>
          <w:numId w:val="21"/>
        </w:numPr>
        <w:rPr>
          <w:rFonts w:hint="cs"/>
        </w:rPr>
      </w:pPr>
      <w:r>
        <w:rPr>
          <w:rFonts w:hint="cs"/>
          <w:rtl/>
        </w:rPr>
        <w:t>وجمع وتقاسم أفضل الممارسات بشأن الاستخدام الناجح لنظام الملكية الفكرية المناسب للاحتياجات الوطنية بغرض تعزيز الميزة التنافسية لقطاع السياحة.</w:t>
      </w:r>
    </w:p>
    <w:p w:rsidR="0013615B" w:rsidRDefault="0013615B" w:rsidP="0013615B">
      <w:pPr>
        <w:pStyle w:val="NormalParaAR"/>
        <w:numPr>
          <w:ilvl w:val="0"/>
          <w:numId w:val="21"/>
        </w:numPr>
        <w:rPr>
          <w:rFonts w:hint="cs"/>
        </w:rPr>
      </w:pPr>
      <w:r>
        <w:rPr>
          <w:rFonts w:hint="cs"/>
          <w:rtl/>
        </w:rPr>
        <w:t>وتنظيم مؤتمرات/حلقات</w:t>
      </w:r>
      <w:r w:rsidR="00100C47">
        <w:rPr>
          <w:rFonts w:hint="cs"/>
          <w:rtl/>
        </w:rPr>
        <w:t xml:space="preserve"> عمل بشأن الملكية الفكرية وتطوير</w:t>
      </w:r>
      <w:r>
        <w:rPr>
          <w:rFonts w:hint="cs"/>
          <w:rtl/>
        </w:rPr>
        <w:t xml:space="preserve"> السيا</w:t>
      </w:r>
      <w:r w:rsidR="00100C47">
        <w:rPr>
          <w:rFonts w:hint="cs"/>
          <w:rtl/>
        </w:rPr>
        <w:t xml:space="preserve">حة والحفاظ على التراث الثقافي لأغراض </w:t>
      </w:r>
      <w:proofErr w:type="spellStart"/>
      <w:r w:rsidR="00100C47">
        <w:rPr>
          <w:rFonts w:hint="cs"/>
          <w:rtl/>
        </w:rPr>
        <w:t>ال</w:t>
      </w:r>
      <w:r>
        <w:rPr>
          <w:rFonts w:hint="cs"/>
          <w:rtl/>
        </w:rPr>
        <w:t>تناقش</w:t>
      </w:r>
      <w:proofErr w:type="spellEnd"/>
      <w:r>
        <w:rPr>
          <w:rFonts w:hint="cs"/>
          <w:rtl/>
        </w:rPr>
        <w:t>/التفاوض حول الأنشطة/المبادرات السابقة.</w:t>
      </w:r>
    </w:p>
    <w:p w:rsidR="0013615B" w:rsidRPr="0013615B" w:rsidRDefault="0013615B" w:rsidP="0013615B">
      <w:pPr>
        <w:pStyle w:val="NormalParaAR"/>
        <w:rPr>
          <w:rFonts w:hint="cs"/>
          <w:b/>
          <w:bCs/>
          <w:rtl/>
        </w:rPr>
      </w:pPr>
      <w:r w:rsidRPr="0013615B">
        <w:rPr>
          <w:rFonts w:hint="cs"/>
          <w:b/>
          <w:bCs/>
          <w:rtl/>
        </w:rPr>
        <w:t>رابعا.</w:t>
      </w:r>
      <w:r w:rsidRPr="0013615B">
        <w:rPr>
          <w:b/>
          <w:bCs/>
          <w:rtl/>
        </w:rPr>
        <w:tab/>
      </w:r>
      <w:r w:rsidRPr="0013615B">
        <w:rPr>
          <w:rFonts w:hint="cs"/>
          <w:b/>
          <w:bCs/>
          <w:rtl/>
        </w:rPr>
        <w:t>الصلة بتوصيات جدول أعمال التنمية</w:t>
      </w:r>
    </w:p>
    <w:p w:rsidR="0013615B" w:rsidRPr="0013615B" w:rsidRDefault="0013615B" w:rsidP="0013615B">
      <w:pPr>
        <w:pStyle w:val="NormalParaAR"/>
        <w:rPr>
          <w:rFonts w:hint="cs"/>
          <w:b/>
          <w:bCs/>
          <w:rtl/>
        </w:rPr>
      </w:pPr>
      <w:r w:rsidRPr="0013615B">
        <w:rPr>
          <w:rFonts w:hint="cs"/>
          <w:b/>
          <w:bCs/>
          <w:rtl/>
        </w:rPr>
        <w:t>الفئة ألف: المساعدة التقنية وتكوين الكفاءات</w:t>
      </w:r>
    </w:p>
    <w:p w:rsidR="0013615B" w:rsidRDefault="00502255" w:rsidP="00502255">
      <w:pPr>
        <w:pStyle w:val="NormalParaAR"/>
        <w:rPr>
          <w:rFonts w:hint="cs"/>
        </w:rPr>
      </w:pPr>
      <w:r>
        <w:rPr>
          <w:rFonts w:hint="cs"/>
          <w:rtl/>
        </w:rPr>
        <w:t>1.</w:t>
      </w:r>
      <w:r w:rsidR="00C4799A">
        <w:rPr>
          <w:rFonts w:hint="cs"/>
          <w:rtl/>
        </w:rPr>
        <w:t xml:space="preserve"> </w:t>
      </w:r>
      <w:r w:rsidRPr="00502255">
        <w:rPr>
          <w:rtl/>
        </w:rPr>
        <w:t>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p w:rsidR="00502255" w:rsidRDefault="00502255" w:rsidP="00502255">
      <w:pPr>
        <w:pStyle w:val="NormalParaAR"/>
        <w:rPr>
          <w:rFonts w:hint="cs"/>
          <w:rtl/>
        </w:rPr>
      </w:pPr>
      <w:r>
        <w:rPr>
          <w:rFonts w:hint="cs"/>
          <w:rtl/>
        </w:rPr>
        <w:t>3.</w:t>
      </w:r>
      <w:r w:rsidR="00C4799A">
        <w:rPr>
          <w:rFonts w:hint="cs"/>
          <w:rtl/>
        </w:rPr>
        <w:t xml:space="preserve"> </w:t>
      </w:r>
      <w:r w:rsidRPr="00502255">
        <w:rPr>
          <w:rtl/>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p w:rsidR="00C4799A" w:rsidRDefault="00C4799A" w:rsidP="00502255">
      <w:pPr>
        <w:pStyle w:val="NormalParaAR"/>
        <w:rPr>
          <w:rFonts w:hint="cs"/>
          <w:rtl/>
        </w:rPr>
      </w:pPr>
      <w:r>
        <w:rPr>
          <w:rFonts w:hint="cs"/>
          <w:rtl/>
        </w:rPr>
        <w:t xml:space="preserve">4. </w:t>
      </w:r>
      <w:r w:rsidRPr="00C4799A">
        <w:rPr>
          <w:rtl/>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C4799A" w:rsidRDefault="00C4799A" w:rsidP="00502255">
      <w:pPr>
        <w:pStyle w:val="NormalParaAR"/>
        <w:rPr>
          <w:rFonts w:hint="cs"/>
          <w:rtl/>
        </w:rPr>
      </w:pPr>
      <w:r>
        <w:rPr>
          <w:rFonts w:hint="cs"/>
          <w:rtl/>
        </w:rPr>
        <w:t xml:space="preserve">10. </w:t>
      </w:r>
      <w:r w:rsidRPr="00C4799A">
        <w:rPr>
          <w:rtl/>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C4799A" w:rsidRPr="00BE7C47" w:rsidRDefault="00C4799A" w:rsidP="00C4799A">
      <w:pPr>
        <w:pStyle w:val="EndofDocumentAR"/>
        <w:rPr>
          <w:rFonts w:hint="cs"/>
          <w:rtl/>
        </w:rPr>
      </w:pPr>
      <w:r>
        <w:rPr>
          <w:rFonts w:hint="cs"/>
          <w:rtl/>
        </w:rPr>
        <w:t>[نهاية المرفق والوثيقة]</w:t>
      </w:r>
    </w:p>
    <w:sectPr w:rsidR="00C4799A" w:rsidRPr="00BE7C47" w:rsidSect="00E1436F">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79C" w:rsidRDefault="004E679C">
      <w:r>
        <w:separator/>
      </w:r>
    </w:p>
  </w:endnote>
  <w:endnote w:type="continuationSeparator" w:id="0">
    <w:p w:rsidR="004E679C" w:rsidRDefault="004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imes New (W1)">
    <w:altName w:val="Times New Roman"/>
    <w:charset w:val="00"/>
    <w:family w:val="roman"/>
    <w:pitch w:val="variable"/>
    <w:sig w:usb0="20007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79C" w:rsidRDefault="004E679C" w:rsidP="009622BF">
      <w:pPr>
        <w:bidi/>
      </w:pPr>
      <w:bookmarkStart w:id="0" w:name="OLE_LINK1"/>
      <w:bookmarkStart w:id="1" w:name="OLE_LINK2"/>
      <w:r>
        <w:separator/>
      </w:r>
      <w:bookmarkEnd w:id="0"/>
      <w:bookmarkEnd w:id="1"/>
    </w:p>
  </w:footnote>
  <w:footnote w:type="continuationSeparator" w:id="0">
    <w:p w:rsidR="004E679C" w:rsidRDefault="004E679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9C" w:rsidRDefault="004E679C" w:rsidP="00A871F4">
    <w:r>
      <w:rPr>
        <w:lang w:val="fr-CH"/>
      </w:rPr>
      <w:t>CDIP</w:t>
    </w:r>
    <w:r>
      <w:t>/12/--</w:t>
    </w:r>
  </w:p>
  <w:p w:rsidR="004E679C" w:rsidRDefault="004E679C" w:rsidP="00D61541">
    <w:r>
      <w:fldChar w:fldCharType="begin"/>
    </w:r>
    <w:r>
      <w:instrText xml:space="preserve"> PAGE  \* MERGEFORMAT </w:instrText>
    </w:r>
    <w:r>
      <w:fldChar w:fldCharType="separate"/>
    </w:r>
    <w:r>
      <w:rPr>
        <w:noProof/>
      </w:rPr>
      <w:t>2</w:t>
    </w:r>
    <w:r>
      <w:fldChar w:fldCharType="end"/>
    </w:r>
  </w:p>
  <w:p w:rsidR="004E679C" w:rsidRDefault="004E679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9C" w:rsidRDefault="004E679C" w:rsidP="00C4799A">
    <w:pPr>
      <w:pStyle w:val="Header"/>
    </w:pPr>
    <w:r>
      <w:rPr>
        <w:lang w:val="fr-CH"/>
      </w:rPr>
      <w:t>CDIP</w:t>
    </w:r>
    <w:r>
      <w:t>/12/10</w:t>
    </w:r>
  </w:p>
  <w:p w:rsidR="004E679C" w:rsidRDefault="004E679C" w:rsidP="00C4799A">
    <w:pPr>
      <w:pStyle w:val="Header"/>
    </w:pPr>
    <w:r>
      <w:t>Annex</w:t>
    </w:r>
  </w:p>
  <w:p w:rsidR="004E679C" w:rsidRDefault="004E679C" w:rsidP="00C4799A">
    <w:pPr>
      <w:pStyle w:val="Header"/>
    </w:pPr>
    <w:r>
      <w:fldChar w:fldCharType="begin"/>
    </w:r>
    <w:r>
      <w:instrText xml:space="preserve"> PAGE   \* MERGEFORMAT </w:instrText>
    </w:r>
    <w:r>
      <w:fldChar w:fldCharType="separate"/>
    </w:r>
    <w:r w:rsidR="003173BE">
      <w:rPr>
        <w:noProof/>
      </w:rPr>
      <w:t>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9C" w:rsidRDefault="004E679C" w:rsidP="00A871F4">
    <w:r>
      <w:rPr>
        <w:lang w:val="fr-CH"/>
      </w:rPr>
      <w:t>CDIP</w:t>
    </w:r>
    <w:r>
      <w:t>/12/10</w:t>
    </w:r>
  </w:p>
  <w:p w:rsidR="004E679C" w:rsidRDefault="004E679C" w:rsidP="00E1436F">
    <w:pPr>
      <w:pStyle w:val="Header"/>
    </w:pPr>
    <w:r>
      <w:t>Annex</w:t>
    </w:r>
  </w:p>
  <w:p w:rsidR="004E679C" w:rsidRDefault="004E679C" w:rsidP="00E1436F">
    <w:r>
      <w:fldChar w:fldCharType="begin"/>
    </w:r>
    <w:r>
      <w:instrText xml:space="preserve"> PAGE  \* MERGEFORMAT </w:instrText>
    </w:r>
    <w:r>
      <w:fldChar w:fldCharType="separate"/>
    </w:r>
    <w:r w:rsidR="003173BE">
      <w:rPr>
        <w:noProof/>
      </w:rPr>
      <w:t>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79C" w:rsidRDefault="004E679C" w:rsidP="00C4799A">
    <w:pPr>
      <w:pStyle w:val="Header"/>
    </w:pPr>
    <w:r>
      <w:rPr>
        <w:lang w:val="fr-CH"/>
      </w:rPr>
      <w:t>CDIP</w:t>
    </w:r>
    <w:r>
      <w:t>/12/10</w:t>
    </w:r>
  </w:p>
  <w:p w:rsidR="004E679C" w:rsidRDefault="004E679C" w:rsidP="00C4799A">
    <w:pPr>
      <w:pStyle w:val="Header"/>
    </w:pPr>
    <w:r>
      <w:t>Annex</w:t>
    </w:r>
  </w:p>
  <w:p w:rsidR="004E679C" w:rsidRDefault="004E679C">
    <w:pPr>
      <w:pStyle w:val="Header"/>
    </w:pPr>
    <w:r>
      <w:fldChar w:fldCharType="begin"/>
    </w:r>
    <w:r>
      <w:instrText xml:space="preserve"> PAGE   \* MERGEFORMAT </w:instrText>
    </w:r>
    <w:r>
      <w:fldChar w:fldCharType="separate"/>
    </w:r>
    <w:r w:rsidR="003173B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8FA6478E"/>
    <w:lvl w:ilvl="0" w:tplc="B712B31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7A4F79"/>
    <w:multiLevelType w:val="hybridMultilevel"/>
    <w:tmpl w:val="19868276"/>
    <w:lvl w:ilvl="0" w:tplc="715A170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4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C47"/>
    <w:rsid w:val="00100F97"/>
    <w:rsid w:val="001012E0"/>
    <w:rsid w:val="001016F2"/>
    <w:rsid w:val="001024C1"/>
    <w:rsid w:val="0010385D"/>
    <w:rsid w:val="001042E0"/>
    <w:rsid w:val="00104C51"/>
    <w:rsid w:val="0010597B"/>
    <w:rsid w:val="00107B30"/>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15B"/>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3BE"/>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173"/>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395F"/>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79C"/>
    <w:rsid w:val="004E6C8C"/>
    <w:rsid w:val="004E6CC7"/>
    <w:rsid w:val="004E776F"/>
    <w:rsid w:val="004F111D"/>
    <w:rsid w:val="004F1843"/>
    <w:rsid w:val="004F1EEC"/>
    <w:rsid w:val="004F24C8"/>
    <w:rsid w:val="004F30D6"/>
    <w:rsid w:val="004F34A5"/>
    <w:rsid w:val="004F40D6"/>
    <w:rsid w:val="004F6302"/>
    <w:rsid w:val="004F6925"/>
    <w:rsid w:val="0050225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35D"/>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0AE"/>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5B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30D"/>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E599E"/>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1E6"/>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C47"/>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B07"/>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99A"/>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2BC8"/>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36F"/>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6DF"/>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C4799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C4799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2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CDIP_12_AR .dotx</Template>
  <TotalTime>100</TotalTime>
  <Pages>4</Pages>
  <Words>826</Words>
  <Characters>4638</Characters>
  <Application>Microsoft Office Word</Application>
  <DocSecurity>0</DocSecurity>
  <Lines>149</Lines>
  <Paragraphs>45</Paragraphs>
  <ScaleCrop>false</ScaleCrop>
  <HeadingPairs>
    <vt:vector size="2" baseType="variant">
      <vt:variant>
        <vt:lpstr>Title</vt:lpstr>
      </vt:variant>
      <vt:variant>
        <vt:i4>1</vt:i4>
      </vt:variant>
    </vt:vector>
  </HeadingPairs>
  <TitlesOfParts>
    <vt:vector size="1" baseType="lpstr">
      <vt:lpstr>CDIP/12/10 (Arabic)</vt:lpstr>
    </vt:vector>
  </TitlesOfParts>
  <Company>World Intellectual Property Organization</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CDIP/12/10 (Arabic)</dc:title>
  <dc:creator>MERZOUK Fawzi</dc:creator>
  <cp:lastModifiedBy>MERZOUK Fawzi</cp:lastModifiedBy>
  <cp:revision>13</cp:revision>
  <cp:lastPrinted>2013-11-15T16:55:00Z</cp:lastPrinted>
  <dcterms:created xsi:type="dcterms:W3CDTF">2013-11-15T14:55:00Z</dcterms:created>
  <dcterms:modified xsi:type="dcterms:W3CDTF">2013-11-15T16:56:00Z</dcterms:modified>
</cp:coreProperties>
</file>