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A4FD0" w:rsidRPr="008A4FD0" w14:paraId="70809E87" w14:textId="77777777" w:rsidTr="00361450">
        <w:tc>
          <w:tcPr>
            <w:tcW w:w="4513" w:type="dxa"/>
            <w:tcBorders>
              <w:bottom w:val="single" w:sz="4" w:space="0" w:color="auto"/>
            </w:tcBorders>
            <w:tcMar>
              <w:bottom w:w="170" w:type="dxa"/>
            </w:tcMar>
          </w:tcPr>
          <w:p w14:paraId="2E4DAD04" w14:textId="77777777" w:rsidR="00EC4E49" w:rsidRPr="008A4FD0" w:rsidRDefault="00EC4E49" w:rsidP="00916EE2">
            <w:pPr>
              <w:rPr>
                <w:lang w:val="es-ES"/>
              </w:rPr>
            </w:pPr>
          </w:p>
        </w:tc>
        <w:tc>
          <w:tcPr>
            <w:tcW w:w="4337" w:type="dxa"/>
            <w:tcBorders>
              <w:bottom w:val="single" w:sz="4" w:space="0" w:color="auto"/>
            </w:tcBorders>
            <w:tcMar>
              <w:left w:w="0" w:type="dxa"/>
              <w:right w:w="0" w:type="dxa"/>
            </w:tcMar>
          </w:tcPr>
          <w:p w14:paraId="74F33AAE" w14:textId="4A69B312" w:rsidR="00EC4E49" w:rsidRPr="008A4FD0" w:rsidRDefault="009355D5" w:rsidP="00916EE2">
            <w:pPr>
              <w:rPr>
                <w:lang w:val="es-ES"/>
              </w:rPr>
            </w:pPr>
            <w:r w:rsidRPr="008A4FD0">
              <w:rPr>
                <w:noProof/>
                <w:lang w:eastAsia="en-US"/>
              </w:rPr>
              <w:drawing>
                <wp:inline distT="0" distB="0" distL="0" distR="0" wp14:anchorId="540797CC" wp14:editId="42575A48">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21F2950" w14:textId="0C9A0839" w:rsidR="00EC4E49" w:rsidRPr="008A4FD0" w:rsidRDefault="009355D5" w:rsidP="00916EE2">
            <w:pPr>
              <w:jc w:val="right"/>
              <w:rPr>
                <w:lang w:val="es-ES"/>
              </w:rPr>
            </w:pPr>
            <w:r w:rsidRPr="008A4FD0">
              <w:rPr>
                <w:b/>
                <w:sz w:val="40"/>
                <w:szCs w:val="40"/>
                <w:lang w:val="es-ES"/>
              </w:rPr>
              <w:t>S</w:t>
            </w:r>
          </w:p>
        </w:tc>
      </w:tr>
      <w:tr w:rsidR="008A4FD0" w:rsidRPr="008A4FD0" w14:paraId="0E287B42"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14E914A" w14:textId="78DEF9FB" w:rsidR="008B2CC1" w:rsidRPr="008A4FD0" w:rsidRDefault="000C3895" w:rsidP="00914E4B">
            <w:pPr>
              <w:jc w:val="right"/>
              <w:rPr>
                <w:rFonts w:ascii="Arial Black" w:hAnsi="Arial Black"/>
                <w:caps/>
                <w:sz w:val="15"/>
                <w:lang w:val="es-ES"/>
              </w:rPr>
            </w:pPr>
            <w:bookmarkStart w:id="0" w:name="Code"/>
            <w:bookmarkEnd w:id="0"/>
            <w:r w:rsidRPr="008A4FD0">
              <w:rPr>
                <w:rFonts w:ascii="Arial Black" w:hAnsi="Arial Black"/>
                <w:caps/>
                <w:sz w:val="15"/>
                <w:lang w:val="es-ES"/>
              </w:rPr>
              <w:t>MM/</w:t>
            </w:r>
            <w:proofErr w:type="spellStart"/>
            <w:r w:rsidRPr="008A4FD0">
              <w:rPr>
                <w:rFonts w:ascii="Arial Black" w:hAnsi="Arial Black"/>
                <w:caps/>
                <w:sz w:val="15"/>
                <w:lang w:val="es-ES"/>
              </w:rPr>
              <w:t>LD</w:t>
            </w:r>
            <w:proofErr w:type="spellEnd"/>
            <w:r w:rsidRPr="008A4FD0">
              <w:rPr>
                <w:rFonts w:ascii="Arial Black" w:hAnsi="Arial Black"/>
                <w:caps/>
                <w:sz w:val="15"/>
                <w:lang w:val="es-ES"/>
              </w:rPr>
              <w:t>/</w:t>
            </w:r>
            <w:proofErr w:type="spellStart"/>
            <w:r w:rsidRPr="008A4FD0">
              <w:rPr>
                <w:rFonts w:ascii="Arial Black" w:hAnsi="Arial Black"/>
                <w:caps/>
                <w:sz w:val="15"/>
                <w:lang w:val="es-ES"/>
              </w:rPr>
              <w:t>WG</w:t>
            </w:r>
            <w:proofErr w:type="spellEnd"/>
            <w:r w:rsidRPr="008A4FD0">
              <w:rPr>
                <w:rFonts w:ascii="Arial Black" w:hAnsi="Arial Black"/>
                <w:caps/>
                <w:sz w:val="15"/>
                <w:lang w:val="es-ES"/>
              </w:rPr>
              <w:t>/1</w:t>
            </w:r>
            <w:r w:rsidR="00010CF2" w:rsidRPr="008A4FD0">
              <w:rPr>
                <w:rFonts w:ascii="Arial Black" w:hAnsi="Arial Black"/>
                <w:caps/>
                <w:sz w:val="15"/>
                <w:lang w:val="es-ES"/>
              </w:rPr>
              <w:t>7</w:t>
            </w:r>
            <w:r w:rsidR="003C5432" w:rsidRPr="008A4FD0">
              <w:rPr>
                <w:rFonts w:ascii="Arial Black" w:hAnsi="Arial Black"/>
                <w:caps/>
                <w:sz w:val="15"/>
                <w:lang w:val="es-ES"/>
              </w:rPr>
              <w:t>/</w:t>
            </w:r>
            <w:r w:rsidR="00AB3414" w:rsidRPr="008A4FD0">
              <w:rPr>
                <w:rFonts w:ascii="Arial Black" w:hAnsi="Arial Black"/>
                <w:caps/>
                <w:sz w:val="15"/>
                <w:lang w:val="es-ES"/>
              </w:rPr>
              <w:t>5</w:t>
            </w:r>
            <w:r w:rsidR="003C5432" w:rsidRPr="008A4FD0">
              <w:rPr>
                <w:rFonts w:ascii="Arial Black" w:hAnsi="Arial Black"/>
                <w:caps/>
                <w:sz w:val="15"/>
                <w:lang w:val="es-ES"/>
              </w:rPr>
              <w:t xml:space="preserve"> </w:t>
            </w:r>
            <w:r w:rsidR="008B2CC1" w:rsidRPr="008A4FD0">
              <w:rPr>
                <w:rFonts w:ascii="Arial Black" w:hAnsi="Arial Black"/>
                <w:caps/>
                <w:sz w:val="15"/>
                <w:lang w:val="es-ES"/>
              </w:rPr>
              <w:t xml:space="preserve">  </w:t>
            </w:r>
          </w:p>
        </w:tc>
      </w:tr>
      <w:tr w:rsidR="008A4FD0" w:rsidRPr="008A4FD0" w14:paraId="13AAB26D" w14:textId="77777777" w:rsidTr="00916EE2">
        <w:trPr>
          <w:trHeight w:hRule="exact" w:val="170"/>
        </w:trPr>
        <w:tc>
          <w:tcPr>
            <w:tcW w:w="9356" w:type="dxa"/>
            <w:gridSpan w:val="3"/>
            <w:noWrap/>
            <w:tcMar>
              <w:left w:w="0" w:type="dxa"/>
              <w:right w:w="0" w:type="dxa"/>
            </w:tcMar>
            <w:vAlign w:val="bottom"/>
          </w:tcPr>
          <w:p w14:paraId="420D4F5E" w14:textId="5CE25D88" w:rsidR="008B2CC1" w:rsidRPr="008A4FD0" w:rsidRDefault="008B2CC1" w:rsidP="000373DC">
            <w:pPr>
              <w:jc w:val="right"/>
              <w:rPr>
                <w:rFonts w:ascii="Arial Black" w:hAnsi="Arial Black"/>
                <w:caps/>
                <w:sz w:val="15"/>
                <w:lang w:val="es-ES"/>
              </w:rPr>
            </w:pPr>
            <w:r w:rsidRPr="008A4FD0">
              <w:rPr>
                <w:rFonts w:ascii="Arial Black" w:hAnsi="Arial Black"/>
                <w:caps/>
                <w:sz w:val="15"/>
                <w:lang w:val="es-ES"/>
              </w:rPr>
              <w:t>ORIGINAL:</w:t>
            </w:r>
            <w:bookmarkStart w:id="1" w:name="_GoBack"/>
            <w:bookmarkEnd w:id="1"/>
            <w:r w:rsidRPr="008A4FD0">
              <w:rPr>
                <w:rFonts w:ascii="Arial Black" w:hAnsi="Arial Black"/>
                <w:caps/>
                <w:sz w:val="15"/>
                <w:lang w:val="es-ES"/>
              </w:rPr>
              <w:t xml:space="preserve"> </w:t>
            </w:r>
            <w:bookmarkStart w:id="2" w:name="Original"/>
            <w:bookmarkEnd w:id="2"/>
            <w:r w:rsidR="00E31BAD" w:rsidRPr="008A4FD0">
              <w:rPr>
                <w:rFonts w:ascii="Arial Black" w:hAnsi="Arial Black"/>
                <w:caps/>
                <w:sz w:val="15"/>
                <w:lang w:val="es-ES"/>
              </w:rPr>
              <w:t>inglÉs</w:t>
            </w:r>
          </w:p>
        </w:tc>
      </w:tr>
      <w:tr w:rsidR="008B2CC1" w:rsidRPr="009C0F83" w14:paraId="098F8400" w14:textId="77777777" w:rsidTr="00916EE2">
        <w:trPr>
          <w:trHeight w:hRule="exact" w:val="198"/>
        </w:trPr>
        <w:tc>
          <w:tcPr>
            <w:tcW w:w="9356" w:type="dxa"/>
            <w:gridSpan w:val="3"/>
            <w:tcMar>
              <w:left w:w="0" w:type="dxa"/>
              <w:right w:w="0" w:type="dxa"/>
            </w:tcMar>
            <w:vAlign w:val="bottom"/>
          </w:tcPr>
          <w:p w14:paraId="168BBAF2" w14:textId="475711F1" w:rsidR="008B2CC1" w:rsidRPr="008A4FD0" w:rsidRDefault="00E31BAD" w:rsidP="009C0F83">
            <w:pPr>
              <w:jc w:val="right"/>
              <w:rPr>
                <w:rFonts w:ascii="Arial Black" w:hAnsi="Arial Black"/>
                <w:caps/>
                <w:sz w:val="15"/>
                <w:lang w:val="es-ES"/>
              </w:rPr>
            </w:pPr>
            <w:r w:rsidRPr="008A4FD0">
              <w:rPr>
                <w:rFonts w:ascii="Arial Black" w:hAnsi="Arial Black"/>
                <w:caps/>
                <w:sz w:val="15"/>
                <w:lang w:val="es-ES"/>
              </w:rPr>
              <w:t>fecha</w:t>
            </w:r>
            <w:r w:rsidR="008B2CC1" w:rsidRPr="008A4FD0">
              <w:rPr>
                <w:rFonts w:ascii="Arial Black" w:hAnsi="Arial Black"/>
                <w:caps/>
                <w:sz w:val="15"/>
                <w:lang w:val="es-ES"/>
              </w:rPr>
              <w:t>:</w:t>
            </w:r>
            <w:r w:rsidR="00A42DAF" w:rsidRPr="008A4FD0">
              <w:rPr>
                <w:rFonts w:ascii="Arial Black" w:hAnsi="Arial Black"/>
                <w:caps/>
                <w:sz w:val="15"/>
                <w:lang w:val="es-ES"/>
              </w:rPr>
              <w:t xml:space="preserve"> </w:t>
            </w:r>
            <w:bookmarkStart w:id="3" w:name="Date"/>
            <w:bookmarkEnd w:id="3"/>
            <w:r w:rsidR="009C0F83">
              <w:rPr>
                <w:rFonts w:ascii="Arial Black" w:hAnsi="Arial Black"/>
                <w:caps/>
                <w:sz w:val="15"/>
                <w:lang w:val="es-ES"/>
              </w:rPr>
              <w:t>16</w:t>
            </w:r>
            <w:r w:rsidRPr="008A4FD0">
              <w:rPr>
                <w:rFonts w:ascii="Arial Black" w:hAnsi="Arial Black"/>
                <w:caps/>
                <w:sz w:val="15"/>
                <w:lang w:val="es-ES"/>
              </w:rPr>
              <w:t xml:space="preserve"> de </w:t>
            </w:r>
            <w:r w:rsidR="009C0F83">
              <w:rPr>
                <w:rFonts w:ascii="Arial Black" w:hAnsi="Arial Black"/>
                <w:caps/>
                <w:sz w:val="15"/>
                <w:lang w:val="es-ES"/>
              </w:rPr>
              <w:t>MAYO</w:t>
            </w:r>
            <w:r w:rsidRPr="008A4FD0">
              <w:rPr>
                <w:rFonts w:ascii="Arial Black" w:hAnsi="Arial Black"/>
                <w:caps/>
                <w:sz w:val="15"/>
                <w:lang w:val="es-ES"/>
              </w:rPr>
              <w:t xml:space="preserve"> de</w:t>
            </w:r>
            <w:r w:rsidR="000C3895" w:rsidRPr="008A4FD0">
              <w:rPr>
                <w:rFonts w:ascii="Arial Black" w:hAnsi="Arial Black"/>
                <w:caps/>
                <w:sz w:val="15"/>
                <w:lang w:val="es-ES"/>
              </w:rPr>
              <w:t xml:space="preserve"> 201</w:t>
            </w:r>
            <w:r w:rsidR="00010CF2" w:rsidRPr="008A4FD0">
              <w:rPr>
                <w:rFonts w:ascii="Arial Black" w:hAnsi="Arial Black"/>
                <w:caps/>
                <w:sz w:val="15"/>
                <w:lang w:val="es-ES"/>
              </w:rPr>
              <w:t>9</w:t>
            </w:r>
          </w:p>
        </w:tc>
      </w:tr>
    </w:tbl>
    <w:p w14:paraId="2F4CC0F5" w14:textId="77777777" w:rsidR="00FC04F1" w:rsidRPr="008A4FD0" w:rsidRDefault="00FC04F1" w:rsidP="008B2CC1">
      <w:pPr>
        <w:rPr>
          <w:lang w:val="es-ES"/>
        </w:rPr>
      </w:pPr>
    </w:p>
    <w:p w14:paraId="2E9349F3" w14:textId="77777777" w:rsidR="00FC04F1" w:rsidRPr="008A4FD0" w:rsidRDefault="00FC04F1" w:rsidP="008B2CC1">
      <w:pPr>
        <w:rPr>
          <w:lang w:val="es-ES"/>
        </w:rPr>
      </w:pPr>
    </w:p>
    <w:p w14:paraId="6388CC09" w14:textId="77777777" w:rsidR="00FC04F1" w:rsidRPr="008A4FD0" w:rsidRDefault="00FC04F1" w:rsidP="008B2CC1">
      <w:pPr>
        <w:rPr>
          <w:lang w:val="es-ES"/>
        </w:rPr>
      </w:pPr>
    </w:p>
    <w:p w14:paraId="12087088" w14:textId="77777777" w:rsidR="00FC04F1" w:rsidRPr="008A4FD0" w:rsidRDefault="00FC04F1" w:rsidP="008B2CC1">
      <w:pPr>
        <w:rPr>
          <w:lang w:val="es-ES"/>
        </w:rPr>
      </w:pPr>
    </w:p>
    <w:p w14:paraId="68D1BD2A" w14:textId="77777777" w:rsidR="00FC04F1" w:rsidRPr="008A4FD0" w:rsidRDefault="00FC04F1" w:rsidP="008B2CC1">
      <w:pPr>
        <w:rPr>
          <w:lang w:val="es-ES"/>
        </w:rPr>
      </w:pPr>
    </w:p>
    <w:p w14:paraId="762EFD04" w14:textId="173A8275" w:rsidR="00FC04F1" w:rsidRPr="008A4FD0" w:rsidRDefault="00FC04F1" w:rsidP="00FC04F1">
      <w:pPr>
        <w:rPr>
          <w:b/>
          <w:sz w:val="28"/>
          <w:szCs w:val="28"/>
          <w:lang w:val="es-ES"/>
        </w:rPr>
      </w:pPr>
      <w:r w:rsidRPr="008A4FD0">
        <w:rPr>
          <w:b/>
          <w:sz w:val="28"/>
          <w:szCs w:val="28"/>
          <w:lang w:val="es-ES"/>
        </w:rPr>
        <w:t>Grupo de Trabajo sobre el Desarrollo Jurídico del Sistema de Madrid para el Registro Internacional de Marcas</w:t>
      </w:r>
    </w:p>
    <w:p w14:paraId="03AD69A2" w14:textId="77777777" w:rsidR="00FC04F1" w:rsidRPr="008A4FD0" w:rsidRDefault="00FC04F1" w:rsidP="003845C1">
      <w:pPr>
        <w:rPr>
          <w:lang w:val="es-ES"/>
        </w:rPr>
      </w:pPr>
    </w:p>
    <w:p w14:paraId="2EBA23F9" w14:textId="77777777" w:rsidR="00FC04F1" w:rsidRPr="008A4FD0" w:rsidRDefault="00FC04F1" w:rsidP="003845C1">
      <w:pPr>
        <w:rPr>
          <w:lang w:val="es-ES"/>
        </w:rPr>
      </w:pPr>
    </w:p>
    <w:p w14:paraId="27D1CF0D" w14:textId="36C02AE8" w:rsidR="00FC04F1" w:rsidRPr="008A4FD0" w:rsidRDefault="00FC04F1" w:rsidP="00FC04F1">
      <w:pPr>
        <w:rPr>
          <w:b/>
          <w:sz w:val="24"/>
          <w:szCs w:val="24"/>
          <w:lang w:val="es-ES"/>
        </w:rPr>
      </w:pPr>
      <w:r w:rsidRPr="008A4FD0">
        <w:rPr>
          <w:b/>
          <w:sz w:val="24"/>
          <w:szCs w:val="24"/>
          <w:lang w:val="es-ES"/>
        </w:rPr>
        <w:t>Decimoséptima reunión</w:t>
      </w:r>
    </w:p>
    <w:p w14:paraId="3856D728" w14:textId="55B7D4C4" w:rsidR="00FC04F1" w:rsidRPr="008A4FD0" w:rsidRDefault="00FC04F1" w:rsidP="00FC04F1">
      <w:pPr>
        <w:rPr>
          <w:b/>
          <w:sz w:val="24"/>
          <w:szCs w:val="24"/>
          <w:lang w:val="es-ES"/>
        </w:rPr>
      </w:pPr>
      <w:r w:rsidRPr="008A4FD0">
        <w:rPr>
          <w:b/>
          <w:sz w:val="24"/>
          <w:szCs w:val="24"/>
          <w:lang w:val="es-ES"/>
        </w:rPr>
        <w:t>Ginebra, 22 a 26 de julio de 2019</w:t>
      </w:r>
    </w:p>
    <w:p w14:paraId="7688D9F7" w14:textId="77777777" w:rsidR="00FC04F1" w:rsidRPr="008A4FD0" w:rsidRDefault="00FC04F1" w:rsidP="008B2CC1">
      <w:pPr>
        <w:rPr>
          <w:lang w:val="es-ES"/>
        </w:rPr>
      </w:pPr>
    </w:p>
    <w:p w14:paraId="7B1EE106" w14:textId="77777777" w:rsidR="00FC04F1" w:rsidRPr="008A4FD0" w:rsidRDefault="00FC04F1" w:rsidP="008B2CC1">
      <w:pPr>
        <w:rPr>
          <w:lang w:val="es-ES"/>
        </w:rPr>
      </w:pPr>
    </w:p>
    <w:p w14:paraId="6AAB8C9A" w14:textId="77777777" w:rsidR="00FC04F1" w:rsidRPr="008A4FD0" w:rsidRDefault="00FC04F1" w:rsidP="008B2CC1">
      <w:pPr>
        <w:rPr>
          <w:lang w:val="es-ES"/>
        </w:rPr>
      </w:pPr>
    </w:p>
    <w:p w14:paraId="2ABA4FEE" w14:textId="3D187CF7" w:rsidR="00FC04F1" w:rsidRPr="008A4FD0" w:rsidRDefault="007D091E" w:rsidP="00AB3414">
      <w:pPr>
        <w:rPr>
          <w:caps/>
          <w:sz w:val="24"/>
          <w:lang w:val="es-ES"/>
        </w:rPr>
      </w:pPr>
      <w:bookmarkStart w:id="4" w:name="TitleOfDoc"/>
      <w:bookmarkEnd w:id="4"/>
      <w:r w:rsidRPr="008A4FD0">
        <w:rPr>
          <w:caps/>
          <w:sz w:val="24"/>
          <w:lang w:val="es-ES"/>
        </w:rPr>
        <w:t xml:space="preserve">notificación de denegación provisional </w:t>
      </w:r>
      <w:r w:rsidR="00AB3414" w:rsidRPr="008A4FD0">
        <w:rPr>
          <w:caps/>
          <w:sz w:val="24"/>
          <w:lang w:val="es-ES"/>
        </w:rPr>
        <w:t xml:space="preserve">– </w:t>
      </w:r>
      <w:r w:rsidR="00E31BAD" w:rsidRPr="008A4FD0">
        <w:rPr>
          <w:caps/>
          <w:sz w:val="24"/>
          <w:lang w:val="es-ES"/>
        </w:rPr>
        <w:t>Plazo de respuesta y formas de calcular dicho plazo</w:t>
      </w:r>
    </w:p>
    <w:p w14:paraId="489928C4" w14:textId="77777777" w:rsidR="00FC04F1" w:rsidRPr="008A4FD0" w:rsidRDefault="00FC04F1" w:rsidP="008B2CC1">
      <w:pPr>
        <w:rPr>
          <w:caps/>
          <w:sz w:val="24"/>
          <w:lang w:val="es-ES"/>
        </w:rPr>
      </w:pPr>
    </w:p>
    <w:p w14:paraId="260B928B" w14:textId="78BE765D" w:rsidR="00FC04F1" w:rsidRPr="008A4FD0" w:rsidRDefault="00FC04F1" w:rsidP="00FC04F1">
      <w:pPr>
        <w:rPr>
          <w:i/>
          <w:lang w:val="es-ES"/>
        </w:rPr>
      </w:pPr>
      <w:bookmarkStart w:id="5" w:name="Prepared"/>
      <w:bookmarkEnd w:id="5"/>
      <w:r w:rsidRPr="008A4FD0">
        <w:rPr>
          <w:i/>
          <w:lang w:val="es-ES"/>
        </w:rPr>
        <w:t>Documento preparado por la Oficina Internacional</w:t>
      </w:r>
    </w:p>
    <w:p w14:paraId="2501B0C5" w14:textId="77777777" w:rsidR="00FC04F1" w:rsidRPr="008A4FD0" w:rsidRDefault="00FC04F1">
      <w:pPr>
        <w:rPr>
          <w:lang w:val="es-ES"/>
        </w:rPr>
      </w:pPr>
    </w:p>
    <w:p w14:paraId="4CE739FA" w14:textId="77777777" w:rsidR="00FC04F1" w:rsidRPr="008A4FD0" w:rsidRDefault="00FC04F1">
      <w:pPr>
        <w:rPr>
          <w:lang w:val="es-ES"/>
        </w:rPr>
      </w:pPr>
    </w:p>
    <w:p w14:paraId="5DA7FF70" w14:textId="77777777" w:rsidR="00FC04F1" w:rsidRPr="008A4FD0" w:rsidRDefault="00FC04F1" w:rsidP="0053057A">
      <w:pPr>
        <w:rPr>
          <w:lang w:val="es-ES"/>
        </w:rPr>
      </w:pPr>
    </w:p>
    <w:p w14:paraId="10FF60CE" w14:textId="77777777" w:rsidR="00FC04F1" w:rsidRPr="008A4FD0" w:rsidRDefault="00FC04F1" w:rsidP="0053057A">
      <w:pPr>
        <w:rPr>
          <w:lang w:val="es-ES"/>
        </w:rPr>
      </w:pPr>
    </w:p>
    <w:p w14:paraId="736E5F12" w14:textId="2D8F3CEA" w:rsidR="00FC04F1" w:rsidRPr="008A4FD0" w:rsidRDefault="00FC04F1" w:rsidP="00FC04F1">
      <w:pPr>
        <w:pStyle w:val="Heading1"/>
        <w:rPr>
          <w:lang w:val="es-ES"/>
        </w:rPr>
      </w:pPr>
      <w:r w:rsidRPr="008A4FD0">
        <w:rPr>
          <w:lang w:val="es-ES"/>
        </w:rPr>
        <w:t>INTRODUCCIÓN</w:t>
      </w:r>
    </w:p>
    <w:p w14:paraId="6C42190B" w14:textId="77777777" w:rsidR="00FC04F1" w:rsidRPr="008A4FD0" w:rsidRDefault="00FC04F1" w:rsidP="005B6B85">
      <w:pPr>
        <w:rPr>
          <w:lang w:val="es-ES"/>
        </w:rPr>
      </w:pPr>
    </w:p>
    <w:p w14:paraId="0AE79902" w14:textId="1A98E2E5" w:rsidR="00FC04F1" w:rsidRPr="008A4FD0" w:rsidRDefault="009D1463" w:rsidP="00AB3414">
      <w:pPr>
        <w:pStyle w:val="ONUME"/>
        <w:rPr>
          <w:lang w:val="es-ES"/>
        </w:rPr>
      </w:pPr>
      <w:r w:rsidRPr="008A4FD0">
        <w:rPr>
          <w:lang w:val="es-ES"/>
        </w:rPr>
        <w:t>La Oficina Internacional recibe habitualmente quejas de los usuarios del Sistema de Madrid para el Registro Internacional de Marcas (en adelante denominado “el Sistema de Madrid”) en relación con lo que consideran plazos breves para responder a las notificaciones de denegación provisional. Los usuarios también han indicado que les resulta difícil atender a esas notificaciones dados los distintos plazos de respuesta y las distintas maneras de calcular dichos plazos.</w:t>
      </w:r>
    </w:p>
    <w:p w14:paraId="30F9C7AC" w14:textId="69FB4971" w:rsidR="00AB3414" w:rsidRDefault="009D1463" w:rsidP="009D1463">
      <w:pPr>
        <w:pStyle w:val="ONUME"/>
        <w:rPr>
          <w:lang w:val="es-ES"/>
        </w:rPr>
      </w:pPr>
      <w:r w:rsidRPr="008A4FD0">
        <w:rPr>
          <w:lang w:val="es-ES"/>
        </w:rPr>
        <w:t xml:space="preserve">Habida cuenta de lo anterior, en </w:t>
      </w:r>
      <w:r w:rsidR="00AB3414" w:rsidRPr="008A4FD0">
        <w:rPr>
          <w:lang w:val="es-ES"/>
        </w:rPr>
        <w:t xml:space="preserve">2014, </w:t>
      </w:r>
      <w:r w:rsidRPr="008A4FD0">
        <w:rPr>
          <w:lang w:val="es-ES"/>
        </w:rPr>
        <w:t xml:space="preserve">la Oficina </w:t>
      </w:r>
      <w:r w:rsidR="000B1DD2" w:rsidRPr="008A4FD0">
        <w:rPr>
          <w:lang w:val="es-ES"/>
        </w:rPr>
        <w:t>Internacional</w:t>
      </w:r>
      <w:r w:rsidRPr="008A4FD0">
        <w:rPr>
          <w:lang w:val="es-ES"/>
        </w:rPr>
        <w:t xml:space="preserve"> realizó una encuesta entre las Oficinas de las Partes Contratantes del Sistema de Madrid para obtener más información acerca de los diversos plazos de respuesta a las notificaciones mencionadas anteriormente y, sobre todo, la manera en que se calculan dichos plazos. Los resultados de la encuesta se </w:t>
      </w:r>
      <w:r w:rsidR="000B1DD2" w:rsidRPr="008A4FD0">
        <w:rPr>
          <w:lang w:val="es-ES"/>
        </w:rPr>
        <w:t>expusieron</w:t>
      </w:r>
      <w:r w:rsidRPr="008A4FD0">
        <w:rPr>
          <w:lang w:val="es-ES"/>
        </w:rPr>
        <w:t>, en octubre de 201</w:t>
      </w:r>
      <w:r w:rsidR="007B4CFA">
        <w:rPr>
          <w:lang w:val="es-ES"/>
        </w:rPr>
        <w:t>4</w:t>
      </w:r>
      <w:r w:rsidRPr="008A4FD0">
        <w:rPr>
          <w:lang w:val="es-ES"/>
        </w:rPr>
        <w:t>, en la Mesa redonda de la duodécima sesión del Grupo de Trabajo sobre el Desarrollo Jurídico del Sistema de Madrid para el Registro Internacional de Marcas (en adelante denominado “el Grupo de Trabajo</w:t>
      </w:r>
      <w:r w:rsidR="00AB3414" w:rsidRPr="008A4FD0">
        <w:rPr>
          <w:lang w:val="es-ES"/>
        </w:rPr>
        <w:t>”)</w:t>
      </w:r>
      <w:r w:rsidR="00AB3414" w:rsidRPr="008A4FD0">
        <w:rPr>
          <w:rStyle w:val="FootnoteReference"/>
          <w:lang w:val="es-ES"/>
        </w:rPr>
        <w:footnoteReference w:id="2"/>
      </w:r>
      <w:r w:rsidR="009C0F83">
        <w:rPr>
          <w:lang w:val="es-ES"/>
        </w:rPr>
        <w:t>.</w:t>
      </w:r>
    </w:p>
    <w:p w14:paraId="300FF799" w14:textId="706C7CD7" w:rsidR="00B93DC9" w:rsidRDefault="00B93DC9" w:rsidP="00B93DC9">
      <w:pPr>
        <w:pStyle w:val="ONUME"/>
        <w:numPr>
          <w:ilvl w:val="0"/>
          <w:numId w:val="0"/>
        </w:numPr>
        <w:rPr>
          <w:lang w:val="es-ES"/>
        </w:rPr>
      </w:pPr>
    </w:p>
    <w:p w14:paraId="0CFE29B6" w14:textId="77777777" w:rsidR="00B93DC9" w:rsidRPr="008A4FD0" w:rsidRDefault="00B93DC9" w:rsidP="00B93DC9">
      <w:pPr>
        <w:pStyle w:val="ONUME"/>
        <w:numPr>
          <w:ilvl w:val="0"/>
          <w:numId w:val="0"/>
        </w:numPr>
        <w:rPr>
          <w:lang w:val="es-ES"/>
        </w:rPr>
        <w:sectPr w:rsidR="00B93DC9" w:rsidRPr="008A4FD0" w:rsidSect="00201B24">
          <w:headerReference w:type="default" r:id="rId9"/>
          <w:endnotePr>
            <w:numFmt w:val="decimal"/>
          </w:endnotePr>
          <w:pgSz w:w="11907" w:h="16840" w:code="9"/>
          <w:pgMar w:top="567" w:right="1134" w:bottom="1418" w:left="1418" w:header="510" w:footer="1021" w:gutter="0"/>
          <w:pgNumType w:start="2"/>
          <w:cols w:space="720"/>
          <w:titlePg/>
          <w:docGrid w:linePitch="299"/>
        </w:sectPr>
      </w:pPr>
    </w:p>
    <w:p w14:paraId="0A3D11F2" w14:textId="44750DE5" w:rsidR="00FC04F1" w:rsidRPr="008A4FD0" w:rsidRDefault="00FE5193" w:rsidP="00AB3414">
      <w:pPr>
        <w:pStyle w:val="ONUME"/>
        <w:rPr>
          <w:lang w:val="es-ES"/>
        </w:rPr>
      </w:pPr>
      <w:r w:rsidRPr="008A4FD0">
        <w:rPr>
          <w:lang w:val="es-ES"/>
        </w:rPr>
        <w:lastRenderedPageBreak/>
        <w:t>En su decimocuarta reunión, celebrada en junio de 2016, el Grupo de Trabajo acordó una lista de temas que ha de examinar en el futuro, a corto, mediano y largo plazo</w:t>
      </w:r>
      <w:r w:rsidR="00AB3414" w:rsidRPr="008A4FD0">
        <w:rPr>
          <w:rStyle w:val="FootnoteReference"/>
          <w:lang w:val="es-ES"/>
        </w:rPr>
        <w:footnoteReference w:id="3"/>
      </w:r>
      <w:r w:rsidR="009C0F83">
        <w:rPr>
          <w:lang w:val="es-ES"/>
        </w:rPr>
        <w:t>.</w:t>
      </w:r>
      <w:r w:rsidR="00AB3414" w:rsidRPr="008A4FD0">
        <w:rPr>
          <w:lang w:val="es-ES"/>
        </w:rPr>
        <w:t xml:space="preserve"> </w:t>
      </w:r>
      <w:r w:rsidRPr="008A4FD0">
        <w:rPr>
          <w:lang w:val="es-ES"/>
        </w:rPr>
        <w:t>Uno de los temas enumerados en la lista era el de las “Denegaciones provisionales y sus plazos”</w:t>
      </w:r>
      <w:r w:rsidR="00AB3414" w:rsidRPr="008A4FD0">
        <w:rPr>
          <w:lang w:val="es-ES"/>
        </w:rPr>
        <w:t xml:space="preserve">.  </w:t>
      </w:r>
    </w:p>
    <w:p w14:paraId="11E90128" w14:textId="004C4F69" w:rsidR="00FC04F1" w:rsidRPr="008A4FD0" w:rsidRDefault="00FE5193" w:rsidP="00343C9A">
      <w:pPr>
        <w:pStyle w:val="ONUME"/>
        <w:rPr>
          <w:lang w:val="es-ES"/>
        </w:rPr>
      </w:pPr>
      <w:r w:rsidRPr="008A4FD0">
        <w:rPr>
          <w:lang w:val="es-ES"/>
        </w:rPr>
        <w:t xml:space="preserve">En el presente documento se proporciona </w:t>
      </w:r>
      <w:r w:rsidR="000B1DD2" w:rsidRPr="008A4FD0">
        <w:rPr>
          <w:lang w:val="es-ES"/>
        </w:rPr>
        <w:t>información</w:t>
      </w:r>
      <w:r w:rsidRPr="008A4FD0">
        <w:rPr>
          <w:lang w:val="es-ES"/>
        </w:rPr>
        <w:t xml:space="preserve"> sobre las notificaciones de denegación provisional, más concretamente en relación con:</w:t>
      </w:r>
    </w:p>
    <w:p w14:paraId="0A3DA50F" w14:textId="7ADA74D4" w:rsidR="00FC04F1" w:rsidRPr="008A4FD0" w:rsidRDefault="00343C9A" w:rsidP="009C0F83">
      <w:pPr>
        <w:ind w:left="567"/>
        <w:rPr>
          <w:lang w:val="es-ES"/>
        </w:rPr>
      </w:pPr>
      <w:r w:rsidRPr="008A4FD0">
        <w:rPr>
          <w:lang w:val="es-ES"/>
        </w:rPr>
        <w:t>–</w:t>
      </w:r>
      <w:r w:rsidRPr="008A4FD0">
        <w:rPr>
          <w:lang w:val="es-ES"/>
        </w:rPr>
        <w:tab/>
      </w:r>
      <w:r w:rsidR="00FE5193" w:rsidRPr="008A4FD0">
        <w:rPr>
          <w:lang w:val="es-ES"/>
        </w:rPr>
        <w:t>el plazo que tienen las Oficinas de las Partes Contratantes para enviar esas notificaciones</w:t>
      </w:r>
      <w:r w:rsidRPr="008A4FD0">
        <w:rPr>
          <w:lang w:val="es-ES"/>
        </w:rPr>
        <w:t xml:space="preserve">;  </w:t>
      </w:r>
    </w:p>
    <w:p w14:paraId="79F1F00F" w14:textId="77777777" w:rsidR="00FC04F1" w:rsidRPr="008A4FD0" w:rsidRDefault="00FC04F1" w:rsidP="009C0F83">
      <w:pPr>
        <w:ind w:left="567"/>
        <w:rPr>
          <w:lang w:val="es-ES"/>
        </w:rPr>
      </w:pPr>
    </w:p>
    <w:p w14:paraId="21687D3F" w14:textId="4F83D818" w:rsidR="00FC04F1" w:rsidRPr="008A4FD0" w:rsidRDefault="00343C9A" w:rsidP="009C0F83">
      <w:pPr>
        <w:ind w:left="567"/>
        <w:rPr>
          <w:lang w:val="es-ES"/>
        </w:rPr>
      </w:pPr>
      <w:r w:rsidRPr="008A4FD0">
        <w:rPr>
          <w:lang w:val="es-ES"/>
        </w:rPr>
        <w:t>–</w:t>
      </w:r>
      <w:r w:rsidRPr="008A4FD0">
        <w:rPr>
          <w:lang w:val="es-ES"/>
        </w:rPr>
        <w:tab/>
      </w:r>
      <w:r w:rsidR="00FE5193" w:rsidRPr="008A4FD0">
        <w:rPr>
          <w:lang w:val="es-ES"/>
        </w:rPr>
        <w:t>el plazo otorgado al titular para responder;</w:t>
      </w:r>
    </w:p>
    <w:p w14:paraId="40999814" w14:textId="77777777" w:rsidR="00FC04F1" w:rsidRPr="008A4FD0" w:rsidRDefault="00FC04F1" w:rsidP="009C0F83">
      <w:pPr>
        <w:ind w:left="567"/>
        <w:rPr>
          <w:lang w:val="es-ES"/>
        </w:rPr>
      </w:pPr>
    </w:p>
    <w:p w14:paraId="4E7A5A42" w14:textId="1463348C" w:rsidR="00FC04F1" w:rsidRPr="008A4FD0" w:rsidRDefault="00343C9A" w:rsidP="009C0F83">
      <w:pPr>
        <w:ind w:left="567"/>
        <w:rPr>
          <w:lang w:val="es-ES"/>
        </w:rPr>
      </w:pPr>
      <w:r w:rsidRPr="008A4FD0">
        <w:rPr>
          <w:lang w:val="es-ES"/>
        </w:rPr>
        <w:t>–</w:t>
      </w:r>
      <w:r w:rsidRPr="008A4FD0">
        <w:rPr>
          <w:lang w:val="es-ES"/>
        </w:rPr>
        <w:tab/>
      </w:r>
      <w:r w:rsidR="00FE5193" w:rsidRPr="008A4FD0">
        <w:rPr>
          <w:lang w:val="es-ES"/>
        </w:rPr>
        <w:t>los problemas prácticos que afrontan los titulares cuando reciben dichas notificaciones; y</w:t>
      </w:r>
    </w:p>
    <w:p w14:paraId="46E57369" w14:textId="77777777" w:rsidR="00FC04F1" w:rsidRPr="008A4FD0" w:rsidRDefault="00FC04F1" w:rsidP="009C0F83">
      <w:pPr>
        <w:ind w:left="567"/>
        <w:rPr>
          <w:lang w:val="es-ES"/>
        </w:rPr>
      </w:pPr>
    </w:p>
    <w:p w14:paraId="12A97FBA" w14:textId="3601C064" w:rsidR="00FC04F1" w:rsidRPr="008A4FD0" w:rsidRDefault="00343C9A" w:rsidP="009C0F83">
      <w:pPr>
        <w:ind w:left="567"/>
        <w:rPr>
          <w:lang w:val="es-ES"/>
        </w:rPr>
      </w:pPr>
      <w:r w:rsidRPr="008A4FD0">
        <w:rPr>
          <w:lang w:val="es-ES"/>
        </w:rPr>
        <w:t>–</w:t>
      </w:r>
      <w:r w:rsidRPr="008A4FD0">
        <w:rPr>
          <w:lang w:val="es-ES"/>
        </w:rPr>
        <w:tab/>
      </w:r>
      <w:r w:rsidR="00FE5193" w:rsidRPr="008A4FD0">
        <w:rPr>
          <w:lang w:val="es-ES"/>
        </w:rPr>
        <w:t xml:space="preserve">cuestiones </w:t>
      </w:r>
      <w:r w:rsidR="00C21ED5" w:rsidRPr="008A4FD0">
        <w:rPr>
          <w:lang w:val="es-ES"/>
        </w:rPr>
        <w:t>que ha de</w:t>
      </w:r>
      <w:r w:rsidR="00FE5193" w:rsidRPr="008A4FD0">
        <w:rPr>
          <w:lang w:val="es-ES"/>
        </w:rPr>
        <w:t xml:space="preserve"> </w:t>
      </w:r>
      <w:r w:rsidR="00C21ED5" w:rsidRPr="008A4FD0">
        <w:rPr>
          <w:lang w:val="es-ES"/>
        </w:rPr>
        <w:t>considerar</w:t>
      </w:r>
      <w:r w:rsidR="00FE5193" w:rsidRPr="008A4FD0">
        <w:rPr>
          <w:lang w:val="es-ES"/>
        </w:rPr>
        <w:t xml:space="preserve"> el Grupo de Trabajo</w:t>
      </w:r>
      <w:r w:rsidRPr="008A4FD0">
        <w:rPr>
          <w:lang w:val="es-ES"/>
        </w:rPr>
        <w:t xml:space="preserve">.  </w:t>
      </w:r>
    </w:p>
    <w:p w14:paraId="1062EAE5" w14:textId="7E531917" w:rsidR="00FC04F1" w:rsidRPr="008A4FD0" w:rsidRDefault="00FE5193" w:rsidP="00FE5193">
      <w:pPr>
        <w:pStyle w:val="Heading1"/>
        <w:rPr>
          <w:lang w:val="es-ES"/>
        </w:rPr>
      </w:pPr>
      <w:r w:rsidRPr="008A4FD0">
        <w:rPr>
          <w:lang w:val="es-ES"/>
        </w:rPr>
        <w:t>PLAZO QUE TIENEN LAS PARTES CONTRATANTES PARA NOTIFICAR UNA DENEGACIÓN PROVISIONAL</w:t>
      </w:r>
    </w:p>
    <w:p w14:paraId="54F69126" w14:textId="77777777" w:rsidR="00FE5193" w:rsidRPr="008A4FD0" w:rsidRDefault="00FE5193" w:rsidP="00FE5193">
      <w:pPr>
        <w:rPr>
          <w:lang w:val="es-ES"/>
        </w:rPr>
      </w:pPr>
    </w:p>
    <w:p w14:paraId="11EA1EF8" w14:textId="0E53E1B0" w:rsidR="00FC04F1" w:rsidRPr="008A4FD0" w:rsidRDefault="0057065A" w:rsidP="00A52DC2">
      <w:pPr>
        <w:pStyle w:val="ONUME"/>
        <w:rPr>
          <w:lang w:val="es-ES"/>
        </w:rPr>
      </w:pPr>
      <w:r w:rsidRPr="008A4FD0">
        <w:rPr>
          <w:lang w:val="es-ES"/>
        </w:rPr>
        <w:t>En virtud del párrafo 2)</w:t>
      </w:r>
      <w:r w:rsidR="00A52DC2" w:rsidRPr="008A4FD0">
        <w:rPr>
          <w:lang w:val="es-ES"/>
        </w:rPr>
        <w:t>b) del Artículo 5 del Protocolo concerniente al Arreglo de Madrid relativo al Registro Internacional de Marcas (en adelante denominados, respectivamente, “el</w:t>
      </w:r>
      <w:r w:rsidR="009C0F83">
        <w:rPr>
          <w:lang w:val="es-ES"/>
        </w:rPr>
        <w:t> </w:t>
      </w:r>
      <w:r w:rsidR="00A52DC2" w:rsidRPr="008A4FD0">
        <w:rPr>
          <w:lang w:val="es-ES"/>
        </w:rPr>
        <w:t>Protocolo” y “el Arreglo”), una Parte Contratante podrá declarar que el plazo de un año previsto para notificar una denegación provisional será reemplazado por 18 meses. En virtud del párrafo</w:t>
      </w:r>
      <w:r w:rsidRPr="008A4FD0">
        <w:rPr>
          <w:lang w:val="es-ES"/>
        </w:rPr>
        <w:t> </w:t>
      </w:r>
      <w:r w:rsidR="00A52DC2" w:rsidRPr="008A4FD0">
        <w:rPr>
          <w:lang w:val="es-ES"/>
        </w:rPr>
        <w:t>2</w:t>
      </w:r>
      <w:r w:rsidR="00EC70A4" w:rsidRPr="008A4FD0">
        <w:rPr>
          <w:lang w:val="es-ES"/>
        </w:rPr>
        <w:t>)</w:t>
      </w:r>
      <w:r w:rsidR="009C0F83">
        <w:rPr>
          <w:lang w:val="es-ES"/>
        </w:rPr>
        <w:t>c) del mismo A</w:t>
      </w:r>
      <w:r w:rsidR="00A52DC2" w:rsidRPr="008A4FD0">
        <w:rPr>
          <w:lang w:val="es-ES"/>
        </w:rPr>
        <w:t>rtículo, ese plazo podrá prorrog</w:t>
      </w:r>
      <w:r w:rsidR="007B4CFA">
        <w:rPr>
          <w:lang w:val="es-ES"/>
        </w:rPr>
        <w:t>ar</w:t>
      </w:r>
      <w:r w:rsidR="00A52DC2" w:rsidRPr="008A4FD0">
        <w:rPr>
          <w:lang w:val="es-ES"/>
        </w:rPr>
        <w:t xml:space="preserve">se, más allá de 18 meses, en caso de oposición. De las </w:t>
      </w:r>
      <w:r w:rsidR="00EF52DE" w:rsidRPr="008A4FD0">
        <w:rPr>
          <w:lang w:val="es-ES"/>
        </w:rPr>
        <w:t>104</w:t>
      </w:r>
      <w:r w:rsidR="00EF52DE" w:rsidRPr="008A4FD0">
        <w:rPr>
          <w:rStyle w:val="FootnoteReference"/>
          <w:lang w:val="es-ES"/>
        </w:rPr>
        <w:footnoteReference w:id="4"/>
      </w:r>
      <w:r w:rsidR="00EF52DE" w:rsidRPr="008A4FD0">
        <w:rPr>
          <w:lang w:val="es-ES"/>
        </w:rPr>
        <w:t xml:space="preserve"> </w:t>
      </w:r>
      <w:r w:rsidR="00A52DC2" w:rsidRPr="008A4FD0">
        <w:rPr>
          <w:lang w:val="es-ES"/>
        </w:rPr>
        <w:t>Partes Contratantes del Protocolo</w:t>
      </w:r>
      <w:r w:rsidR="00EF52DE" w:rsidRPr="008A4FD0">
        <w:rPr>
          <w:lang w:val="es-ES"/>
        </w:rPr>
        <w:t xml:space="preserve"> en la actualidad</w:t>
      </w:r>
      <w:r w:rsidR="00A52DC2" w:rsidRPr="008A4FD0">
        <w:rPr>
          <w:lang w:val="es-ES"/>
        </w:rPr>
        <w:t xml:space="preserve">, </w:t>
      </w:r>
      <w:r w:rsidR="00EF52DE" w:rsidRPr="008A4FD0">
        <w:rPr>
          <w:lang w:val="es-ES"/>
        </w:rPr>
        <w:t>60</w:t>
      </w:r>
      <w:r w:rsidR="00EF52DE" w:rsidRPr="008A4FD0">
        <w:rPr>
          <w:rStyle w:val="FootnoteReference"/>
          <w:lang w:val="es-ES"/>
        </w:rPr>
        <w:footnoteReference w:id="5"/>
      </w:r>
      <w:r w:rsidR="00EF52DE" w:rsidRPr="008A4FD0">
        <w:rPr>
          <w:lang w:val="es-ES"/>
        </w:rPr>
        <w:t xml:space="preserve"> han formulado la declaración prevista en el Artículo 5.2)b) y 39 han formulado igualmente la decla</w:t>
      </w:r>
      <w:r w:rsidRPr="008A4FD0">
        <w:rPr>
          <w:lang w:val="es-ES"/>
        </w:rPr>
        <w:t>ración prevista en el párrafo 2)</w:t>
      </w:r>
      <w:r w:rsidR="00EF52DE" w:rsidRPr="008A4FD0">
        <w:rPr>
          <w:lang w:val="es-ES"/>
        </w:rPr>
        <w:t>c).</w:t>
      </w:r>
    </w:p>
    <w:p w14:paraId="2EDA4024" w14:textId="4524ED2B" w:rsidR="00FC04F1" w:rsidRPr="008A4FD0" w:rsidRDefault="00EF52DE" w:rsidP="00E32E02">
      <w:pPr>
        <w:pStyle w:val="ONUME"/>
        <w:rPr>
          <w:lang w:val="es-ES"/>
        </w:rPr>
      </w:pPr>
      <w:r w:rsidRPr="008A4FD0">
        <w:rPr>
          <w:lang w:val="es-ES"/>
        </w:rPr>
        <w:t>A pesar de que actualmente el Sistema de Madrid se rige exclusivamente por el</w:t>
      </w:r>
      <w:r w:rsidR="009C0F83">
        <w:rPr>
          <w:lang w:val="es-ES"/>
        </w:rPr>
        <w:t> </w:t>
      </w:r>
      <w:r w:rsidRPr="008A4FD0">
        <w:rPr>
          <w:lang w:val="es-ES"/>
        </w:rPr>
        <w:t>Protocolo</w:t>
      </w:r>
      <w:r w:rsidR="00343C9A" w:rsidRPr="008A4FD0">
        <w:rPr>
          <w:lang w:val="es-ES"/>
        </w:rPr>
        <w:t>, 55</w:t>
      </w:r>
      <w:r w:rsidR="00343C9A" w:rsidRPr="008A4FD0">
        <w:rPr>
          <w:rStyle w:val="FootnoteReference"/>
          <w:lang w:val="es-ES"/>
        </w:rPr>
        <w:footnoteReference w:id="6"/>
      </w:r>
      <w:r w:rsidR="00343C9A" w:rsidRPr="008A4FD0">
        <w:rPr>
          <w:lang w:val="es-ES"/>
        </w:rPr>
        <w:t xml:space="preserve"> </w:t>
      </w:r>
      <w:r w:rsidRPr="008A4FD0">
        <w:rPr>
          <w:lang w:val="es-ES"/>
        </w:rPr>
        <w:t>Partes Contratantes están obligadas tanto por el Arreglo como por el Protocolo</w:t>
      </w:r>
      <w:r w:rsidR="007B4CFA">
        <w:rPr>
          <w:lang w:val="es-ES"/>
        </w:rPr>
        <w:t>.</w:t>
      </w:r>
      <w:r w:rsidRPr="008A4FD0">
        <w:rPr>
          <w:lang w:val="es-ES"/>
        </w:rPr>
        <w:t xml:space="preserve"> Dieciséis de esas Partes Contratantes han formulado la declaración prevista en el</w:t>
      </w:r>
      <w:r w:rsidR="009C0F83">
        <w:rPr>
          <w:lang w:val="es-ES"/>
        </w:rPr>
        <w:t> </w:t>
      </w:r>
      <w:r w:rsidRPr="008A4FD0">
        <w:rPr>
          <w:lang w:val="es-ES"/>
        </w:rPr>
        <w:t>Artículo 5.2)b). Sin embargo, el Artículo</w:t>
      </w:r>
      <w:r w:rsidR="00A25AA7" w:rsidRPr="008A4FD0">
        <w:rPr>
          <w:lang w:val="es-ES"/>
        </w:rPr>
        <w:t xml:space="preserve"> </w:t>
      </w:r>
      <w:r w:rsidR="00343C9A" w:rsidRPr="008A4FD0">
        <w:rPr>
          <w:lang w:val="es-ES"/>
        </w:rPr>
        <w:t>9</w:t>
      </w:r>
      <w:r w:rsidR="00343C9A" w:rsidRPr="008A4FD0">
        <w:rPr>
          <w:i/>
          <w:lang w:val="es-ES"/>
        </w:rPr>
        <w:t>sexies</w:t>
      </w:r>
      <w:r w:rsidRPr="008A4FD0">
        <w:rPr>
          <w:i/>
          <w:lang w:val="es-ES"/>
        </w:rPr>
        <w:t>.</w:t>
      </w:r>
      <w:r w:rsidR="00343C9A" w:rsidRPr="008A4FD0">
        <w:rPr>
          <w:lang w:val="es-ES"/>
        </w:rPr>
        <w:t xml:space="preserve">1)b) </w:t>
      </w:r>
      <w:r w:rsidRPr="008A4FD0">
        <w:rPr>
          <w:lang w:val="es-ES"/>
        </w:rPr>
        <w:t xml:space="preserve">deja dicha declaración sin efecto </w:t>
      </w:r>
      <w:r w:rsidR="00E32E02" w:rsidRPr="008A4FD0">
        <w:rPr>
          <w:lang w:val="es-ES"/>
        </w:rPr>
        <w:t>en las relaciones entre Estados obligados por ambos tratados.</w:t>
      </w:r>
    </w:p>
    <w:p w14:paraId="50DA4C75" w14:textId="691159A6" w:rsidR="00FC04F1" w:rsidRPr="008A4FD0" w:rsidRDefault="00E32E02" w:rsidP="00343C9A">
      <w:pPr>
        <w:pStyle w:val="ONUME"/>
        <w:rPr>
          <w:lang w:val="es-ES"/>
        </w:rPr>
      </w:pPr>
      <w:r w:rsidRPr="008A4FD0">
        <w:rPr>
          <w:lang w:val="es-ES"/>
        </w:rPr>
        <w:t xml:space="preserve">En consecuencia, las 16 Partes Contratantes mencionadas anteriormente tienen un plazo de un año para notificar una denegación provisional de protección de la marca que figura en los </w:t>
      </w:r>
      <w:r w:rsidR="000B1DD2" w:rsidRPr="008A4FD0">
        <w:rPr>
          <w:lang w:val="es-ES"/>
        </w:rPr>
        <w:t>registros</w:t>
      </w:r>
      <w:r w:rsidRPr="008A4FD0">
        <w:rPr>
          <w:lang w:val="es-ES"/>
        </w:rPr>
        <w:t xml:space="preserve"> internacionales respecto de los que la Parte Contratante </w:t>
      </w:r>
      <w:r w:rsidR="007B4CFA">
        <w:rPr>
          <w:lang w:val="es-ES"/>
        </w:rPr>
        <w:t>d</w:t>
      </w:r>
      <w:r w:rsidRPr="008A4FD0">
        <w:rPr>
          <w:lang w:val="es-ES"/>
        </w:rPr>
        <w:t>el titular también esté obligad</w:t>
      </w:r>
      <w:r w:rsidR="007B4CFA">
        <w:rPr>
          <w:lang w:val="es-ES"/>
        </w:rPr>
        <w:t>a</w:t>
      </w:r>
      <w:r w:rsidRPr="008A4FD0">
        <w:rPr>
          <w:lang w:val="es-ES"/>
        </w:rPr>
        <w:t xml:space="preserve"> por el Arreglo y un plazo de 18 meses para notificar una denegación provisional con respecto a las marcas de los demás registros internacionales.</w:t>
      </w:r>
    </w:p>
    <w:p w14:paraId="5045923F" w14:textId="2D0B6571" w:rsidR="00FC04F1" w:rsidRPr="008A4FD0" w:rsidRDefault="00E32E02" w:rsidP="00343C9A">
      <w:pPr>
        <w:pStyle w:val="ONUME"/>
        <w:rPr>
          <w:lang w:val="es-ES"/>
        </w:rPr>
      </w:pPr>
      <w:r w:rsidRPr="008A4FD0">
        <w:rPr>
          <w:lang w:val="es-ES"/>
        </w:rPr>
        <w:t xml:space="preserve">Por ejemplo, las Oficinas de Argelia, Armenia, Belarús, Bulgaria, China, Chipre, Eslovaquia, Italia, Kenya, Liechtenstein, Polonia, la República Islámica del Irán, San Marino, Suiza, </w:t>
      </w:r>
      <w:r w:rsidR="000B1DD2" w:rsidRPr="008A4FD0">
        <w:rPr>
          <w:lang w:val="es-ES"/>
        </w:rPr>
        <w:t>Tayikistán</w:t>
      </w:r>
      <w:r w:rsidRPr="008A4FD0">
        <w:rPr>
          <w:lang w:val="es-ES"/>
        </w:rPr>
        <w:t xml:space="preserve"> y </w:t>
      </w:r>
      <w:r w:rsidR="000B1DD2" w:rsidRPr="008A4FD0">
        <w:rPr>
          <w:lang w:val="es-ES"/>
        </w:rPr>
        <w:t>Ucrania</w:t>
      </w:r>
      <w:r w:rsidRPr="008A4FD0">
        <w:rPr>
          <w:lang w:val="es-ES"/>
        </w:rPr>
        <w:t>, que están obligadas por el Arreglo y el Protocolo y han formulado la declaración prevista en el Artículo 5.2)b), tendrían un plazo de un año para notificar una denegación provisional de protección de una marca en un registro internacional respecto del que la Parte Contratante del titular fuera Albania, que también está obligad</w:t>
      </w:r>
      <w:r w:rsidR="00B70338">
        <w:rPr>
          <w:lang w:val="es-ES"/>
        </w:rPr>
        <w:t>a</w:t>
      </w:r>
      <w:r w:rsidRPr="008A4FD0">
        <w:rPr>
          <w:lang w:val="es-ES"/>
        </w:rPr>
        <w:t xml:space="preserve"> por los dos tratados, pero </w:t>
      </w:r>
      <w:r w:rsidR="00DD62BD">
        <w:rPr>
          <w:lang w:val="es-ES"/>
        </w:rPr>
        <w:t xml:space="preserve">tendrían </w:t>
      </w:r>
      <w:r w:rsidRPr="008A4FD0">
        <w:rPr>
          <w:lang w:val="es-ES"/>
        </w:rPr>
        <w:t xml:space="preserve">un plazo de 18 meses para notificar dicha denegación cuando la Parte Contratante del titular </w:t>
      </w:r>
      <w:r w:rsidR="00DD62BD">
        <w:rPr>
          <w:lang w:val="es-ES"/>
        </w:rPr>
        <w:t>fuera</w:t>
      </w:r>
      <w:r w:rsidR="00DD62BD" w:rsidRPr="008A4FD0">
        <w:rPr>
          <w:lang w:val="es-ES"/>
        </w:rPr>
        <w:t xml:space="preserve"> </w:t>
      </w:r>
      <w:r w:rsidRPr="008A4FD0">
        <w:rPr>
          <w:lang w:val="es-ES"/>
        </w:rPr>
        <w:t xml:space="preserve">Afganistán, que está obligado por el Protocolo únicamente. </w:t>
      </w:r>
    </w:p>
    <w:p w14:paraId="6018565B" w14:textId="6F06B1A8" w:rsidR="00E32E02" w:rsidRPr="008A4FD0" w:rsidRDefault="00E32E02" w:rsidP="00494481">
      <w:pPr>
        <w:pStyle w:val="ONUME"/>
        <w:keepNext/>
        <w:keepLines/>
        <w:rPr>
          <w:lang w:val="es-ES"/>
        </w:rPr>
      </w:pPr>
      <w:r w:rsidRPr="008A4FD0">
        <w:rPr>
          <w:lang w:val="es-ES"/>
        </w:rPr>
        <w:lastRenderedPageBreak/>
        <w:t xml:space="preserve">El sistema vigente de plazos distintos para notificar </w:t>
      </w:r>
      <w:bookmarkStart w:id="6" w:name="_Ref5871818"/>
      <w:r w:rsidRPr="008A4FD0">
        <w:rPr>
          <w:lang w:val="es-ES"/>
        </w:rPr>
        <w:t>una denegación provisional, que depende de si una Parte Contratante ha formulado las declaraciones previstas en e</w:t>
      </w:r>
      <w:r w:rsidR="00EC70A4" w:rsidRPr="008A4FD0">
        <w:rPr>
          <w:lang w:val="es-ES"/>
        </w:rPr>
        <w:t>l Artículo </w:t>
      </w:r>
      <w:r w:rsidRPr="008A4FD0">
        <w:rPr>
          <w:lang w:val="es-ES"/>
        </w:rPr>
        <w:t>5.2), de si la denegación provisional es consecuencia de una oposición y de si se aplica el Artículo 9</w:t>
      </w:r>
      <w:r w:rsidRPr="008A4FD0">
        <w:rPr>
          <w:i/>
          <w:iCs/>
          <w:lang w:val="es-ES"/>
        </w:rPr>
        <w:t>sexies</w:t>
      </w:r>
      <w:r w:rsidRPr="008A4FD0">
        <w:rPr>
          <w:lang w:val="es-ES"/>
        </w:rPr>
        <w:t xml:space="preserve">, dificulta a los usuarios del Sistema de Madrid, es decir, los titulares, Oficinas y terceros, determinar si todavía es posible notificar una denegación provisional. </w:t>
      </w:r>
    </w:p>
    <w:p w14:paraId="06D59E26" w14:textId="1AE308FD" w:rsidR="00FC04F1" w:rsidRPr="008A4FD0" w:rsidRDefault="00E32E02" w:rsidP="00E32E02">
      <w:pPr>
        <w:pStyle w:val="ONUME"/>
        <w:keepNext/>
        <w:keepLines/>
        <w:rPr>
          <w:lang w:val="es-ES"/>
        </w:rPr>
      </w:pPr>
      <w:r w:rsidRPr="008A4FD0">
        <w:rPr>
          <w:lang w:val="es-ES"/>
        </w:rPr>
        <w:t>E</w:t>
      </w:r>
      <w:r w:rsidR="00E265A7" w:rsidRPr="008A4FD0">
        <w:rPr>
          <w:lang w:val="es-ES"/>
        </w:rPr>
        <w:t>n</w:t>
      </w:r>
      <w:r w:rsidR="00A25AA7" w:rsidRPr="008A4FD0">
        <w:rPr>
          <w:lang w:val="es-ES"/>
        </w:rPr>
        <w:t xml:space="preserve"> </w:t>
      </w:r>
      <w:r w:rsidR="00E265A7" w:rsidRPr="008A4FD0">
        <w:rPr>
          <w:lang w:val="es-ES"/>
        </w:rPr>
        <w:t xml:space="preserve">2017, </w:t>
      </w:r>
      <w:r w:rsidRPr="008A4FD0">
        <w:rPr>
          <w:lang w:val="es-ES"/>
        </w:rPr>
        <w:t xml:space="preserve">la Oficina Internacional recibió </w:t>
      </w:r>
      <w:r w:rsidR="00E265A7" w:rsidRPr="008A4FD0">
        <w:rPr>
          <w:lang w:val="es-ES"/>
        </w:rPr>
        <w:t>110</w:t>
      </w:r>
      <w:r w:rsidRPr="008A4FD0">
        <w:rPr>
          <w:lang w:val="es-ES"/>
        </w:rPr>
        <w:t>.</w:t>
      </w:r>
      <w:r w:rsidR="00E265A7" w:rsidRPr="008A4FD0">
        <w:rPr>
          <w:lang w:val="es-ES"/>
        </w:rPr>
        <w:t>668</w:t>
      </w:r>
      <w:r w:rsidR="00A25AA7" w:rsidRPr="008A4FD0">
        <w:rPr>
          <w:lang w:val="es-ES"/>
        </w:rPr>
        <w:t xml:space="preserve"> </w:t>
      </w:r>
      <w:r w:rsidRPr="008A4FD0">
        <w:rPr>
          <w:lang w:val="es-ES"/>
        </w:rPr>
        <w:t>notificaciones de denegación provisional</w:t>
      </w:r>
      <w:r w:rsidR="00E265A7" w:rsidRPr="008A4FD0">
        <w:rPr>
          <w:lang w:val="es-ES"/>
        </w:rPr>
        <w:t>:</w:t>
      </w:r>
      <w:bookmarkEnd w:id="6"/>
      <w:r w:rsidRPr="008A4FD0">
        <w:rPr>
          <w:lang w:val="es-ES"/>
        </w:rPr>
        <w:t xml:space="preserve"> </w:t>
      </w:r>
    </w:p>
    <w:p w14:paraId="222BCEEF" w14:textId="5637FA83" w:rsidR="00FC04F1" w:rsidRPr="008A4FD0" w:rsidRDefault="00E265A7" w:rsidP="00AA39C6">
      <w:pPr>
        <w:pStyle w:val="ONUME"/>
        <w:numPr>
          <w:ilvl w:val="0"/>
          <w:numId w:val="0"/>
        </w:numPr>
        <w:ind w:left="567"/>
        <w:rPr>
          <w:lang w:val="es-ES"/>
        </w:rPr>
      </w:pPr>
      <w:r w:rsidRPr="008A4FD0">
        <w:rPr>
          <w:lang w:val="es-ES"/>
        </w:rPr>
        <w:t>–</w:t>
      </w:r>
      <w:r w:rsidRPr="008A4FD0">
        <w:rPr>
          <w:lang w:val="es-ES"/>
        </w:rPr>
        <w:tab/>
        <w:t>101</w:t>
      </w:r>
      <w:r w:rsidR="00E32E02" w:rsidRPr="008A4FD0">
        <w:rPr>
          <w:lang w:val="es-ES"/>
        </w:rPr>
        <w:t>.593 (91,</w:t>
      </w:r>
      <w:r w:rsidRPr="008A4FD0">
        <w:rPr>
          <w:lang w:val="es-ES"/>
        </w:rPr>
        <w:t>80</w:t>
      </w:r>
      <w:r w:rsidR="00E32E02" w:rsidRPr="008A4FD0">
        <w:rPr>
          <w:lang w:val="es-ES"/>
        </w:rPr>
        <w:t>%</w:t>
      </w:r>
      <w:r w:rsidRPr="008A4FD0">
        <w:rPr>
          <w:lang w:val="es-ES"/>
        </w:rPr>
        <w:t>)</w:t>
      </w:r>
      <w:r w:rsidR="00E32E02" w:rsidRPr="008A4FD0">
        <w:rPr>
          <w:lang w:val="es-ES"/>
        </w:rPr>
        <w:t xml:space="preserve"> de esas notificaciones se recibieron en un plazo de 12 meses contados a partir de la fecha de inicio del </w:t>
      </w:r>
      <w:r w:rsidR="00AA39C6" w:rsidRPr="008A4FD0">
        <w:rPr>
          <w:lang w:val="es-ES"/>
        </w:rPr>
        <w:t>plazo de denegación (la fecha de la notificación por la Oficina Internacional); 4</w:t>
      </w:r>
      <w:r w:rsidR="00E32E02" w:rsidRPr="008A4FD0">
        <w:rPr>
          <w:lang w:val="es-ES"/>
        </w:rPr>
        <w:t>.963 (4,</w:t>
      </w:r>
      <w:r w:rsidRPr="008A4FD0">
        <w:rPr>
          <w:lang w:val="es-ES"/>
        </w:rPr>
        <w:t>48</w:t>
      </w:r>
      <w:r w:rsidR="00E32E02" w:rsidRPr="008A4FD0">
        <w:rPr>
          <w:lang w:val="es-ES"/>
        </w:rPr>
        <w:t>%</w:t>
      </w:r>
      <w:r w:rsidRPr="008A4FD0">
        <w:rPr>
          <w:lang w:val="es-ES"/>
        </w:rPr>
        <w:t xml:space="preserve">), </w:t>
      </w:r>
      <w:r w:rsidR="00AA39C6" w:rsidRPr="008A4FD0">
        <w:rPr>
          <w:lang w:val="es-ES"/>
        </w:rPr>
        <w:t>entre 12 y 15 meses; 4.0</w:t>
      </w:r>
      <w:r w:rsidRPr="008A4FD0">
        <w:rPr>
          <w:lang w:val="es-ES"/>
        </w:rPr>
        <w:t>67 (3</w:t>
      </w:r>
      <w:r w:rsidR="00E32E02" w:rsidRPr="008A4FD0">
        <w:rPr>
          <w:lang w:val="es-ES"/>
        </w:rPr>
        <w:t>,</w:t>
      </w:r>
      <w:r w:rsidRPr="008A4FD0">
        <w:rPr>
          <w:lang w:val="es-ES"/>
        </w:rPr>
        <w:t>67</w:t>
      </w:r>
      <w:r w:rsidR="00E32E02" w:rsidRPr="008A4FD0">
        <w:rPr>
          <w:lang w:val="es-ES"/>
        </w:rPr>
        <w:t>%</w:t>
      </w:r>
      <w:r w:rsidRPr="008A4FD0">
        <w:rPr>
          <w:lang w:val="es-ES"/>
        </w:rPr>
        <w:t xml:space="preserve">), </w:t>
      </w:r>
      <w:r w:rsidR="00AA39C6" w:rsidRPr="008A4FD0">
        <w:rPr>
          <w:lang w:val="es-ES"/>
        </w:rPr>
        <w:t xml:space="preserve">entre </w:t>
      </w:r>
      <w:r w:rsidRPr="008A4FD0">
        <w:rPr>
          <w:lang w:val="es-ES"/>
        </w:rPr>
        <w:t>15</w:t>
      </w:r>
      <w:r w:rsidR="009C0F83">
        <w:rPr>
          <w:lang w:val="es-ES"/>
        </w:rPr>
        <w:t> </w:t>
      </w:r>
      <w:r w:rsidR="00AA39C6" w:rsidRPr="008A4FD0">
        <w:rPr>
          <w:lang w:val="es-ES"/>
        </w:rPr>
        <w:t xml:space="preserve">y </w:t>
      </w:r>
      <w:r w:rsidRPr="008A4FD0">
        <w:rPr>
          <w:lang w:val="es-ES"/>
        </w:rPr>
        <w:t>18</w:t>
      </w:r>
      <w:r w:rsidR="00A25AA7" w:rsidRPr="008A4FD0">
        <w:rPr>
          <w:lang w:val="es-ES"/>
        </w:rPr>
        <w:t xml:space="preserve"> </w:t>
      </w:r>
      <w:r w:rsidRPr="008A4FD0">
        <w:rPr>
          <w:lang w:val="es-ES"/>
        </w:rPr>
        <w:t>m</w:t>
      </w:r>
      <w:r w:rsidR="00AA39C6" w:rsidRPr="008A4FD0">
        <w:rPr>
          <w:lang w:val="es-ES"/>
        </w:rPr>
        <w:t>eses; y</w:t>
      </w:r>
      <w:r w:rsidRPr="008A4FD0">
        <w:rPr>
          <w:lang w:val="es-ES"/>
        </w:rPr>
        <w:t xml:space="preserve"> 45 (0</w:t>
      </w:r>
      <w:r w:rsidR="00E32E02" w:rsidRPr="008A4FD0">
        <w:rPr>
          <w:lang w:val="es-ES"/>
        </w:rPr>
        <w:t>,</w:t>
      </w:r>
      <w:r w:rsidRPr="008A4FD0">
        <w:rPr>
          <w:lang w:val="es-ES"/>
        </w:rPr>
        <w:t>04</w:t>
      </w:r>
      <w:r w:rsidR="00E32E02" w:rsidRPr="008A4FD0">
        <w:rPr>
          <w:lang w:val="es-ES"/>
        </w:rPr>
        <w:t>%</w:t>
      </w:r>
      <w:r w:rsidRPr="008A4FD0">
        <w:rPr>
          <w:lang w:val="es-ES"/>
        </w:rPr>
        <w:t xml:space="preserve">), </w:t>
      </w:r>
      <w:r w:rsidR="00AA39C6" w:rsidRPr="008A4FD0">
        <w:rPr>
          <w:lang w:val="es-ES"/>
        </w:rPr>
        <w:t xml:space="preserve">después de </w:t>
      </w:r>
      <w:r w:rsidRPr="008A4FD0">
        <w:rPr>
          <w:lang w:val="es-ES"/>
        </w:rPr>
        <w:t>18</w:t>
      </w:r>
      <w:r w:rsidR="00A25AA7" w:rsidRPr="008A4FD0">
        <w:rPr>
          <w:lang w:val="es-ES"/>
        </w:rPr>
        <w:t xml:space="preserve"> </w:t>
      </w:r>
      <w:r w:rsidR="00AA39C6" w:rsidRPr="008A4FD0">
        <w:rPr>
          <w:lang w:val="es-ES"/>
        </w:rPr>
        <w:t>meses</w:t>
      </w:r>
      <w:r w:rsidRPr="008A4FD0">
        <w:rPr>
          <w:lang w:val="es-ES"/>
        </w:rPr>
        <w:t xml:space="preserve">.  </w:t>
      </w:r>
    </w:p>
    <w:p w14:paraId="0D6646AA" w14:textId="12A85915" w:rsidR="00FC04F1" w:rsidRPr="008A4FD0" w:rsidRDefault="00E265A7" w:rsidP="00AA39C6">
      <w:pPr>
        <w:pStyle w:val="ONUME"/>
        <w:numPr>
          <w:ilvl w:val="0"/>
          <w:numId w:val="0"/>
        </w:numPr>
        <w:ind w:left="567"/>
        <w:rPr>
          <w:lang w:val="es-ES"/>
        </w:rPr>
      </w:pPr>
      <w:r w:rsidRPr="008A4FD0">
        <w:rPr>
          <w:lang w:val="es-ES"/>
        </w:rPr>
        <w:t>–</w:t>
      </w:r>
      <w:r w:rsidRPr="008A4FD0">
        <w:rPr>
          <w:lang w:val="es-ES"/>
        </w:rPr>
        <w:tab/>
      </w:r>
      <w:r w:rsidR="00AA39C6" w:rsidRPr="008A4FD0">
        <w:rPr>
          <w:lang w:val="es-ES"/>
        </w:rPr>
        <w:t>El promedio de tiempo más breve en que la Oficina de una Parte Contratante notific</w:t>
      </w:r>
      <w:r w:rsidR="00B70338">
        <w:rPr>
          <w:lang w:val="es-ES"/>
        </w:rPr>
        <w:t>ó</w:t>
      </w:r>
      <w:r w:rsidR="00AA39C6" w:rsidRPr="008A4FD0">
        <w:rPr>
          <w:lang w:val="es-ES"/>
        </w:rPr>
        <w:t xml:space="preserve"> una denegación provisional de oficio </w:t>
      </w:r>
      <w:r w:rsidR="00B70338">
        <w:rPr>
          <w:lang w:val="es-ES"/>
        </w:rPr>
        <w:t>fue</w:t>
      </w:r>
      <w:r w:rsidR="00B70338" w:rsidRPr="008A4FD0">
        <w:rPr>
          <w:lang w:val="es-ES"/>
        </w:rPr>
        <w:t xml:space="preserve"> </w:t>
      </w:r>
      <w:r w:rsidR="00AA39C6" w:rsidRPr="008A4FD0">
        <w:rPr>
          <w:lang w:val="es-ES"/>
        </w:rPr>
        <w:t>de 19 días laborables y el más largo, de</w:t>
      </w:r>
      <w:r w:rsidR="009C0F83">
        <w:rPr>
          <w:lang w:val="es-ES"/>
        </w:rPr>
        <w:t> </w:t>
      </w:r>
      <w:r w:rsidR="00AA39C6" w:rsidRPr="008A4FD0">
        <w:rPr>
          <w:lang w:val="es-ES"/>
        </w:rPr>
        <w:t>453 días. El promedio de tiempo más breve en que la Oficina de una Parte Contratante notific</w:t>
      </w:r>
      <w:r w:rsidR="00B70338">
        <w:rPr>
          <w:lang w:val="es-ES"/>
        </w:rPr>
        <w:t>ó</w:t>
      </w:r>
      <w:r w:rsidR="00AA39C6" w:rsidRPr="008A4FD0">
        <w:rPr>
          <w:lang w:val="es-ES"/>
        </w:rPr>
        <w:t xml:space="preserve"> una denegación provisional basada en una oposición </w:t>
      </w:r>
      <w:r w:rsidR="00B70338">
        <w:rPr>
          <w:lang w:val="es-ES"/>
        </w:rPr>
        <w:t>fue</w:t>
      </w:r>
      <w:r w:rsidR="00B70338" w:rsidRPr="008A4FD0">
        <w:rPr>
          <w:lang w:val="es-ES"/>
        </w:rPr>
        <w:t xml:space="preserve"> </w:t>
      </w:r>
      <w:r w:rsidR="00AA39C6" w:rsidRPr="008A4FD0">
        <w:rPr>
          <w:lang w:val="es-ES"/>
        </w:rPr>
        <w:t>de 76 días y</w:t>
      </w:r>
      <w:r w:rsidR="009C0F83">
        <w:rPr>
          <w:lang w:val="es-ES"/>
        </w:rPr>
        <w:t> </w:t>
      </w:r>
      <w:r w:rsidR="00AA39C6" w:rsidRPr="008A4FD0">
        <w:rPr>
          <w:lang w:val="es-ES"/>
        </w:rPr>
        <w:t>el más largo, de 447 días.</w:t>
      </w:r>
    </w:p>
    <w:p w14:paraId="3313A324" w14:textId="34AF989A" w:rsidR="00E265A7" w:rsidRPr="008A4FD0" w:rsidRDefault="00AA39C6" w:rsidP="00E265A7">
      <w:pPr>
        <w:pStyle w:val="ONUME"/>
        <w:rPr>
          <w:lang w:val="es-ES"/>
        </w:rPr>
      </w:pPr>
      <w:bookmarkStart w:id="7" w:name="_Ref5871821"/>
      <w:r w:rsidRPr="008A4FD0">
        <w:rPr>
          <w:lang w:val="es-ES"/>
        </w:rPr>
        <w:t xml:space="preserve">En el cuadro que figura a continuación se indica el promedio de días </w:t>
      </w:r>
      <w:r w:rsidR="006878C4">
        <w:rPr>
          <w:lang w:val="es-ES"/>
        </w:rPr>
        <w:t xml:space="preserve">naturales que </w:t>
      </w:r>
      <w:r w:rsidRPr="008A4FD0">
        <w:rPr>
          <w:lang w:val="es-ES"/>
        </w:rPr>
        <w:t xml:space="preserve">las Oficinas de las Partes Contratantes </w:t>
      </w:r>
      <w:r w:rsidR="006878C4">
        <w:rPr>
          <w:lang w:val="es-ES"/>
        </w:rPr>
        <w:t>tardar</w:t>
      </w:r>
      <w:r w:rsidR="00DD62BD">
        <w:rPr>
          <w:lang w:val="es-ES"/>
        </w:rPr>
        <w:t>o</w:t>
      </w:r>
      <w:r w:rsidR="006878C4">
        <w:rPr>
          <w:lang w:val="es-ES"/>
        </w:rPr>
        <w:t xml:space="preserve">n </w:t>
      </w:r>
      <w:r w:rsidRPr="008A4FD0">
        <w:rPr>
          <w:lang w:val="es-ES"/>
        </w:rPr>
        <w:t>en notificar una denegación provisional en 2017</w:t>
      </w:r>
      <w:r w:rsidR="00E265A7" w:rsidRPr="008A4FD0">
        <w:rPr>
          <w:lang w:val="es-ES"/>
        </w:rPr>
        <w:t>:</w:t>
      </w:r>
      <w:bookmarkEnd w:id="7"/>
      <w:r w:rsidR="00E265A7" w:rsidRPr="008A4FD0">
        <w:rPr>
          <w:lang w:val="es-ES"/>
        </w:rPr>
        <w:t xml:space="preserve"> </w:t>
      </w:r>
    </w:p>
    <w:tbl>
      <w:tblPr>
        <w:tblW w:w="9219" w:type="dxa"/>
        <w:jc w:val="center"/>
        <w:tblLook w:val="04A0" w:firstRow="1" w:lastRow="0" w:firstColumn="1" w:lastColumn="0" w:noHBand="0" w:noVBand="1"/>
      </w:tblPr>
      <w:tblGrid>
        <w:gridCol w:w="2274"/>
        <w:gridCol w:w="2031"/>
        <w:gridCol w:w="2457"/>
        <w:gridCol w:w="2457"/>
      </w:tblGrid>
      <w:tr w:rsidR="008A4FD0" w:rsidRPr="00914E4B" w14:paraId="40B83E50" w14:textId="77777777" w:rsidTr="009C0F83">
        <w:trPr>
          <w:jc w:val="center"/>
        </w:trPr>
        <w:tc>
          <w:tcPr>
            <w:tcW w:w="4305"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666908" w14:textId="2A9A8197" w:rsidR="00E265A7" w:rsidRPr="008A4FD0" w:rsidRDefault="00FC04F1" w:rsidP="00FC04F1">
            <w:pPr>
              <w:pStyle w:val="ONUME"/>
              <w:numPr>
                <w:ilvl w:val="0"/>
                <w:numId w:val="0"/>
              </w:numPr>
              <w:spacing w:after="0"/>
              <w:rPr>
                <w:b/>
                <w:lang w:val="es-ES"/>
              </w:rPr>
            </w:pPr>
            <w:r w:rsidRPr="008A4FD0">
              <w:rPr>
                <w:b/>
                <w:lang w:val="es-ES"/>
              </w:rPr>
              <w:t>Parte Contratante</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14:paraId="5AD82049" w14:textId="78D304FA" w:rsidR="00E265A7" w:rsidRPr="008A4FD0" w:rsidRDefault="00A73B41" w:rsidP="00FC04F1">
            <w:pPr>
              <w:pStyle w:val="ONUME"/>
              <w:numPr>
                <w:ilvl w:val="0"/>
                <w:numId w:val="0"/>
              </w:numPr>
              <w:spacing w:after="0"/>
              <w:rPr>
                <w:b/>
                <w:lang w:val="es-ES"/>
              </w:rPr>
            </w:pPr>
            <w:r w:rsidRPr="008A4FD0">
              <w:rPr>
                <w:b/>
                <w:lang w:val="es-ES"/>
              </w:rPr>
              <w:t>Denegación provisional de oficio</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14:paraId="305B7C31" w14:textId="067742C6" w:rsidR="00E265A7" w:rsidRPr="008A4FD0" w:rsidRDefault="00A73B41" w:rsidP="00FC04F1">
            <w:pPr>
              <w:pStyle w:val="ONUME"/>
              <w:numPr>
                <w:ilvl w:val="0"/>
                <w:numId w:val="0"/>
              </w:numPr>
              <w:spacing w:after="0"/>
              <w:rPr>
                <w:b/>
                <w:lang w:val="es-ES"/>
              </w:rPr>
            </w:pPr>
            <w:r w:rsidRPr="008A4FD0">
              <w:rPr>
                <w:b/>
                <w:lang w:val="es-ES"/>
              </w:rPr>
              <w:t>Denegación provisional basada en una oposición</w:t>
            </w:r>
          </w:p>
        </w:tc>
      </w:tr>
      <w:tr w:rsidR="008A4FD0" w:rsidRPr="008A4FD0" w14:paraId="39B8EFA7" w14:textId="77777777" w:rsidTr="009C0F83">
        <w:trPr>
          <w:jc w:val="center"/>
        </w:trPr>
        <w:tc>
          <w:tcPr>
            <w:tcW w:w="4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6D15" w14:textId="727A4906" w:rsidR="00E265A7" w:rsidRPr="008A4FD0" w:rsidRDefault="00236774" w:rsidP="00236774">
            <w:pPr>
              <w:pStyle w:val="ONUME"/>
              <w:numPr>
                <w:ilvl w:val="0"/>
                <w:numId w:val="0"/>
              </w:numPr>
              <w:spacing w:after="0"/>
              <w:rPr>
                <w:lang w:val="es-ES"/>
              </w:rPr>
            </w:pPr>
            <w:r w:rsidRPr="008A4FD0">
              <w:rPr>
                <w:lang w:val="es-ES"/>
              </w:rPr>
              <w:t>Sin d</w:t>
            </w:r>
            <w:r w:rsidR="00863F58" w:rsidRPr="008A4FD0">
              <w:rPr>
                <w:lang w:val="es-ES"/>
              </w:rPr>
              <w:t>eclaración</w:t>
            </w:r>
            <w:r w:rsidRPr="008A4FD0">
              <w:rPr>
                <w:lang w:val="es-ES"/>
              </w:rPr>
              <w:t xml:space="preserve"> en virtud del Artículo</w:t>
            </w:r>
            <w:r w:rsidR="00F20EBE" w:rsidRPr="008A4FD0">
              <w:rPr>
                <w:lang w:val="es-ES"/>
              </w:rPr>
              <w:t> </w:t>
            </w:r>
            <w:r w:rsidRPr="008A4FD0">
              <w:rPr>
                <w:lang w:val="es-ES"/>
              </w:rPr>
              <w:t>5.2)b)</w:t>
            </w:r>
          </w:p>
        </w:tc>
        <w:tc>
          <w:tcPr>
            <w:tcW w:w="2457" w:type="dxa"/>
            <w:tcBorders>
              <w:top w:val="nil"/>
              <w:left w:val="nil"/>
              <w:bottom w:val="single" w:sz="4" w:space="0" w:color="auto"/>
              <w:right w:val="single" w:sz="4" w:space="0" w:color="auto"/>
            </w:tcBorders>
            <w:shd w:val="clear" w:color="auto" w:fill="auto"/>
            <w:noWrap/>
            <w:vAlign w:val="center"/>
            <w:hideMark/>
          </w:tcPr>
          <w:p w14:paraId="3DD4BFA8" w14:textId="77777777" w:rsidR="00E265A7" w:rsidRPr="008A4FD0" w:rsidRDefault="00E265A7" w:rsidP="00E265A7">
            <w:pPr>
              <w:pStyle w:val="ONUME"/>
              <w:numPr>
                <w:ilvl w:val="0"/>
                <w:numId w:val="0"/>
              </w:numPr>
              <w:spacing w:after="0"/>
              <w:rPr>
                <w:lang w:val="es-ES"/>
              </w:rPr>
            </w:pPr>
            <w:r w:rsidRPr="008A4FD0">
              <w:rPr>
                <w:lang w:val="es-ES"/>
              </w:rPr>
              <w:t>277</w:t>
            </w:r>
          </w:p>
        </w:tc>
        <w:tc>
          <w:tcPr>
            <w:tcW w:w="2457" w:type="dxa"/>
            <w:tcBorders>
              <w:top w:val="nil"/>
              <w:left w:val="nil"/>
              <w:bottom w:val="single" w:sz="4" w:space="0" w:color="auto"/>
              <w:right w:val="single" w:sz="4" w:space="0" w:color="auto"/>
            </w:tcBorders>
            <w:shd w:val="clear" w:color="auto" w:fill="auto"/>
            <w:noWrap/>
            <w:vAlign w:val="center"/>
            <w:hideMark/>
          </w:tcPr>
          <w:p w14:paraId="25C961C8" w14:textId="77777777" w:rsidR="00E265A7" w:rsidRPr="008A4FD0" w:rsidRDefault="00E265A7" w:rsidP="00E265A7">
            <w:pPr>
              <w:pStyle w:val="ONUME"/>
              <w:numPr>
                <w:ilvl w:val="0"/>
                <w:numId w:val="0"/>
              </w:numPr>
              <w:spacing w:after="0"/>
              <w:rPr>
                <w:lang w:val="es-ES"/>
              </w:rPr>
            </w:pPr>
            <w:r w:rsidRPr="008A4FD0">
              <w:rPr>
                <w:lang w:val="es-ES"/>
              </w:rPr>
              <w:t>212</w:t>
            </w:r>
          </w:p>
        </w:tc>
      </w:tr>
      <w:tr w:rsidR="008A4FD0" w:rsidRPr="008A4FD0" w14:paraId="4A9D7E57" w14:textId="77777777" w:rsidTr="009C0F83">
        <w:trPr>
          <w:jc w:val="center"/>
        </w:trPr>
        <w:tc>
          <w:tcPr>
            <w:tcW w:w="2274" w:type="dxa"/>
            <w:vMerge w:val="restart"/>
            <w:tcBorders>
              <w:top w:val="nil"/>
              <w:left w:val="single" w:sz="4" w:space="0" w:color="auto"/>
              <w:bottom w:val="single" w:sz="4" w:space="0" w:color="000000"/>
              <w:right w:val="single" w:sz="4" w:space="0" w:color="auto"/>
            </w:tcBorders>
            <w:shd w:val="clear" w:color="auto" w:fill="auto"/>
            <w:vAlign w:val="center"/>
            <w:hideMark/>
          </w:tcPr>
          <w:p w14:paraId="06CEA3C7" w14:textId="651B2F46" w:rsidR="00E265A7" w:rsidRPr="008A4FD0" w:rsidRDefault="00236774" w:rsidP="00F20EBE">
            <w:pPr>
              <w:pStyle w:val="ONUME"/>
              <w:numPr>
                <w:ilvl w:val="0"/>
                <w:numId w:val="0"/>
              </w:numPr>
              <w:spacing w:after="0"/>
              <w:rPr>
                <w:lang w:val="es-ES"/>
              </w:rPr>
            </w:pPr>
            <w:r w:rsidRPr="008A4FD0">
              <w:rPr>
                <w:lang w:val="es-ES"/>
              </w:rPr>
              <w:t>Declaración en virtud del Artículo</w:t>
            </w:r>
            <w:r w:rsidR="00F20EBE" w:rsidRPr="008A4FD0">
              <w:rPr>
                <w:lang w:val="es-ES"/>
              </w:rPr>
              <w:t> </w:t>
            </w:r>
            <w:r w:rsidRPr="008A4FD0">
              <w:rPr>
                <w:lang w:val="es-ES"/>
              </w:rPr>
              <w:t xml:space="preserve">5.2)b) </w:t>
            </w:r>
            <w:r w:rsidR="00707EBC" w:rsidRPr="008A4FD0">
              <w:rPr>
                <w:lang w:val="es-ES"/>
              </w:rPr>
              <w:t xml:space="preserve">y obligada por el </w:t>
            </w:r>
            <w:r w:rsidR="00E265A7" w:rsidRPr="008A4FD0">
              <w:rPr>
                <w:lang w:val="es-ES"/>
              </w:rPr>
              <w:t>Protocol</w:t>
            </w:r>
            <w:r w:rsidR="00707EBC" w:rsidRPr="008A4FD0">
              <w:rPr>
                <w:lang w:val="es-ES"/>
              </w:rPr>
              <w:t xml:space="preserve">o únicamente </w:t>
            </w:r>
          </w:p>
        </w:tc>
        <w:tc>
          <w:tcPr>
            <w:tcW w:w="2031" w:type="dxa"/>
            <w:tcBorders>
              <w:top w:val="nil"/>
              <w:left w:val="nil"/>
              <w:bottom w:val="single" w:sz="4" w:space="0" w:color="auto"/>
              <w:right w:val="single" w:sz="4" w:space="0" w:color="auto"/>
            </w:tcBorders>
            <w:shd w:val="clear" w:color="auto" w:fill="auto"/>
            <w:vAlign w:val="center"/>
            <w:hideMark/>
          </w:tcPr>
          <w:p w14:paraId="406DAF0F" w14:textId="2EDC06B3" w:rsidR="00E265A7" w:rsidRPr="008A4FD0" w:rsidRDefault="00236774" w:rsidP="00F20EBE">
            <w:pPr>
              <w:pStyle w:val="ONUME"/>
              <w:numPr>
                <w:ilvl w:val="0"/>
                <w:numId w:val="0"/>
              </w:numPr>
              <w:spacing w:after="0"/>
              <w:rPr>
                <w:lang w:val="es-ES"/>
              </w:rPr>
            </w:pPr>
            <w:r w:rsidRPr="008A4FD0">
              <w:rPr>
                <w:lang w:val="es-ES"/>
              </w:rPr>
              <w:t xml:space="preserve">Sin </w:t>
            </w:r>
            <w:r w:rsidRPr="00B93DC9">
              <w:rPr>
                <w:lang w:val="es-ES"/>
              </w:rPr>
              <w:t>declaración en virtud del Artículo</w:t>
            </w:r>
            <w:r w:rsidR="00F20EBE" w:rsidRPr="00B93DC9">
              <w:rPr>
                <w:lang w:val="es-ES"/>
              </w:rPr>
              <w:t> </w:t>
            </w:r>
            <w:r w:rsidRPr="00B93DC9">
              <w:rPr>
                <w:lang w:val="es-ES"/>
              </w:rPr>
              <w:t>5.2)c)</w:t>
            </w:r>
          </w:p>
        </w:tc>
        <w:tc>
          <w:tcPr>
            <w:tcW w:w="24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19AE8" w14:textId="77777777" w:rsidR="00E265A7" w:rsidRPr="008A4FD0" w:rsidRDefault="00E265A7" w:rsidP="00E265A7">
            <w:pPr>
              <w:pStyle w:val="ONUME"/>
              <w:numPr>
                <w:ilvl w:val="0"/>
                <w:numId w:val="0"/>
              </w:numPr>
              <w:spacing w:after="0"/>
              <w:rPr>
                <w:lang w:val="es-ES"/>
              </w:rPr>
            </w:pPr>
            <w:r w:rsidRPr="008A4FD0">
              <w:rPr>
                <w:lang w:val="es-ES"/>
              </w:rPr>
              <w:t>149</w:t>
            </w:r>
          </w:p>
        </w:tc>
        <w:tc>
          <w:tcPr>
            <w:tcW w:w="2457" w:type="dxa"/>
            <w:tcBorders>
              <w:top w:val="nil"/>
              <w:left w:val="nil"/>
              <w:bottom w:val="single" w:sz="4" w:space="0" w:color="auto"/>
              <w:right w:val="single" w:sz="4" w:space="0" w:color="auto"/>
            </w:tcBorders>
            <w:shd w:val="clear" w:color="auto" w:fill="auto"/>
            <w:noWrap/>
            <w:vAlign w:val="center"/>
            <w:hideMark/>
          </w:tcPr>
          <w:p w14:paraId="4C00828F" w14:textId="77777777" w:rsidR="00E265A7" w:rsidRPr="008A4FD0" w:rsidRDefault="00E265A7" w:rsidP="00E265A7">
            <w:pPr>
              <w:pStyle w:val="ONUME"/>
              <w:numPr>
                <w:ilvl w:val="0"/>
                <w:numId w:val="0"/>
              </w:numPr>
              <w:spacing w:after="0"/>
              <w:rPr>
                <w:lang w:val="es-ES"/>
              </w:rPr>
            </w:pPr>
            <w:r w:rsidRPr="008A4FD0">
              <w:rPr>
                <w:lang w:val="es-ES"/>
              </w:rPr>
              <w:t>210</w:t>
            </w:r>
          </w:p>
        </w:tc>
      </w:tr>
      <w:tr w:rsidR="008A4FD0" w:rsidRPr="008A4FD0" w14:paraId="1B696F52" w14:textId="77777777" w:rsidTr="009C0F83">
        <w:trPr>
          <w:jc w:val="center"/>
        </w:trPr>
        <w:tc>
          <w:tcPr>
            <w:tcW w:w="2274" w:type="dxa"/>
            <w:vMerge/>
            <w:tcBorders>
              <w:top w:val="nil"/>
              <w:left w:val="single" w:sz="4" w:space="0" w:color="auto"/>
              <w:bottom w:val="single" w:sz="4" w:space="0" w:color="000000"/>
              <w:right w:val="single" w:sz="4" w:space="0" w:color="auto"/>
            </w:tcBorders>
            <w:vAlign w:val="center"/>
            <w:hideMark/>
          </w:tcPr>
          <w:p w14:paraId="1704BA02" w14:textId="77777777" w:rsidR="00E265A7" w:rsidRPr="008A4FD0" w:rsidRDefault="00E265A7" w:rsidP="00E265A7">
            <w:pPr>
              <w:pStyle w:val="ONUME"/>
              <w:spacing w:after="0"/>
              <w:rPr>
                <w:lang w:val="es-ES"/>
              </w:rPr>
            </w:pPr>
          </w:p>
        </w:tc>
        <w:tc>
          <w:tcPr>
            <w:tcW w:w="2031" w:type="dxa"/>
            <w:tcBorders>
              <w:top w:val="nil"/>
              <w:left w:val="nil"/>
              <w:bottom w:val="single" w:sz="4" w:space="0" w:color="auto"/>
              <w:right w:val="single" w:sz="4" w:space="0" w:color="auto"/>
            </w:tcBorders>
            <w:shd w:val="clear" w:color="auto" w:fill="auto"/>
            <w:vAlign w:val="center"/>
            <w:hideMark/>
          </w:tcPr>
          <w:p w14:paraId="2B608F82" w14:textId="71959F09" w:rsidR="00E265A7" w:rsidRPr="008A4FD0" w:rsidRDefault="00236774" w:rsidP="00236774">
            <w:pPr>
              <w:pStyle w:val="ONUME"/>
              <w:numPr>
                <w:ilvl w:val="0"/>
                <w:numId w:val="0"/>
              </w:numPr>
              <w:spacing w:after="0"/>
              <w:rPr>
                <w:lang w:val="es-ES"/>
              </w:rPr>
            </w:pPr>
            <w:r w:rsidRPr="00B93DC9">
              <w:rPr>
                <w:lang w:val="es-ES"/>
              </w:rPr>
              <w:t>Declaración en virtud del Artículo</w:t>
            </w:r>
            <w:r w:rsidR="00F20EBE" w:rsidRPr="00B93DC9">
              <w:rPr>
                <w:lang w:val="es-ES"/>
              </w:rPr>
              <w:t> </w:t>
            </w:r>
            <w:r w:rsidRPr="00B93DC9">
              <w:rPr>
                <w:lang w:val="es-ES"/>
              </w:rPr>
              <w:t>5.2)c)</w:t>
            </w:r>
          </w:p>
        </w:tc>
        <w:tc>
          <w:tcPr>
            <w:tcW w:w="2457" w:type="dxa"/>
            <w:vMerge/>
            <w:tcBorders>
              <w:top w:val="nil"/>
              <w:left w:val="single" w:sz="4" w:space="0" w:color="auto"/>
              <w:bottom w:val="single" w:sz="4" w:space="0" w:color="000000"/>
              <w:right w:val="single" w:sz="4" w:space="0" w:color="auto"/>
            </w:tcBorders>
            <w:vAlign w:val="center"/>
            <w:hideMark/>
          </w:tcPr>
          <w:p w14:paraId="326E2B38" w14:textId="77777777" w:rsidR="00E265A7" w:rsidRPr="008A4FD0" w:rsidRDefault="00E265A7" w:rsidP="00E265A7">
            <w:pPr>
              <w:pStyle w:val="ONUME"/>
              <w:spacing w:after="0"/>
              <w:rPr>
                <w:lang w:val="es-ES"/>
              </w:rPr>
            </w:pPr>
          </w:p>
        </w:tc>
        <w:tc>
          <w:tcPr>
            <w:tcW w:w="2457" w:type="dxa"/>
            <w:tcBorders>
              <w:top w:val="nil"/>
              <w:left w:val="nil"/>
              <w:bottom w:val="single" w:sz="4" w:space="0" w:color="auto"/>
              <w:right w:val="single" w:sz="4" w:space="0" w:color="auto"/>
            </w:tcBorders>
            <w:shd w:val="clear" w:color="auto" w:fill="auto"/>
            <w:noWrap/>
            <w:vAlign w:val="center"/>
            <w:hideMark/>
          </w:tcPr>
          <w:p w14:paraId="477CD7A3" w14:textId="77777777" w:rsidR="00E265A7" w:rsidRPr="008A4FD0" w:rsidRDefault="00E265A7" w:rsidP="00E265A7">
            <w:pPr>
              <w:pStyle w:val="ONUME"/>
              <w:numPr>
                <w:ilvl w:val="0"/>
                <w:numId w:val="0"/>
              </w:numPr>
              <w:spacing w:after="0"/>
              <w:rPr>
                <w:lang w:val="es-ES"/>
              </w:rPr>
            </w:pPr>
            <w:r w:rsidRPr="008A4FD0">
              <w:rPr>
                <w:lang w:val="es-ES"/>
              </w:rPr>
              <w:t>259</w:t>
            </w:r>
          </w:p>
        </w:tc>
      </w:tr>
      <w:tr w:rsidR="008A4FD0" w:rsidRPr="008A4FD0" w14:paraId="64264667" w14:textId="77777777" w:rsidTr="009C0F83">
        <w:trPr>
          <w:jc w:val="center"/>
        </w:trPr>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14:paraId="36E04DDE" w14:textId="2B3CCBC2" w:rsidR="00E265A7" w:rsidRPr="008A4FD0" w:rsidRDefault="00236774" w:rsidP="00F20EBE">
            <w:pPr>
              <w:pStyle w:val="ONUME"/>
              <w:numPr>
                <w:ilvl w:val="0"/>
                <w:numId w:val="0"/>
              </w:numPr>
              <w:spacing w:after="0"/>
              <w:rPr>
                <w:lang w:val="es-ES"/>
              </w:rPr>
            </w:pPr>
            <w:r w:rsidRPr="00B93DC9">
              <w:rPr>
                <w:lang w:val="es-ES"/>
              </w:rPr>
              <w:t>Declaración en virtud del Artículo</w:t>
            </w:r>
            <w:r w:rsidR="00F20EBE" w:rsidRPr="00B93DC9">
              <w:rPr>
                <w:lang w:val="es-ES"/>
              </w:rPr>
              <w:t> </w:t>
            </w:r>
            <w:r w:rsidRPr="00B93DC9">
              <w:rPr>
                <w:lang w:val="es-ES"/>
              </w:rPr>
              <w:t xml:space="preserve">5.2)b) </w:t>
            </w:r>
            <w:r w:rsidR="00707EBC" w:rsidRPr="008A4FD0">
              <w:rPr>
                <w:lang w:val="es-ES"/>
              </w:rPr>
              <w:t>y obligada por los dos tratados</w:t>
            </w:r>
          </w:p>
        </w:tc>
        <w:tc>
          <w:tcPr>
            <w:tcW w:w="2031" w:type="dxa"/>
            <w:tcBorders>
              <w:top w:val="nil"/>
              <w:left w:val="nil"/>
              <w:bottom w:val="single" w:sz="4" w:space="0" w:color="auto"/>
              <w:right w:val="single" w:sz="4" w:space="0" w:color="auto"/>
            </w:tcBorders>
            <w:shd w:val="clear" w:color="auto" w:fill="auto"/>
            <w:vAlign w:val="center"/>
            <w:hideMark/>
          </w:tcPr>
          <w:p w14:paraId="56181683" w14:textId="2FCB7FF9" w:rsidR="00E265A7" w:rsidRPr="008A4FD0" w:rsidRDefault="00707EBC" w:rsidP="00707EBC">
            <w:pPr>
              <w:pStyle w:val="ONUME"/>
              <w:numPr>
                <w:ilvl w:val="0"/>
                <w:numId w:val="0"/>
              </w:numPr>
              <w:spacing w:after="0"/>
              <w:rPr>
                <w:lang w:val="es-ES"/>
              </w:rPr>
            </w:pPr>
            <w:r w:rsidRPr="008A4FD0">
              <w:rPr>
                <w:lang w:val="es-ES"/>
              </w:rPr>
              <w:t xml:space="preserve">Se aplicaba la declaración </w:t>
            </w:r>
          </w:p>
        </w:tc>
        <w:tc>
          <w:tcPr>
            <w:tcW w:w="2457" w:type="dxa"/>
            <w:tcBorders>
              <w:top w:val="nil"/>
              <w:left w:val="nil"/>
              <w:bottom w:val="single" w:sz="4" w:space="0" w:color="auto"/>
              <w:right w:val="single" w:sz="4" w:space="0" w:color="auto"/>
            </w:tcBorders>
            <w:shd w:val="clear" w:color="auto" w:fill="auto"/>
            <w:noWrap/>
            <w:vAlign w:val="center"/>
            <w:hideMark/>
          </w:tcPr>
          <w:p w14:paraId="752489C3" w14:textId="77777777" w:rsidR="00E265A7" w:rsidRPr="008A4FD0" w:rsidRDefault="00E265A7" w:rsidP="00E265A7">
            <w:pPr>
              <w:pStyle w:val="ONUME"/>
              <w:numPr>
                <w:ilvl w:val="0"/>
                <w:numId w:val="0"/>
              </w:numPr>
              <w:spacing w:after="0"/>
              <w:rPr>
                <w:lang w:val="es-ES"/>
              </w:rPr>
            </w:pPr>
            <w:r w:rsidRPr="008A4FD0">
              <w:rPr>
                <w:lang w:val="es-ES"/>
              </w:rPr>
              <w:t>312</w:t>
            </w:r>
          </w:p>
        </w:tc>
        <w:tc>
          <w:tcPr>
            <w:tcW w:w="2457" w:type="dxa"/>
            <w:tcBorders>
              <w:top w:val="nil"/>
              <w:left w:val="nil"/>
              <w:bottom w:val="single" w:sz="4" w:space="0" w:color="auto"/>
              <w:right w:val="single" w:sz="4" w:space="0" w:color="auto"/>
            </w:tcBorders>
            <w:shd w:val="clear" w:color="auto" w:fill="auto"/>
            <w:noWrap/>
            <w:vAlign w:val="center"/>
            <w:hideMark/>
          </w:tcPr>
          <w:p w14:paraId="15C5E671" w14:textId="77777777" w:rsidR="00E265A7" w:rsidRPr="008A4FD0" w:rsidRDefault="00E265A7" w:rsidP="00E265A7">
            <w:pPr>
              <w:pStyle w:val="ONUME"/>
              <w:numPr>
                <w:ilvl w:val="0"/>
                <w:numId w:val="0"/>
              </w:numPr>
              <w:spacing w:after="0"/>
              <w:rPr>
                <w:lang w:val="es-ES"/>
              </w:rPr>
            </w:pPr>
            <w:r w:rsidRPr="008A4FD0">
              <w:rPr>
                <w:lang w:val="es-ES"/>
              </w:rPr>
              <w:t>197</w:t>
            </w:r>
          </w:p>
        </w:tc>
      </w:tr>
      <w:tr w:rsidR="00E265A7" w:rsidRPr="008A4FD0" w14:paraId="77C056AA" w14:textId="77777777" w:rsidTr="009C0F83">
        <w:trPr>
          <w:jc w:val="center"/>
        </w:trPr>
        <w:tc>
          <w:tcPr>
            <w:tcW w:w="2274" w:type="dxa"/>
            <w:vMerge/>
            <w:tcBorders>
              <w:top w:val="nil"/>
              <w:left w:val="single" w:sz="4" w:space="0" w:color="auto"/>
              <w:bottom w:val="single" w:sz="4" w:space="0" w:color="auto"/>
              <w:right w:val="single" w:sz="4" w:space="0" w:color="auto"/>
            </w:tcBorders>
            <w:vAlign w:val="center"/>
            <w:hideMark/>
          </w:tcPr>
          <w:p w14:paraId="2B67D6F4" w14:textId="77777777" w:rsidR="00E265A7" w:rsidRPr="008A4FD0" w:rsidRDefault="00E265A7" w:rsidP="00E265A7">
            <w:pPr>
              <w:pStyle w:val="ONUME"/>
              <w:spacing w:after="0"/>
              <w:rPr>
                <w:lang w:val="es-ES"/>
              </w:rPr>
            </w:pPr>
          </w:p>
        </w:tc>
        <w:tc>
          <w:tcPr>
            <w:tcW w:w="2031" w:type="dxa"/>
            <w:tcBorders>
              <w:top w:val="nil"/>
              <w:left w:val="nil"/>
              <w:bottom w:val="single" w:sz="4" w:space="0" w:color="auto"/>
              <w:right w:val="single" w:sz="4" w:space="0" w:color="auto"/>
            </w:tcBorders>
            <w:shd w:val="clear" w:color="auto" w:fill="auto"/>
            <w:vAlign w:val="center"/>
            <w:hideMark/>
          </w:tcPr>
          <w:p w14:paraId="49AE19F1" w14:textId="3E2CCE56" w:rsidR="00226852" w:rsidRPr="008A4FD0" w:rsidRDefault="00707EBC" w:rsidP="00E265A7">
            <w:pPr>
              <w:pStyle w:val="ONUME"/>
              <w:numPr>
                <w:ilvl w:val="0"/>
                <w:numId w:val="0"/>
              </w:numPr>
              <w:spacing w:after="0"/>
              <w:rPr>
                <w:lang w:val="es-ES"/>
              </w:rPr>
            </w:pPr>
            <w:r w:rsidRPr="008A4FD0">
              <w:rPr>
                <w:lang w:val="es-ES"/>
              </w:rPr>
              <w:t xml:space="preserve">No se aplicaba la declaración </w:t>
            </w:r>
            <w:r w:rsidR="00E265A7" w:rsidRPr="008A4FD0">
              <w:rPr>
                <w:lang w:val="es-ES"/>
              </w:rPr>
              <w:t>(</w:t>
            </w:r>
            <w:r w:rsidR="009C0F83">
              <w:rPr>
                <w:lang w:val="es-ES"/>
              </w:rPr>
              <w:t>Artículo </w:t>
            </w:r>
            <w:proofErr w:type="spellStart"/>
            <w:r w:rsidR="00E265A7" w:rsidRPr="008A4FD0">
              <w:rPr>
                <w:lang w:val="es-ES"/>
              </w:rPr>
              <w:t>9</w:t>
            </w:r>
            <w:r w:rsidR="00E265A7" w:rsidRPr="008A4FD0">
              <w:rPr>
                <w:i/>
                <w:iCs/>
                <w:lang w:val="es-ES"/>
              </w:rPr>
              <w:t>sexies</w:t>
            </w:r>
            <w:proofErr w:type="spellEnd"/>
            <w:r w:rsidR="00E265A7" w:rsidRPr="008A4FD0">
              <w:rPr>
                <w:lang w:val="es-ES"/>
              </w:rPr>
              <w:t>)</w:t>
            </w:r>
          </w:p>
        </w:tc>
        <w:tc>
          <w:tcPr>
            <w:tcW w:w="2457" w:type="dxa"/>
            <w:tcBorders>
              <w:top w:val="nil"/>
              <w:left w:val="nil"/>
              <w:bottom w:val="single" w:sz="4" w:space="0" w:color="auto"/>
              <w:right w:val="single" w:sz="4" w:space="0" w:color="auto"/>
            </w:tcBorders>
            <w:shd w:val="clear" w:color="auto" w:fill="auto"/>
            <w:noWrap/>
            <w:vAlign w:val="center"/>
            <w:hideMark/>
          </w:tcPr>
          <w:p w14:paraId="37262172" w14:textId="77777777" w:rsidR="00E265A7" w:rsidRPr="008A4FD0" w:rsidRDefault="00E265A7" w:rsidP="00E265A7">
            <w:pPr>
              <w:pStyle w:val="ONUME"/>
              <w:numPr>
                <w:ilvl w:val="0"/>
                <w:numId w:val="0"/>
              </w:numPr>
              <w:spacing w:after="0"/>
              <w:rPr>
                <w:lang w:val="es-ES"/>
              </w:rPr>
            </w:pPr>
            <w:r w:rsidRPr="008A4FD0">
              <w:rPr>
                <w:lang w:val="es-ES"/>
              </w:rPr>
              <w:t>278</w:t>
            </w:r>
          </w:p>
        </w:tc>
        <w:tc>
          <w:tcPr>
            <w:tcW w:w="2457" w:type="dxa"/>
            <w:tcBorders>
              <w:top w:val="nil"/>
              <w:left w:val="nil"/>
              <w:bottom w:val="single" w:sz="4" w:space="0" w:color="auto"/>
              <w:right w:val="single" w:sz="4" w:space="0" w:color="auto"/>
            </w:tcBorders>
            <w:shd w:val="clear" w:color="auto" w:fill="auto"/>
            <w:noWrap/>
            <w:vAlign w:val="center"/>
            <w:hideMark/>
          </w:tcPr>
          <w:p w14:paraId="4CDDE5A9" w14:textId="77777777" w:rsidR="00E265A7" w:rsidRPr="008A4FD0" w:rsidRDefault="00E265A7" w:rsidP="00E265A7">
            <w:pPr>
              <w:pStyle w:val="ONUME"/>
              <w:numPr>
                <w:ilvl w:val="0"/>
                <w:numId w:val="0"/>
              </w:numPr>
              <w:spacing w:after="0"/>
              <w:rPr>
                <w:lang w:val="es-ES"/>
              </w:rPr>
            </w:pPr>
            <w:r w:rsidRPr="008A4FD0">
              <w:rPr>
                <w:lang w:val="es-ES"/>
              </w:rPr>
              <w:t>210</w:t>
            </w:r>
          </w:p>
        </w:tc>
      </w:tr>
    </w:tbl>
    <w:p w14:paraId="4FD30339" w14:textId="77777777" w:rsidR="00FC04F1" w:rsidRPr="008A4FD0" w:rsidRDefault="00FC04F1" w:rsidP="00E265A7">
      <w:pPr>
        <w:rPr>
          <w:lang w:val="es-ES"/>
        </w:rPr>
      </w:pPr>
    </w:p>
    <w:p w14:paraId="54983100" w14:textId="56558533" w:rsidR="00FC04F1" w:rsidRPr="008A4FD0" w:rsidRDefault="00150F5F" w:rsidP="00E265A7">
      <w:pPr>
        <w:pStyle w:val="ONUME"/>
        <w:rPr>
          <w:lang w:val="es-ES"/>
        </w:rPr>
      </w:pPr>
      <w:r w:rsidRPr="008A4FD0">
        <w:rPr>
          <w:lang w:val="es-ES"/>
        </w:rPr>
        <w:t xml:space="preserve">Se recuerda que, en virtud del párrafo </w:t>
      </w:r>
      <w:r w:rsidR="00F20EBE" w:rsidRPr="008A4FD0">
        <w:rPr>
          <w:lang w:val="es-ES"/>
        </w:rPr>
        <w:t>2)</w:t>
      </w:r>
      <w:r w:rsidRPr="008A4FD0">
        <w:rPr>
          <w:lang w:val="es-ES"/>
        </w:rPr>
        <w:t xml:space="preserve">e) del Artículo 5 del </w:t>
      </w:r>
      <w:r w:rsidR="000B1DD2" w:rsidRPr="008A4FD0">
        <w:rPr>
          <w:lang w:val="es-ES"/>
        </w:rPr>
        <w:t>Protocolo</w:t>
      </w:r>
      <w:r w:rsidRPr="008A4FD0">
        <w:rPr>
          <w:lang w:val="es-ES"/>
        </w:rPr>
        <w:t>, la Asamblea de la Unión de Madrid (en adelante denominada “la Asamblea”) podrá, en cualquier momento, examinar el funcionamiento del sistema establecido</w:t>
      </w:r>
      <w:r w:rsidR="00333E46" w:rsidRPr="008A4FD0">
        <w:rPr>
          <w:lang w:val="es-ES"/>
        </w:rPr>
        <w:t xml:space="preserve"> </w:t>
      </w:r>
      <w:r w:rsidRPr="008A4FD0">
        <w:rPr>
          <w:lang w:val="es-ES"/>
        </w:rPr>
        <w:t>en los párrafo</w:t>
      </w:r>
      <w:r w:rsidR="00333E46" w:rsidRPr="008A4FD0">
        <w:rPr>
          <w:lang w:val="es-ES"/>
        </w:rPr>
        <w:t>s</w:t>
      </w:r>
      <w:r w:rsidR="00FB4B69" w:rsidRPr="008A4FD0">
        <w:rPr>
          <w:lang w:val="es-ES"/>
        </w:rPr>
        <w:t xml:space="preserve"> 2)a) a 2)</w:t>
      </w:r>
      <w:r w:rsidRPr="008A4FD0">
        <w:rPr>
          <w:lang w:val="es-ES"/>
        </w:rPr>
        <w:t xml:space="preserve">d) del mismo artículo y podrá, por decisión unánime, adoptar modificaciones de esos párrafos. La naturaleza </w:t>
      </w:r>
      <w:r w:rsidR="00333E46" w:rsidRPr="008A4FD0">
        <w:rPr>
          <w:lang w:val="es-ES"/>
        </w:rPr>
        <w:t>permanente de ese mandato quedó clara en la declaración interpretativa adoptada en 2006 por la Asamblea, en su trigésimo séptimo período de sesiones</w:t>
      </w:r>
      <w:bookmarkStart w:id="8" w:name="_Ref5780044"/>
      <w:r w:rsidR="00333E46" w:rsidRPr="008A4FD0">
        <w:rPr>
          <w:vertAlign w:val="superscript"/>
          <w:lang w:val="es-ES"/>
        </w:rPr>
        <w:footnoteReference w:id="7"/>
      </w:r>
      <w:bookmarkEnd w:id="8"/>
      <w:r w:rsidR="009C0F83">
        <w:rPr>
          <w:lang w:val="es-ES"/>
        </w:rPr>
        <w:t>.</w:t>
      </w:r>
    </w:p>
    <w:p w14:paraId="5162AB4B" w14:textId="01FFFCF7" w:rsidR="00FC04F1" w:rsidRPr="008A4FD0" w:rsidRDefault="00333E46" w:rsidP="00707EBC">
      <w:pPr>
        <w:pStyle w:val="ONUME"/>
        <w:rPr>
          <w:lang w:val="es-ES"/>
        </w:rPr>
      </w:pPr>
      <w:r w:rsidRPr="008A4FD0">
        <w:rPr>
          <w:lang w:val="es-ES"/>
        </w:rPr>
        <w:t>Habida cuenta de lo anterior, el Grupo de Trabajo podrá considerar si debería emprenderse el examen d</w:t>
      </w:r>
      <w:r w:rsidR="00B827C4" w:rsidRPr="008A4FD0">
        <w:rPr>
          <w:lang w:val="es-ES"/>
        </w:rPr>
        <w:t>el funcionamiento del párrafo 2)</w:t>
      </w:r>
      <w:r w:rsidRPr="008A4FD0">
        <w:rPr>
          <w:lang w:val="es-ES"/>
        </w:rPr>
        <w:t xml:space="preserve">b) del Artículo 5 del Protocolo </w:t>
      </w:r>
      <w:r w:rsidR="00F20EBE" w:rsidRPr="008A4FD0">
        <w:rPr>
          <w:lang w:val="es-ES"/>
        </w:rPr>
        <w:t>a fin de</w:t>
      </w:r>
      <w:r w:rsidRPr="008A4FD0">
        <w:rPr>
          <w:lang w:val="es-ES"/>
        </w:rPr>
        <w:t xml:space="preserve"> armonizar los plazos que tienen las Oficinas para </w:t>
      </w:r>
      <w:r w:rsidR="000B1DD2" w:rsidRPr="008A4FD0">
        <w:rPr>
          <w:lang w:val="es-ES"/>
        </w:rPr>
        <w:t>notificar</w:t>
      </w:r>
      <w:r w:rsidRPr="008A4FD0">
        <w:rPr>
          <w:lang w:val="es-ES"/>
        </w:rPr>
        <w:t xml:space="preserve"> una denegación provisional de oficio, dejándolo en un año. Teniendo en cuenta la información proporcionada en los párrafos 10 y 11, la </w:t>
      </w:r>
      <w:r w:rsidR="006878C4">
        <w:rPr>
          <w:lang w:val="es-ES"/>
        </w:rPr>
        <w:t xml:space="preserve">gran </w:t>
      </w:r>
      <w:r w:rsidRPr="008A4FD0">
        <w:rPr>
          <w:lang w:val="es-ES"/>
        </w:rPr>
        <w:t>mayoría de las Oficinas ya satisfacen ese plazo y dicha armonización beneficiaría al Sistema de Madrid al introducir una mayor simplicidad y eficiencia.</w:t>
      </w:r>
    </w:p>
    <w:p w14:paraId="59620221" w14:textId="07874EE9" w:rsidR="00FC04F1" w:rsidRPr="008A4FD0" w:rsidRDefault="00333E46" w:rsidP="000F455D">
      <w:pPr>
        <w:pStyle w:val="Heading1"/>
        <w:rPr>
          <w:lang w:val="es-ES"/>
        </w:rPr>
      </w:pPr>
      <w:r w:rsidRPr="008A4FD0">
        <w:rPr>
          <w:lang w:val="es-ES"/>
        </w:rPr>
        <w:lastRenderedPageBreak/>
        <w:t>EL PLAZO PARA RESPONDER A UNA DENEGACIÓN PROVISIONAL Y EL CÁLCULO DE DICHO PLAZO</w:t>
      </w:r>
    </w:p>
    <w:p w14:paraId="1FF8939E" w14:textId="77777777" w:rsidR="00FC04F1" w:rsidRPr="008A4FD0" w:rsidRDefault="00FC04F1" w:rsidP="000F455D">
      <w:pPr>
        <w:rPr>
          <w:lang w:val="es-ES"/>
        </w:rPr>
      </w:pPr>
    </w:p>
    <w:p w14:paraId="1FAF69B2" w14:textId="1F9022A6" w:rsidR="00B86DE0" w:rsidRPr="008A4FD0" w:rsidRDefault="002D3121" w:rsidP="00494481">
      <w:pPr>
        <w:pStyle w:val="ONUME"/>
        <w:rPr>
          <w:lang w:val="es-ES"/>
        </w:rPr>
      </w:pPr>
      <w:r w:rsidRPr="008A4FD0">
        <w:rPr>
          <w:lang w:val="es-ES"/>
        </w:rPr>
        <w:t>L</w:t>
      </w:r>
      <w:r w:rsidR="00B86DE0" w:rsidRPr="008A4FD0">
        <w:rPr>
          <w:lang w:val="es-ES"/>
        </w:rPr>
        <w:t>a notificación de denegación provisional debe contener o indicar la informaci</w:t>
      </w:r>
      <w:r w:rsidR="00643B3C" w:rsidRPr="008A4FD0">
        <w:rPr>
          <w:lang w:val="es-ES"/>
        </w:rPr>
        <w:t>ón menci</w:t>
      </w:r>
      <w:r w:rsidR="00B86DE0" w:rsidRPr="008A4FD0">
        <w:rPr>
          <w:lang w:val="es-ES"/>
        </w:rPr>
        <w:t>o</w:t>
      </w:r>
      <w:r w:rsidR="00643B3C" w:rsidRPr="008A4FD0">
        <w:rPr>
          <w:lang w:val="es-ES"/>
        </w:rPr>
        <w:t>n</w:t>
      </w:r>
      <w:r w:rsidR="00B86DE0" w:rsidRPr="008A4FD0">
        <w:rPr>
          <w:lang w:val="es-ES"/>
        </w:rPr>
        <w:t>ada en la Regla 17 del Reglamento Común del Arreglo de Madrid relativo al Registro Internacional de Marcas y del Protocolo concerniente a ese Arreglo (en adelante denominado “el Reglamento Común”). E</w:t>
      </w:r>
      <w:r w:rsidRPr="008A4FD0">
        <w:rPr>
          <w:lang w:val="es-ES"/>
        </w:rPr>
        <w:t>n e</w:t>
      </w:r>
      <w:r w:rsidR="00B86DE0" w:rsidRPr="008A4FD0">
        <w:rPr>
          <w:lang w:val="es-ES"/>
        </w:rPr>
        <w:t xml:space="preserve">l Reglamento Común no </w:t>
      </w:r>
      <w:r w:rsidRPr="008A4FD0">
        <w:rPr>
          <w:lang w:val="es-ES"/>
        </w:rPr>
        <w:t xml:space="preserve">se </w:t>
      </w:r>
      <w:r w:rsidR="00B86DE0" w:rsidRPr="008A4FD0">
        <w:rPr>
          <w:lang w:val="es-ES"/>
        </w:rPr>
        <w:t>prevé un plazo específico para que el titular responda a una notificación de denegación provisional. Sin embargo, en virtud de la Regla 17.2)vii)</w:t>
      </w:r>
      <w:r w:rsidRPr="008A4FD0">
        <w:rPr>
          <w:lang w:val="es-ES"/>
        </w:rPr>
        <w:t xml:space="preserve"> se</w:t>
      </w:r>
      <w:r w:rsidR="00B86DE0" w:rsidRPr="008A4FD0">
        <w:rPr>
          <w:lang w:val="es-ES"/>
        </w:rPr>
        <w:t xml:space="preserve"> exige que dicho plazo sea “razonable en función de las circunstancias”.</w:t>
      </w:r>
    </w:p>
    <w:p w14:paraId="14D1B0CF" w14:textId="71F8CEEF" w:rsidR="00FC04F1" w:rsidRPr="008A4FD0" w:rsidRDefault="00643B3C" w:rsidP="00643B3C">
      <w:pPr>
        <w:pStyle w:val="ONUME"/>
        <w:rPr>
          <w:lang w:val="es-ES"/>
        </w:rPr>
      </w:pPr>
      <w:r w:rsidRPr="008A4FD0">
        <w:rPr>
          <w:lang w:val="es-ES"/>
        </w:rPr>
        <w:t xml:space="preserve">Al no haber una disposición orientativa u obligatoria para las Partes Contratantes sobre la duración de dicho plazo, se deja al arbitrio de las Partes Contratantes indicar, en concordancia con su legislación y prácticas nacionales, ese plazo y la manera en que debería calcularse, preferiblemente, con la indicación de la fecha en que </w:t>
      </w:r>
      <w:r w:rsidR="006878C4">
        <w:rPr>
          <w:lang w:val="es-ES"/>
        </w:rPr>
        <w:t>vence</w:t>
      </w:r>
      <w:r w:rsidRPr="008A4FD0">
        <w:rPr>
          <w:lang w:val="es-ES"/>
        </w:rPr>
        <w:t>.</w:t>
      </w:r>
    </w:p>
    <w:p w14:paraId="656BF875" w14:textId="390EA826" w:rsidR="00FC04F1" w:rsidRPr="008A4FD0" w:rsidRDefault="00643B3C" w:rsidP="00E265A7">
      <w:pPr>
        <w:pStyle w:val="ONUME"/>
        <w:rPr>
          <w:lang w:val="es-ES"/>
        </w:rPr>
      </w:pPr>
      <w:bookmarkStart w:id="9" w:name="_Ref5781699"/>
      <w:r w:rsidRPr="008A4FD0">
        <w:rPr>
          <w:lang w:val="es-ES"/>
        </w:rPr>
        <w:t>Las Partes Contratantes tienen distintas interpretaciones de lo que debería ser “razonable en función de las circunstancias”. En los resultados de la encuesta mencionada en 2014</w:t>
      </w:r>
      <w:r w:rsidRPr="008A4FD0">
        <w:rPr>
          <w:vertAlign w:val="superscript"/>
          <w:lang w:val="es-ES"/>
        </w:rPr>
        <w:footnoteReference w:id="8"/>
      </w:r>
      <w:r w:rsidRPr="008A4FD0">
        <w:rPr>
          <w:lang w:val="es-ES"/>
        </w:rPr>
        <w:t xml:space="preserve"> se revelaba que las Partes Contratantes han establecido distintos plazos para responder a una denegación </w:t>
      </w:r>
      <w:r w:rsidR="000B1DD2" w:rsidRPr="008A4FD0">
        <w:rPr>
          <w:lang w:val="es-ES"/>
        </w:rPr>
        <w:t>provisional</w:t>
      </w:r>
      <w:r w:rsidRPr="008A4FD0">
        <w:rPr>
          <w:lang w:val="es-ES"/>
        </w:rPr>
        <w:t>, que van de los 15 días hasta los 15 meses</w:t>
      </w:r>
      <w:r w:rsidR="002D3121" w:rsidRPr="008A4FD0">
        <w:rPr>
          <w:lang w:val="es-ES"/>
        </w:rPr>
        <w:t>,</w:t>
      </w:r>
      <w:r w:rsidRPr="008A4FD0">
        <w:rPr>
          <w:lang w:val="es-ES"/>
        </w:rPr>
        <w:t xml:space="preserve"> y, además, que las Partes Contratantes calculan esos plazos de manera distinta. La manera en que la Parte Contratante en cuestión calcula el plazo podrá incidir en gran medida en el tiempo de que dispone en la práctica el titular para responder a una notificación de denegación provisional. La mayoría de las Oficinas utilizan una de las tres opciones de cálculo que figuran más adelante</w:t>
      </w:r>
      <w:r w:rsidR="00E265A7" w:rsidRPr="008A4FD0">
        <w:rPr>
          <w:lang w:val="es-ES"/>
        </w:rPr>
        <w:t>:</w:t>
      </w:r>
      <w:bookmarkEnd w:id="9"/>
    </w:p>
    <w:p w14:paraId="5C86BA59" w14:textId="4FE9A5A0" w:rsidR="00FC04F1" w:rsidRPr="008A4FD0" w:rsidRDefault="00E265A7" w:rsidP="00DF4AE1">
      <w:pPr>
        <w:pStyle w:val="ONUME"/>
        <w:numPr>
          <w:ilvl w:val="0"/>
          <w:numId w:val="0"/>
        </w:numPr>
        <w:ind w:left="567"/>
        <w:rPr>
          <w:i/>
          <w:lang w:val="es-ES"/>
        </w:rPr>
      </w:pPr>
      <w:r w:rsidRPr="008A4FD0">
        <w:rPr>
          <w:i/>
          <w:lang w:val="es-ES"/>
        </w:rPr>
        <w:t>i)</w:t>
      </w:r>
      <w:r w:rsidRPr="008A4FD0">
        <w:rPr>
          <w:i/>
          <w:lang w:val="es-ES"/>
        </w:rPr>
        <w:tab/>
      </w:r>
      <w:r w:rsidR="00643B3C" w:rsidRPr="008A4FD0">
        <w:rPr>
          <w:i/>
          <w:lang w:val="es-ES"/>
        </w:rPr>
        <w:t xml:space="preserve">La fecha de inicio es </w:t>
      </w:r>
      <w:r w:rsidR="002D3121" w:rsidRPr="008A4FD0">
        <w:rPr>
          <w:i/>
          <w:lang w:val="es-ES"/>
        </w:rPr>
        <w:t>la fecha en que la Oficina emite</w:t>
      </w:r>
      <w:r w:rsidR="00643B3C" w:rsidRPr="008A4FD0">
        <w:rPr>
          <w:i/>
          <w:lang w:val="es-ES"/>
        </w:rPr>
        <w:t xml:space="preserve"> la denegación provisional o envía la notificación a la Oficina Internacional</w:t>
      </w:r>
    </w:p>
    <w:p w14:paraId="3C210904" w14:textId="65BC9DB7" w:rsidR="00FC04F1" w:rsidRPr="008A4FD0" w:rsidRDefault="00494481" w:rsidP="00DF4AE1">
      <w:pPr>
        <w:pStyle w:val="ONUME"/>
        <w:numPr>
          <w:ilvl w:val="0"/>
          <w:numId w:val="0"/>
        </w:numPr>
        <w:ind w:left="567"/>
        <w:rPr>
          <w:lang w:val="es-ES"/>
        </w:rPr>
      </w:pPr>
      <w:r w:rsidRPr="008A4FD0">
        <w:rPr>
          <w:lang w:val="es-ES"/>
        </w:rPr>
        <w:t>Cuando la fecha de inicio del plazo qued</w:t>
      </w:r>
      <w:r w:rsidR="00914E4B">
        <w:rPr>
          <w:lang w:val="es-ES"/>
        </w:rPr>
        <w:t>e</w:t>
      </w:r>
      <w:r w:rsidRPr="008A4FD0">
        <w:rPr>
          <w:lang w:val="es-ES"/>
        </w:rPr>
        <w:t xml:space="preserve"> determinada por la fecha en que la Oficina emite la denegación o envía la notificación a la Oficina Internacional, el cálculo de la fecha en que </w:t>
      </w:r>
      <w:r w:rsidR="00A26999">
        <w:rPr>
          <w:lang w:val="es-ES"/>
        </w:rPr>
        <w:t>vence</w:t>
      </w:r>
      <w:r w:rsidR="00A26999" w:rsidRPr="008A4FD0">
        <w:rPr>
          <w:lang w:val="es-ES"/>
        </w:rPr>
        <w:t xml:space="preserve"> </w:t>
      </w:r>
      <w:r w:rsidRPr="008A4FD0">
        <w:rPr>
          <w:lang w:val="es-ES"/>
        </w:rPr>
        <w:t xml:space="preserve">el plazo </w:t>
      </w:r>
      <w:r w:rsidR="006878C4">
        <w:rPr>
          <w:lang w:val="es-ES"/>
        </w:rPr>
        <w:t xml:space="preserve">no </w:t>
      </w:r>
      <w:r w:rsidR="00914E4B">
        <w:rPr>
          <w:lang w:val="es-ES"/>
        </w:rPr>
        <w:t>será</w:t>
      </w:r>
      <w:r w:rsidR="006878C4">
        <w:rPr>
          <w:lang w:val="es-ES"/>
        </w:rPr>
        <w:t xml:space="preserve">, en principio, </w:t>
      </w:r>
      <w:r w:rsidRPr="008A4FD0">
        <w:rPr>
          <w:lang w:val="es-ES"/>
        </w:rPr>
        <w:t>difícil, siempre y cuando esa fecha esté indicada claramente en la comunicación.</w:t>
      </w:r>
      <w:r w:rsidR="00E265A7" w:rsidRPr="008A4FD0">
        <w:rPr>
          <w:lang w:val="es-ES"/>
        </w:rPr>
        <w:t xml:space="preserve"> </w:t>
      </w:r>
    </w:p>
    <w:p w14:paraId="3DD2F03B" w14:textId="0A9B39F6" w:rsidR="00FC04F1" w:rsidRPr="008A4FD0" w:rsidRDefault="00E265A7" w:rsidP="00DF4AE1">
      <w:pPr>
        <w:pStyle w:val="ONUME"/>
        <w:numPr>
          <w:ilvl w:val="0"/>
          <w:numId w:val="0"/>
        </w:numPr>
        <w:ind w:left="567"/>
        <w:rPr>
          <w:i/>
          <w:lang w:val="es-ES"/>
        </w:rPr>
      </w:pPr>
      <w:r w:rsidRPr="008A4FD0">
        <w:rPr>
          <w:i/>
          <w:lang w:val="es-ES"/>
        </w:rPr>
        <w:t>ii)</w:t>
      </w:r>
      <w:r w:rsidRPr="008A4FD0">
        <w:rPr>
          <w:i/>
          <w:lang w:val="es-ES"/>
        </w:rPr>
        <w:tab/>
      </w:r>
      <w:r w:rsidR="00643B3C" w:rsidRPr="008A4FD0">
        <w:rPr>
          <w:i/>
          <w:lang w:val="es-ES"/>
        </w:rPr>
        <w:t>La fecha de inicio es la fecha en que la Oficina Internacional transmite la notificación al titular</w:t>
      </w:r>
    </w:p>
    <w:p w14:paraId="7E74DE76" w14:textId="22EA4977" w:rsidR="00FC04F1" w:rsidRPr="008A4FD0" w:rsidRDefault="00494481" w:rsidP="00DF4AE1">
      <w:pPr>
        <w:pStyle w:val="ONUME"/>
        <w:numPr>
          <w:ilvl w:val="0"/>
          <w:numId w:val="0"/>
        </w:numPr>
        <w:ind w:left="567"/>
        <w:rPr>
          <w:lang w:val="es-ES"/>
        </w:rPr>
      </w:pPr>
      <w:r w:rsidRPr="008A4FD0">
        <w:rPr>
          <w:lang w:val="es-ES"/>
        </w:rPr>
        <w:t xml:space="preserve">Cuando la fecha de inicio del plazo sea la fecha en que la Oficina Internacional transmite la notificación al titular, determinar dicha fecha </w:t>
      </w:r>
      <w:r w:rsidR="00914E4B">
        <w:rPr>
          <w:lang w:val="es-ES"/>
        </w:rPr>
        <w:t>será</w:t>
      </w:r>
      <w:r w:rsidRPr="008A4FD0">
        <w:rPr>
          <w:lang w:val="es-ES"/>
        </w:rPr>
        <w:t xml:space="preserve"> bastante sencillo porque la Oficina Internacional indica claramente esa fecha en la comunicación transmitida junto con la notificación.</w:t>
      </w:r>
    </w:p>
    <w:p w14:paraId="368C301C" w14:textId="03DD05A0" w:rsidR="00643B3C" w:rsidRPr="008A4FD0" w:rsidRDefault="00E265A7" w:rsidP="00643B3C">
      <w:pPr>
        <w:pStyle w:val="ONUME"/>
        <w:numPr>
          <w:ilvl w:val="0"/>
          <w:numId w:val="0"/>
        </w:numPr>
        <w:ind w:left="567"/>
        <w:rPr>
          <w:i/>
          <w:lang w:val="es-ES"/>
        </w:rPr>
      </w:pPr>
      <w:r w:rsidRPr="008A4FD0">
        <w:rPr>
          <w:i/>
          <w:lang w:val="es-ES"/>
        </w:rPr>
        <w:t>iii)</w:t>
      </w:r>
      <w:r w:rsidRPr="008A4FD0">
        <w:rPr>
          <w:i/>
          <w:lang w:val="es-ES"/>
        </w:rPr>
        <w:tab/>
      </w:r>
      <w:r w:rsidR="00643B3C" w:rsidRPr="008A4FD0">
        <w:rPr>
          <w:i/>
          <w:lang w:val="es-ES"/>
        </w:rPr>
        <w:t>La fecha de inicio es la fecha en que el titular recibe la notificación de la Oficina Inte</w:t>
      </w:r>
      <w:r w:rsidR="002D3121" w:rsidRPr="008A4FD0">
        <w:rPr>
          <w:i/>
          <w:lang w:val="es-ES"/>
        </w:rPr>
        <w:t>rnacional</w:t>
      </w:r>
    </w:p>
    <w:p w14:paraId="44F5833F" w14:textId="5BEF3CD7" w:rsidR="00707EBC" w:rsidRPr="008A4FD0" w:rsidRDefault="004D6E75" w:rsidP="00707EBC">
      <w:pPr>
        <w:pStyle w:val="ONUME"/>
        <w:numPr>
          <w:ilvl w:val="0"/>
          <w:numId w:val="0"/>
        </w:numPr>
        <w:ind w:left="567"/>
        <w:rPr>
          <w:lang w:val="es-ES"/>
        </w:rPr>
      </w:pPr>
      <w:r w:rsidRPr="008A4FD0">
        <w:rPr>
          <w:lang w:val="es-ES"/>
        </w:rPr>
        <w:t xml:space="preserve">Como la fecha en que el titular recibe la notificación no queda registrada en el Registro Internacional, quizá haya dudas sobre cuándo se inició el plazo y si </w:t>
      </w:r>
      <w:r w:rsidR="006878C4">
        <w:rPr>
          <w:lang w:val="es-ES"/>
        </w:rPr>
        <w:t>el</w:t>
      </w:r>
      <w:r w:rsidR="006878C4" w:rsidRPr="008A4FD0">
        <w:rPr>
          <w:lang w:val="es-ES"/>
        </w:rPr>
        <w:t xml:space="preserve"> </w:t>
      </w:r>
      <w:r w:rsidRPr="008A4FD0">
        <w:rPr>
          <w:lang w:val="es-ES"/>
        </w:rPr>
        <w:t>titular ha cumplido con él al responder a la notificación. Las Oficinas de las Partes Contratantes que efect</w:t>
      </w:r>
      <w:r w:rsidR="00E36D63" w:rsidRPr="008A4FD0">
        <w:rPr>
          <w:lang w:val="es-ES"/>
        </w:rPr>
        <w:t>úe</w:t>
      </w:r>
      <w:r w:rsidRPr="008A4FD0">
        <w:rPr>
          <w:lang w:val="es-ES"/>
        </w:rPr>
        <w:t>n dicho cálculo quizá exijan pruebas de la fecha de recepción, lo cual podría crear incertidumbre cuando</w:t>
      </w:r>
      <w:r w:rsidR="00E36D63" w:rsidRPr="008A4FD0">
        <w:rPr>
          <w:lang w:val="es-ES"/>
        </w:rPr>
        <w:t xml:space="preserve">, por ejemplo, el matasellos </w:t>
      </w:r>
      <w:r w:rsidRPr="008A4FD0">
        <w:rPr>
          <w:lang w:val="es-ES"/>
        </w:rPr>
        <w:t>s</w:t>
      </w:r>
      <w:r w:rsidR="00E36D63" w:rsidRPr="008A4FD0">
        <w:rPr>
          <w:lang w:val="es-ES"/>
        </w:rPr>
        <w:t>ea</w:t>
      </w:r>
      <w:r w:rsidRPr="008A4FD0">
        <w:rPr>
          <w:lang w:val="es-ES"/>
        </w:rPr>
        <w:t xml:space="preserve"> ilegible o inexistente.</w:t>
      </w:r>
    </w:p>
    <w:p w14:paraId="1DF73881" w14:textId="53165EEB" w:rsidR="00FC04F1" w:rsidRPr="008A4FD0" w:rsidRDefault="00E36D63" w:rsidP="00E36D63">
      <w:pPr>
        <w:pStyle w:val="ONUME"/>
        <w:rPr>
          <w:lang w:val="es-ES"/>
        </w:rPr>
      </w:pPr>
      <w:r w:rsidRPr="008A4FD0">
        <w:rPr>
          <w:lang w:val="es-ES"/>
        </w:rPr>
        <w:t xml:space="preserve">Teniendo en cuenta la información que figura en los párrafos </w:t>
      </w:r>
      <w:r w:rsidR="004C689D" w:rsidRPr="008A4FD0">
        <w:fldChar w:fldCharType="begin"/>
      </w:r>
      <w:r w:rsidR="004C689D" w:rsidRPr="00B93DC9">
        <w:rPr>
          <w:lang w:val="es-ES"/>
        </w:rPr>
        <w:instrText xml:space="preserve"> REF _Ref5781685 \r \h </w:instrText>
      </w:r>
      <w:r w:rsidR="004C689D" w:rsidRPr="008A4FD0">
        <w:fldChar w:fldCharType="separate"/>
      </w:r>
      <w:r w:rsidR="004C689D" w:rsidRPr="00B93DC9">
        <w:rPr>
          <w:lang w:val="es-ES"/>
        </w:rPr>
        <w:t>14</w:t>
      </w:r>
      <w:r w:rsidR="004C689D" w:rsidRPr="008A4FD0">
        <w:fldChar w:fldCharType="end"/>
      </w:r>
      <w:r w:rsidR="004C689D" w:rsidRPr="00B93DC9">
        <w:rPr>
          <w:lang w:val="es-ES"/>
        </w:rPr>
        <w:t xml:space="preserve"> a </w:t>
      </w:r>
      <w:r w:rsidR="004C689D" w:rsidRPr="008A4FD0">
        <w:fldChar w:fldCharType="begin"/>
      </w:r>
      <w:r w:rsidR="004C689D" w:rsidRPr="00B93DC9">
        <w:rPr>
          <w:lang w:val="es-ES"/>
        </w:rPr>
        <w:instrText xml:space="preserve"> REF _Ref5781699 \r \h </w:instrText>
      </w:r>
      <w:r w:rsidR="004C689D" w:rsidRPr="008A4FD0">
        <w:fldChar w:fldCharType="separate"/>
      </w:r>
      <w:r w:rsidR="004C689D" w:rsidRPr="00B93DC9">
        <w:rPr>
          <w:lang w:val="es-ES"/>
        </w:rPr>
        <w:t>16</w:t>
      </w:r>
      <w:r w:rsidR="004C689D" w:rsidRPr="008A4FD0">
        <w:fldChar w:fldCharType="end"/>
      </w:r>
      <w:r w:rsidR="000C5E75" w:rsidRPr="008A4FD0">
        <w:rPr>
          <w:lang w:val="es-ES"/>
        </w:rPr>
        <w:t xml:space="preserve">, </w:t>
      </w:r>
      <w:r w:rsidRPr="008A4FD0">
        <w:rPr>
          <w:lang w:val="es-ES"/>
        </w:rPr>
        <w:t>conviene que el Grupo de Trabajo considere si podría</w:t>
      </w:r>
      <w:r w:rsidR="009D0759" w:rsidRPr="008A4FD0">
        <w:rPr>
          <w:lang w:val="es-ES"/>
        </w:rPr>
        <w:t xml:space="preserve"> </w:t>
      </w:r>
      <w:r w:rsidR="00DA2847" w:rsidRPr="008A4FD0">
        <w:rPr>
          <w:lang w:val="es-ES"/>
        </w:rPr>
        <w:t>ponerse de</w:t>
      </w:r>
      <w:r w:rsidR="009D0759" w:rsidRPr="008A4FD0">
        <w:rPr>
          <w:lang w:val="es-ES"/>
        </w:rPr>
        <w:t xml:space="preserve"> acuerdo sobre algunas</w:t>
      </w:r>
      <w:r w:rsidRPr="008A4FD0">
        <w:rPr>
          <w:lang w:val="es-ES"/>
        </w:rPr>
        <w:t xml:space="preserve"> modificaciones del marco jurídico del Sistema de Madrid, en el sentido de prever un plazo mínimo para responder a una notificación de denegación provisional y la manera armonizada de calcular dicho plazo.</w:t>
      </w:r>
      <w:r w:rsidR="00DE73D0" w:rsidRPr="008A4FD0">
        <w:rPr>
          <w:lang w:val="es-ES"/>
        </w:rPr>
        <w:t xml:space="preserve"> </w:t>
      </w:r>
    </w:p>
    <w:p w14:paraId="0CCF7F38" w14:textId="05855222" w:rsidR="00FC04F1" w:rsidRPr="008A4FD0" w:rsidRDefault="00E36D63" w:rsidP="000F455D">
      <w:pPr>
        <w:pStyle w:val="Heading1"/>
        <w:rPr>
          <w:lang w:val="es-ES"/>
        </w:rPr>
      </w:pPr>
      <w:r w:rsidRPr="008A4FD0">
        <w:rPr>
          <w:lang w:val="es-ES"/>
        </w:rPr>
        <w:lastRenderedPageBreak/>
        <w:t>DIFICULTADES PRÁCTICAS Y POSIBLE INSEGURIDAD JURÍDICA PARA LOS TITULARES</w:t>
      </w:r>
    </w:p>
    <w:p w14:paraId="1213114E" w14:textId="3E83236D" w:rsidR="00FC04F1" w:rsidRPr="008A4FD0" w:rsidRDefault="00E36D63" w:rsidP="00BB2F88">
      <w:pPr>
        <w:pStyle w:val="Heading2"/>
        <w:rPr>
          <w:lang w:val="es-ES"/>
        </w:rPr>
      </w:pPr>
      <w:r w:rsidRPr="008A4FD0">
        <w:rPr>
          <w:lang w:val="es-ES"/>
        </w:rPr>
        <w:t>distintos plazos y maneras de calcularlos</w:t>
      </w:r>
    </w:p>
    <w:p w14:paraId="008B85CD" w14:textId="77777777" w:rsidR="00FC04F1" w:rsidRPr="008A4FD0" w:rsidRDefault="00FC04F1" w:rsidP="000F455D">
      <w:pPr>
        <w:rPr>
          <w:lang w:val="es-ES"/>
        </w:rPr>
      </w:pPr>
    </w:p>
    <w:p w14:paraId="16140243" w14:textId="4D1C207C" w:rsidR="00FC04F1" w:rsidRPr="008A4FD0" w:rsidRDefault="009668F7" w:rsidP="00E265A7">
      <w:pPr>
        <w:pStyle w:val="ONUME"/>
        <w:rPr>
          <w:lang w:val="es-ES"/>
        </w:rPr>
      </w:pPr>
      <w:r w:rsidRPr="008A4FD0">
        <w:rPr>
          <w:lang w:val="es-ES"/>
        </w:rPr>
        <w:t>La Oficina Internacional transmite a los titulares una copia de todas las notificaciones de denegación provisional que recibe. Esa copia va acompañada de una comunicación estándar, en el idioma de trabajo escogido por el titular, en la que figura la fecha en que</w:t>
      </w:r>
      <w:r w:rsidR="00721219" w:rsidRPr="008A4FD0">
        <w:rPr>
          <w:lang w:val="es-ES"/>
        </w:rPr>
        <w:t>:</w:t>
      </w:r>
    </w:p>
    <w:p w14:paraId="6EE69B6D" w14:textId="0474FCDD" w:rsidR="00FC04F1" w:rsidRPr="008A4FD0" w:rsidRDefault="00DF4AE1" w:rsidP="00DF4AE1">
      <w:pPr>
        <w:pStyle w:val="ONUME"/>
        <w:numPr>
          <w:ilvl w:val="0"/>
          <w:numId w:val="0"/>
        </w:numPr>
        <w:ind w:left="567"/>
        <w:rPr>
          <w:lang w:val="es-ES"/>
        </w:rPr>
      </w:pPr>
      <w:r w:rsidRPr="008A4FD0">
        <w:rPr>
          <w:lang w:val="es-ES"/>
        </w:rPr>
        <w:t>–</w:t>
      </w:r>
      <w:r w:rsidRPr="008A4FD0">
        <w:rPr>
          <w:lang w:val="es-ES"/>
        </w:rPr>
        <w:tab/>
      </w:r>
      <w:r w:rsidR="009668F7" w:rsidRPr="008A4FD0">
        <w:rPr>
          <w:lang w:val="es-ES"/>
        </w:rPr>
        <w:t>la Oficina envió la notificación, cuando se indique en la notificación o cuando se haya enviado en forma electrónica;</w:t>
      </w:r>
    </w:p>
    <w:p w14:paraId="5E8D7DE3" w14:textId="1E78F41A" w:rsidR="004E4948" w:rsidRPr="008A4FD0" w:rsidRDefault="00DF4AE1" w:rsidP="004E4948">
      <w:pPr>
        <w:pStyle w:val="ONUME"/>
        <w:numPr>
          <w:ilvl w:val="0"/>
          <w:numId w:val="0"/>
        </w:numPr>
        <w:ind w:left="567"/>
        <w:rPr>
          <w:lang w:val="es-ES"/>
        </w:rPr>
      </w:pPr>
      <w:r w:rsidRPr="008A4FD0">
        <w:rPr>
          <w:lang w:val="es-ES"/>
        </w:rPr>
        <w:t>–</w:t>
      </w:r>
      <w:r w:rsidRPr="008A4FD0">
        <w:rPr>
          <w:lang w:val="es-ES"/>
        </w:rPr>
        <w:tab/>
      </w:r>
      <w:r w:rsidR="009668F7" w:rsidRPr="008A4FD0">
        <w:rPr>
          <w:lang w:val="es-ES"/>
        </w:rPr>
        <w:t>la Oficina Internacional recibió la notificación, que coincidirá con la fecha anterior cuando se haya enviado en forma electrónica</w:t>
      </w:r>
      <w:r w:rsidR="00E265A7" w:rsidRPr="008A4FD0">
        <w:rPr>
          <w:lang w:val="es-ES"/>
        </w:rPr>
        <w:t xml:space="preserve">; </w:t>
      </w:r>
      <w:r w:rsidR="009668F7" w:rsidRPr="008A4FD0">
        <w:rPr>
          <w:lang w:val="es-ES"/>
        </w:rPr>
        <w:t>y</w:t>
      </w:r>
      <w:r w:rsidR="004E4948" w:rsidRPr="008A4FD0">
        <w:rPr>
          <w:lang w:val="es-ES"/>
        </w:rPr>
        <w:t>,</w:t>
      </w:r>
    </w:p>
    <w:p w14:paraId="62052EBC" w14:textId="2FF2E1F3" w:rsidR="00FC04F1" w:rsidRPr="008A4FD0" w:rsidRDefault="004E4948" w:rsidP="004E4948">
      <w:pPr>
        <w:pStyle w:val="ONUME"/>
        <w:numPr>
          <w:ilvl w:val="0"/>
          <w:numId w:val="0"/>
        </w:numPr>
        <w:ind w:left="567"/>
        <w:rPr>
          <w:lang w:val="es-ES"/>
        </w:rPr>
      </w:pPr>
      <w:r w:rsidRPr="008A4FD0">
        <w:rPr>
          <w:lang w:val="es-ES"/>
        </w:rPr>
        <w:t>–</w:t>
      </w:r>
      <w:r w:rsidRPr="008A4FD0">
        <w:rPr>
          <w:lang w:val="es-ES"/>
        </w:rPr>
        <w:tab/>
        <w:t>l</w:t>
      </w:r>
      <w:r w:rsidR="00FC04F1" w:rsidRPr="008A4FD0">
        <w:rPr>
          <w:lang w:val="es-ES"/>
        </w:rPr>
        <w:t>a Oficina Internaci</w:t>
      </w:r>
      <w:r w:rsidR="00E60423" w:rsidRPr="008A4FD0">
        <w:rPr>
          <w:lang w:val="es-ES"/>
        </w:rPr>
        <w:t>onal transmitió</w:t>
      </w:r>
      <w:r w:rsidR="00FC04F1" w:rsidRPr="008A4FD0">
        <w:rPr>
          <w:lang w:val="es-ES"/>
        </w:rPr>
        <w:t xml:space="preserve"> la notificación al titular.</w:t>
      </w:r>
      <w:r w:rsidR="00E265A7" w:rsidRPr="008A4FD0">
        <w:rPr>
          <w:lang w:val="es-ES"/>
        </w:rPr>
        <w:t xml:space="preserve">  </w:t>
      </w:r>
    </w:p>
    <w:p w14:paraId="2E8A925B" w14:textId="1735A71E" w:rsidR="00FC04F1" w:rsidRPr="008A4FD0" w:rsidRDefault="009668F7" w:rsidP="00E265A7">
      <w:pPr>
        <w:pStyle w:val="ONUME"/>
        <w:rPr>
          <w:lang w:val="es-ES"/>
        </w:rPr>
      </w:pPr>
      <w:r w:rsidRPr="008A4FD0">
        <w:rPr>
          <w:lang w:val="es-ES"/>
        </w:rPr>
        <w:t>En el ejemplo siguiente se explican los problemas que afrontan los titulares en la práctica cuando reciben varias notificaciones de denegaciones provisionales</w:t>
      </w:r>
      <w:r w:rsidR="00E265A7" w:rsidRPr="008A4FD0">
        <w:rPr>
          <w:lang w:val="es-ES"/>
        </w:rPr>
        <w:t>:</w:t>
      </w:r>
      <w:r w:rsidRPr="008A4FD0">
        <w:rPr>
          <w:lang w:val="es-ES"/>
        </w:rPr>
        <w:t xml:space="preserve"> el titular de un r</w:t>
      </w:r>
      <w:r w:rsidR="00A01FD5" w:rsidRPr="008A4FD0">
        <w:rPr>
          <w:lang w:val="es-ES"/>
        </w:rPr>
        <w:t>egistro internacional presenta</w:t>
      </w:r>
      <w:r w:rsidRPr="008A4FD0">
        <w:rPr>
          <w:lang w:val="es-ES"/>
        </w:rPr>
        <w:t>do ante la Oficina de Islandia (la Oficina de origen) ha designado a Australia, China, Egipto, la Federación de Rusia, Francia, México y Noruega.</w:t>
      </w:r>
      <w:r w:rsidR="00E265A7" w:rsidRPr="008A4FD0">
        <w:rPr>
          <w:lang w:val="es-ES"/>
        </w:rPr>
        <w:t xml:space="preserve"> </w:t>
      </w:r>
      <w:r w:rsidRPr="008A4FD0">
        <w:rPr>
          <w:lang w:val="es-ES"/>
        </w:rPr>
        <w:t>En caso de que el titular reciba una notificación de denegación provisional de cada una de las Partes Contratantes designadas, tendrá que afrontar los problemas siguientes:</w:t>
      </w:r>
      <w:r w:rsidR="00E265A7" w:rsidRPr="008A4FD0">
        <w:rPr>
          <w:lang w:val="es-ES"/>
        </w:rPr>
        <w:t xml:space="preserve"> </w:t>
      </w:r>
    </w:p>
    <w:p w14:paraId="293FF20E" w14:textId="40AE50DE" w:rsidR="00FC04F1" w:rsidRPr="008A4FD0" w:rsidRDefault="00DF4AE1" w:rsidP="00DF4AE1">
      <w:pPr>
        <w:pStyle w:val="ONUME"/>
        <w:numPr>
          <w:ilvl w:val="0"/>
          <w:numId w:val="0"/>
        </w:numPr>
        <w:ind w:firstLine="567"/>
        <w:rPr>
          <w:i/>
          <w:lang w:val="es-ES"/>
        </w:rPr>
      </w:pPr>
      <w:r w:rsidRPr="008A4FD0">
        <w:rPr>
          <w:i/>
          <w:lang w:val="es-ES"/>
        </w:rPr>
        <w:t>i)</w:t>
      </w:r>
      <w:r w:rsidRPr="008A4FD0">
        <w:rPr>
          <w:i/>
          <w:lang w:val="es-ES"/>
        </w:rPr>
        <w:tab/>
      </w:r>
      <w:r w:rsidR="002A41CE" w:rsidRPr="008A4FD0">
        <w:rPr>
          <w:i/>
          <w:lang w:val="es-ES"/>
        </w:rPr>
        <w:t>Distintos plazos y distintas maneras de calcularlos</w:t>
      </w:r>
    </w:p>
    <w:p w14:paraId="4CA31634" w14:textId="798666EA" w:rsidR="00FC04F1" w:rsidRPr="008A4FD0" w:rsidRDefault="009668F7" w:rsidP="00DF4AE1">
      <w:pPr>
        <w:pStyle w:val="ONUME"/>
        <w:numPr>
          <w:ilvl w:val="0"/>
          <w:numId w:val="0"/>
        </w:numPr>
        <w:ind w:left="567"/>
        <w:rPr>
          <w:lang w:val="es-ES"/>
        </w:rPr>
      </w:pPr>
      <w:r w:rsidRPr="008A4FD0">
        <w:rPr>
          <w:lang w:val="es-ES"/>
        </w:rPr>
        <w:t>Según el ejemplo expuesto anteriormente, el titular recibirá notificaciones de denegación provisional en las que se indica</w:t>
      </w:r>
      <w:r w:rsidR="00D61CD3" w:rsidRPr="008A4FD0">
        <w:rPr>
          <w:lang w:val="es-ES"/>
        </w:rPr>
        <w:t>rá</w:t>
      </w:r>
      <w:r w:rsidRPr="008A4FD0">
        <w:rPr>
          <w:lang w:val="es-ES"/>
        </w:rPr>
        <w:t xml:space="preserve">n los </w:t>
      </w:r>
      <w:r w:rsidR="00A01FD5" w:rsidRPr="008A4FD0">
        <w:rPr>
          <w:lang w:val="es-ES"/>
        </w:rPr>
        <w:t xml:space="preserve">siguientes </w:t>
      </w:r>
      <w:r w:rsidRPr="008A4FD0">
        <w:rPr>
          <w:lang w:val="es-ES"/>
        </w:rPr>
        <w:t xml:space="preserve">plazos </w:t>
      </w:r>
      <w:r w:rsidR="00A01FD5" w:rsidRPr="008A4FD0">
        <w:rPr>
          <w:lang w:val="es-ES"/>
        </w:rPr>
        <w:t>de respuesta</w:t>
      </w:r>
      <w:r w:rsidR="00915319" w:rsidRPr="008A4FD0">
        <w:rPr>
          <w:lang w:val="es-ES"/>
        </w:rPr>
        <w:t>:</w:t>
      </w:r>
    </w:p>
    <w:p w14:paraId="2C7E6AF3" w14:textId="6790F6AB" w:rsidR="007C5840" w:rsidRPr="008A4FD0" w:rsidRDefault="007C5840" w:rsidP="007C5840">
      <w:pPr>
        <w:pStyle w:val="ONUME"/>
        <w:numPr>
          <w:ilvl w:val="0"/>
          <w:numId w:val="0"/>
        </w:numPr>
        <w:ind w:left="1134"/>
        <w:rPr>
          <w:lang w:val="es-ES"/>
        </w:rPr>
      </w:pPr>
      <w:r w:rsidRPr="008A4FD0">
        <w:rPr>
          <w:lang w:val="es-ES"/>
        </w:rPr>
        <w:t>–</w:t>
      </w:r>
      <w:r w:rsidRPr="008A4FD0">
        <w:rPr>
          <w:lang w:val="es-ES"/>
        </w:rPr>
        <w:tab/>
        <w:t>Australia, 15 meses a partir de la fecha de</w:t>
      </w:r>
      <w:r w:rsidR="00E60423" w:rsidRPr="008A4FD0">
        <w:rPr>
          <w:lang w:val="es-ES"/>
        </w:rPr>
        <w:t xml:space="preserve"> notificación </w:t>
      </w:r>
      <w:r w:rsidR="00DA32B5" w:rsidRPr="008A4FD0">
        <w:rPr>
          <w:lang w:val="es-ES"/>
        </w:rPr>
        <w:t>de</w:t>
      </w:r>
      <w:r w:rsidR="00E60423" w:rsidRPr="008A4FD0">
        <w:rPr>
          <w:lang w:val="es-ES"/>
        </w:rPr>
        <w:t xml:space="preserve"> la Oficina;</w:t>
      </w:r>
    </w:p>
    <w:p w14:paraId="35703D46" w14:textId="7E60CE25"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E265A7" w:rsidRPr="008A4FD0">
        <w:rPr>
          <w:lang w:val="es-ES"/>
        </w:rPr>
        <w:t xml:space="preserve">China, 15 </w:t>
      </w:r>
      <w:r w:rsidR="00DA32B5" w:rsidRPr="008A4FD0">
        <w:rPr>
          <w:lang w:val="es-ES"/>
        </w:rPr>
        <w:t>días a partir de la fecha de recepción de la notificación por el titular;</w:t>
      </w:r>
    </w:p>
    <w:p w14:paraId="3CA21FE3" w14:textId="538A9842"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DA32B5" w:rsidRPr="008A4FD0">
        <w:rPr>
          <w:lang w:val="es-ES"/>
        </w:rPr>
        <w:t>Francia</w:t>
      </w:r>
      <w:r w:rsidR="00E265A7" w:rsidRPr="008A4FD0">
        <w:rPr>
          <w:lang w:val="es-ES"/>
        </w:rPr>
        <w:t xml:space="preserve">, </w:t>
      </w:r>
      <w:r w:rsidR="00DA32B5" w:rsidRPr="008A4FD0">
        <w:rPr>
          <w:lang w:val="es-ES"/>
        </w:rPr>
        <w:t>un mes a partir de la fecha en que la Oficina envía la notificación a la Oficina Internacional;</w:t>
      </w:r>
    </w:p>
    <w:p w14:paraId="5E7F90A7" w14:textId="7FB01573"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DA32B5" w:rsidRPr="008A4FD0">
        <w:rPr>
          <w:lang w:val="es-ES"/>
        </w:rPr>
        <w:t>Mé</w:t>
      </w:r>
      <w:r w:rsidR="00E265A7" w:rsidRPr="008A4FD0">
        <w:rPr>
          <w:lang w:val="es-ES"/>
        </w:rPr>
        <w:t xml:space="preserve">xico, </w:t>
      </w:r>
      <w:r w:rsidR="00DA32B5" w:rsidRPr="008A4FD0">
        <w:rPr>
          <w:lang w:val="es-ES"/>
        </w:rPr>
        <w:t>dos meses a partir de la fecha en que la Oficina Internacional transmite la notificación al titular;</w:t>
      </w:r>
    </w:p>
    <w:p w14:paraId="66F998A1" w14:textId="0B9719BA"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DA32B5" w:rsidRPr="008A4FD0">
        <w:rPr>
          <w:lang w:val="es-ES"/>
        </w:rPr>
        <w:t>Egipto</w:t>
      </w:r>
      <w:r w:rsidR="00E265A7" w:rsidRPr="008A4FD0">
        <w:rPr>
          <w:lang w:val="es-ES"/>
        </w:rPr>
        <w:t xml:space="preserve">, 60 </w:t>
      </w:r>
      <w:r w:rsidR="00DA32B5" w:rsidRPr="008A4FD0">
        <w:rPr>
          <w:lang w:val="es-ES"/>
        </w:rPr>
        <w:t>días a partir de la fecha de notificación de la Oficina;</w:t>
      </w:r>
      <w:r w:rsidR="00E265A7" w:rsidRPr="008A4FD0">
        <w:rPr>
          <w:lang w:val="es-ES"/>
        </w:rPr>
        <w:t xml:space="preserve"> </w:t>
      </w:r>
    </w:p>
    <w:p w14:paraId="7E6114D4" w14:textId="7DA128BF"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E265A7" w:rsidRPr="008A4FD0">
        <w:rPr>
          <w:lang w:val="es-ES"/>
        </w:rPr>
        <w:t>Nor</w:t>
      </w:r>
      <w:r w:rsidR="00DA32B5" w:rsidRPr="008A4FD0">
        <w:rPr>
          <w:lang w:val="es-ES"/>
        </w:rPr>
        <w:t>uega, tres meses a partir de la fecha de la decisión de la Oficina</w:t>
      </w:r>
      <w:r w:rsidR="00D61CD3" w:rsidRPr="008A4FD0">
        <w:rPr>
          <w:lang w:val="es-ES"/>
        </w:rPr>
        <w:t>;</w:t>
      </w:r>
      <w:r w:rsidR="00E265A7" w:rsidRPr="008A4FD0">
        <w:rPr>
          <w:lang w:val="es-ES"/>
        </w:rPr>
        <w:t xml:space="preserve">  </w:t>
      </w:r>
    </w:p>
    <w:p w14:paraId="6F4BF544" w14:textId="72ACB603" w:rsidR="00FC04F1" w:rsidRPr="008A4FD0" w:rsidRDefault="00DF4AE1" w:rsidP="00DF4AE1">
      <w:pPr>
        <w:pStyle w:val="ONUME"/>
        <w:numPr>
          <w:ilvl w:val="0"/>
          <w:numId w:val="0"/>
        </w:numPr>
        <w:ind w:left="1134"/>
        <w:rPr>
          <w:lang w:val="es-ES"/>
        </w:rPr>
      </w:pPr>
      <w:r w:rsidRPr="008A4FD0">
        <w:rPr>
          <w:lang w:val="es-ES"/>
        </w:rPr>
        <w:t>–</w:t>
      </w:r>
      <w:r w:rsidRPr="008A4FD0">
        <w:rPr>
          <w:lang w:val="es-ES"/>
        </w:rPr>
        <w:tab/>
      </w:r>
      <w:r w:rsidR="00506CB0" w:rsidRPr="008A4FD0">
        <w:rPr>
          <w:lang w:val="es-ES"/>
        </w:rPr>
        <w:t>la Federación de Rusia</w:t>
      </w:r>
      <w:r w:rsidR="00E265A7" w:rsidRPr="008A4FD0">
        <w:rPr>
          <w:lang w:val="es-ES"/>
        </w:rPr>
        <w:t xml:space="preserve">, </w:t>
      </w:r>
      <w:r w:rsidR="00506CB0" w:rsidRPr="008A4FD0">
        <w:rPr>
          <w:lang w:val="es-ES"/>
        </w:rPr>
        <w:t xml:space="preserve">seis meses a partir de la fecha de notificación </w:t>
      </w:r>
      <w:r w:rsidR="00DA32B5" w:rsidRPr="008A4FD0">
        <w:rPr>
          <w:lang w:val="es-ES"/>
        </w:rPr>
        <w:t>de</w:t>
      </w:r>
      <w:r w:rsidR="00506CB0" w:rsidRPr="008A4FD0">
        <w:rPr>
          <w:lang w:val="es-ES"/>
        </w:rPr>
        <w:t xml:space="preserve"> la</w:t>
      </w:r>
      <w:r w:rsidR="009C0F83">
        <w:rPr>
          <w:lang w:val="es-ES"/>
        </w:rPr>
        <w:t> </w:t>
      </w:r>
      <w:r w:rsidR="00506CB0" w:rsidRPr="008A4FD0">
        <w:rPr>
          <w:lang w:val="es-ES"/>
        </w:rPr>
        <w:t>Oficina</w:t>
      </w:r>
      <w:r w:rsidR="00DA32B5" w:rsidRPr="008A4FD0">
        <w:rPr>
          <w:lang w:val="es-ES"/>
        </w:rPr>
        <w:t>.</w:t>
      </w:r>
    </w:p>
    <w:p w14:paraId="4EEA49EF" w14:textId="145D26F5" w:rsidR="00FC04F1" w:rsidRPr="008A4FD0" w:rsidRDefault="00DF4AE1" w:rsidP="00DF4AE1">
      <w:pPr>
        <w:pStyle w:val="ONUME"/>
        <w:numPr>
          <w:ilvl w:val="0"/>
          <w:numId w:val="0"/>
        </w:numPr>
        <w:ind w:left="567"/>
        <w:rPr>
          <w:i/>
          <w:lang w:val="es-ES"/>
        </w:rPr>
      </w:pPr>
      <w:r w:rsidRPr="008A4FD0">
        <w:rPr>
          <w:i/>
          <w:lang w:val="es-ES"/>
        </w:rPr>
        <w:t>ii)</w:t>
      </w:r>
      <w:r w:rsidRPr="008A4FD0">
        <w:rPr>
          <w:i/>
          <w:lang w:val="es-ES"/>
        </w:rPr>
        <w:tab/>
      </w:r>
      <w:r w:rsidR="00E265A7" w:rsidRPr="008A4FD0">
        <w:rPr>
          <w:i/>
          <w:lang w:val="es-ES"/>
        </w:rPr>
        <w:t>Di</w:t>
      </w:r>
      <w:r w:rsidR="002A41CE" w:rsidRPr="008A4FD0">
        <w:rPr>
          <w:i/>
          <w:lang w:val="es-ES"/>
        </w:rPr>
        <w:t>stintos idiomas</w:t>
      </w:r>
      <w:r w:rsidR="00E265A7" w:rsidRPr="008A4FD0">
        <w:rPr>
          <w:i/>
          <w:lang w:val="es-ES"/>
        </w:rPr>
        <w:t xml:space="preserve">  </w:t>
      </w:r>
    </w:p>
    <w:p w14:paraId="1AFF31E3" w14:textId="2AB4BA27" w:rsidR="00FC04F1" w:rsidRPr="008A4FD0" w:rsidRDefault="00DA32B5" w:rsidP="00DF4AE1">
      <w:pPr>
        <w:pStyle w:val="ONUME"/>
        <w:numPr>
          <w:ilvl w:val="0"/>
          <w:numId w:val="0"/>
        </w:numPr>
        <w:ind w:left="567"/>
        <w:rPr>
          <w:lang w:val="es-ES"/>
        </w:rPr>
      </w:pPr>
      <w:r w:rsidRPr="008A4FD0">
        <w:rPr>
          <w:lang w:val="es-ES"/>
        </w:rPr>
        <w:t>La notificación de denegación provisional figurará en el idioma de comunicación escogido por la Oficina. En el ejemplo anterior, el titular recibirá notificaciones de denegación provisional en inglés (Australia, China, Egipto, la Federación de Rusia y Noruega), francés (Francia) y español (México). Además, la Regla 17.2)v) del Reglamento Común autoriza a las Oficinas a enumerar, en la notificación, la lista de productos y servicios respecto de los que pueden existir derechos anteriores en el idioma utilizado por esa Oficina. Según el ejemplo anterior, el titular podrá recibir denegaciones provisionales basadas en derechos anteriores que contengan listas de productos y servicios en árabe, chino, noruego y ruso.</w:t>
      </w:r>
    </w:p>
    <w:p w14:paraId="09AB89FB" w14:textId="365D81EA" w:rsidR="00E60423" w:rsidRPr="00B93DC9" w:rsidRDefault="00E60423" w:rsidP="00E60423">
      <w:pPr>
        <w:pStyle w:val="ONUME"/>
        <w:numPr>
          <w:ilvl w:val="0"/>
          <w:numId w:val="0"/>
        </w:numPr>
        <w:ind w:firstLine="567"/>
        <w:rPr>
          <w:i/>
          <w:lang w:val="es-ES"/>
        </w:rPr>
      </w:pPr>
      <w:r w:rsidRPr="00B93DC9">
        <w:rPr>
          <w:i/>
          <w:lang w:val="es-ES"/>
        </w:rPr>
        <w:lastRenderedPageBreak/>
        <w:t>iii)</w:t>
      </w:r>
      <w:r w:rsidRPr="00B93DC9">
        <w:rPr>
          <w:i/>
          <w:lang w:val="es-ES"/>
        </w:rPr>
        <w:tab/>
      </w:r>
      <w:r w:rsidR="002A41CE" w:rsidRPr="00B93DC9">
        <w:rPr>
          <w:i/>
          <w:lang w:val="es-ES"/>
        </w:rPr>
        <w:t>Requisitos adicionales</w:t>
      </w:r>
      <w:r w:rsidRPr="00B93DC9">
        <w:rPr>
          <w:i/>
          <w:lang w:val="es-ES"/>
        </w:rPr>
        <w:t xml:space="preserve">  </w:t>
      </w:r>
    </w:p>
    <w:p w14:paraId="5C3B4750" w14:textId="6BFB7968" w:rsidR="00FC04F1" w:rsidRPr="008A4FD0" w:rsidRDefault="00DA32B5" w:rsidP="002C1DCA">
      <w:pPr>
        <w:pStyle w:val="ONUME"/>
        <w:numPr>
          <w:ilvl w:val="0"/>
          <w:numId w:val="0"/>
        </w:numPr>
        <w:ind w:left="567"/>
        <w:rPr>
          <w:lang w:val="es-ES"/>
        </w:rPr>
      </w:pPr>
      <w:r w:rsidRPr="008A4FD0">
        <w:rPr>
          <w:lang w:val="es-ES"/>
        </w:rPr>
        <w:t>Las Oficinas podrán tener requisitos adicionales, por ejemplo, el de que el titular esté obligado a nombrar un agente o abogado local, que a veces se elegirá de una lista de agentes o abogados debidamente autorizados, para responder a la notificación.</w:t>
      </w:r>
    </w:p>
    <w:p w14:paraId="497911E4" w14:textId="7764B3F6" w:rsidR="00FC04F1" w:rsidRPr="008A4FD0" w:rsidRDefault="002A41CE" w:rsidP="00FC04F1">
      <w:pPr>
        <w:pStyle w:val="Heading2"/>
        <w:rPr>
          <w:lang w:val="es-ES"/>
        </w:rPr>
      </w:pPr>
      <w:r w:rsidRPr="008A4FD0">
        <w:rPr>
          <w:lang w:val="es-ES"/>
        </w:rPr>
        <w:t xml:space="preserve">TRANSMISIÓN </w:t>
      </w:r>
      <w:r w:rsidR="00FC04F1" w:rsidRPr="008A4FD0">
        <w:rPr>
          <w:lang w:val="es-ES"/>
        </w:rPr>
        <w:t>de la notifica</w:t>
      </w:r>
      <w:r w:rsidR="00B10AF3" w:rsidRPr="008A4FD0">
        <w:rPr>
          <w:lang w:val="es-ES"/>
        </w:rPr>
        <w:t>ción a la Oficina Internacional</w:t>
      </w:r>
    </w:p>
    <w:p w14:paraId="44B040BA" w14:textId="77777777" w:rsidR="00FC04F1" w:rsidRPr="008A4FD0" w:rsidRDefault="00FC04F1" w:rsidP="000F455D">
      <w:pPr>
        <w:rPr>
          <w:lang w:val="es-ES"/>
        </w:rPr>
      </w:pPr>
    </w:p>
    <w:p w14:paraId="53B4EF28" w14:textId="7E89810F" w:rsidR="00FC04F1" w:rsidRPr="008A4FD0" w:rsidRDefault="00DA32B5" w:rsidP="00AE79B7">
      <w:pPr>
        <w:pStyle w:val="ONUME"/>
        <w:rPr>
          <w:lang w:val="es-ES"/>
        </w:rPr>
      </w:pPr>
      <w:r w:rsidRPr="008A4FD0">
        <w:rPr>
          <w:lang w:val="es-ES"/>
        </w:rPr>
        <w:t>Adem</w:t>
      </w:r>
      <w:r w:rsidR="00A210F1" w:rsidRPr="008A4FD0">
        <w:rPr>
          <w:lang w:val="es-ES"/>
        </w:rPr>
        <w:t>ás de los distintos cálculos de</w:t>
      </w:r>
      <w:r w:rsidRPr="008A4FD0">
        <w:rPr>
          <w:lang w:val="es-ES"/>
        </w:rPr>
        <w:t>l</w:t>
      </w:r>
      <w:r w:rsidR="00A210F1" w:rsidRPr="008A4FD0">
        <w:rPr>
          <w:lang w:val="es-ES"/>
        </w:rPr>
        <w:t xml:space="preserve"> plazo</w:t>
      </w:r>
      <w:r w:rsidRPr="008A4FD0">
        <w:rPr>
          <w:lang w:val="es-ES"/>
        </w:rPr>
        <w:t xml:space="preserve"> expuestos anteriormente, el </w:t>
      </w:r>
      <w:r w:rsidR="007D2F48" w:rsidRPr="008A4FD0">
        <w:rPr>
          <w:lang w:val="es-ES"/>
        </w:rPr>
        <w:t xml:space="preserve">período de </w:t>
      </w:r>
      <w:r w:rsidRPr="008A4FD0">
        <w:rPr>
          <w:lang w:val="es-ES"/>
        </w:rPr>
        <w:t xml:space="preserve">tiempo de que dispone </w:t>
      </w:r>
      <w:r w:rsidR="007D2F48" w:rsidRPr="008A4FD0">
        <w:rPr>
          <w:lang w:val="es-ES"/>
        </w:rPr>
        <w:t xml:space="preserve">realmente </w:t>
      </w:r>
      <w:r w:rsidRPr="008A4FD0">
        <w:rPr>
          <w:lang w:val="es-ES"/>
        </w:rPr>
        <w:t>el titular para responder a la notificación podría acortarse aún más en función de</w:t>
      </w:r>
      <w:r w:rsidR="00E265A7" w:rsidRPr="008A4FD0">
        <w:rPr>
          <w:lang w:val="es-ES"/>
        </w:rPr>
        <w:t>:</w:t>
      </w:r>
    </w:p>
    <w:p w14:paraId="5F51C178" w14:textId="72B692E4" w:rsidR="00FC04F1" w:rsidRPr="008A4FD0" w:rsidRDefault="00AE79B7" w:rsidP="00DA32B5">
      <w:pPr>
        <w:pStyle w:val="ONUME"/>
        <w:numPr>
          <w:ilvl w:val="0"/>
          <w:numId w:val="0"/>
        </w:numPr>
        <w:ind w:left="567"/>
        <w:rPr>
          <w:lang w:val="es-ES"/>
        </w:rPr>
      </w:pPr>
      <w:r w:rsidRPr="008A4FD0">
        <w:rPr>
          <w:lang w:val="es-ES"/>
        </w:rPr>
        <w:t>–</w:t>
      </w:r>
      <w:r w:rsidRPr="008A4FD0">
        <w:rPr>
          <w:lang w:val="es-ES"/>
        </w:rPr>
        <w:tab/>
      </w:r>
      <w:r w:rsidR="00DA32B5" w:rsidRPr="008A4FD0">
        <w:rPr>
          <w:lang w:val="es-ES"/>
        </w:rPr>
        <w:t>los medios de comunicación entre la Oficina y la Oficina Internacional</w:t>
      </w:r>
      <w:r w:rsidR="00E265A7" w:rsidRPr="008A4FD0">
        <w:rPr>
          <w:lang w:val="es-ES"/>
        </w:rPr>
        <w:t xml:space="preserve">;  </w:t>
      </w:r>
    </w:p>
    <w:p w14:paraId="3E84B0FE" w14:textId="56AE5899" w:rsidR="00FC04F1" w:rsidRPr="008A4FD0" w:rsidRDefault="00AE79B7" w:rsidP="001C3635">
      <w:pPr>
        <w:pStyle w:val="ONUME"/>
        <w:numPr>
          <w:ilvl w:val="0"/>
          <w:numId w:val="0"/>
        </w:numPr>
        <w:ind w:left="567"/>
        <w:rPr>
          <w:lang w:val="es-ES"/>
        </w:rPr>
      </w:pPr>
      <w:r w:rsidRPr="008A4FD0">
        <w:rPr>
          <w:lang w:val="es-ES"/>
        </w:rPr>
        <w:t>–</w:t>
      </w:r>
      <w:r w:rsidRPr="008A4FD0">
        <w:rPr>
          <w:lang w:val="es-ES"/>
        </w:rPr>
        <w:tab/>
      </w:r>
      <w:r w:rsidR="00DA32B5" w:rsidRPr="008A4FD0">
        <w:rPr>
          <w:lang w:val="es-ES"/>
        </w:rPr>
        <w:t xml:space="preserve">el </w:t>
      </w:r>
      <w:r w:rsidR="001C3635" w:rsidRPr="008A4FD0">
        <w:rPr>
          <w:lang w:val="es-ES"/>
        </w:rPr>
        <w:t>trámite necesario emprendido por la Oficina Internacional (</w:t>
      </w:r>
      <w:r w:rsidR="00764C09">
        <w:rPr>
          <w:lang w:val="es-ES"/>
        </w:rPr>
        <w:t>introducción</w:t>
      </w:r>
      <w:r w:rsidR="00764C09" w:rsidRPr="008A4FD0">
        <w:rPr>
          <w:lang w:val="es-ES"/>
        </w:rPr>
        <w:t xml:space="preserve"> </w:t>
      </w:r>
      <w:r w:rsidR="001C3635" w:rsidRPr="008A4FD0">
        <w:rPr>
          <w:lang w:val="es-ES"/>
        </w:rPr>
        <w:t xml:space="preserve">de </w:t>
      </w:r>
      <w:r w:rsidR="00764C09">
        <w:rPr>
          <w:lang w:val="es-ES"/>
        </w:rPr>
        <w:t>datos</w:t>
      </w:r>
      <w:r w:rsidR="001C3635" w:rsidRPr="008A4FD0">
        <w:rPr>
          <w:lang w:val="es-ES"/>
        </w:rPr>
        <w:t xml:space="preserve">, examen, inscripción y notificación) que, por término medio, lleva </w:t>
      </w:r>
      <w:r w:rsidR="009C0F83">
        <w:rPr>
          <w:lang w:val="es-ES"/>
        </w:rPr>
        <w:t>12</w:t>
      </w:r>
      <w:r w:rsidR="001C3635" w:rsidRPr="008A4FD0">
        <w:rPr>
          <w:lang w:val="es-ES"/>
        </w:rPr>
        <w:t xml:space="preserve"> días laborables</w:t>
      </w:r>
      <w:r w:rsidR="00A210F1" w:rsidRPr="008A4FD0">
        <w:rPr>
          <w:lang w:val="es-ES"/>
        </w:rPr>
        <w:t>,</w:t>
      </w:r>
      <w:r w:rsidR="00E265A7" w:rsidRPr="008A4FD0">
        <w:rPr>
          <w:vertAlign w:val="superscript"/>
          <w:lang w:val="es-ES"/>
        </w:rPr>
        <w:footnoteReference w:id="9"/>
      </w:r>
      <w:r w:rsidR="00E265A7" w:rsidRPr="008A4FD0">
        <w:rPr>
          <w:lang w:val="es-ES"/>
        </w:rPr>
        <w:t xml:space="preserve"> </w:t>
      </w:r>
      <w:r w:rsidR="001C3635" w:rsidRPr="008A4FD0">
        <w:rPr>
          <w:lang w:val="es-ES"/>
        </w:rPr>
        <w:t>y</w:t>
      </w:r>
    </w:p>
    <w:p w14:paraId="6525B654" w14:textId="2AC169AB" w:rsidR="00FC04F1" w:rsidRPr="008A4FD0" w:rsidRDefault="00AE79B7" w:rsidP="001C3635">
      <w:pPr>
        <w:pStyle w:val="ONUME"/>
        <w:numPr>
          <w:ilvl w:val="0"/>
          <w:numId w:val="0"/>
        </w:numPr>
        <w:ind w:left="567"/>
        <w:rPr>
          <w:lang w:val="es-ES"/>
        </w:rPr>
      </w:pPr>
      <w:r w:rsidRPr="008A4FD0">
        <w:rPr>
          <w:lang w:val="es-ES"/>
        </w:rPr>
        <w:t>–</w:t>
      </w:r>
      <w:r w:rsidRPr="008A4FD0">
        <w:rPr>
          <w:lang w:val="es-ES"/>
        </w:rPr>
        <w:tab/>
      </w:r>
      <w:r w:rsidR="001C3635" w:rsidRPr="008A4FD0">
        <w:rPr>
          <w:lang w:val="es-ES"/>
        </w:rPr>
        <w:t xml:space="preserve">los medios de comunicación entre la Oficina </w:t>
      </w:r>
      <w:r w:rsidR="000B1DD2" w:rsidRPr="008A4FD0">
        <w:rPr>
          <w:lang w:val="es-ES"/>
        </w:rPr>
        <w:t>Internacional</w:t>
      </w:r>
      <w:r w:rsidR="001C3635" w:rsidRPr="008A4FD0">
        <w:rPr>
          <w:lang w:val="es-ES"/>
        </w:rPr>
        <w:t xml:space="preserve"> y el titular.</w:t>
      </w:r>
    </w:p>
    <w:p w14:paraId="187EC75E" w14:textId="6435C4D6" w:rsidR="000B1DD2" w:rsidRPr="008A4FD0" w:rsidRDefault="00EF757E" w:rsidP="00CA105F">
      <w:pPr>
        <w:pStyle w:val="ONUME"/>
        <w:rPr>
          <w:lang w:val="es-ES"/>
        </w:rPr>
      </w:pPr>
      <w:r w:rsidRPr="008A4FD0">
        <w:rPr>
          <w:lang w:val="es-ES"/>
        </w:rPr>
        <w:t>La información que recibe la Oficina Internacional figura en formato legible por máquina o en otros formatos. La información transmitida en formato de lenguaje extensible de marcado (XML), con arreglo a las normas del servicio de comunicación electrónica del Sistema de Madrid (MECA), es legible por máquina. La información transmitida por otros medios, por ejemplo, imágenes de documentos transmitidos en formato de documento portátil (PDF), ya sea por medio del Portal de Madrid para las Oficinas</w:t>
      </w:r>
      <w:r w:rsidR="00A210F1" w:rsidRPr="008A4FD0">
        <w:rPr>
          <w:lang w:val="es-ES"/>
        </w:rPr>
        <w:t xml:space="preserve"> de PI (MOP) o el formulario en línea </w:t>
      </w:r>
      <w:r w:rsidRPr="008A4FD0">
        <w:rPr>
          <w:lang w:val="es-ES"/>
        </w:rPr>
        <w:t>de Contact Madrid, así como los documentos enviados por medio de un servicio postal, no son legibles por máquina.</w:t>
      </w:r>
    </w:p>
    <w:p w14:paraId="256C227F" w14:textId="71217A60" w:rsidR="00FC04F1" w:rsidRPr="008A4FD0" w:rsidRDefault="00EF757E" w:rsidP="00CA105F">
      <w:pPr>
        <w:pStyle w:val="ONUME"/>
        <w:rPr>
          <w:lang w:val="es-ES"/>
        </w:rPr>
      </w:pPr>
      <w:r w:rsidRPr="008A4FD0">
        <w:rPr>
          <w:lang w:val="es-ES"/>
        </w:rPr>
        <w:t xml:space="preserve">Cuando las Oficinas transmiten información en formato XML, la información se recoge directamente en el sistema de tramitación interno de la Oficina Internacional, lo que permite automatizar la </w:t>
      </w:r>
      <w:r w:rsidR="00764C09">
        <w:rPr>
          <w:lang w:val="es-ES"/>
        </w:rPr>
        <w:t xml:space="preserve">introducción </w:t>
      </w:r>
      <w:r w:rsidRPr="008A4FD0">
        <w:rPr>
          <w:lang w:val="es-ES"/>
        </w:rPr>
        <w:t>de datos, el examen y la transmisión de la información al titular. Dicho modo de comunicación, en sí, no incide negativamente en el plazo para responder a las notificaciones.</w:t>
      </w:r>
    </w:p>
    <w:p w14:paraId="52AD0B54" w14:textId="250ECBF1" w:rsidR="00AB31C3" w:rsidRDefault="00EF757E" w:rsidP="00BD18CB">
      <w:pPr>
        <w:pStyle w:val="ONUME"/>
        <w:rPr>
          <w:lang w:val="es-ES"/>
        </w:rPr>
      </w:pPr>
      <w:r w:rsidRPr="008A4FD0">
        <w:rPr>
          <w:lang w:val="es-ES"/>
        </w:rPr>
        <w:t>Cuando las Oficinas transmiten información en formato no legible por máquina, la Oficina Internacional necesita procesar</w:t>
      </w:r>
      <w:r w:rsidR="00FF03DF" w:rsidRPr="008A4FD0">
        <w:rPr>
          <w:lang w:val="es-ES"/>
        </w:rPr>
        <w:t>la</w:t>
      </w:r>
      <w:r w:rsidRPr="008A4FD0">
        <w:rPr>
          <w:lang w:val="es-ES"/>
        </w:rPr>
        <w:t xml:space="preserve"> manualmente para </w:t>
      </w:r>
      <w:r w:rsidR="00764C09">
        <w:rPr>
          <w:lang w:val="es-ES"/>
        </w:rPr>
        <w:t xml:space="preserve">introducir </w:t>
      </w:r>
      <w:r w:rsidRPr="008A4FD0">
        <w:rPr>
          <w:lang w:val="es-ES"/>
        </w:rPr>
        <w:t xml:space="preserve">los datos, examinarlos y transmitir </w:t>
      </w:r>
      <w:r w:rsidR="00DD62BD" w:rsidRPr="008A4FD0">
        <w:rPr>
          <w:lang w:val="es-ES"/>
        </w:rPr>
        <w:t xml:space="preserve">la información </w:t>
      </w:r>
      <w:r w:rsidRPr="008A4FD0">
        <w:rPr>
          <w:lang w:val="es-ES"/>
        </w:rPr>
        <w:t xml:space="preserve">al titular. Este proceso manual puede incidir negativamente en </w:t>
      </w:r>
      <w:r w:rsidR="00FF03DF" w:rsidRPr="008A4FD0">
        <w:rPr>
          <w:lang w:val="es-ES"/>
        </w:rPr>
        <w:t xml:space="preserve">el plazo para responder a las notificaciones, en función de la manera en que deba calcularse. Es posible que </w:t>
      </w:r>
      <w:r w:rsidR="006878C4">
        <w:rPr>
          <w:lang w:val="es-ES"/>
        </w:rPr>
        <w:t xml:space="preserve">para </w:t>
      </w:r>
      <w:r w:rsidR="00FF03DF" w:rsidRPr="008A4FD0">
        <w:rPr>
          <w:lang w:val="es-ES"/>
        </w:rPr>
        <w:t xml:space="preserve">los documentos enviados por medio de un servicio postal </w:t>
      </w:r>
      <w:r w:rsidR="006878C4">
        <w:rPr>
          <w:lang w:val="es-ES"/>
        </w:rPr>
        <w:t>la</w:t>
      </w:r>
      <w:r w:rsidR="006878C4" w:rsidRPr="008A4FD0">
        <w:rPr>
          <w:lang w:val="es-ES"/>
        </w:rPr>
        <w:t xml:space="preserve"> </w:t>
      </w:r>
      <w:r w:rsidR="00FF03DF" w:rsidRPr="008A4FD0">
        <w:rPr>
          <w:lang w:val="es-ES"/>
        </w:rPr>
        <w:t xml:space="preserve">incidencia en el plazo </w:t>
      </w:r>
      <w:r w:rsidR="00175F0B">
        <w:rPr>
          <w:lang w:val="es-ES"/>
        </w:rPr>
        <w:t xml:space="preserve">para responder </w:t>
      </w:r>
      <w:r w:rsidR="006878C4">
        <w:rPr>
          <w:lang w:val="es-ES"/>
        </w:rPr>
        <w:t xml:space="preserve">sea aún </w:t>
      </w:r>
      <w:r w:rsidR="006878C4" w:rsidRPr="008A4FD0">
        <w:rPr>
          <w:lang w:val="es-ES"/>
        </w:rPr>
        <w:t xml:space="preserve">más negativa </w:t>
      </w:r>
      <w:r w:rsidR="00FF03DF" w:rsidRPr="008A4FD0">
        <w:rPr>
          <w:lang w:val="es-ES"/>
        </w:rPr>
        <w:t>debido a los retrasos propios de esos servicios.</w:t>
      </w:r>
    </w:p>
    <w:p w14:paraId="457BA878" w14:textId="66622F01" w:rsidR="00FF03DF" w:rsidRPr="008A4FD0" w:rsidRDefault="00FF03DF" w:rsidP="00BD18CB">
      <w:pPr>
        <w:pStyle w:val="ONUME"/>
        <w:rPr>
          <w:lang w:val="es-ES"/>
        </w:rPr>
      </w:pPr>
      <w:r w:rsidRPr="008A4FD0">
        <w:rPr>
          <w:lang w:val="es-ES"/>
        </w:rPr>
        <w:t>E</w:t>
      </w:r>
      <w:r w:rsidR="00E265A7" w:rsidRPr="008A4FD0">
        <w:rPr>
          <w:lang w:val="es-ES"/>
        </w:rPr>
        <w:t>n</w:t>
      </w:r>
      <w:r w:rsidR="00A25AA7" w:rsidRPr="008A4FD0">
        <w:rPr>
          <w:lang w:val="es-ES"/>
        </w:rPr>
        <w:t xml:space="preserve"> </w:t>
      </w:r>
      <w:r w:rsidR="00E265A7" w:rsidRPr="008A4FD0">
        <w:rPr>
          <w:lang w:val="es-ES"/>
        </w:rPr>
        <w:t xml:space="preserve">2018, </w:t>
      </w:r>
      <w:r w:rsidRPr="008A4FD0">
        <w:rPr>
          <w:lang w:val="es-ES"/>
        </w:rPr>
        <w:t xml:space="preserve">la Oficina </w:t>
      </w:r>
      <w:r w:rsidR="00E265A7" w:rsidRPr="008A4FD0">
        <w:rPr>
          <w:lang w:val="es-ES"/>
        </w:rPr>
        <w:t>Interna</w:t>
      </w:r>
      <w:r w:rsidRPr="008A4FD0">
        <w:rPr>
          <w:lang w:val="es-ES"/>
        </w:rPr>
        <w:t>c</w:t>
      </w:r>
      <w:r w:rsidR="00E265A7" w:rsidRPr="008A4FD0">
        <w:rPr>
          <w:lang w:val="es-ES"/>
        </w:rPr>
        <w:t xml:space="preserve">ional </w:t>
      </w:r>
      <w:r w:rsidRPr="008A4FD0">
        <w:rPr>
          <w:lang w:val="es-ES"/>
        </w:rPr>
        <w:t>recibió 134.000 notificaciones de denegaciones provisionales. De ellas, 112.000 (83%) se transmitieron en formato XML; sin embargo:</w:t>
      </w:r>
    </w:p>
    <w:p w14:paraId="1BFB604D" w14:textId="7A197FA8" w:rsidR="00FC04F1" w:rsidRPr="008A4FD0" w:rsidRDefault="00AE79B7" w:rsidP="00AE79B7">
      <w:pPr>
        <w:pStyle w:val="ONUME"/>
        <w:numPr>
          <w:ilvl w:val="0"/>
          <w:numId w:val="0"/>
        </w:numPr>
        <w:ind w:left="567"/>
        <w:rPr>
          <w:lang w:val="es-ES"/>
        </w:rPr>
      </w:pPr>
      <w:r w:rsidRPr="008A4FD0">
        <w:rPr>
          <w:lang w:val="es-ES"/>
        </w:rPr>
        <w:t>–</w:t>
      </w:r>
      <w:r w:rsidRPr="008A4FD0">
        <w:rPr>
          <w:lang w:val="es-ES"/>
        </w:rPr>
        <w:tab/>
      </w:r>
      <w:r w:rsidR="00FF03DF" w:rsidRPr="008A4FD0">
        <w:rPr>
          <w:lang w:val="es-ES"/>
        </w:rPr>
        <w:t xml:space="preserve">únicamente </w:t>
      </w:r>
      <w:r w:rsidR="00E265A7" w:rsidRPr="008A4FD0">
        <w:rPr>
          <w:lang w:val="es-ES"/>
        </w:rPr>
        <w:t xml:space="preserve">29 </w:t>
      </w:r>
      <w:r w:rsidR="00FF03DF" w:rsidRPr="008A4FD0">
        <w:rPr>
          <w:lang w:val="es-ES"/>
        </w:rPr>
        <w:t>Oficinas transmitieron información en formato XML a la Oficina Internacional</w:t>
      </w:r>
      <w:r w:rsidR="00E265A7" w:rsidRPr="008A4FD0">
        <w:rPr>
          <w:lang w:val="es-ES"/>
        </w:rPr>
        <w:t xml:space="preserve">;  </w:t>
      </w:r>
    </w:p>
    <w:p w14:paraId="755FA20E" w14:textId="047B9D96" w:rsidR="00FF03DF" w:rsidRPr="008A4FD0" w:rsidRDefault="00AE79B7" w:rsidP="00AE79B7">
      <w:pPr>
        <w:pStyle w:val="ONUME"/>
        <w:numPr>
          <w:ilvl w:val="0"/>
          <w:numId w:val="0"/>
        </w:numPr>
        <w:ind w:left="567"/>
        <w:rPr>
          <w:lang w:val="es-ES"/>
        </w:rPr>
      </w:pPr>
      <w:r w:rsidRPr="008A4FD0">
        <w:rPr>
          <w:lang w:val="es-ES"/>
        </w:rPr>
        <w:t>–</w:t>
      </w:r>
      <w:r w:rsidRPr="008A4FD0">
        <w:rPr>
          <w:lang w:val="es-ES"/>
        </w:rPr>
        <w:tab/>
      </w:r>
      <w:r w:rsidR="00E265A7" w:rsidRPr="008A4FD0">
        <w:rPr>
          <w:lang w:val="es-ES"/>
        </w:rPr>
        <w:t xml:space="preserve">28 </w:t>
      </w:r>
      <w:r w:rsidR="00FF03DF" w:rsidRPr="008A4FD0">
        <w:rPr>
          <w:lang w:val="es-ES"/>
        </w:rPr>
        <w:t xml:space="preserve">Oficinas transmitieron información a la Oficina Internacional por medio del MOP o del formulario </w:t>
      </w:r>
      <w:r w:rsidR="00A210F1" w:rsidRPr="008A4FD0">
        <w:rPr>
          <w:lang w:val="es-ES"/>
        </w:rPr>
        <w:t xml:space="preserve">en línea </w:t>
      </w:r>
      <w:r w:rsidR="00FF03DF" w:rsidRPr="008A4FD0">
        <w:rPr>
          <w:lang w:val="es-ES"/>
        </w:rPr>
        <w:t>de Contact Madrid, con documentos PDF; y</w:t>
      </w:r>
    </w:p>
    <w:p w14:paraId="3C7E3C02" w14:textId="008FE4CA" w:rsidR="00FC04F1" w:rsidRPr="008A4FD0" w:rsidRDefault="00AE79B7" w:rsidP="00FF03DF">
      <w:pPr>
        <w:pStyle w:val="ONUME"/>
        <w:numPr>
          <w:ilvl w:val="0"/>
          <w:numId w:val="0"/>
        </w:numPr>
        <w:ind w:left="567"/>
        <w:rPr>
          <w:lang w:val="es-ES"/>
        </w:rPr>
      </w:pPr>
      <w:r w:rsidRPr="008A4FD0">
        <w:rPr>
          <w:lang w:val="es-ES"/>
        </w:rPr>
        <w:t>–</w:t>
      </w:r>
      <w:r w:rsidRPr="008A4FD0">
        <w:rPr>
          <w:lang w:val="es-ES"/>
        </w:rPr>
        <w:tab/>
      </w:r>
      <w:r w:rsidR="00E265A7" w:rsidRPr="008A4FD0">
        <w:rPr>
          <w:lang w:val="es-ES"/>
        </w:rPr>
        <w:t xml:space="preserve">36 </w:t>
      </w:r>
      <w:r w:rsidR="00FF03DF" w:rsidRPr="008A4FD0">
        <w:rPr>
          <w:lang w:val="es-ES"/>
        </w:rPr>
        <w:t>Oficinas siguieron transmitiendo información a la Oficina Internacional por medio de un servicio postal</w:t>
      </w:r>
      <w:r w:rsidR="00E265A7" w:rsidRPr="008A4FD0">
        <w:rPr>
          <w:lang w:val="es-ES"/>
        </w:rPr>
        <w:t xml:space="preserve">.  </w:t>
      </w:r>
    </w:p>
    <w:p w14:paraId="5869712C" w14:textId="10C05EEE" w:rsidR="00FC04F1" w:rsidRPr="008A4FD0" w:rsidRDefault="004A01A9" w:rsidP="00DB4351">
      <w:pPr>
        <w:pStyle w:val="Heading2"/>
        <w:keepLines/>
        <w:rPr>
          <w:lang w:val="es-ES"/>
        </w:rPr>
      </w:pPr>
      <w:r w:rsidRPr="008A4FD0">
        <w:rPr>
          <w:lang w:val="es-ES"/>
        </w:rPr>
        <w:lastRenderedPageBreak/>
        <w:t>transmisión de la notificación al titular</w:t>
      </w:r>
    </w:p>
    <w:p w14:paraId="60279959" w14:textId="77777777" w:rsidR="00FC04F1" w:rsidRPr="008A4FD0" w:rsidRDefault="00FC04F1" w:rsidP="00DB4351">
      <w:pPr>
        <w:keepNext/>
        <w:keepLines/>
        <w:rPr>
          <w:lang w:val="es-ES"/>
        </w:rPr>
      </w:pPr>
    </w:p>
    <w:p w14:paraId="351C463D" w14:textId="71C5DA1E" w:rsidR="00FC04F1" w:rsidRPr="008A4FD0" w:rsidRDefault="00BC465B" w:rsidP="00DB4351">
      <w:pPr>
        <w:pStyle w:val="ONUME"/>
        <w:keepNext/>
        <w:keepLines/>
        <w:rPr>
          <w:lang w:val="es-ES"/>
        </w:rPr>
      </w:pPr>
      <w:r w:rsidRPr="008A4FD0">
        <w:rPr>
          <w:lang w:val="es-ES"/>
        </w:rPr>
        <w:t xml:space="preserve">Los titulares o mandatarios que hayan optado por recibir comunicaciones electrónicas de la Oficina Internacional reciben </w:t>
      </w:r>
      <w:r w:rsidR="00A210F1" w:rsidRPr="008A4FD0">
        <w:rPr>
          <w:lang w:val="es-ES"/>
        </w:rPr>
        <w:t xml:space="preserve">por correo electrónico </w:t>
      </w:r>
      <w:r w:rsidRPr="008A4FD0">
        <w:rPr>
          <w:lang w:val="es-ES"/>
        </w:rPr>
        <w:t xml:space="preserve">una copia de la notificación de denegación provisional. Este modo de transmisión no incide negativamente en el período de tiempo </w:t>
      </w:r>
      <w:r w:rsidR="00A210F1" w:rsidRPr="008A4FD0">
        <w:rPr>
          <w:lang w:val="es-ES"/>
        </w:rPr>
        <w:t xml:space="preserve">de </w:t>
      </w:r>
      <w:r w:rsidRPr="008A4FD0">
        <w:rPr>
          <w:lang w:val="es-ES"/>
        </w:rPr>
        <w:t xml:space="preserve">que </w:t>
      </w:r>
      <w:r w:rsidR="00A210F1" w:rsidRPr="008A4FD0">
        <w:rPr>
          <w:lang w:val="es-ES"/>
        </w:rPr>
        <w:t xml:space="preserve">dispone </w:t>
      </w:r>
      <w:r w:rsidRPr="008A4FD0">
        <w:rPr>
          <w:lang w:val="es-ES"/>
        </w:rPr>
        <w:t>el titular para responder a la notificación.</w:t>
      </w:r>
    </w:p>
    <w:p w14:paraId="1B03EA13" w14:textId="410F4917" w:rsidR="00BC465B" w:rsidRPr="008A4FD0" w:rsidRDefault="00BC465B" w:rsidP="00BC465B">
      <w:pPr>
        <w:pStyle w:val="ONUME"/>
        <w:rPr>
          <w:lang w:val="es-ES"/>
        </w:rPr>
      </w:pPr>
      <w:r w:rsidRPr="008A4FD0">
        <w:rPr>
          <w:lang w:val="es-ES"/>
        </w:rPr>
        <w:t xml:space="preserve">Los titulares o mandatarios que no hayan optado por recibir comunicaciones electrónicas de la Oficina Internacional reciben una copia de la notificación de denegación provisional enviada mediante el servicio postal, lo que podría reducir el tiempo de que dispone realmente el titular para responder a la notificación. </w:t>
      </w:r>
      <w:r w:rsidR="007E53FA" w:rsidRPr="008A4FD0">
        <w:rPr>
          <w:lang w:val="es-ES"/>
        </w:rPr>
        <w:t xml:space="preserve">El envío de una notificación mediante servicio postal puede llevar, por término medio, de dos a cuatro días, si el destinatario reside en Europa, de cuatro a siete días, si el destinatario reside en los Estados Unidos de </w:t>
      </w:r>
      <w:r w:rsidR="000B1DD2" w:rsidRPr="008A4FD0">
        <w:rPr>
          <w:lang w:val="es-ES"/>
        </w:rPr>
        <w:t>América</w:t>
      </w:r>
      <w:r w:rsidR="007E53FA" w:rsidRPr="008A4FD0">
        <w:rPr>
          <w:lang w:val="es-ES"/>
        </w:rPr>
        <w:t xml:space="preserve">, y de cuatro a </w:t>
      </w:r>
      <w:r w:rsidR="009C0F83">
        <w:rPr>
          <w:lang w:val="es-ES"/>
        </w:rPr>
        <w:t>10 </w:t>
      </w:r>
      <w:r w:rsidR="007E53FA" w:rsidRPr="008A4FD0">
        <w:rPr>
          <w:lang w:val="es-ES"/>
        </w:rPr>
        <w:t>días, en el caso de los destinatarios del resto del mundo.</w:t>
      </w:r>
    </w:p>
    <w:p w14:paraId="2894CCE5" w14:textId="5A777D63" w:rsidR="007E53FA" w:rsidRPr="008A4FD0" w:rsidRDefault="007E53FA" w:rsidP="00576F8C">
      <w:pPr>
        <w:pStyle w:val="ONUME"/>
        <w:rPr>
          <w:lang w:val="es-ES"/>
        </w:rPr>
      </w:pPr>
      <w:r w:rsidRPr="008A4FD0">
        <w:rPr>
          <w:lang w:val="es-ES"/>
        </w:rPr>
        <w:t xml:space="preserve">En los casos en que una comunicación electrónica no llega al destinatario, la Oficina Internacional recibe un mensaje automático </w:t>
      </w:r>
      <w:r w:rsidR="00576F8C" w:rsidRPr="008A4FD0">
        <w:rPr>
          <w:lang w:val="es-ES"/>
        </w:rPr>
        <w:t>d</w:t>
      </w:r>
      <w:r w:rsidRPr="008A4FD0">
        <w:rPr>
          <w:lang w:val="es-ES"/>
        </w:rPr>
        <w:t>el proveedor de servicios de correo electrónico</w:t>
      </w:r>
      <w:r w:rsidR="00576F8C" w:rsidRPr="008A4FD0">
        <w:rPr>
          <w:lang w:val="es-ES"/>
        </w:rPr>
        <w:t xml:space="preserve"> certificado. Esto</w:t>
      </w:r>
      <w:r w:rsidRPr="008A4FD0">
        <w:rPr>
          <w:lang w:val="es-ES"/>
        </w:rPr>
        <w:t xml:space="preserve"> </w:t>
      </w:r>
      <w:r w:rsidR="00576F8C" w:rsidRPr="008A4FD0">
        <w:rPr>
          <w:lang w:val="es-ES"/>
        </w:rPr>
        <w:t xml:space="preserve">lleva </w:t>
      </w:r>
      <w:r w:rsidRPr="008A4FD0">
        <w:rPr>
          <w:lang w:val="es-ES"/>
        </w:rPr>
        <w:t xml:space="preserve">a </w:t>
      </w:r>
      <w:r w:rsidR="00576F8C" w:rsidRPr="008A4FD0">
        <w:rPr>
          <w:lang w:val="es-ES"/>
        </w:rPr>
        <w:t xml:space="preserve">que </w:t>
      </w:r>
      <w:r w:rsidRPr="008A4FD0">
        <w:rPr>
          <w:lang w:val="es-ES"/>
        </w:rPr>
        <w:t xml:space="preserve">la Oficina Internacional </w:t>
      </w:r>
      <w:r w:rsidR="00576F8C" w:rsidRPr="008A4FD0">
        <w:rPr>
          <w:lang w:val="es-ES"/>
        </w:rPr>
        <w:t xml:space="preserve">vuelva </w:t>
      </w:r>
      <w:r w:rsidRPr="008A4FD0">
        <w:rPr>
          <w:lang w:val="es-ES"/>
        </w:rPr>
        <w:t xml:space="preserve">a enviar la comunicación por vía electrónica y, en caso de que </w:t>
      </w:r>
      <w:r w:rsidR="00576F8C" w:rsidRPr="008A4FD0">
        <w:rPr>
          <w:lang w:val="es-ES"/>
        </w:rPr>
        <w:t>siga sin llegar al destinatario</w:t>
      </w:r>
      <w:r w:rsidR="00A210F1" w:rsidRPr="008A4FD0">
        <w:rPr>
          <w:lang w:val="es-ES"/>
        </w:rPr>
        <w:t>, la comunicación se envíe</w:t>
      </w:r>
      <w:r w:rsidRPr="008A4FD0">
        <w:rPr>
          <w:lang w:val="es-ES"/>
        </w:rPr>
        <w:t xml:space="preserve"> al titular por</w:t>
      </w:r>
      <w:r w:rsidR="00576F8C" w:rsidRPr="008A4FD0">
        <w:rPr>
          <w:lang w:val="es-ES"/>
        </w:rPr>
        <w:t xml:space="preserve"> conducto del servicio postal.</w:t>
      </w:r>
    </w:p>
    <w:p w14:paraId="67FE3A4D" w14:textId="080E3815" w:rsidR="00576F8C" w:rsidRPr="00B93DC9" w:rsidRDefault="00576F8C" w:rsidP="00576F8C">
      <w:pPr>
        <w:pStyle w:val="ONUME"/>
        <w:rPr>
          <w:lang w:val="es-ES"/>
        </w:rPr>
      </w:pPr>
      <w:r w:rsidRPr="008A4FD0">
        <w:rPr>
          <w:lang w:val="es-ES_tradnl"/>
        </w:rPr>
        <w:t xml:space="preserve">Los titulares y los mandatarios también pueden aprovechar el </w:t>
      </w:r>
      <w:r w:rsidRPr="009C0F83">
        <w:rPr>
          <w:i/>
          <w:lang w:val="es-ES"/>
        </w:rPr>
        <w:t>Madrid Portfolio Manager</w:t>
      </w:r>
      <w:r w:rsidRPr="008A4FD0">
        <w:rPr>
          <w:lang w:val="es-ES"/>
        </w:rPr>
        <w:t xml:space="preserve"> </w:t>
      </w:r>
      <w:r w:rsidRPr="008A4FD0">
        <w:rPr>
          <w:lang w:val="es-ES_tradnl"/>
        </w:rPr>
        <w:t>(MPM), que es una herramienta segura en línea que permite el intercambio electrónico de comunicaciones con la Oficina Internacional.</w:t>
      </w:r>
      <w:r w:rsidRPr="00B93DC9">
        <w:rPr>
          <w:lang w:val="es-ES"/>
        </w:rPr>
        <w:t xml:space="preserve"> </w:t>
      </w:r>
      <w:r w:rsidRPr="008A4FD0">
        <w:rPr>
          <w:lang w:val="es-ES_tradnl"/>
        </w:rPr>
        <w:t>Como en el caso de la comunicación electrónica, este modo de transmisión no tiene efectos negativos en el período de tiempo de que dispone el titular para responder a la notificación.</w:t>
      </w:r>
      <w:r w:rsidRPr="00B93DC9">
        <w:rPr>
          <w:lang w:val="es-ES"/>
        </w:rPr>
        <w:t xml:space="preserve">  </w:t>
      </w:r>
    </w:p>
    <w:p w14:paraId="0FF33E13" w14:textId="6A2144F2" w:rsidR="00576F8C" w:rsidRPr="00B93DC9" w:rsidRDefault="00576F8C" w:rsidP="00576F8C">
      <w:pPr>
        <w:pStyle w:val="ONUME"/>
        <w:rPr>
          <w:lang w:val="es-ES"/>
        </w:rPr>
      </w:pPr>
      <w:r w:rsidRPr="008A4FD0">
        <w:rPr>
          <w:lang w:val="es-ES_tradnl"/>
        </w:rPr>
        <w:t>En 2018, la Oficina Internacional envió 325.670 notificaciones a los titulares o a sus mandatarios; de esas notificaciones, el 88% fueron enviadas electrónicamente.</w:t>
      </w:r>
      <w:r w:rsidRPr="00B93DC9">
        <w:rPr>
          <w:lang w:val="es-ES"/>
        </w:rPr>
        <w:t xml:space="preserve"> </w:t>
      </w:r>
      <w:r w:rsidRPr="008A4FD0">
        <w:rPr>
          <w:lang w:val="es-ES_tradnl"/>
        </w:rPr>
        <w:t xml:space="preserve">Ese mismo año, la Oficina Internacional registró 52.989 marcas; en el 87% de esos registros internacionales, el titular o el </w:t>
      </w:r>
      <w:r w:rsidR="00142457" w:rsidRPr="008A4FD0">
        <w:rPr>
          <w:lang w:val="es-ES_tradnl"/>
        </w:rPr>
        <w:t xml:space="preserve">mandatario </w:t>
      </w:r>
      <w:r w:rsidRPr="008A4FD0">
        <w:rPr>
          <w:lang w:val="es-ES_tradnl"/>
        </w:rPr>
        <w:t>había indicado una dirección de correo electrónico.</w:t>
      </w:r>
      <w:r w:rsidRPr="00B93DC9">
        <w:rPr>
          <w:lang w:val="es-ES"/>
        </w:rPr>
        <w:t xml:space="preserve">  </w:t>
      </w:r>
    </w:p>
    <w:p w14:paraId="3F474028" w14:textId="53D3DA09" w:rsidR="00576F8C" w:rsidRPr="008A4FD0" w:rsidRDefault="00576F8C" w:rsidP="00142457">
      <w:pPr>
        <w:pStyle w:val="ONUME"/>
        <w:rPr>
          <w:lang w:val="es-ES"/>
        </w:rPr>
      </w:pPr>
      <w:r w:rsidRPr="008A4FD0">
        <w:rPr>
          <w:lang w:val="es-ES_tradnl"/>
        </w:rPr>
        <w:t>Habida cuenta de la información presentad</w:t>
      </w:r>
      <w:r w:rsidR="00142457" w:rsidRPr="008A4FD0">
        <w:rPr>
          <w:lang w:val="es-ES_tradnl"/>
        </w:rPr>
        <w:t>a en los párrafos 25 a 29,</w:t>
      </w:r>
      <w:r w:rsidRPr="008A4FD0">
        <w:rPr>
          <w:lang w:val="es-ES_tradnl"/>
        </w:rPr>
        <w:t xml:space="preserve"> </w:t>
      </w:r>
      <w:r w:rsidR="00142457" w:rsidRPr="008A4FD0">
        <w:rPr>
          <w:lang w:val="es-ES_tradnl"/>
        </w:rPr>
        <w:t>conviene que e</w:t>
      </w:r>
      <w:r w:rsidRPr="008A4FD0">
        <w:rPr>
          <w:lang w:val="es-ES_tradnl"/>
        </w:rPr>
        <w:t xml:space="preserve">l Grupo de Trabajo </w:t>
      </w:r>
      <w:r w:rsidR="00142457" w:rsidRPr="008A4FD0">
        <w:rPr>
          <w:lang w:val="es-ES_tradnl"/>
        </w:rPr>
        <w:t>examine</w:t>
      </w:r>
      <w:r w:rsidRPr="008A4FD0">
        <w:rPr>
          <w:lang w:val="es-ES_tradnl"/>
        </w:rPr>
        <w:t xml:space="preserve"> la posibilidad de exigir a los solicitantes y a los </w:t>
      </w:r>
      <w:r w:rsidR="00142457" w:rsidRPr="008A4FD0">
        <w:rPr>
          <w:lang w:val="es-ES_tradnl"/>
        </w:rPr>
        <w:t xml:space="preserve">mandatarios </w:t>
      </w:r>
      <w:r w:rsidRPr="008A4FD0">
        <w:rPr>
          <w:lang w:val="es-ES_tradnl"/>
        </w:rPr>
        <w:t xml:space="preserve">que proporcionen una dirección de correo electrónico en la solicitud internacional y que la comunicación electrónica sea la opción por defecto para las comunicaciones de la Oficina Internacional </w:t>
      </w:r>
      <w:r w:rsidR="00142457" w:rsidRPr="008A4FD0">
        <w:rPr>
          <w:lang w:val="es-ES_tradnl"/>
        </w:rPr>
        <w:t xml:space="preserve">dirigidas </w:t>
      </w:r>
      <w:r w:rsidRPr="008A4FD0">
        <w:rPr>
          <w:lang w:val="es-ES_tradnl"/>
        </w:rPr>
        <w:t>a los solicitantes y titulares.</w:t>
      </w:r>
    </w:p>
    <w:p w14:paraId="624C0DD6" w14:textId="44CE0508" w:rsidR="00FC04F1" w:rsidRPr="008A4FD0" w:rsidRDefault="004A01A9" w:rsidP="0050164B">
      <w:pPr>
        <w:pStyle w:val="Heading1"/>
        <w:rPr>
          <w:lang w:val="es-ES"/>
        </w:rPr>
      </w:pPr>
      <w:r w:rsidRPr="008A4FD0">
        <w:rPr>
          <w:lang w:val="es-ES"/>
        </w:rPr>
        <w:t>cu</w:t>
      </w:r>
      <w:r w:rsidR="003513E2" w:rsidRPr="008A4FD0">
        <w:rPr>
          <w:lang w:val="es-ES"/>
        </w:rPr>
        <w:t>estiones que han de consideraRSE</w:t>
      </w:r>
    </w:p>
    <w:p w14:paraId="1ABBAF86" w14:textId="77777777" w:rsidR="00FC04F1" w:rsidRPr="008A4FD0" w:rsidRDefault="00FC04F1" w:rsidP="0050164B">
      <w:pPr>
        <w:rPr>
          <w:lang w:val="es-ES"/>
        </w:rPr>
      </w:pPr>
    </w:p>
    <w:p w14:paraId="0E2B1039" w14:textId="12B2CEF2" w:rsidR="001D344E" w:rsidRPr="008A4FD0" w:rsidRDefault="001D344E" w:rsidP="003513E2">
      <w:pPr>
        <w:pStyle w:val="ONUME"/>
        <w:rPr>
          <w:lang w:val="es-ES"/>
        </w:rPr>
      </w:pPr>
      <w:r w:rsidRPr="008A4FD0">
        <w:rPr>
          <w:lang w:val="es-ES_tradnl"/>
        </w:rPr>
        <w:t xml:space="preserve">La situación actual, </w:t>
      </w:r>
      <w:r w:rsidR="003513E2" w:rsidRPr="008A4FD0">
        <w:rPr>
          <w:lang w:val="es-ES_tradnl"/>
        </w:rPr>
        <w:t xml:space="preserve">en la que </w:t>
      </w:r>
      <w:r w:rsidRPr="008A4FD0">
        <w:rPr>
          <w:lang w:val="es-ES_tradnl"/>
        </w:rPr>
        <w:t xml:space="preserve">las </w:t>
      </w:r>
      <w:r w:rsidR="003513E2" w:rsidRPr="008A4FD0">
        <w:rPr>
          <w:lang w:val="es-ES_tradnl"/>
        </w:rPr>
        <w:t>O</w:t>
      </w:r>
      <w:r w:rsidRPr="008A4FD0">
        <w:rPr>
          <w:lang w:val="es-ES_tradnl"/>
        </w:rPr>
        <w:t>ficinas prevén plazos diferentes para responder a una notificación de denega</w:t>
      </w:r>
      <w:r w:rsidR="003513E2" w:rsidRPr="008A4FD0">
        <w:rPr>
          <w:lang w:val="es-ES_tradnl"/>
        </w:rPr>
        <w:t>ción provisional y utiliza</w:t>
      </w:r>
      <w:r w:rsidRPr="008A4FD0">
        <w:rPr>
          <w:lang w:val="es-ES_tradnl"/>
        </w:rPr>
        <w:t>n dis</w:t>
      </w:r>
      <w:r w:rsidR="003513E2" w:rsidRPr="008A4FD0">
        <w:rPr>
          <w:lang w:val="es-ES_tradnl"/>
        </w:rPr>
        <w:t>tintos métodos para calcular esos</w:t>
      </w:r>
      <w:r w:rsidRPr="008A4FD0">
        <w:rPr>
          <w:lang w:val="es-ES_tradnl"/>
        </w:rPr>
        <w:t xml:space="preserve"> plazo</w:t>
      </w:r>
      <w:r w:rsidR="003513E2" w:rsidRPr="008A4FD0">
        <w:rPr>
          <w:lang w:val="es-ES_tradnl"/>
        </w:rPr>
        <w:t>s</w:t>
      </w:r>
      <w:r w:rsidRPr="008A4FD0">
        <w:rPr>
          <w:lang w:val="es-ES_tradnl"/>
        </w:rPr>
        <w:t xml:space="preserve">, resulta </w:t>
      </w:r>
      <w:r w:rsidR="003513E2" w:rsidRPr="008A4FD0">
        <w:rPr>
          <w:lang w:val="es-ES_tradnl"/>
        </w:rPr>
        <w:t xml:space="preserve">problemática </w:t>
      </w:r>
      <w:r w:rsidRPr="008A4FD0">
        <w:rPr>
          <w:lang w:val="es-ES_tradnl"/>
        </w:rPr>
        <w:t>para los titulares de registros internacionales.</w:t>
      </w:r>
      <w:r w:rsidRPr="008A4FD0">
        <w:rPr>
          <w:lang w:val="es-ES"/>
        </w:rPr>
        <w:t xml:space="preserve">  </w:t>
      </w:r>
    </w:p>
    <w:p w14:paraId="64DCD303" w14:textId="0DB45B38" w:rsidR="001D344E" w:rsidRPr="008A4FD0" w:rsidRDefault="001D344E" w:rsidP="003513E2">
      <w:pPr>
        <w:pStyle w:val="ONUME"/>
        <w:rPr>
          <w:lang w:val="es-ES"/>
        </w:rPr>
      </w:pPr>
      <w:r w:rsidRPr="008A4FD0">
        <w:rPr>
          <w:lang w:val="es-ES_tradnl"/>
        </w:rPr>
        <w:t xml:space="preserve">El tiempo real </w:t>
      </w:r>
      <w:r w:rsidR="003513E2" w:rsidRPr="008A4FD0">
        <w:rPr>
          <w:lang w:val="es-ES_tradnl"/>
        </w:rPr>
        <w:t xml:space="preserve">de </w:t>
      </w:r>
      <w:r w:rsidRPr="008A4FD0">
        <w:rPr>
          <w:lang w:val="es-ES_tradnl"/>
        </w:rPr>
        <w:t xml:space="preserve">que </w:t>
      </w:r>
      <w:r w:rsidR="003513E2" w:rsidRPr="008A4FD0">
        <w:rPr>
          <w:lang w:val="es-ES_tradnl"/>
        </w:rPr>
        <w:t xml:space="preserve">dispone </w:t>
      </w:r>
      <w:r w:rsidRPr="008A4FD0">
        <w:rPr>
          <w:lang w:val="es-ES_tradnl"/>
        </w:rPr>
        <w:t>el titular para responder a la notificación depende de varios factores, como la d</w:t>
      </w:r>
      <w:r w:rsidR="003513E2" w:rsidRPr="008A4FD0">
        <w:rPr>
          <w:lang w:val="es-ES_tradnl"/>
        </w:rPr>
        <w:t>uración del plazo de respuesta,</w:t>
      </w:r>
      <w:r w:rsidRPr="008A4FD0">
        <w:rPr>
          <w:lang w:val="es-ES_tradnl"/>
        </w:rPr>
        <w:t xml:space="preserve"> la manera en que se calcul</w:t>
      </w:r>
      <w:r w:rsidR="003513E2" w:rsidRPr="008A4FD0">
        <w:rPr>
          <w:lang w:val="es-ES_tradnl"/>
        </w:rPr>
        <w:t>a,</w:t>
      </w:r>
      <w:r w:rsidRPr="008A4FD0">
        <w:rPr>
          <w:lang w:val="es-ES_tradnl"/>
        </w:rPr>
        <w:t xml:space="preserve"> la manera en que la Oficina transmite la notifica</w:t>
      </w:r>
      <w:r w:rsidR="003513E2" w:rsidRPr="008A4FD0">
        <w:rPr>
          <w:lang w:val="es-ES_tradnl"/>
        </w:rPr>
        <w:t>ción a la Oficina Internacional,</w:t>
      </w:r>
      <w:r w:rsidRPr="008A4FD0">
        <w:rPr>
          <w:lang w:val="es-ES_tradnl"/>
        </w:rPr>
        <w:t xml:space="preserve"> </w:t>
      </w:r>
      <w:r w:rsidR="00C45C28" w:rsidRPr="008A4FD0">
        <w:rPr>
          <w:lang w:val="es-ES_tradnl"/>
        </w:rPr>
        <w:t>el hecho de que la Oficina Internacional reciba</w:t>
      </w:r>
      <w:r w:rsidRPr="008A4FD0">
        <w:rPr>
          <w:lang w:val="es-ES_tradnl"/>
        </w:rPr>
        <w:t xml:space="preserve"> </w:t>
      </w:r>
      <w:r w:rsidR="00E06071" w:rsidRPr="008A4FD0">
        <w:rPr>
          <w:lang w:val="es-ES_tradnl"/>
        </w:rPr>
        <w:t>información legible por máquina</w:t>
      </w:r>
      <w:r w:rsidRPr="008A4FD0">
        <w:rPr>
          <w:lang w:val="es-ES_tradnl"/>
        </w:rPr>
        <w:t xml:space="preserve"> y la manera en que se transmite la notificación al titular.</w:t>
      </w:r>
      <w:r w:rsidRPr="008A4FD0">
        <w:rPr>
          <w:lang w:val="es-ES"/>
        </w:rPr>
        <w:t xml:space="preserve">  </w:t>
      </w:r>
    </w:p>
    <w:p w14:paraId="421A4E6B" w14:textId="1EB0FBB0" w:rsidR="001D344E" w:rsidRPr="008A4FD0" w:rsidRDefault="003513E2" w:rsidP="003513E2">
      <w:pPr>
        <w:pStyle w:val="ONUME"/>
        <w:rPr>
          <w:lang w:val="es-ES"/>
        </w:rPr>
      </w:pPr>
      <w:r w:rsidRPr="008A4FD0">
        <w:rPr>
          <w:lang w:val="es-ES_tradnl"/>
        </w:rPr>
        <w:t xml:space="preserve">Resulta </w:t>
      </w:r>
      <w:r w:rsidR="001D344E" w:rsidRPr="008A4FD0">
        <w:rPr>
          <w:lang w:val="es-ES_tradnl"/>
        </w:rPr>
        <w:t xml:space="preserve">totalmente </w:t>
      </w:r>
      <w:r w:rsidR="00B47657" w:rsidRPr="008A4FD0">
        <w:rPr>
          <w:lang w:val="es-ES_tradnl"/>
        </w:rPr>
        <w:t>posible</w:t>
      </w:r>
      <w:r w:rsidRPr="008A4FD0">
        <w:rPr>
          <w:lang w:val="es-ES_tradnl"/>
        </w:rPr>
        <w:t xml:space="preserve"> </w:t>
      </w:r>
      <w:r w:rsidR="001D344E" w:rsidRPr="008A4FD0">
        <w:rPr>
          <w:lang w:val="es-ES_tradnl"/>
        </w:rPr>
        <w:t xml:space="preserve">que, en el peor de los casos, </w:t>
      </w:r>
      <w:r w:rsidRPr="008A4FD0">
        <w:rPr>
          <w:lang w:val="es-ES_tradnl"/>
        </w:rPr>
        <w:t xml:space="preserve">para </w:t>
      </w:r>
      <w:r w:rsidR="001D344E" w:rsidRPr="008A4FD0">
        <w:rPr>
          <w:lang w:val="es-ES_tradnl"/>
        </w:rPr>
        <w:t xml:space="preserve">cuando el titular reciba una notificación, haya vencido el plazo </w:t>
      </w:r>
      <w:r w:rsidRPr="008A4FD0">
        <w:rPr>
          <w:lang w:val="es-ES_tradnl"/>
        </w:rPr>
        <w:t>de respuesta</w:t>
      </w:r>
      <w:r w:rsidR="001D344E" w:rsidRPr="008A4FD0">
        <w:rPr>
          <w:lang w:val="es-ES_tradnl"/>
        </w:rPr>
        <w:t>.</w:t>
      </w:r>
      <w:r w:rsidRPr="008A4FD0">
        <w:rPr>
          <w:lang w:val="es-ES"/>
        </w:rPr>
        <w:t xml:space="preserve"> A fin de </w:t>
      </w:r>
      <w:r w:rsidR="001D344E" w:rsidRPr="008A4FD0">
        <w:rPr>
          <w:lang w:val="es-ES_tradnl"/>
        </w:rPr>
        <w:t xml:space="preserve">evitar esa situación, la Oficina Internacional da prioridad al examen de las notificaciones enviadas por las Partes Contratantes que tienen plazos </w:t>
      </w:r>
      <w:r w:rsidRPr="008A4FD0">
        <w:rPr>
          <w:lang w:val="es-ES_tradnl"/>
        </w:rPr>
        <w:t xml:space="preserve">de respuesta </w:t>
      </w:r>
      <w:r w:rsidR="001D344E" w:rsidRPr="008A4FD0">
        <w:rPr>
          <w:lang w:val="es-ES_tradnl"/>
        </w:rPr>
        <w:t>más cortos y</w:t>
      </w:r>
      <w:r w:rsidR="00A210F1" w:rsidRPr="008A4FD0">
        <w:rPr>
          <w:lang w:val="es-ES_tradnl"/>
        </w:rPr>
        <w:t xml:space="preserve"> a las enviadas</w:t>
      </w:r>
      <w:r w:rsidR="001D344E" w:rsidRPr="008A4FD0">
        <w:rPr>
          <w:lang w:val="es-ES_tradnl"/>
        </w:rPr>
        <w:t xml:space="preserve"> </w:t>
      </w:r>
      <w:r w:rsidRPr="008A4FD0">
        <w:rPr>
          <w:lang w:val="es-ES_tradnl"/>
        </w:rPr>
        <w:t xml:space="preserve">por las </w:t>
      </w:r>
      <w:r w:rsidR="001D344E" w:rsidRPr="008A4FD0">
        <w:rPr>
          <w:lang w:val="es-ES_tradnl"/>
        </w:rPr>
        <w:t xml:space="preserve">Partes Contratantes </w:t>
      </w:r>
      <w:r w:rsidRPr="008A4FD0">
        <w:rPr>
          <w:lang w:val="es-ES_tradnl"/>
        </w:rPr>
        <w:t>r</w:t>
      </w:r>
      <w:r w:rsidR="001D344E" w:rsidRPr="008A4FD0">
        <w:rPr>
          <w:lang w:val="es-ES_tradnl"/>
        </w:rPr>
        <w:t xml:space="preserve">especto de las </w:t>
      </w:r>
      <w:r w:rsidRPr="008A4FD0">
        <w:rPr>
          <w:lang w:val="es-ES_tradnl"/>
        </w:rPr>
        <w:t xml:space="preserve">que </w:t>
      </w:r>
      <w:r w:rsidR="001D344E" w:rsidRPr="008A4FD0">
        <w:rPr>
          <w:lang w:val="es-ES_tradnl"/>
        </w:rPr>
        <w:t xml:space="preserve">el plazo </w:t>
      </w:r>
      <w:r w:rsidRPr="008A4FD0">
        <w:rPr>
          <w:lang w:val="es-ES_tradnl"/>
        </w:rPr>
        <w:t xml:space="preserve">de respuesta </w:t>
      </w:r>
      <w:r w:rsidR="001D344E" w:rsidRPr="008A4FD0">
        <w:rPr>
          <w:lang w:val="es-ES_tradnl"/>
        </w:rPr>
        <w:t>se calcula a partir de la fecha en que se haya emitido la denegación o de que la notificación haya sido enviada por la Oficina.</w:t>
      </w:r>
      <w:r w:rsidR="001D344E" w:rsidRPr="008A4FD0">
        <w:rPr>
          <w:lang w:val="es-ES"/>
        </w:rPr>
        <w:t xml:space="preserve">  </w:t>
      </w:r>
    </w:p>
    <w:p w14:paraId="393B5CEF" w14:textId="08237667" w:rsidR="001D344E" w:rsidRPr="008A4FD0" w:rsidRDefault="001D344E" w:rsidP="00B47657">
      <w:pPr>
        <w:pStyle w:val="ONUME"/>
        <w:rPr>
          <w:lang w:val="es-ES"/>
        </w:rPr>
      </w:pPr>
      <w:r w:rsidRPr="008A4FD0">
        <w:rPr>
          <w:lang w:val="es-ES_tradnl"/>
        </w:rPr>
        <w:lastRenderedPageBreak/>
        <w:t xml:space="preserve">Se debería alentar a las Oficinas de las Partes Contratantes del Sistema de Madrid a </w:t>
      </w:r>
      <w:r w:rsidR="00B47657" w:rsidRPr="008A4FD0">
        <w:rPr>
          <w:lang w:val="es-ES_tradnl"/>
        </w:rPr>
        <w:t xml:space="preserve">que sigan esforzándose por </w:t>
      </w:r>
      <w:r w:rsidRPr="008A4FD0">
        <w:rPr>
          <w:lang w:val="es-ES_tradnl"/>
        </w:rPr>
        <w:t xml:space="preserve">transmitir las comunicaciones a la Oficina Internacional </w:t>
      </w:r>
      <w:r w:rsidR="00B47657" w:rsidRPr="008A4FD0">
        <w:rPr>
          <w:lang w:val="es-ES_tradnl"/>
        </w:rPr>
        <w:t>en formato legible por máquina, c</w:t>
      </w:r>
      <w:r w:rsidRPr="008A4FD0">
        <w:rPr>
          <w:lang w:val="es-ES_tradnl"/>
        </w:rPr>
        <w:t xml:space="preserve">on miras a acelerar la tramitación de esas comunicaciones y, en consecuencia, reducir el tiempo de transmisión de </w:t>
      </w:r>
      <w:r w:rsidR="00B47657" w:rsidRPr="008A4FD0">
        <w:rPr>
          <w:lang w:val="es-ES_tradnl"/>
        </w:rPr>
        <w:t xml:space="preserve">las </w:t>
      </w:r>
      <w:r w:rsidRPr="008A4FD0">
        <w:rPr>
          <w:lang w:val="es-ES_tradnl"/>
        </w:rPr>
        <w:t>comunicaciones a los titulares.</w:t>
      </w:r>
    </w:p>
    <w:p w14:paraId="3AAACF9F" w14:textId="70022977" w:rsidR="00B97E04" w:rsidRPr="008A4FD0" w:rsidRDefault="001D344E" w:rsidP="00B97E04">
      <w:pPr>
        <w:pStyle w:val="ONUME"/>
        <w:keepLines/>
        <w:rPr>
          <w:lang w:val="es-ES"/>
        </w:rPr>
      </w:pPr>
      <w:r w:rsidRPr="008A4FD0">
        <w:rPr>
          <w:lang w:val="es-ES_tradnl"/>
        </w:rPr>
        <w:t xml:space="preserve">Las </w:t>
      </w:r>
      <w:r w:rsidR="00B47657" w:rsidRPr="008A4FD0">
        <w:rPr>
          <w:lang w:val="es-ES_tradnl"/>
        </w:rPr>
        <w:t>O</w:t>
      </w:r>
      <w:r w:rsidRPr="008A4FD0">
        <w:rPr>
          <w:lang w:val="es-ES_tradnl"/>
        </w:rPr>
        <w:t xml:space="preserve">ficinas mencionadas </w:t>
      </w:r>
      <w:r w:rsidR="00B47657" w:rsidRPr="008A4FD0">
        <w:rPr>
          <w:lang w:val="es-ES_tradnl"/>
        </w:rPr>
        <w:t xml:space="preserve">anteriormente </w:t>
      </w:r>
      <w:r w:rsidRPr="008A4FD0">
        <w:rPr>
          <w:lang w:val="es-ES_tradnl"/>
        </w:rPr>
        <w:t xml:space="preserve">también deberían indicar claramente el plazo </w:t>
      </w:r>
      <w:r w:rsidR="00B47657" w:rsidRPr="008A4FD0">
        <w:rPr>
          <w:lang w:val="es-ES_tradnl"/>
        </w:rPr>
        <w:t xml:space="preserve">de que dispone </w:t>
      </w:r>
      <w:r w:rsidRPr="008A4FD0">
        <w:rPr>
          <w:lang w:val="es-ES_tradnl"/>
        </w:rPr>
        <w:t xml:space="preserve">el titular </w:t>
      </w:r>
      <w:r w:rsidR="00B47657" w:rsidRPr="008A4FD0">
        <w:rPr>
          <w:lang w:val="es-ES_tradnl"/>
        </w:rPr>
        <w:t xml:space="preserve">para </w:t>
      </w:r>
      <w:r w:rsidRPr="008A4FD0">
        <w:rPr>
          <w:lang w:val="es-ES_tradnl"/>
        </w:rPr>
        <w:t xml:space="preserve">responder a una comunicación y </w:t>
      </w:r>
      <w:r w:rsidR="00B97E04" w:rsidRPr="008A4FD0">
        <w:rPr>
          <w:lang w:val="es-ES_tradnl"/>
        </w:rPr>
        <w:t xml:space="preserve">la fecha en que </w:t>
      </w:r>
      <w:r w:rsidR="000B1DD2" w:rsidRPr="008A4FD0">
        <w:rPr>
          <w:lang w:val="es-ES_tradnl"/>
        </w:rPr>
        <w:t>finaliza</w:t>
      </w:r>
      <w:r w:rsidR="00B97E04" w:rsidRPr="008A4FD0">
        <w:rPr>
          <w:lang w:val="es-ES_tradnl"/>
        </w:rPr>
        <w:t xml:space="preserve"> dicho plazo o</w:t>
      </w:r>
      <w:r w:rsidR="00A210F1" w:rsidRPr="008A4FD0">
        <w:rPr>
          <w:lang w:val="es-ES_tradnl"/>
        </w:rPr>
        <w:t>, en cualquier caso, explicar</w:t>
      </w:r>
      <w:r w:rsidRPr="008A4FD0">
        <w:rPr>
          <w:lang w:val="es-ES_tradnl"/>
        </w:rPr>
        <w:t xml:space="preserve"> claramente la manera en que debe calcularse el plazo.</w:t>
      </w:r>
      <w:r w:rsidR="00B97E04" w:rsidRPr="008A4FD0">
        <w:rPr>
          <w:lang w:val="es-ES"/>
        </w:rPr>
        <w:t xml:space="preserve"> </w:t>
      </w:r>
      <w:r w:rsidRPr="008A4FD0">
        <w:rPr>
          <w:lang w:val="es-ES_tradnl"/>
        </w:rPr>
        <w:t xml:space="preserve">Además, deberían facilitar información detallada </w:t>
      </w:r>
      <w:r w:rsidR="00B97E04" w:rsidRPr="008A4FD0">
        <w:rPr>
          <w:lang w:val="es-ES_tradnl"/>
        </w:rPr>
        <w:t xml:space="preserve">a </w:t>
      </w:r>
      <w:r w:rsidRPr="008A4FD0">
        <w:rPr>
          <w:lang w:val="es-ES_tradnl"/>
        </w:rPr>
        <w:t xml:space="preserve">los usuarios sobre </w:t>
      </w:r>
      <w:r w:rsidR="00B97E04" w:rsidRPr="008A4FD0">
        <w:rPr>
          <w:lang w:val="es-ES_tradnl"/>
        </w:rPr>
        <w:t xml:space="preserve">otros </w:t>
      </w:r>
      <w:r w:rsidRPr="008A4FD0">
        <w:rPr>
          <w:lang w:val="es-ES_tradnl"/>
        </w:rPr>
        <w:t xml:space="preserve">requisitos </w:t>
      </w:r>
      <w:r w:rsidR="00B97E04" w:rsidRPr="008A4FD0">
        <w:rPr>
          <w:lang w:val="es-ES_tradnl"/>
        </w:rPr>
        <w:t xml:space="preserve">previstos </w:t>
      </w:r>
      <w:r w:rsidRPr="008A4FD0">
        <w:rPr>
          <w:lang w:val="es-ES_tradnl"/>
        </w:rPr>
        <w:t xml:space="preserve">para responder a una notificación </w:t>
      </w:r>
      <w:r w:rsidR="00B97E04" w:rsidRPr="008A4FD0">
        <w:rPr>
          <w:lang w:val="es-ES_tradnl"/>
        </w:rPr>
        <w:t xml:space="preserve">en </w:t>
      </w:r>
      <w:r w:rsidRPr="008A4FD0">
        <w:rPr>
          <w:lang w:val="es-ES_tradnl"/>
        </w:rPr>
        <w:t xml:space="preserve">la base de datos </w:t>
      </w:r>
      <w:r w:rsidR="00B97E04" w:rsidRPr="008A4FD0">
        <w:rPr>
          <w:lang w:val="es-ES_tradnl"/>
        </w:rPr>
        <w:t>de p</w:t>
      </w:r>
      <w:r w:rsidR="00B97E04" w:rsidRPr="008A4FD0">
        <w:rPr>
          <w:lang w:val="es-ES"/>
        </w:rPr>
        <w:t>erfiles de los miembros del Sistema de Madrid.</w:t>
      </w:r>
    </w:p>
    <w:p w14:paraId="457EEED5" w14:textId="2492815F" w:rsidR="001D344E" w:rsidRPr="008A4FD0" w:rsidRDefault="001D344E" w:rsidP="00B97E04">
      <w:pPr>
        <w:pStyle w:val="ONUME"/>
        <w:rPr>
          <w:lang w:val="es-ES"/>
        </w:rPr>
      </w:pPr>
      <w:r w:rsidRPr="008A4FD0">
        <w:rPr>
          <w:lang w:val="es-ES_tradnl"/>
        </w:rPr>
        <w:t>Se podría exigir a los solicitantes, titular</w:t>
      </w:r>
      <w:r w:rsidR="00B97E04" w:rsidRPr="008A4FD0">
        <w:rPr>
          <w:lang w:val="es-ES_tradnl"/>
        </w:rPr>
        <w:t>es y mandatarios que recib</w:t>
      </w:r>
      <w:r w:rsidRPr="008A4FD0">
        <w:rPr>
          <w:lang w:val="es-ES_tradnl"/>
        </w:rPr>
        <w:t>an</w:t>
      </w:r>
      <w:r w:rsidR="00A210F1" w:rsidRPr="008A4FD0">
        <w:rPr>
          <w:lang w:val="es-ES_tradnl"/>
        </w:rPr>
        <w:t xml:space="preserve"> </w:t>
      </w:r>
      <w:r w:rsidRPr="008A4FD0">
        <w:rPr>
          <w:lang w:val="es-ES_tradnl"/>
        </w:rPr>
        <w:t>comunicaciones electrónicas de la Oficina Internacional</w:t>
      </w:r>
      <w:r w:rsidR="00A210F1" w:rsidRPr="008A4FD0">
        <w:rPr>
          <w:lang w:val="es-ES_tradnl"/>
        </w:rPr>
        <w:t>,</w:t>
      </w:r>
      <w:r w:rsidRPr="008A4FD0">
        <w:rPr>
          <w:lang w:val="es-ES_tradnl"/>
        </w:rPr>
        <w:t xml:space="preserve"> </w:t>
      </w:r>
      <w:r w:rsidR="00C45C28" w:rsidRPr="008A4FD0">
        <w:rPr>
          <w:lang w:val="es-ES_tradnl"/>
        </w:rPr>
        <w:t xml:space="preserve">en calidad de </w:t>
      </w:r>
      <w:r w:rsidRPr="008A4FD0">
        <w:rPr>
          <w:lang w:val="es-ES_tradnl"/>
        </w:rPr>
        <w:t xml:space="preserve">opción por defecto, ya que </w:t>
      </w:r>
      <w:r w:rsidR="00B97E04" w:rsidRPr="008A4FD0">
        <w:rPr>
          <w:lang w:val="es-ES_tradnl"/>
        </w:rPr>
        <w:t xml:space="preserve">es </w:t>
      </w:r>
      <w:r w:rsidRPr="008A4FD0">
        <w:rPr>
          <w:lang w:val="es-ES_tradnl"/>
        </w:rPr>
        <w:t xml:space="preserve">el método de transmisión más fiable, rápido y eficaz en función de los costos, y </w:t>
      </w:r>
      <w:r w:rsidR="00B97E04" w:rsidRPr="008A4FD0">
        <w:rPr>
          <w:lang w:val="es-ES_tradnl"/>
        </w:rPr>
        <w:t>alentar</w:t>
      </w:r>
      <w:r w:rsidR="00027367" w:rsidRPr="008A4FD0">
        <w:rPr>
          <w:lang w:val="es-ES_tradnl"/>
        </w:rPr>
        <w:t>lo</w:t>
      </w:r>
      <w:r w:rsidR="00B97E04" w:rsidRPr="008A4FD0">
        <w:rPr>
          <w:lang w:val="es-ES_tradnl"/>
        </w:rPr>
        <w:t>s</w:t>
      </w:r>
      <w:r w:rsidRPr="008A4FD0">
        <w:rPr>
          <w:lang w:val="es-ES_tradnl"/>
        </w:rPr>
        <w:t xml:space="preserve"> a utilizar el</w:t>
      </w:r>
      <w:r w:rsidR="009C0F83">
        <w:rPr>
          <w:lang w:val="es-ES_tradnl"/>
        </w:rPr>
        <w:t> </w:t>
      </w:r>
      <w:proofErr w:type="spellStart"/>
      <w:r w:rsidR="00B97E04" w:rsidRPr="008A4FD0">
        <w:rPr>
          <w:lang w:val="es-ES_tradnl"/>
        </w:rPr>
        <w:t>MPM</w:t>
      </w:r>
      <w:proofErr w:type="spellEnd"/>
      <w:r w:rsidRPr="008A4FD0">
        <w:rPr>
          <w:lang w:val="es-ES_tradnl"/>
        </w:rPr>
        <w:t>.</w:t>
      </w:r>
    </w:p>
    <w:p w14:paraId="2D01D157" w14:textId="561A387B" w:rsidR="001D344E" w:rsidRPr="008A4FD0" w:rsidRDefault="001D344E" w:rsidP="00B97E04">
      <w:pPr>
        <w:pStyle w:val="ONUME"/>
        <w:rPr>
          <w:lang w:val="es-ES"/>
        </w:rPr>
      </w:pPr>
      <w:r w:rsidRPr="008A4FD0">
        <w:rPr>
          <w:lang w:val="es-ES_tradnl"/>
        </w:rPr>
        <w:t xml:space="preserve">Se podría alentar a todos los actores del Sistema de Madrid (solicitantes, titulares, </w:t>
      </w:r>
      <w:r w:rsidR="00B97E04" w:rsidRPr="008A4FD0">
        <w:rPr>
          <w:lang w:val="es-ES_tradnl"/>
        </w:rPr>
        <w:t>mandatarios y Oficinas) a que intercambie</w:t>
      </w:r>
      <w:r w:rsidRPr="008A4FD0">
        <w:rPr>
          <w:lang w:val="es-ES_tradnl"/>
        </w:rPr>
        <w:t>n comunicaciones electrónicas con la Oficina Internacional en formato legible por máquina.</w:t>
      </w:r>
    </w:p>
    <w:p w14:paraId="0772016C" w14:textId="2304F6E4" w:rsidR="001D344E" w:rsidRPr="008A4FD0" w:rsidRDefault="001D344E" w:rsidP="00326D42">
      <w:pPr>
        <w:pStyle w:val="ONUME"/>
        <w:rPr>
          <w:lang w:val="es-ES"/>
        </w:rPr>
      </w:pPr>
      <w:r w:rsidRPr="008A4FD0">
        <w:rPr>
          <w:lang w:val="es-ES_tradnl"/>
        </w:rPr>
        <w:t xml:space="preserve">Para abordar la cuestión de que se trata </w:t>
      </w:r>
      <w:r w:rsidR="00B97E04" w:rsidRPr="008A4FD0">
        <w:rPr>
          <w:lang w:val="es-ES_tradnl"/>
        </w:rPr>
        <w:t xml:space="preserve">quizá sea </w:t>
      </w:r>
      <w:r w:rsidRPr="008A4FD0">
        <w:rPr>
          <w:lang w:val="es-ES_tradnl"/>
        </w:rPr>
        <w:t>necesario introducir cambios en el marco jurídico del Sistema de Madrid o de sus Partes Contratantes.</w:t>
      </w:r>
      <w:r w:rsidRPr="008A4FD0">
        <w:rPr>
          <w:lang w:val="es-ES"/>
        </w:rPr>
        <w:t xml:space="preserve"> </w:t>
      </w:r>
      <w:r w:rsidR="00B97E04" w:rsidRPr="008A4FD0">
        <w:rPr>
          <w:lang w:val="es-ES"/>
        </w:rPr>
        <w:t>Conviene que e</w:t>
      </w:r>
      <w:r w:rsidRPr="008A4FD0">
        <w:rPr>
          <w:lang w:val="es-ES_tradnl"/>
        </w:rPr>
        <w:t xml:space="preserve">l Grupo de Trabajo </w:t>
      </w:r>
      <w:r w:rsidR="00B97E04" w:rsidRPr="008A4FD0">
        <w:rPr>
          <w:lang w:val="es-ES_tradnl"/>
        </w:rPr>
        <w:t xml:space="preserve">siga examinando </w:t>
      </w:r>
      <w:r w:rsidRPr="008A4FD0">
        <w:rPr>
          <w:lang w:val="es-ES_tradnl"/>
        </w:rPr>
        <w:t>si:</w:t>
      </w:r>
    </w:p>
    <w:p w14:paraId="7D5F9C15" w14:textId="6EAB3CF6" w:rsidR="00B97E04" w:rsidRPr="008A4FD0" w:rsidRDefault="00A51F8D" w:rsidP="00B97E04">
      <w:pPr>
        <w:pStyle w:val="ONUME"/>
        <w:numPr>
          <w:ilvl w:val="0"/>
          <w:numId w:val="0"/>
        </w:numPr>
        <w:ind w:left="567"/>
        <w:rPr>
          <w:lang w:val="es-ES"/>
        </w:rPr>
      </w:pPr>
      <w:r w:rsidRPr="008A4FD0">
        <w:rPr>
          <w:lang w:val="es-ES"/>
        </w:rPr>
        <w:t>a)</w:t>
      </w:r>
      <w:r w:rsidRPr="008A4FD0">
        <w:rPr>
          <w:lang w:val="es-ES"/>
        </w:rPr>
        <w:tab/>
      </w:r>
      <w:r w:rsidR="00B97E04" w:rsidRPr="008A4FD0">
        <w:rPr>
          <w:lang w:val="es-ES_tradnl"/>
        </w:rPr>
        <w:t xml:space="preserve">la duración del plazo para responder a una notificación de denegación provisional y su cálculo </w:t>
      </w:r>
      <w:r w:rsidR="008C6488" w:rsidRPr="008A4FD0">
        <w:rPr>
          <w:lang w:val="es-ES_tradnl"/>
        </w:rPr>
        <w:t xml:space="preserve">deben seguir siendo cuestiones que determine </w:t>
      </w:r>
      <w:r w:rsidR="00B97E04" w:rsidRPr="008A4FD0">
        <w:rPr>
          <w:lang w:val="es-ES_tradnl"/>
        </w:rPr>
        <w:t xml:space="preserve">únicamente la Parte Contratante designada </w:t>
      </w:r>
      <w:r w:rsidR="008C6488" w:rsidRPr="008A4FD0">
        <w:rPr>
          <w:lang w:val="es-ES_tradnl"/>
        </w:rPr>
        <w:t>de que se trate</w:t>
      </w:r>
      <w:r w:rsidR="00B97E04" w:rsidRPr="008A4FD0">
        <w:rPr>
          <w:lang w:val="es-ES_tradnl"/>
        </w:rPr>
        <w:t>;</w:t>
      </w:r>
    </w:p>
    <w:p w14:paraId="6A38FF79" w14:textId="515065F1" w:rsidR="00B97E04" w:rsidRPr="008A4FD0" w:rsidRDefault="00A51F8D" w:rsidP="00B97E04">
      <w:pPr>
        <w:pStyle w:val="ONUME"/>
        <w:numPr>
          <w:ilvl w:val="0"/>
          <w:numId w:val="0"/>
        </w:numPr>
        <w:ind w:left="567"/>
        <w:rPr>
          <w:lang w:val="es-ES"/>
        </w:rPr>
      </w:pPr>
      <w:r w:rsidRPr="008A4FD0">
        <w:rPr>
          <w:lang w:val="es-ES"/>
        </w:rPr>
        <w:t>b)</w:t>
      </w:r>
      <w:r w:rsidRPr="008A4FD0">
        <w:rPr>
          <w:lang w:val="es-ES"/>
        </w:rPr>
        <w:tab/>
      </w:r>
      <w:r w:rsidR="00B97E04" w:rsidRPr="008A4FD0">
        <w:rPr>
          <w:lang w:val="es-ES_tradnl"/>
        </w:rPr>
        <w:t xml:space="preserve">el Reglamento Común podría prever un plazo armonizado para responder a una denegación provisional o, </w:t>
      </w:r>
      <w:r w:rsidR="008C6488" w:rsidRPr="008A4FD0">
        <w:rPr>
          <w:lang w:val="es-ES_tradnl"/>
        </w:rPr>
        <w:t>si no</w:t>
      </w:r>
      <w:r w:rsidR="00B97E04" w:rsidRPr="008A4FD0">
        <w:rPr>
          <w:lang w:val="es-ES_tradnl"/>
        </w:rPr>
        <w:t>, fijar un plazo mínimo, en el entendimien</w:t>
      </w:r>
      <w:r w:rsidR="008C6488" w:rsidRPr="008A4FD0">
        <w:rPr>
          <w:lang w:val="es-ES_tradnl"/>
        </w:rPr>
        <w:t>to de que se podría conceder un plazo</w:t>
      </w:r>
      <w:r w:rsidR="00B97E04" w:rsidRPr="008A4FD0">
        <w:rPr>
          <w:lang w:val="es-ES_tradnl"/>
        </w:rPr>
        <w:t xml:space="preserve"> </w:t>
      </w:r>
      <w:r w:rsidR="008C6488" w:rsidRPr="008A4FD0">
        <w:rPr>
          <w:lang w:val="es-ES_tradnl"/>
        </w:rPr>
        <w:t xml:space="preserve">más </w:t>
      </w:r>
      <w:r w:rsidR="00D82908" w:rsidRPr="008A4FD0">
        <w:rPr>
          <w:lang w:val="es-ES_tradnl"/>
        </w:rPr>
        <w:t>largo</w:t>
      </w:r>
      <w:r w:rsidR="00B97E04" w:rsidRPr="008A4FD0">
        <w:rPr>
          <w:lang w:val="es-ES_tradnl"/>
        </w:rPr>
        <w:t xml:space="preserve"> de conformidad con la leg</w:t>
      </w:r>
      <w:r w:rsidR="004935C3" w:rsidRPr="008A4FD0">
        <w:rPr>
          <w:lang w:val="es-ES_tradnl"/>
        </w:rPr>
        <w:t>islación nacional pertinente; y</w:t>
      </w:r>
    </w:p>
    <w:p w14:paraId="410D1B3A" w14:textId="11692898" w:rsidR="00B97E04" w:rsidRPr="008A4FD0" w:rsidRDefault="00A51F8D" w:rsidP="00B97E04">
      <w:pPr>
        <w:pStyle w:val="ONUME"/>
        <w:numPr>
          <w:ilvl w:val="0"/>
          <w:numId w:val="0"/>
        </w:numPr>
        <w:ind w:left="567"/>
        <w:rPr>
          <w:lang w:val="es-ES"/>
        </w:rPr>
      </w:pPr>
      <w:r w:rsidRPr="008A4FD0">
        <w:rPr>
          <w:lang w:val="es-ES"/>
        </w:rPr>
        <w:t>c)</w:t>
      </w:r>
      <w:r w:rsidRPr="008A4FD0">
        <w:rPr>
          <w:lang w:val="es-ES"/>
        </w:rPr>
        <w:tab/>
      </w:r>
      <w:r w:rsidR="00D82908" w:rsidRPr="008A4FD0">
        <w:rPr>
          <w:lang w:val="es-ES"/>
        </w:rPr>
        <w:t xml:space="preserve">se debe revisar </w:t>
      </w:r>
      <w:r w:rsidR="00B97E04" w:rsidRPr="008A4FD0">
        <w:rPr>
          <w:lang w:val="es-ES_tradnl"/>
        </w:rPr>
        <w:t xml:space="preserve">el funcionamiento del sistema establecido en el </w:t>
      </w:r>
      <w:r w:rsidR="00D82908" w:rsidRPr="008A4FD0">
        <w:rPr>
          <w:lang w:val="es-ES_tradnl"/>
        </w:rPr>
        <w:t>A</w:t>
      </w:r>
      <w:r w:rsidR="00B97E04" w:rsidRPr="008A4FD0">
        <w:rPr>
          <w:lang w:val="es-ES_tradnl"/>
        </w:rPr>
        <w:t>rtículo 5</w:t>
      </w:r>
      <w:r w:rsidR="00D82908" w:rsidRPr="008A4FD0">
        <w:rPr>
          <w:lang w:val="es-ES_tradnl"/>
        </w:rPr>
        <w:t>.2)b)</w:t>
      </w:r>
      <w:r w:rsidR="00B97E04" w:rsidRPr="008A4FD0">
        <w:rPr>
          <w:lang w:val="es-ES_tradnl"/>
        </w:rPr>
        <w:t xml:space="preserve"> del Protocolo, armonizando el plazo </w:t>
      </w:r>
      <w:r w:rsidR="00D82908" w:rsidRPr="008A4FD0">
        <w:rPr>
          <w:lang w:val="es-ES_tradnl"/>
        </w:rPr>
        <w:t xml:space="preserve">que tienen las Oficinas </w:t>
      </w:r>
      <w:r w:rsidR="00B97E04" w:rsidRPr="008A4FD0">
        <w:rPr>
          <w:lang w:val="es-ES_tradnl"/>
        </w:rPr>
        <w:t>para notificar una denegación provisional de oficio</w:t>
      </w:r>
      <w:r w:rsidR="00D82908" w:rsidRPr="008A4FD0">
        <w:rPr>
          <w:lang w:val="es-ES_tradnl"/>
        </w:rPr>
        <w:t>, dejándolo en un año</w:t>
      </w:r>
      <w:r w:rsidR="00B97E04" w:rsidRPr="008A4FD0">
        <w:rPr>
          <w:lang w:val="es-ES_tradnl"/>
        </w:rPr>
        <w:t>.</w:t>
      </w:r>
    </w:p>
    <w:p w14:paraId="4DE28900" w14:textId="1F3ADB61" w:rsidR="00FC04F1" w:rsidRPr="008A4FD0" w:rsidRDefault="004A01A9" w:rsidP="00A51F8D">
      <w:pPr>
        <w:pStyle w:val="ONUME"/>
        <w:ind w:left="5533"/>
        <w:rPr>
          <w:i/>
          <w:lang w:val="es-ES"/>
        </w:rPr>
      </w:pPr>
      <w:r w:rsidRPr="008A4FD0">
        <w:rPr>
          <w:i/>
          <w:lang w:val="es-ES"/>
        </w:rPr>
        <w:t>Se invita al Grupo de Trabajo a examinar la información expuesta en el presente documento y a proporcionar orientación a la Oficina Internacional sobre las posibles vías para seguir avanzando.</w:t>
      </w:r>
    </w:p>
    <w:p w14:paraId="06AEAF1A" w14:textId="77777777" w:rsidR="00FC04F1" w:rsidRPr="008A4FD0" w:rsidRDefault="00FC04F1" w:rsidP="00A51F8D">
      <w:pPr>
        <w:pStyle w:val="ONUME"/>
        <w:numPr>
          <w:ilvl w:val="0"/>
          <w:numId w:val="0"/>
        </w:numPr>
        <w:ind w:left="5533"/>
        <w:rPr>
          <w:lang w:val="es-ES"/>
        </w:rPr>
      </w:pPr>
    </w:p>
    <w:p w14:paraId="177DB102" w14:textId="4A94995C" w:rsidR="00AB3414" w:rsidRPr="008A4FD0" w:rsidRDefault="00FC04F1" w:rsidP="00FC04F1">
      <w:pPr>
        <w:pStyle w:val="ONUME"/>
        <w:numPr>
          <w:ilvl w:val="0"/>
          <w:numId w:val="0"/>
        </w:numPr>
        <w:ind w:left="5533"/>
        <w:rPr>
          <w:lang w:val="es-ES"/>
        </w:rPr>
      </w:pPr>
      <w:r w:rsidRPr="008A4FD0">
        <w:rPr>
          <w:lang w:val="es-ES"/>
        </w:rPr>
        <w:t>[Fin del documento]</w:t>
      </w:r>
    </w:p>
    <w:sectPr w:rsidR="00AB3414" w:rsidRPr="008A4FD0" w:rsidSect="009C0F83">
      <w:headerReference w:type="first" r:id="rId10"/>
      <w:endnotePr>
        <w:numFmt w:val="decimal"/>
      </w:endnotePr>
      <w:pgSz w:w="11907" w:h="16840" w:code="9"/>
      <w:pgMar w:top="567" w:right="1134" w:bottom="1134"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3D3E" w14:textId="77777777" w:rsidR="005F3F5C" w:rsidRDefault="005F3F5C">
      <w:r>
        <w:separator/>
      </w:r>
    </w:p>
  </w:endnote>
  <w:endnote w:type="continuationSeparator" w:id="0">
    <w:p w14:paraId="52A1DDA2" w14:textId="77777777" w:rsidR="005F3F5C" w:rsidRDefault="005F3F5C" w:rsidP="003B38C1">
      <w:r>
        <w:separator/>
      </w:r>
    </w:p>
    <w:p w14:paraId="26C071A3" w14:textId="77777777" w:rsidR="005F3F5C" w:rsidRPr="003B38C1" w:rsidRDefault="005F3F5C" w:rsidP="003B38C1">
      <w:pPr>
        <w:spacing w:after="60"/>
        <w:rPr>
          <w:sz w:val="17"/>
        </w:rPr>
      </w:pPr>
      <w:r>
        <w:rPr>
          <w:sz w:val="17"/>
        </w:rPr>
        <w:t>[Endnote continued from previous page]</w:t>
      </w:r>
    </w:p>
  </w:endnote>
  <w:endnote w:type="continuationNotice" w:id="1">
    <w:p w14:paraId="4A260E42" w14:textId="77777777" w:rsidR="005F3F5C" w:rsidRPr="003B38C1" w:rsidRDefault="005F3F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C340" w14:textId="77777777" w:rsidR="005F3F5C" w:rsidRDefault="005F3F5C">
      <w:r>
        <w:separator/>
      </w:r>
    </w:p>
  </w:footnote>
  <w:footnote w:type="continuationSeparator" w:id="0">
    <w:p w14:paraId="1777B06D" w14:textId="77777777" w:rsidR="005F3F5C" w:rsidRDefault="005F3F5C" w:rsidP="008B60B2">
      <w:r>
        <w:separator/>
      </w:r>
    </w:p>
    <w:p w14:paraId="65B811A6" w14:textId="77777777" w:rsidR="005F3F5C" w:rsidRPr="00ED77FB" w:rsidRDefault="005F3F5C" w:rsidP="008B60B2">
      <w:pPr>
        <w:spacing w:after="60"/>
        <w:rPr>
          <w:sz w:val="17"/>
          <w:szCs w:val="17"/>
        </w:rPr>
      </w:pPr>
      <w:r w:rsidRPr="00ED77FB">
        <w:rPr>
          <w:sz w:val="17"/>
          <w:szCs w:val="17"/>
        </w:rPr>
        <w:t>[Footnote continued from previous page]</w:t>
      </w:r>
    </w:p>
  </w:footnote>
  <w:footnote w:type="continuationNotice" w:id="1">
    <w:p w14:paraId="048ECFEF" w14:textId="77777777" w:rsidR="005F3F5C" w:rsidRPr="00ED77FB" w:rsidRDefault="005F3F5C" w:rsidP="008B60B2">
      <w:pPr>
        <w:spacing w:before="60"/>
        <w:jc w:val="right"/>
        <w:rPr>
          <w:sz w:val="17"/>
          <w:szCs w:val="17"/>
        </w:rPr>
      </w:pPr>
      <w:r w:rsidRPr="00ED77FB">
        <w:rPr>
          <w:sz w:val="17"/>
          <w:szCs w:val="17"/>
        </w:rPr>
        <w:t>[Footnote continued on next page]</w:t>
      </w:r>
    </w:p>
  </w:footnote>
  <w:footnote w:id="2">
    <w:p w14:paraId="40151C7D" w14:textId="7B38828A" w:rsidR="00494481" w:rsidRPr="00F20EBE" w:rsidRDefault="00494481" w:rsidP="00AB3414">
      <w:pPr>
        <w:pStyle w:val="FootnoteText"/>
        <w:rPr>
          <w:lang w:val="es-ES"/>
        </w:rPr>
      </w:pPr>
      <w:r w:rsidRPr="00F20EBE">
        <w:rPr>
          <w:rStyle w:val="FootnoteReference"/>
          <w:lang w:val="es-ES"/>
        </w:rPr>
        <w:footnoteRef/>
      </w:r>
      <w:r w:rsidRPr="00F20EBE">
        <w:rPr>
          <w:rStyle w:val="Hyperlink"/>
          <w:color w:val="auto"/>
          <w:u w:val="none"/>
          <w:lang w:val="es-ES"/>
        </w:rPr>
        <w:t xml:space="preserve"> </w:t>
      </w:r>
      <w:r w:rsidRPr="00F20EBE">
        <w:rPr>
          <w:rStyle w:val="Hyperlink"/>
          <w:color w:val="auto"/>
          <w:u w:val="none"/>
          <w:lang w:val="es-ES"/>
        </w:rPr>
        <w:tab/>
        <w:t>Véase el documento “</w:t>
      </w:r>
      <w:r w:rsidRPr="009C0F83">
        <w:rPr>
          <w:rStyle w:val="Hyperlink"/>
          <w:i/>
          <w:color w:val="auto"/>
          <w:u w:val="none"/>
          <w:lang w:val="es-ES"/>
        </w:rPr>
        <w:t>Information on Provisional Refusals</w:t>
      </w:r>
      <w:r w:rsidRPr="00F20EBE">
        <w:rPr>
          <w:rStyle w:val="Hyperlink"/>
          <w:color w:val="auto"/>
          <w:u w:val="none"/>
          <w:lang w:val="es-ES"/>
        </w:rPr>
        <w:t xml:space="preserve">”, disponible en:  </w:t>
      </w:r>
      <w:hyperlink r:id="rId1" w:history="1">
        <w:r w:rsidRPr="00F20EBE">
          <w:rPr>
            <w:rStyle w:val="Hyperlink"/>
            <w:color w:val="auto"/>
            <w:lang w:val="es-ES"/>
          </w:rPr>
          <w:t>https://www.wipo.int/edocs/mdocs/madrid/en/mm_ld_wg_12_rt/mm_ld_wg_12_rt_information_on_provisional_refusals.pdf</w:t>
        </w:r>
      </w:hyperlink>
      <w:r w:rsidRPr="00F20EBE">
        <w:rPr>
          <w:rStyle w:val="Hyperlink"/>
          <w:color w:val="auto"/>
          <w:u w:val="none"/>
          <w:lang w:val="es-ES"/>
        </w:rPr>
        <w:t xml:space="preserve">.  </w:t>
      </w:r>
    </w:p>
  </w:footnote>
  <w:footnote w:id="3">
    <w:p w14:paraId="04F2ABC0" w14:textId="13BA54C2" w:rsidR="00494481" w:rsidRPr="00F20EBE" w:rsidRDefault="00494481" w:rsidP="00AB3414">
      <w:pPr>
        <w:pStyle w:val="FootnoteText"/>
        <w:rPr>
          <w:lang w:val="es-ES"/>
        </w:rPr>
      </w:pPr>
      <w:r w:rsidRPr="00F20EBE">
        <w:rPr>
          <w:rStyle w:val="FootnoteReference"/>
          <w:lang w:val="es-ES"/>
        </w:rPr>
        <w:footnoteRef/>
      </w:r>
      <w:r w:rsidRPr="00F20EBE">
        <w:rPr>
          <w:lang w:val="es-ES"/>
        </w:rPr>
        <w:t xml:space="preserve"> </w:t>
      </w:r>
      <w:r w:rsidRPr="00F20EBE">
        <w:rPr>
          <w:lang w:val="es-ES"/>
        </w:rPr>
        <w:tab/>
        <w:t xml:space="preserve">Véanse los documentos MM/LD/WG/14/6, Anexo IV, y MM/LD/WG/15/5, Anexo II.  </w:t>
      </w:r>
    </w:p>
  </w:footnote>
  <w:footnote w:id="4">
    <w:p w14:paraId="0CC3DCF6" w14:textId="7E375570" w:rsidR="00494481" w:rsidRPr="00F20EBE" w:rsidRDefault="00494481" w:rsidP="00EF52DE">
      <w:pPr>
        <w:pStyle w:val="FootnoteText"/>
        <w:rPr>
          <w:lang w:val="es-ES"/>
        </w:rPr>
      </w:pPr>
      <w:r w:rsidRPr="00F20EBE">
        <w:rPr>
          <w:rStyle w:val="FootnoteReference"/>
          <w:lang w:val="es-ES"/>
        </w:rPr>
        <w:footnoteRef/>
      </w:r>
      <w:r w:rsidRPr="00F20EBE">
        <w:rPr>
          <w:lang w:val="es-ES"/>
        </w:rPr>
        <w:t xml:space="preserve"> </w:t>
      </w:r>
      <w:r w:rsidRPr="00F20EBE">
        <w:rPr>
          <w:lang w:val="es-ES"/>
        </w:rPr>
        <w:tab/>
        <w:t xml:space="preserve">El 17 de marzo de 2019, </w:t>
      </w:r>
      <w:r w:rsidR="00985C44">
        <w:rPr>
          <w:lang w:val="es-ES"/>
        </w:rPr>
        <w:t xml:space="preserve">tras </w:t>
      </w:r>
      <w:r w:rsidRPr="00F20EBE">
        <w:rPr>
          <w:lang w:val="es-ES"/>
        </w:rPr>
        <w:t xml:space="preserve">el depósito del instrumento de adhesión del Canadá.  </w:t>
      </w:r>
    </w:p>
  </w:footnote>
  <w:footnote w:id="5">
    <w:p w14:paraId="6F1CD8C7" w14:textId="77777777" w:rsidR="00494481" w:rsidRPr="00F20EBE" w:rsidRDefault="00494481" w:rsidP="00EF52DE">
      <w:pPr>
        <w:pStyle w:val="FootnoteText"/>
        <w:rPr>
          <w:sz w:val="16"/>
          <w:szCs w:val="16"/>
          <w:lang w:val="es-ES"/>
        </w:rPr>
      </w:pPr>
      <w:r w:rsidRPr="00F20EBE">
        <w:rPr>
          <w:rStyle w:val="FootnoteReference"/>
          <w:lang w:val="es-ES"/>
        </w:rPr>
        <w:footnoteRef/>
      </w:r>
      <w:r w:rsidRPr="00F20EBE">
        <w:rPr>
          <w:lang w:val="es-ES"/>
        </w:rPr>
        <w:t xml:space="preserve"> </w:t>
      </w:r>
      <w:r w:rsidRPr="00F20EBE">
        <w:rPr>
          <w:lang w:val="es-ES"/>
        </w:rPr>
        <w:tab/>
      </w:r>
      <w:r w:rsidRPr="00F20EBE">
        <w:rPr>
          <w:rStyle w:val="Hyperlink"/>
          <w:color w:val="auto"/>
          <w:lang w:val="es-ES"/>
        </w:rPr>
        <w:t>https://www.wipo.int/madrid/es/members/declarations.html.</w:t>
      </w:r>
    </w:p>
  </w:footnote>
  <w:footnote w:id="6">
    <w:p w14:paraId="2B1717CF" w14:textId="2F1D634E" w:rsidR="00494481" w:rsidRPr="00F20EBE" w:rsidRDefault="00494481" w:rsidP="00343C9A">
      <w:pPr>
        <w:pStyle w:val="FootnoteText"/>
        <w:rPr>
          <w:lang w:val="es-ES"/>
        </w:rPr>
      </w:pPr>
      <w:r w:rsidRPr="00F20EBE">
        <w:rPr>
          <w:rStyle w:val="FootnoteReference"/>
          <w:lang w:val="es-ES"/>
        </w:rPr>
        <w:footnoteRef/>
      </w:r>
      <w:r w:rsidRPr="00F20EBE">
        <w:rPr>
          <w:lang w:val="es-ES"/>
        </w:rPr>
        <w:t xml:space="preserve"> </w:t>
      </w:r>
      <w:r w:rsidRPr="00F20EBE">
        <w:rPr>
          <w:lang w:val="es-ES"/>
        </w:rPr>
        <w:tab/>
      </w:r>
      <w:r w:rsidRPr="00F20EBE">
        <w:rPr>
          <w:rStyle w:val="Hyperlink"/>
          <w:color w:val="auto"/>
          <w:lang w:val="es-ES"/>
        </w:rPr>
        <w:t>https://www.wipo.int/export/sites/www/treaties/es/documents/pdf/madrid_marks.pdf.</w:t>
      </w:r>
    </w:p>
  </w:footnote>
  <w:footnote w:id="7">
    <w:p w14:paraId="278209DD" w14:textId="77777777" w:rsidR="00494481" w:rsidRPr="00F20EBE" w:rsidRDefault="00494481" w:rsidP="00333E46">
      <w:pPr>
        <w:pStyle w:val="FootnoteText"/>
        <w:rPr>
          <w:lang w:val="es-ES"/>
        </w:rPr>
      </w:pPr>
      <w:r w:rsidRPr="00F20EBE">
        <w:rPr>
          <w:rStyle w:val="FootnoteReference"/>
          <w:lang w:val="es-ES"/>
        </w:rPr>
        <w:footnoteRef/>
      </w:r>
      <w:r w:rsidRPr="00F20EBE">
        <w:rPr>
          <w:lang w:val="es-ES"/>
        </w:rPr>
        <w:t xml:space="preserve"> </w:t>
      </w:r>
      <w:r w:rsidRPr="00F20EBE">
        <w:rPr>
          <w:lang w:val="es-ES"/>
        </w:rPr>
        <w:tab/>
        <w:t xml:space="preserve">Véase el documento MM/A/37/4.  </w:t>
      </w:r>
    </w:p>
  </w:footnote>
  <w:footnote w:id="8">
    <w:p w14:paraId="7A9801F2" w14:textId="7C7FCC7C" w:rsidR="00494481" w:rsidRPr="00F20EBE" w:rsidRDefault="00494481" w:rsidP="00643B3C">
      <w:pPr>
        <w:pStyle w:val="FootnoteText"/>
        <w:rPr>
          <w:lang w:val="es-ES"/>
        </w:rPr>
      </w:pPr>
      <w:r w:rsidRPr="00F20EBE">
        <w:rPr>
          <w:rStyle w:val="FootnoteReference"/>
          <w:lang w:val="es-ES"/>
        </w:rPr>
        <w:footnoteRef/>
      </w:r>
      <w:r w:rsidR="009C0F83">
        <w:rPr>
          <w:rStyle w:val="Hyperlink"/>
          <w:color w:val="auto"/>
          <w:u w:val="none"/>
          <w:lang w:val="es-ES"/>
        </w:rPr>
        <w:t xml:space="preserve"> </w:t>
      </w:r>
      <w:r w:rsidR="009C0F83">
        <w:rPr>
          <w:rStyle w:val="Hyperlink"/>
          <w:color w:val="auto"/>
          <w:u w:val="none"/>
          <w:lang w:val="es-ES"/>
        </w:rPr>
        <w:tab/>
        <w:t>Véase el documento “</w:t>
      </w:r>
      <w:proofErr w:type="spellStart"/>
      <w:r w:rsidRPr="009C0F83">
        <w:rPr>
          <w:rStyle w:val="Hyperlink"/>
          <w:i/>
          <w:color w:val="auto"/>
          <w:u w:val="none"/>
          <w:lang w:val="es-ES"/>
        </w:rPr>
        <w:t>Information</w:t>
      </w:r>
      <w:proofErr w:type="spellEnd"/>
      <w:r w:rsidRPr="009C0F83">
        <w:rPr>
          <w:rStyle w:val="Hyperlink"/>
          <w:i/>
          <w:color w:val="auto"/>
          <w:u w:val="none"/>
          <w:lang w:val="es-ES"/>
        </w:rPr>
        <w:t xml:space="preserve"> </w:t>
      </w:r>
      <w:proofErr w:type="spellStart"/>
      <w:r w:rsidRPr="009C0F83">
        <w:rPr>
          <w:rStyle w:val="Hyperlink"/>
          <w:i/>
          <w:color w:val="auto"/>
          <w:u w:val="none"/>
          <w:lang w:val="es-ES"/>
        </w:rPr>
        <w:t>on</w:t>
      </w:r>
      <w:proofErr w:type="spellEnd"/>
      <w:r w:rsidRPr="009C0F83">
        <w:rPr>
          <w:rStyle w:val="Hyperlink"/>
          <w:i/>
          <w:color w:val="auto"/>
          <w:u w:val="none"/>
          <w:lang w:val="es-ES"/>
        </w:rPr>
        <w:t xml:space="preserve"> Provisional </w:t>
      </w:r>
      <w:proofErr w:type="spellStart"/>
      <w:r w:rsidRPr="009C0F83">
        <w:rPr>
          <w:rStyle w:val="Hyperlink"/>
          <w:i/>
          <w:color w:val="auto"/>
          <w:u w:val="none"/>
          <w:lang w:val="es-ES"/>
        </w:rPr>
        <w:t>Refusals</w:t>
      </w:r>
      <w:proofErr w:type="spellEnd"/>
      <w:r w:rsidR="009C0F83">
        <w:rPr>
          <w:rStyle w:val="Hyperlink"/>
          <w:color w:val="auto"/>
          <w:u w:val="none"/>
          <w:lang w:val="es-ES"/>
        </w:rPr>
        <w:t>”</w:t>
      </w:r>
      <w:r w:rsidRPr="00F20EBE">
        <w:rPr>
          <w:rStyle w:val="Hyperlink"/>
          <w:color w:val="auto"/>
          <w:u w:val="none"/>
          <w:lang w:val="es-ES"/>
        </w:rPr>
        <w:t>, disponible en</w:t>
      </w:r>
      <w:r w:rsidR="00985C44" w:rsidRPr="00985C44">
        <w:rPr>
          <w:rStyle w:val="Hyperlink"/>
          <w:color w:val="auto"/>
          <w:u w:val="none"/>
          <w:lang w:val="es-ES"/>
        </w:rPr>
        <w:t xml:space="preserve">:  </w:t>
      </w:r>
      <w:r w:rsidR="00985C44">
        <w:fldChar w:fldCharType="begin"/>
      </w:r>
      <w:r w:rsidR="00985C44" w:rsidRPr="00985C44">
        <w:rPr>
          <w:lang w:val="es-ES"/>
          <w:rPrChange w:id="10" w:author="HALLER Mario" w:date="2019-05-14T14:30:00Z">
            <w:rPr/>
          </w:rPrChange>
        </w:rPr>
        <w:instrText xml:space="preserve"> HYPERLINK "https://www.wipo.int/edocs/mdocs/madrid/en/mm_ld_wg_12_rt/mm_ld_wg_12_rt_information_on_provisional_refusals.pdf" </w:instrText>
      </w:r>
      <w:r w:rsidR="00985C44">
        <w:fldChar w:fldCharType="separate"/>
      </w:r>
      <w:r w:rsidR="00985C44" w:rsidRPr="00985C44">
        <w:rPr>
          <w:rStyle w:val="Hyperlink"/>
          <w:color w:val="auto"/>
          <w:lang w:val="es-ES"/>
        </w:rPr>
        <w:t>https://www.wipo.int/edocs/mdocs/madrid/en/mm_ld_wg_12_rt/mm_ld_wg_12_rt_information_on_provisional_refusals.pdf</w:t>
      </w:r>
      <w:r w:rsidR="00985C44">
        <w:rPr>
          <w:rStyle w:val="Hyperlink"/>
          <w:color w:val="auto"/>
        </w:rPr>
        <w:fldChar w:fldCharType="end"/>
      </w:r>
      <w:r w:rsidR="00985C44" w:rsidRPr="00985C44">
        <w:rPr>
          <w:rStyle w:val="Hyperlink"/>
          <w:color w:val="auto"/>
          <w:u w:val="none"/>
          <w:lang w:val="es-ES"/>
        </w:rPr>
        <w:t xml:space="preserve">. </w:t>
      </w:r>
    </w:p>
  </w:footnote>
  <w:footnote w:id="9">
    <w:p w14:paraId="722B9976" w14:textId="205517C3" w:rsidR="00494481" w:rsidRPr="00F20EBE" w:rsidRDefault="00494481" w:rsidP="00E265A7">
      <w:pPr>
        <w:pStyle w:val="FootnoteText"/>
        <w:rPr>
          <w:lang w:val="es-ES"/>
        </w:rPr>
      </w:pPr>
      <w:r w:rsidRPr="00F20EBE">
        <w:rPr>
          <w:rStyle w:val="FootnoteReference"/>
          <w:lang w:val="es-ES"/>
        </w:rPr>
        <w:footnoteRef/>
      </w:r>
      <w:r w:rsidRPr="00F20EBE">
        <w:rPr>
          <w:lang w:val="es-ES"/>
        </w:rPr>
        <w:t xml:space="preserve"> </w:t>
      </w:r>
      <w:r w:rsidRPr="00F20EBE">
        <w:rPr>
          <w:lang w:val="es-ES"/>
        </w:rPr>
        <w:tab/>
        <w:t xml:space="preserve">Promedio mensual de tramitación de las decisiones en marzo de 2019, disponible en:  </w:t>
      </w:r>
      <w:r w:rsidRPr="00F20EBE">
        <w:rPr>
          <w:rStyle w:val="Hyperlink"/>
          <w:color w:val="auto"/>
          <w:lang w:val="es-ES"/>
        </w:rPr>
        <w:t>https://www.wipo.int/export/sites/www/madrid/es/docs/madrid_pendency_rates.pdf</w:t>
      </w:r>
      <w:r w:rsidRPr="00F20EB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F9D1" w14:textId="78BB0AD1" w:rsidR="00494481" w:rsidRPr="00F20EBE" w:rsidRDefault="00494481" w:rsidP="00FC04F1">
    <w:pPr>
      <w:pStyle w:val="Header"/>
      <w:jc w:val="right"/>
    </w:pPr>
    <w:r w:rsidRPr="00F20EBE">
      <w:rPr>
        <w:lang w:val="es-ES_tradnl"/>
      </w:rPr>
      <w:t>MM/</w:t>
    </w:r>
    <w:proofErr w:type="spellStart"/>
    <w:r w:rsidRPr="00F20EBE">
      <w:rPr>
        <w:lang w:val="es-ES_tradnl"/>
      </w:rPr>
      <w:t>LD</w:t>
    </w:r>
    <w:proofErr w:type="spellEnd"/>
    <w:r w:rsidRPr="00F20EBE">
      <w:rPr>
        <w:lang w:val="es-ES_tradnl"/>
      </w:rPr>
      <w:t>/</w:t>
    </w:r>
    <w:proofErr w:type="spellStart"/>
    <w:r w:rsidRPr="00F20EBE">
      <w:rPr>
        <w:lang w:val="es-ES_tradnl"/>
      </w:rPr>
      <w:t>WG</w:t>
    </w:r>
    <w:proofErr w:type="spellEnd"/>
    <w:r w:rsidRPr="00F20EBE">
      <w:rPr>
        <w:lang w:val="es-ES_tradnl"/>
      </w:rPr>
      <w:t>/17/5</w:t>
    </w:r>
  </w:p>
  <w:p w14:paraId="7E87AD20" w14:textId="7E1C84C2" w:rsidR="00494481" w:rsidRPr="00F20EBE" w:rsidRDefault="00494481" w:rsidP="00FC04F1">
    <w:pPr>
      <w:pStyle w:val="Header"/>
      <w:jc w:val="right"/>
      <w:rPr>
        <w:noProof/>
      </w:rPr>
    </w:pPr>
    <w:r w:rsidRPr="00F20EBE">
      <w:rPr>
        <w:lang w:val="es-ES_tradnl"/>
      </w:rPr>
      <w:t>página</w:t>
    </w:r>
    <w:r w:rsidRPr="00F20EBE">
      <w:t xml:space="preserve"> </w:t>
    </w:r>
    <w:r w:rsidRPr="00F20EBE">
      <w:fldChar w:fldCharType="begin"/>
    </w:r>
    <w:r w:rsidRPr="00F20EBE">
      <w:instrText xml:space="preserve"> PAGE   \* MERGEFORMAT </w:instrText>
    </w:r>
    <w:r w:rsidRPr="00F20EBE">
      <w:fldChar w:fldCharType="separate"/>
    </w:r>
    <w:r w:rsidR="000373DC">
      <w:rPr>
        <w:noProof/>
      </w:rPr>
      <w:t>8</w:t>
    </w:r>
    <w:r w:rsidRPr="00F20EBE">
      <w:rPr>
        <w:noProof/>
      </w:rPr>
      <w:fldChar w:fldCharType="end"/>
    </w:r>
  </w:p>
  <w:p w14:paraId="36099B8A" w14:textId="77777777" w:rsidR="00494481" w:rsidRPr="00F20EBE" w:rsidRDefault="00494481" w:rsidP="00343C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10C2" w14:textId="77777777" w:rsidR="00494481" w:rsidRPr="007D091E" w:rsidRDefault="00494481" w:rsidP="00AB3414">
    <w:pPr>
      <w:pStyle w:val="Header"/>
      <w:jc w:val="right"/>
      <w:rPr>
        <w:color w:val="808080"/>
      </w:rPr>
    </w:pPr>
    <w:r w:rsidRPr="007D091E">
      <w:rPr>
        <w:color w:val="808080"/>
      </w:rPr>
      <w:t>MM/LD/</w:t>
    </w:r>
    <w:proofErr w:type="spellStart"/>
    <w:r w:rsidRPr="007D091E">
      <w:rPr>
        <w:color w:val="808080"/>
      </w:rPr>
      <w:t>WG</w:t>
    </w:r>
    <w:proofErr w:type="spellEnd"/>
    <w:r w:rsidRPr="007D091E">
      <w:rPr>
        <w:color w:val="808080"/>
      </w:rPr>
      <w:t>/17/5</w:t>
    </w:r>
  </w:p>
  <w:p w14:paraId="0D2EA47E" w14:textId="409DA196" w:rsidR="00494481" w:rsidRPr="007D091E" w:rsidRDefault="00494481" w:rsidP="00AB3414">
    <w:pPr>
      <w:pStyle w:val="Header"/>
      <w:jc w:val="right"/>
      <w:rPr>
        <w:noProof/>
        <w:color w:val="808080"/>
      </w:rPr>
    </w:pPr>
    <w:r w:rsidRPr="007D091E">
      <w:rPr>
        <w:color w:val="808080"/>
      </w:rPr>
      <w:t xml:space="preserve">página </w:t>
    </w:r>
    <w:r w:rsidRPr="007D091E">
      <w:rPr>
        <w:color w:val="808080"/>
      </w:rPr>
      <w:fldChar w:fldCharType="begin"/>
    </w:r>
    <w:r w:rsidRPr="007D091E">
      <w:rPr>
        <w:color w:val="808080"/>
      </w:rPr>
      <w:instrText xml:space="preserve"> PAGE   \* MERGEFORMAT </w:instrText>
    </w:r>
    <w:r w:rsidRPr="007D091E">
      <w:rPr>
        <w:color w:val="808080"/>
      </w:rPr>
      <w:fldChar w:fldCharType="separate"/>
    </w:r>
    <w:r w:rsidR="002B7D74">
      <w:rPr>
        <w:noProof/>
        <w:color w:val="808080"/>
      </w:rPr>
      <w:t>2</w:t>
    </w:r>
    <w:r w:rsidRPr="007D091E">
      <w:rPr>
        <w:noProof/>
        <w:color w:val="808080"/>
      </w:rPr>
      <w:fldChar w:fldCharType="end"/>
    </w:r>
  </w:p>
  <w:p w14:paraId="51692A39" w14:textId="77777777" w:rsidR="00494481" w:rsidRDefault="00494481" w:rsidP="00AB34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54C72C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E1C28"/>
    <w:multiLevelType w:val="hybridMultilevel"/>
    <w:tmpl w:val="999A21B0"/>
    <w:lvl w:ilvl="0" w:tplc="DB34F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D1FA9"/>
    <w:multiLevelType w:val="hybridMultilevel"/>
    <w:tmpl w:val="D2FA527C"/>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E64E7C"/>
    <w:multiLevelType w:val="hybridMultilevel"/>
    <w:tmpl w:val="539618B0"/>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4F74"/>
    <w:multiLevelType w:val="hybridMultilevel"/>
    <w:tmpl w:val="6CC6823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07FF4"/>
    <w:multiLevelType w:val="hybridMultilevel"/>
    <w:tmpl w:val="BC6E5E02"/>
    <w:lvl w:ilvl="0" w:tplc="73BA2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0233C"/>
    <w:multiLevelType w:val="hybridMultilevel"/>
    <w:tmpl w:val="FFDA0644"/>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DB97D47"/>
    <w:multiLevelType w:val="hybridMultilevel"/>
    <w:tmpl w:val="5C6C1F06"/>
    <w:lvl w:ilvl="0" w:tplc="1BCCAB96">
      <w:start w:val="1"/>
      <w:numFmt w:val="decimal"/>
      <w:lvlText w:val="(%1)"/>
      <w:lvlJc w:val="left"/>
      <w:pPr>
        <w:ind w:left="720" w:hanging="360"/>
      </w:pPr>
      <w:rPr>
        <w:rFonts w:hint="default"/>
      </w:rPr>
    </w:lvl>
    <w:lvl w:ilvl="1" w:tplc="C61C9C7A">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D345C"/>
    <w:multiLevelType w:val="hybridMultilevel"/>
    <w:tmpl w:val="F2E6E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E6EAF"/>
    <w:multiLevelType w:val="hybridMultilevel"/>
    <w:tmpl w:val="E376B0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15"/>
  </w:num>
  <w:num w:numId="8">
    <w:abstractNumId w:val="11"/>
  </w:num>
  <w:num w:numId="9">
    <w:abstractNumId w:val="3"/>
  </w:num>
  <w:num w:numId="10">
    <w:abstractNumId w:val="14"/>
  </w:num>
  <w:num w:numId="11">
    <w:abstractNumId w:val="7"/>
  </w:num>
  <w:num w:numId="12">
    <w:abstractNumId w:val="16"/>
  </w:num>
  <w:num w:numId="13">
    <w:abstractNumId w:val="10"/>
  </w:num>
  <w:num w:numId="14">
    <w:abstractNumId w:val="2"/>
  </w:num>
  <w:num w:numId="15">
    <w:abstractNumId w:val="6"/>
  </w:num>
  <w:num w:numId="16">
    <w:abstractNumId w:val="1"/>
  </w:num>
  <w:num w:numId="17">
    <w:abstractNumId w:val="1"/>
  </w:num>
  <w:num w:numId="18">
    <w:abstractNumId w:val="1"/>
  </w:num>
  <w:num w:numId="19">
    <w:abstractNumId w:val="1"/>
  </w:num>
  <w:num w:numId="20">
    <w:abstractNumId w:val="13"/>
  </w:num>
  <w:num w:numId="21">
    <w:abstractNumId w:val="12"/>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ER Mario">
    <w15:presenceInfo w15:providerId="AD" w15:userId="S-1-5-21-3637208745-3825800285-422149103-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Brands, Designs &amp; DN\Trademarks|TextBase TMs\WorkspaceSTS\Brands, Designs &amp; DN\T Instruments"/>
    <w:docVar w:name="TextBaseURL" w:val="empty"/>
    <w:docVar w:name="UILng" w:val="en"/>
  </w:docVars>
  <w:rsids>
    <w:rsidRoot w:val="000C3895"/>
    <w:rsid w:val="00010CF2"/>
    <w:rsid w:val="0001206C"/>
    <w:rsid w:val="00012C29"/>
    <w:rsid w:val="00027367"/>
    <w:rsid w:val="00030695"/>
    <w:rsid w:val="000373DC"/>
    <w:rsid w:val="00043CAA"/>
    <w:rsid w:val="00046F15"/>
    <w:rsid w:val="00075432"/>
    <w:rsid w:val="000775C6"/>
    <w:rsid w:val="00080751"/>
    <w:rsid w:val="00092B78"/>
    <w:rsid w:val="000968ED"/>
    <w:rsid w:val="000B1DD2"/>
    <w:rsid w:val="000C3895"/>
    <w:rsid w:val="000C5E75"/>
    <w:rsid w:val="000D5BAE"/>
    <w:rsid w:val="000E09F1"/>
    <w:rsid w:val="000E4F75"/>
    <w:rsid w:val="000F1EBB"/>
    <w:rsid w:val="000F455D"/>
    <w:rsid w:val="000F5E56"/>
    <w:rsid w:val="00117964"/>
    <w:rsid w:val="001362EE"/>
    <w:rsid w:val="00142457"/>
    <w:rsid w:val="00145C7B"/>
    <w:rsid w:val="00150F5F"/>
    <w:rsid w:val="0015155C"/>
    <w:rsid w:val="00154A3A"/>
    <w:rsid w:val="001651F4"/>
    <w:rsid w:val="00175F0B"/>
    <w:rsid w:val="00180B57"/>
    <w:rsid w:val="001832A6"/>
    <w:rsid w:val="001A1653"/>
    <w:rsid w:val="001C3635"/>
    <w:rsid w:val="001D344E"/>
    <w:rsid w:val="001D5374"/>
    <w:rsid w:val="001E1D23"/>
    <w:rsid w:val="001F7399"/>
    <w:rsid w:val="00201B24"/>
    <w:rsid w:val="00212C0F"/>
    <w:rsid w:val="00215BAC"/>
    <w:rsid w:val="00222D72"/>
    <w:rsid w:val="00226852"/>
    <w:rsid w:val="00232E14"/>
    <w:rsid w:val="00236774"/>
    <w:rsid w:val="00243B94"/>
    <w:rsid w:val="0024626D"/>
    <w:rsid w:val="0025164C"/>
    <w:rsid w:val="00252ADC"/>
    <w:rsid w:val="002602E3"/>
    <w:rsid w:val="002634C4"/>
    <w:rsid w:val="00270C47"/>
    <w:rsid w:val="00270EE1"/>
    <w:rsid w:val="0027218F"/>
    <w:rsid w:val="0028752D"/>
    <w:rsid w:val="002928D3"/>
    <w:rsid w:val="002945BA"/>
    <w:rsid w:val="002A40BF"/>
    <w:rsid w:val="002A41CE"/>
    <w:rsid w:val="002B7D74"/>
    <w:rsid w:val="002C1DCA"/>
    <w:rsid w:val="002D2790"/>
    <w:rsid w:val="002D3121"/>
    <w:rsid w:val="002E562C"/>
    <w:rsid w:val="002F1FE6"/>
    <w:rsid w:val="002F4E68"/>
    <w:rsid w:val="00312F7F"/>
    <w:rsid w:val="00326D42"/>
    <w:rsid w:val="00333E46"/>
    <w:rsid w:val="00335EA3"/>
    <w:rsid w:val="00343C9A"/>
    <w:rsid w:val="003513E2"/>
    <w:rsid w:val="00354E43"/>
    <w:rsid w:val="00361450"/>
    <w:rsid w:val="00363737"/>
    <w:rsid w:val="003642FE"/>
    <w:rsid w:val="003673CF"/>
    <w:rsid w:val="003705FB"/>
    <w:rsid w:val="003736C0"/>
    <w:rsid w:val="003845C1"/>
    <w:rsid w:val="00386DEF"/>
    <w:rsid w:val="00397196"/>
    <w:rsid w:val="003A1340"/>
    <w:rsid w:val="003A6F89"/>
    <w:rsid w:val="003B38C1"/>
    <w:rsid w:val="003C5432"/>
    <w:rsid w:val="003C7922"/>
    <w:rsid w:val="003D1198"/>
    <w:rsid w:val="003E2CED"/>
    <w:rsid w:val="00401425"/>
    <w:rsid w:val="00414DE5"/>
    <w:rsid w:val="00423E3E"/>
    <w:rsid w:val="0042463F"/>
    <w:rsid w:val="00427AF4"/>
    <w:rsid w:val="004456D5"/>
    <w:rsid w:val="004647DA"/>
    <w:rsid w:val="00474062"/>
    <w:rsid w:val="00477D6B"/>
    <w:rsid w:val="004935C3"/>
    <w:rsid w:val="00494481"/>
    <w:rsid w:val="00497107"/>
    <w:rsid w:val="004A01A9"/>
    <w:rsid w:val="004A6013"/>
    <w:rsid w:val="004B3A8C"/>
    <w:rsid w:val="004C057F"/>
    <w:rsid w:val="004C689D"/>
    <w:rsid w:val="004D0E6F"/>
    <w:rsid w:val="004D6E75"/>
    <w:rsid w:val="004D7156"/>
    <w:rsid w:val="004E4948"/>
    <w:rsid w:val="004E6B5D"/>
    <w:rsid w:val="004F07A7"/>
    <w:rsid w:val="0050164B"/>
    <w:rsid w:val="005019FF"/>
    <w:rsid w:val="00506CB0"/>
    <w:rsid w:val="0053057A"/>
    <w:rsid w:val="00536882"/>
    <w:rsid w:val="0054150D"/>
    <w:rsid w:val="00552566"/>
    <w:rsid w:val="00560A29"/>
    <w:rsid w:val="0057065A"/>
    <w:rsid w:val="00574923"/>
    <w:rsid w:val="00576F8C"/>
    <w:rsid w:val="00597066"/>
    <w:rsid w:val="005A142B"/>
    <w:rsid w:val="005A7413"/>
    <w:rsid w:val="005A77D6"/>
    <w:rsid w:val="005B05D8"/>
    <w:rsid w:val="005B6B85"/>
    <w:rsid w:val="005C11D7"/>
    <w:rsid w:val="005C2E38"/>
    <w:rsid w:val="005C306B"/>
    <w:rsid w:val="005C479F"/>
    <w:rsid w:val="005C6649"/>
    <w:rsid w:val="005D09FB"/>
    <w:rsid w:val="005F1C7E"/>
    <w:rsid w:val="005F2005"/>
    <w:rsid w:val="005F3F5C"/>
    <w:rsid w:val="006041E7"/>
    <w:rsid w:val="00605827"/>
    <w:rsid w:val="00623EFA"/>
    <w:rsid w:val="00643B3C"/>
    <w:rsid w:val="00646050"/>
    <w:rsid w:val="006472E8"/>
    <w:rsid w:val="00647763"/>
    <w:rsid w:val="00647D4C"/>
    <w:rsid w:val="00653500"/>
    <w:rsid w:val="00660B1A"/>
    <w:rsid w:val="006713CA"/>
    <w:rsid w:val="00676C5C"/>
    <w:rsid w:val="00681712"/>
    <w:rsid w:val="00681884"/>
    <w:rsid w:val="00682871"/>
    <w:rsid w:val="00684BDD"/>
    <w:rsid w:val="006878C4"/>
    <w:rsid w:val="006A4A80"/>
    <w:rsid w:val="006A6546"/>
    <w:rsid w:val="006D364F"/>
    <w:rsid w:val="006E5AC0"/>
    <w:rsid w:val="006F06C5"/>
    <w:rsid w:val="00707EBC"/>
    <w:rsid w:val="00721219"/>
    <w:rsid w:val="00735D69"/>
    <w:rsid w:val="00743D2F"/>
    <w:rsid w:val="00754D39"/>
    <w:rsid w:val="00764C09"/>
    <w:rsid w:val="0076680C"/>
    <w:rsid w:val="00782387"/>
    <w:rsid w:val="00792A15"/>
    <w:rsid w:val="007A0AE4"/>
    <w:rsid w:val="007A1DAE"/>
    <w:rsid w:val="007B4CFA"/>
    <w:rsid w:val="007B5D69"/>
    <w:rsid w:val="007C5840"/>
    <w:rsid w:val="007C7800"/>
    <w:rsid w:val="007D091E"/>
    <w:rsid w:val="007D1613"/>
    <w:rsid w:val="007D2F48"/>
    <w:rsid w:val="007D5842"/>
    <w:rsid w:val="007E53FA"/>
    <w:rsid w:val="007E5850"/>
    <w:rsid w:val="007F2BF5"/>
    <w:rsid w:val="00802ADF"/>
    <w:rsid w:val="00816D05"/>
    <w:rsid w:val="008256E7"/>
    <w:rsid w:val="008364EF"/>
    <w:rsid w:val="00840CDD"/>
    <w:rsid w:val="00842850"/>
    <w:rsid w:val="0084477D"/>
    <w:rsid w:val="008555FF"/>
    <w:rsid w:val="0086299D"/>
    <w:rsid w:val="00863F58"/>
    <w:rsid w:val="008A2629"/>
    <w:rsid w:val="008A3878"/>
    <w:rsid w:val="008A4FD0"/>
    <w:rsid w:val="008A51B5"/>
    <w:rsid w:val="008B2CC1"/>
    <w:rsid w:val="008B60B2"/>
    <w:rsid w:val="008C6488"/>
    <w:rsid w:val="008D2073"/>
    <w:rsid w:val="008F3415"/>
    <w:rsid w:val="0090727A"/>
    <w:rsid w:val="0090731E"/>
    <w:rsid w:val="00914E4B"/>
    <w:rsid w:val="00915319"/>
    <w:rsid w:val="00916EE2"/>
    <w:rsid w:val="00923A92"/>
    <w:rsid w:val="009248C8"/>
    <w:rsid w:val="00932C36"/>
    <w:rsid w:val="009355D5"/>
    <w:rsid w:val="00950C37"/>
    <w:rsid w:val="00951635"/>
    <w:rsid w:val="009668F7"/>
    <w:rsid w:val="00966A22"/>
    <w:rsid w:val="0096722F"/>
    <w:rsid w:val="00980843"/>
    <w:rsid w:val="00983DA2"/>
    <w:rsid w:val="00985C44"/>
    <w:rsid w:val="0099674C"/>
    <w:rsid w:val="0099737D"/>
    <w:rsid w:val="009A6E26"/>
    <w:rsid w:val="009B26A5"/>
    <w:rsid w:val="009B3316"/>
    <w:rsid w:val="009B6AAB"/>
    <w:rsid w:val="009C0F83"/>
    <w:rsid w:val="009C463D"/>
    <w:rsid w:val="009D0759"/>
    <w:rsid w:val="009D1463"/>
    <w:rsid w:val="009E2791"/>
    <w:rsid w:val="009E3F6F"/>
    <w:rsid w:val="009F499F"/>
    <w:rsid w:val="00A01FD5"/>
    <w:rsid w:val="00A0693E"/>
    <w:rsid w:val="00A15E24"/>
    <w:rsid w:val="00A210F1"/>
    <w:rsid w:val="00A25AA7"/>
    <w:rsid w:val="00A26999"/>
    <w:rsid w:val="00A42DAF"/>
    <w:rsid w:val="00A44D04"/>
    <w:rsid w:val="00A45BD8"/>
    <w:rsid w:val="00A51F8D"/>
    <w:rsid w:val="00A52DC2"/>
    <w:rsid w:val="00A6558D"/>
    <w:rsid w:val="00A6673C"/>
    <w:rsid w:val="00A73B41"/>
    <w:rsid w:val="00A869B7"/>
    <w:rsid w:val="00A9139E"/>
    <w:rsid w:val="00AA39C6"/>
    <w:rsid w:val="00AB31C3"/>
    <w:rsid w:val="00AB3414"/>
    <w:rsid w:val="00AB6202"/>
    <w:rsid w:val="00AC205C"/>
    <w:rsid w:val="00AC54CE"/>
    <w:rsid w:val="00AC59E6"/>
    <w:rsid w:val="00AD5F99"/>
    <w:rsid w:val="00AE79B7"/>
    <w:rsid w:val="00AF0A6B"/>
    <w:rsid w:val="00AF394F"/>
    <w:rsid w:val="00B004E1"/>
    <w:rsid w:val="00B05A69"/>
    <w:rsid w:val="00B10AF3"/>
    <w:rsid w:val="00B24110"/>
    <w:rsid w:val="00B47657"/>
    <w:rsid w:val="00B70338"/>
    <w:rsid w:val="00B70B9F"/>
    <w:rsid w:val="00B7115A"/>
    <w:rsid w:val="00B71C4B"/>
    <w:rsid w:val="00B827C4"/>
    <w:rsid w:val="00B8384B"/>
    <w:rsid w:val="00B86DE0"/>
    <w:rsid w:val="00B93492"/>
    <w:rsid w:val="00B93DC9"/>
    <w:rsid w:val="00B97222"/>
    <w:rsid w:val="00B9734B"/>
    <w:rsid w:val="00B97E04"/>
    <w:rsid w:val="00BB2F88"/>
    <w:rsid w:val="00BC465B"/>
    <w:rsid w:val="00BD18CB"/>
    <w:rsid w:val="00BD3EEA"/>
    <w:rsid w:val="00C03030"/>
    <w:rsid w:val="00C11BFE"/>
    <w:rsid w:val="00C139A7"/>
    <w:rsid w:val="00C13DF7"/>
    <w:rsid w:val="00C21ED5"/>
    <w:rsid w:val="00C45C28"/>
    <w:rsid w:val="00C51317"/>
    <w:rsid w:val="00C56B19"/>
    <w:rsid w:val="00C6022B"/>
    <w:rsid w:val="00C70A99"/>
    <w:rsid w:val="00C90A9B"/>
    <w:rsid w:val="00C955F6"/>
    <w:rsid w:val="00C96F77"/>
    <w:rsid w:val="00CC0472"/>
    <w:rsid w:val="00CC1218"/>
    <w:rsid w:val="00CE0402"/>
    <w:rsid w:val="00CE2680"/>
    <w:rsid w:val="00CE4D7B"/>
    <w:rsid w:val="00CF0D3B"/>
    <w:rsid w:val="00D03DD8"/>
    <w:rsid w:val="00D177A6"/>
    <w:rsid w:val="00D1792B"/>
    <w:rsid w:val="00D25439"/>
    <w:rsid w:val="00D41C55"/>
    <w:rsid w:val="00D45252"/>
    <w:rsid w:val="00D60AEB"/>
    <w:rsid w:val="00D61CD3"/>
    <w:rsid w:val="00D62433"/>
    <w:rsid w:val="00D64DC8"/>
    <w:rsid w:val="00D71B4D"/>
    <w:rsid w:val="00D74C60"/>
    <w:rsid w:val="00D82908"/>
    <w:rsid w:val="00D85DB6"/>
    <w:rsid w:val="00D93D55"/>
    <w:rsid w:val="00DA2847"/>
    <w:rsid w:val="00DA32B5"/>
    <w:rsid w:val="00DB17B2"/>
    <w:rsid w:val="00DB4351"/>
    <w:rsid w:val="00DC0174"/>
    <w:rsid w:val="00DC2080"/>
    <w:rsid w:val="00DC4268"/>
    <w:rsid w:val="00DD1048"/>
    <w:rsid w:val="00DD62BD"/>
    <w:rsid w:val="00DE21FD"/>
    <w:rsid w:val="00DE5E2F"/>
    <w:rsid w:val="00DE73D0"/>
    <w:rsid w:val="00DF4AE1"/>
    <w:rsid w:val="00E06071"/>
    <w:rsid w:val="00E245CF"/>
    <w:rsid w:val="00E265A7"/>
    <w:rsid w:val="00E31BAD"/>
    <w:rsid w:val="00E32E02"/>
    <w:rsid w:val="00E335FE"/>
    <w:rsid w:val="00E36D63"/>
    <w:rsid w:val="00E5238C"/>
    <w:rsid w:val="00E54770"/>
    <w:rsid w:val="00E60423"/>
    <w:rsid w:val="00E622F0"/>
    <w:rsid w:val="00E72E5D"/>
    <w:rsid w:val="00E80B06"/>
    <w:rsid w:val="00E83108"/>
    <w:rsid w:val="00E84E33"/>
    <w:rsid w:val="00E86FA5"/>
    <w:rsid w:val="00EA1D1B"/>
    <w:rsid w:val="00EA1F26"/>
    <w:rsid w:val="00EB117B"/>
    <w:rsid w:val="00EB2D9E"/>
    <w:rsid w:val="00EC4E49"/>
    <w:rsid w:val="00EC70A4"/>
    <w:rsid w:val="00ED4495"/>
    <w:rsid w:val="00ED6723"/>
    <w:rsid w:val="00ED77FB"/>
    <w:rsid w:val="00ED7ED8"/>
    <w:rsid w:val="00EE1CE7"/>
    <w:rsid w:val="00EE45FA"/>
    <w:rsid w:val="00EF52DE"/>
    <w:rsid w:val="00EF757E"/>
    <w:rsid w:val="00F00BAF"/>
    <w:rsid w:val="00F20EBE"/>
    <w:rsid w:val="00F238C0"/>
    <w:rsid w:val="00F23F46"/>
    <w:rsid w:val="00F25FAD"/>
    <w:rsid w:val="00F456FA"/>
    <w:rsid w:val="00F64F97"/>
    <w:rsid w:val="00F66152"/>
    <w:rsid w:val="00F7372C"/>
    <w:rsid w:val="00F81130"/>
    <w:rsid w:val="00FB4B69"/>
    <w:rsid w:val="00FC04F1"/>
    <w:rsid w:val="00FD0393"/>
    <w:rsid w:val="00FE5193"/>
    <w:rsid w:val="00FF03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389EE9"/>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AB3414"/>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AB3414"/>
    <w:rPr>
      <w:color w:val="0000FF" w:themeColor="hyperlink"/>
      <w:u w:val="single"/>
    </w:rPr>
  </w:style>
  <w:style w:type="paragraph" w:styleId="NoSpacing">
    <w:name w:val="No Spacing"/>
    <w:uiPriority w:val="1"/>
    <w:qFormat/>
    <w:rsid w:val="000C5E75"/>
    <w:rPr>
      <w:rFonts w:ascii="Arial" w:eastAsia="SimSun" w:hAnsi="Arial" w:cs="Arial"/>
      <w:sz w:val="22"/>
      <w:lang w:eastAsia="zh-CN"/>
    </w:rPr>
  </w:style>
  <w:style w:type="character" w:styleId="CommentReference">
    <w:name w:val="annotation reference"/>
    <w:basedOn w:val="DefaultParagraphFont"/>
    <w:semiHidden/>
    <w:unhideWhenUsed/>
    <w:rsid w:val="00363737"/>
    <w:rPr>
      <w:sz w:val="16"/>
      <w:szCs w:val="16"/>
    </w:rPr>
  </w:style>
  <w:style w:type="paragraph" w:styleId="CommentSubject">
    <w:name w:val="annotation subject"/>
    <w:basedOn w:val="CommentText"/>
    <w:next w:val="CommentText"/>
    <w:link w:val="CommentSubjectChar"/>
    <w:semiHidden/>
    <w:unhideWhenUsed/>
    <w:rsid w:val="00363737"/>
    <w:rPr>
      <w:b/>
      <w:bCs/>
      <w:sz w:val="20"/>
    </w:rPr>
  </w:style>
  <w:style w:type="character" w:customStyle="1" w:styleId="CommentTextChar">
    <w:name w:val="Comment Text Char"/>
    <w:basedOn w:val="DefaultParagraphFont"/>
    <w:link w:val="CommentText"/>
    <w:semiHidden/>
    <w:rsid w:val="003637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36373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45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855916191">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adrid/en/mm_ld_wg_12_rt/mm_ld_wg_12_rt_information_on_provisional_refus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695F-A236-42B5-8704-911AC652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3595</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5</cp:revision>
  <cp:lastPrinted>2019-04-25T09:11:00Z</cp:lastPrinted>
  <dcterms:created xsi:type="dcterms:W3CDTF">2019-05-14T12:37:00Z</dcterms:created>
  <dcterms:modified xsi:type="dcterms:W3CDTF">2019-05-15T14:48:00Z</dcterms:modified>
</cp:coreProperties>
</file>