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9B7560" w:rsidTr="0088395E">
        <w:tc>
          <w:tcPr>
            <w:tcW w:w="4513" w:type="dxa"/>
            <w:tcBorders>
              <w:bottom w:val="single" w:sz="4" w:space="0" w:color="auto"/>
            </w:tcBorders>
            <w:tcMar>
              <w:bottom w:w="170" w:type="dxa"/>
            </w:tcMar>
          </w:tcPr>
          <w:p w:rsidR="00E504E5" w:rsidRPr="009B7560" w:rsidRDefault="00E504E5" w:rsidP="00AB613D"/>
        </w:tc>
        <w:tc>
          <w:tcPr>
            <w:tcW w:w="4337" w:type="dxa"/>
            <w:tcBorders>
              <w:bottom w:val="single" w:sz="4" w:space="0" w:color="auto"/>
            </w:tcBorders>
            <w:tcMar>
              <w:left w:w="0" w:type="dxa"/>
              <w:right w:w="0" w:type="dxa"/>
            </w:tcMar>
          </w:tcPr>
          <w:p w:rsidR="00E504E5" w:rsidRPr="009B7560" w:rsidRDefault="003B3D85" w:rsidP="00AB613D">
            <w:r w:rsidRPr="009B7560">
              <w:rPr>
                <w:noProof/>
                <w:lang w:val="en-US" w:eastAsia="en-US"/>
              </w:rPr>
              <w:drawing>
                <wp:inline distT="0" distB="0" distL="0" distR="0" wp14:anchorId="35D9E17C" wp14:editId="02AC29CB">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B7560" w:rsidRDefault="00E504E5" w:rsidP="00AB613D">
            <w:pPr>
              <w:jc w:val="right"/>
            </w:pPr>
            <w:r w:rsidRPr="009B7560">
              <w:rPr>
                <w:b/>
                <w:sz w:val="40"/>
                <w:szCs w:val="40"/>
              </w:rPr>
              <w:t>S</w:t>
            </w:r>
          </w:p>
        </w:tc>
      </w:tr>
      <w:tr w:rsidR="008B2CC1" w:rsidRPr="009B7560"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B7560" w:rsidRDefault="000A550C" w:rsidP="00E076A2">
            <w:pPr>
              <w:jc w:val="right"/>
              <w:rPr>
                <w:rFonts w:ascii="Arial Black" w:hAnsi="Arial Black"/>
                <w:caps/>
                <w:sz w:val="15"/>
              </w:rPr>
            </w:pPr>
            <w:r w:rsidRPr="009B7560">
              <w:rPr>
                <w:rFonts w:ascii="Arial Black" w:hAnsi="Arial Black"/>
                <w:caps/>
                <w:sz w:val="15"/>
              </w:rPr>
              <w:t>mm/ld/wg/16</w:t>
            </w:r>
            <w:r w:rsidR="003B3D85" w:rsidRPr="009B7560">
              <w:rPr>
                <w:rFonts w:ascii="Arial Black" w:hAnsi="Arial Black"/>
                <w:caps/>
                <w:sz w:val="15"/>
              </w:rPr>
              <w:t>/</w:t>
            </w:r>
            <w:bookmarkStart w:id="0" w:name="Code"/>
            <w:bookmarkEnd w:id="0"/>
            <w:r w:rsidR="00E076A2" w:rsidRPr="009B7560">
              <w:rPr>
                <w:rFonts w:ascii="Arial Black" w:hAnsi="Arial Black"/>
                <w:caps/>
                <w:sz w:val="15"/>
              </w:rPr>
              <w:t>10</w:t>
            </w:r>
          </w:p>
        </w:tc>
      </w:tr>
      <w:tr w:rsidR="008B2CC1" w:rsidRPr="009B7560" w:rsidTr="00AB613D">
        <w:trPr>
          <w:trHeight w:hRule="exact" w:val="170"/>
        </w:trPr>
        <w:tc>
          <w:tcPr>
            <w:tcW w:w="9356" w:type="dxa"/>
            <w:gridSpan w:val="3"/>
            <w:noWrap/>
            <w:tcMar>
              <w:left w:w="0" w:type="dxa"/>
              <w:right w:w="0" w:type="dxa"/>
            </w:tcMar>
            <w:vAlign w:val="bottom"/>
          </w:tcPr>
          <w:p w:rsidR="008B2CC1" w:rsidRPr="009B7560" w:rsidRDefault="008B2CC1" w:rsidP="00E076A2">
            <w:pPr>
              <w:jc w:val="right"/>
              <w:rPr>
                <w:rFonts w:ascii="Arial Black" w:hAnsi="Arial Black"/>
                <w:caps/>
                <w:sz w:val="15"/>
              </w:rPr>
            </w:pPr>
            <w:r w:rsidRPr="009B7560">
              <w:rPr>
                <w:rFonts w:ascii="Arial Black" w:hAnsi="Arial Black"/>
                <w:caps/>
                <w:sz w:val="15"/>
              </w:rPr>
              <w:t>ORIGINAL:</w:t>
            </w:r>
            <w:r w:rsidR="009A20CD" w:rsidRPr="009B7560">
              <w:rPr>
                <w:rFonts w:ascii="Arial Black" w:hAnsi="Arial Black"/>
                <w:caps/>
                <w:sz w:val="15"/>
              </w:rPr>
              <w:t xml:space="preserve"> </w:t>
            </w:r>
            <w:bookmarkStart w:id="1" w:name="Original"/>
            <w:bookmarkEnd w:id="1"/>
            <w:r w:rsidR="000D08BE">
              <w:rPr>
                <w:rFonts w:ascii="Arial Black" w:hAnsi="Arial Black"/>
                <w:caps/>
                <w:sz w:val="15"/>
              </w:rPr>
              <w:t xml:space="preserve"> </w:t>
            </w:r>
            <w:r w:rsidR="00E076A2" w:rsidRPr="009B7560">
              <w:rPr>
                <w:rFonts w:ascii="Arial Black" w:hAnsi="Arial Black"/>
                <w:caps/>
                <w:sz w:val="15"/>
              </w:rPr>
              <w:t>inglés</w:t>
            </w:r>
            <w:r w:rsidRPr="009B7560">
              <w:rPr>
                <w:rFonts w:ascii="Arial Black" w:hAnsi="Arial Black"/>
                <w:caps/>
                <w:sz w:val="15"/>
              </w:rPr>
              <w:t xml:space="preserve"> </w:t>
            </w:r>
          </w:p>
        </w:tc>
      </w:tr>
      <w:tr w:rsidR="008B2CC1" w:rsidRPr="009B7560" w:rsidTr="00AB613D">
        <w:trPr>
          <w:trHeight w:hRule="exact" w:val="198"/>
        </w:trPr>
        <w:tc>
          <w:tcPr>
            <w:tcW w:w="9356" w:type="dxa"/>
            <w:gridSpan w:val="3"/>
            <w:tcMar>
              <w:left w:w="0" w:type="dxa"/>
              <w:right w:w="0" w:type="dxa"/>
            </w:tcMar>
            <w:vAlign w:val="bottom"/>
          </w:tcPr>
          <w:p w:rsidR="008B2CC1" w:rsidRPr="009B7560" w:rsidRDefault="00675021" w:rsidP="00E076A2">
            <w:pPr>
              <w:jc w:val="right"/>
              <w:rPr>
                <w:rFonts w:ascii="Arial Black" w:hAnsi="Arial Black"/>
                <w:caps/>
                <w:sz w:val="15"/>
              </w:rPr>
            </w:pPr>
            <w:r w:rsidRPr="009B7560">
              <w:rPr>
                <w:rFonts w:ascii="Arial Black" w:hAnsi="Arial Black"/>
                <w:caps/>
                <w:sz w:val="15"/>
              </w:rPr>
              <w:t>fecha</w:t>
            </w:r>
            <w:r w:rsidR="008B2CC1" w:rsidRPr="009B7560">
              <w:rPr>
                <w:rFonts w:ascii="Arial Black" w:hAnsi="Arial Black"/>
                <w:caps/>
                <w:sz w:val="15"/>
              </w:rPr>
              <w:t>:</w:t>
            </w:r>
            <w:r w:rsidR="009A20CD" w:rsidRPr="009B7560">
              <w:rPr>
                <w:rFonts w:ascii="Arial Black" w:hAnsi="Arial Black"/>
                <w:caps/>
                <w:sz w:val="15"/>
              </w:rPr>
              <w:t xml:space="preserve"> </w:t>
            </w:r>
            <w:bookmarkStart w:id="2" w:name="Date"/>
            <w:bookmarkEnd w:id="2"/>
            <w:r w:rsidR="000D08BE">
              <w:rPr>
                <w:rFonts w:ascii="Arial Black" w:hAnsi="Arial Black"/>
                <w:caps/>
                <w:sz w:val="15"/>
              </w:rPr>
              <w:t xml:space="preserve"> </w:t>
            </w:r>
            <w:r w:rsidR="00E076A2" w:rsidRPr="009B7560">
              <w:rPr>
                <w:rFonts w:ascii="Arial Black" w:hAnsi="Arial Black"/>
                <w:caps/>
                <w:sz w:val="15"/>
              </w:rPr>
              <w:t>22 de junio de 2018</w:t>
            </w:r>
            <w:r w:rsidR="008B2CC1" w:rsidRPr="009B7560">
              <w:rPr>
                <w:rFonts w:ascii="Arial Black" w:hAnsi="Arial Black"/>
                <w:caps/>
                <w:sz w:val="15"/>
              </w:rPr>
              <w:t xml:space="preserve"> </w:t>
            </w:r>
          </w:p>
        </w:tc>
      </w:tr>
    </w:tbl>
    <w:p w:rsidR="008B2CC1" w:rsidRPr="009B7560" w:rsidRDefault="008B2CC1" w:rsidP="008B2CC1"/>
    <w:p w:rsidR="008B2CC1" w:rsidRPr="009B7560" w:rsidRDefault="008B2CC1" w:rsidP="008B2CC1"/>
    <w:p w:rsidR="008B2CC1" w:rsidRPr="009B7560" w:rsidRDefault="008B2CC1" w:rsidP="008B2CC1"/>
    <w:p w:rsidR="008B2CC1" w:rsidRPr="009B7560" w:rsidRDefault="008B2CC1" w:rsidP="008B2CC1"/>
    <w:p w:rsidR="008B2CC1" w:rsidRPr="009B7560" w:rsidRDefault="008B2CC1" w:rsidP="008B2CC1"/>
    <w:p w:rsidR="00B67CDC" w:rsidRPr="009B7560" w:rsidRDefault="003B3D85" w:rsidP="00B67CDC">
      <w:pPr>
        <w:rPr>
          <w:b/>
          <w:sz w:val="28"/>
          <w:szCs w:val="28"/>
        </w:rPr>
      </w:pPr>
      <w:r w:rsidRPr="009B7560">
        <w:rPr>
          <w:b/>
          <w:sz w:val="28"/>
          <w:szCs w:val="28"/>
        </w:rPr>
        <w:t>Grupo de Trabajo sobre el Desarrollo Jurídico del Sistema de Madrid para el Registro Internacional de Marcas</w:t>
      </w:r>
    </w:p>
    <w:p w:rsidR="003845C1" w:rsidRPr="009B7560" w:rsidRDefault="003845C1" w:rsidP="003845C1"/>
    <w:p w:rsidR="003845C1" w:rsidRPr="009B7560" w:rsidRDefault="003845C1" w:rsidP="003845C1"/>
    <w:p w:rsidR="003B3D85" w:rsidRPr="009B7560" w:rsidRDefault="000A550C" w:rsidP="003B3D85">
      <w:pPr>
        <w:rPr>
          <w:b/>
          <w:sz w:val="24"/>
          <w:szCs w:val="24"/>
        </w:rPr>
      </w:pPr>
      <w:r w:rsidRPr="009B7560">
        <w:rPr>
          <w:b/>
          <w:sz w:val="24"/>
          <w:szCs w:val="24"/>
        </w:rPr>
        <w:t>Decimosexta</w:t>
      </w:r>
      <w:r w:rsidR="003B3D85" w:rsidRPr="009B7560">
        <w:rPr>
          <w:b/>
          <w:sz w:val="24"/>
          <w:szCs w:val="24"/>
        </w:rPr>
        <w:t xml:space="preserve"> reunión</w:t>
      </w:r>
    </w:p>
    <w:p w:rsidR="003B3D85" w:rsidRPr="009B7560" w:rsidRDefault="000A550C" w:rsidP="003B3D85">
      <w:pPr>
        <w:rPr>
          <w:b/>
          <w:sz w:val="24"/>
          <w:szCs w:val="24"/>
        </w:rPr>
      </w:pPr>
      <w:r w:rsidRPr="009B7560">
        <w:rPr>
          <w:b/>
          <w:sz w:val="24"/>
          <w:szCs w:val="24"/>
        </w:rPr>
        <w:t>Ginebra, 2 a 6 de julio de 2018</w:t>
      </w:r>
    </w:p>
    <w:p w:rsidR="008B2CC1" w:rsidRPr="009B7560" w:rsidRDefault="008B2CC1" w:rsidP="008B2CC1"/>
    <w:p w:rsidR="008B2CC1" w:rsidRPr="009B7560" w:rsidRDefault="008B2CC1" w:rsidP="008B2CC1"/>
    <w:p w:rsidR="008B2CC1" w:rsidRPr="009B7560" w:rsidRDefault="008B2CC1" w:rsidP="008B2CC1"/>
    <w:p w:rsidR="00E076A2" w:rsidRPr="009B7560" w:rsidRDefault="00E076A2" w:rsidP="00E076A2">
      <w:pPr>
        <w:rPr>
          <w:caps/>
          <w:sz w:val="24"/>
        </w:rPr>
      </w:pPr>
      <w:bookmarkStart w:id="3" w:name="TitleOfDoc"/>
      <w:bookmarkEnd w:id="3"/>
      <w:r w:rsidRPr="009B7560">
        <w:rPr>
          <w:caps/>
          <w:sz w:val="24"/>
        </w:rPr>
        <w:t>propuesta de la delegación de los estados unidos de américa</w:t>
      </w:r>
    </w:p>
    <w:p w:rsidR="00E076A2" w:rsidRPr="009B7560" w:rsidRDefault="00E076A2" w:rsidP="00E076A2"/>
    <w:p w:rsidR="00E076A2" w:rsidRPr="009B7560" w:rsidRDefault="00E076A2" w:rsidP="00E076A2">
      <w:bookmarkStart w:id="4" w:name="Prepared"/>
      <w:bookmarkEnd w:id="4"/>
    </w:p>
    <w:p w:rsidR="00E076A2" w:rsidRPr="009B7560" w:rsidRDefault="00E076A2" w:rsidP="00E076A2"/>
    <w:p w:rsidR="00564DC8" w:rsidRPr="009B7560" w:rsidRDefault="00E076A2" w:rsidP="009B7560">
      <w:pPr>
        <w:pStyle w:val="ONUMFS"/>
      </w:pPr>
      <w:r w:rsidRPr="009B7560">
        <w:t xml:space="preserve">En una comunicación </w:t>
      </w:r>
      <w:r w:rsidR="009554FA" w:rsidRPr="009B7560">
        <w:t>de</w:t>
      </w:r>
      <w:r w:rsidRPr="009B7560">
        <w:t xml:space="preserve"> fecha 19 de junio de 2018, la Oficina Internacional recibió una propuesta de la delegación de los Estados Unidos de América titulada “Contribución a la salud financiera de la Organización” para que </w:t>
      </w:r>
      <w:r w:rsidR="00876626" w:rsidRPr="009B7560">
        <w:t>fuera</w:t>
      </w:r>
      <w:r w:rsidRPr="009B7560">
        <w:t xml:space="preserve"> examinada por el Grupo de Trabajo sobre el Desarrollo Jurídico del Sistema de Madrid para el Registro Internacional de Marcas en su decimosexta </w:t>
      </w:r>
      <w:r w:rsidR="00903F20">
        <w:t>reunión</w:t>
      </w:r>
      <w:r w:rsidRPr="009B7560">
        <w:t>, que se celebrará en Ginebra del 2 al 6 de julio de 2018.</w:t>
      </w:r>
    </w:p>
    <w:p w:rsidR="00564DC8" w:rsidRPr="009B7560" w:rsidRDefault="00E076A2" w:rsidP="009B7560">
      <w:pPr>
        <w:pStyle w:val="ONUMFS"/>
      </w:pPr>
      <w:r w:rsidRPr="009B7560">
        <w:t>La propuesta se adjunta en el anexo del presente documento.</w:t>
      </w:r>
    </w:p>
    <w:p w:rsidR="00E076A2" w:rsidRPr="009B7560" w:rsidRDefault="00E076A2" w:rsidP="009B7560">
      <w:pPr>
        <w:pStyle w:val="Endofdocument-Annex"/>
        <w:spacing w:before="600"/>
        <w:rPr>
          <w:lang w:val="es-ES"/>
        </w:rPr>
      </w:pPr>
      <w:r w:rsidRPr="009B7560">
        <w:rPr>
          <w:lang w:val="es-ES"/>
        </w:rPr>
        <w:t>[Sigue el Anexo]</w:t>
      </w:r>
    </w:p>
    <w:p w:rsidR="00E076A2" w:rsidRPr="009B7560" w:rsidRDefault="00E076A2" w:rsidP="00E076A2">
      <w:pPr>
        <w:pStyle w:val="Endofdocument-Annex"/>
        <w:rPr>
          <w:lang w:val="es-ES"/>
        </w:rPr>
        <w:sectPr w:rsidR="00E076A2" w:rsidRPr="009B7560" w:rsidSect="000C3895">
          <w:footnotePr>
            <w:numFmt w:val="chicago"/>
          </w:footnotePr>
          <w:endnotePr>
            <w:numFmt w:val="decimal"/>
          </w:endnotePr>
          <w:pgSz w:w="11907" w:h="16840" w:code="9"/>
          <w:pgMar w:top="567" w:right="1134" w:bottom="1418" w:left="1418" w:header="510" w:footer="1021" w:gutter="0"/>
          <w:cols w:space="720"/>
          <w:titlePg/>
          <w:docGrid w:linePitch="299"/>
        </w:sectPr>
      </w:pPr>
    </w:p>
    <w:p w:rsidR="00E076A2" w:rsidRPr="009B7560" w:rsidRDefault="00E076A2" w:rsidP="00E076A2">
      <w:pPr>
        <w:jc w:val="center"/>
        <w:rPr>
          <w:rFonts w:eastAsia="Times New Roman"/>
          <w:b/>
          <w:color w:val="242929"/>
          <w:szCs w:val="22"/>
          <w:lang w:eastAsia="en-US"/>
        </w:rPr>
      </w:pPr>
      <w:r w:rsidRPr="009B7560">
        <w:rPr>
          <w:rFonts w:eastAsia="Times New Roman"/>
          <w:b/>
          <w:color w:val="242929"/>
          <w:szCs w:val="22"/>
          <w:lang w:eastAsia="en-US"/>
        </w:rPr>
        <w:lastRenderedPageBreak/>
        <w:t>Contribución a la salud financiera de la Organización</w:t>
      </w:r>
    </w:p>
    <w:p w:rsidR="00E076A2" w:rsidRPr="009B7560" w:rsidRDefault="00E076A2" w:rsidP="00E076A2">
      <w:pPr>
        <w:jc w:val="center"/>
        <w:rPr>
          <w:rFonts w:eastAsia="Times New Roman"/>
          <w:b/>
          <w:color w:val="242929"/>
          <w:szCs w:val="22"/>
          <w:lang w:eastAsia="en-US"/>
        </w:rPr>
      </w:pPr>
    </w:p>
    <w:p w:rsidR="00E076A2" w:rsidRPr="009B7560" w:rsidRDefault="00E076A2" w:rsidP="00E076A2">
      <w:pPr>
        <w:jc w:val="center"/>
        <w:rPr>
          <w:rFonts w:eastAsia="Times New Roman"/>
          <w:b/>
          <w:color w:val="242929"/>
          <w:szCs w:val="22"/>
          <w:lang w:eastAsia="en-US"/>
        </w:rPr>
      </w:pPr>
      <w:r w:rsidRPr="009B7560">
        <w:rPr>
          <w:rFonts w:eastAsia="Times New Roman"/>
          <w:b/>
          <w:color w:val="242929"/>
          <w:szCs w:val="22"/>
          <w:lang w:eastAsia="en-US"/>
        </w:rPr>
        <w:t>Propuesta presentada por la delegación de los Estados Unidos de América al Grupo de Trabajo del Sistema de Madrid</w:t>
      </w:r>
    </w:p>
    <w:p w:rsidR="00E076A2" w:rsidRPr="009B7560" w:rsidRDefault="00E076A2" w:rsidP="00E076A2">
      <w:pPr>
        <w:rPr>
          <w:rFonts w:eastAsia="Times New Roman"/>
          <w:b/>
          <w:color w:val="242929"/>
          <w:szCs w:val="22"/>
          <w:lang w:eastAsia="en-US"/>
        </w:rPr>
      </w:pPr>
    </w:p>
    <w:p w:rsidR="00E076A2" w:rsidRPr="009B7560" w:rsidRDefault="00E076A2" w:rsidP="00E076A2">
      <w:pPr>
        <w:rPr>
          <w:rFonts w:eastAsia="Times New Roman"/>
          <w:b/>
          <w:color w:val="242929"/>
          <w:szCs w:val="22"/>
          <w:lang w:eastAsia="en-US"/>
        </w:rPr>
      </w:pPr>
    </w:p>
    <w:p w:rsidR="00564DC8" w:rsidRPr="009B7560" w:rsidRDefault="00E076A2" w:rsidP="00E076A2">
      <w:pPr>
        <w:rPr>
          <w:rFonts w:eastAsia="Times New Roman"/>
          <w:color w:val="242929"/>
          <w:szCs w:val="22"/>
          <w:lang w:eastAsia="en-US"/>
        </w:rPr>
      </w:pPr>
      <w:r w:rsidRPr="009B7560">
        <w:rPr>
          <w:rFonts w:eastAsia="Times New Roman"/>
          <w:color w:val="242929"/>
          <w:szCs w:val="22"/>
          <w:lang w:eastAsia="en-US"/>
        </w:rPr>
        <w:tab/>
        <w:t xml:space="preserve">En aras de contribuir a la salud financiera de la Organización Mundial de la Propiedad Intelectual (OMPI), proponemos que el Grupo de Trabajo sobre el Desarrollo Jurídico del </w:t>
      </w:r>
      <w:r w:rsidRPr="009B7560">
        <w:t xml:space="preserve">Sistema de Madrid para el Registro Internacional de Marcas (Grupo de Trabajo del Sistema de Madrid) examine si el nivel de tasas es suficiente para cubrir los gastos y para contribuir </w:t>
      </w:r>
      <w:r w:rsidR="002036B3" w:rsidRPr="009B7560">
        <w:t>de manera más general</w:t>
      </w:r>
      <w:r w:rsidRPr="009B7560">
        <w:t xml:space="preserve"> a los gastos comunes de la Organización. </w:t>
      </w:r>
      <w:r w:rsidR="000D08BE">
        <w:t xml:space="preserve"> </w:t>
      </w:r>
      <w:r w:rsidRPr="009B7560">
        <w:t xml:space="preserve">Aunque </w:t>
      </w:r>
      <w:r w:rsidR="002036B3" w:rsidRPr="009B7560">
        <w:t xml:space="preserve">el Grupo de Trabajo del Sistema de Madrid haya señalado su intención de </w:t>
      </w:r>
      <w:r w:rsidR="009554FA" w:rsidRPr="009B7560">
        <w:t>debatir sobre</w:t>
      </w:r>
      <w:r w:rsidR="002036B3" w:rsidRPr="009B7560">
        <w:t xml:space="preserve"> la revisión del baremo de tasas y de las opciones de pago a mediano plazo, en el marco de las prioridades que figuran en</w:t>
      </w:r>
      <w:r w:rsidRPr="009B7560">
        <w:t xml:space="preserve"> la hoja de ruta</w:t>
      </w:r>
      <w:r w:rsidR="002036B3" w:rsidRPr="009B7560">
        <w:t xml:space="preserve"> del Grupo de Trabajo</w:t>
      </w:r>
      <w:r w:rsidRPr="009B7560">
        <w:rPr>
          <w:rFonts w:eastAsia="Times New Roman"/>
          <w:color w:val="242929"/>
          <w:szCs w:val="22"/>
          <w:vertAlign w:val="superscript"/>
          <w:lang w:eastAsia="en-US"/>
        </w:rPr>
        <w:footnoteReference w:id="2"/>
      </w:r>
      <w:r w:rsidR="000D08BE">
        <w:t>,</w:t>
      </w:r>
      <w:r w:rsidRPr="009B7560">
        <w:t xml:space="preserve"> la delegación de los Estados Unidos de América propone </w:t>
      </w:r>
      <w:r w:rsidR="009554FA" w:rsidRPr="009B7560">
        <w:t xml:space="preserve">centrar el debate en el </w:t>
      </w:r>
      <w:r w:rsidRPr="009B7560">
        <w:t>corto plazo</w:t>
      </w:r>
      <w:r w:rsidR="002036B3" w:rsidRPr="009B7560">
        <w:t>,</w:t>
      </w:r>
      <w:r w:rsidRPr="009B7560">
        <w:t xml:space="preserve"> para que la Unión de Madrid pueda contribuir </w:t>
      </w:r>
      <w:r w:rsidR="002036B3" w:rsidRPr="009B7560">
        <w:t>de forma responsable</w:t>
      </w:r>
      <w:r w:rsidRPr="009B7560">
        <w:t xml:space="preserve"> a la salud financiera de la Organización lo antes posible</w:t>
      </w:r>
      <w:r w:rsidRPr="009B7560">
        <w:rPr>
          <w:rFonts w:eastAsia="Times New Roman"/>
          <w:color w:val="242929"/>
          <w:szCs w:val="22"/>
          <w:lang w:eastAsia="en-US"/>
        </w:rPr>
        <w:t>.</w:t>
      </w:r>
    </w:p>
    <w:p w:rsidR="00E076A2" w:rsidRPr="009B7560" w:rsidRDefault="00E076A2" w:rsidP="00E076A2">
      <w:pPr>
        <w:rPr>
          <w:rFonts w:eastAsia="Times New Roman"/>
          <w:color w:val="242929"/>
          <w:szCs w:val="22"/>
          <w:lang w:eastAsia="en-US"/>
        </w:rPr>
      </w:pPr>
    </w:p>
    <w:p w:rsidR="00564DC8" w:rsidRPr="009B7560" w:rsidRDefault="00E076A2" w:rsidP="00E076A2">
      <w:pPr>
        <w:rPr>
          <w:rFonts w:eastAsia="Times New Roman"/>
          <w:color w:val="242929"/>
          <w:szCs w:val="22"/>
          <w:lang w:eastAsia="en-US"/>
        </w:rPr>
      </w:pPr>
      <w:r w:rsidRPr="009B7560">
        <w:rPr>
          <w:rFonts w:eastAsia="Times New Roman"/>
          <w:color w:val="242929"/>
          <w:szCs w:val="22"/>
          <w:lang w:eastAsia="en-US"/>
        </w:rPr>
        <w:tab/>
        <w:t xml:space="preserve">Con arreglo a la decisión de las Asambleas de la OMPI </w:t>
      </w:r>
      <w:r w:rsidR="009554FA" w:rsidRPr="009B7560">
        <w:rPr>
          <w:rFonts w:eastAsia="Times New Roman"/>
          <w:color w:val="242929"/>
          <w:szCs w:val="22"/>
          <w:lang w:eastAsia="en-US"/>
        </w:rPr>
        <w:t xml:space="preserve">sobre el presupuesto por programas de la OMPI para el bienio 2018/19, </w:t>
      </w:r>
      <w:r w:rsidRPr="009B7560">
        <w:rPr>
          <w:rFonts w:eastAsia="Times New Roman"/>
          <w:color w:val="242929"/>
          <w:szCs w:val="22"/>
          <w:lang w:eastAsia="en-US"/>
        </w:rPr>
        <w:t>adoptada en octubre de 2017</w:t>
      </w:r>
      <w:r w:rsidRPr="009B7560">
        <w:rPr>
          <w:rFonts w:eastAsia="Times New Roman"/>
          <w:color w:val="242929"/>
          <w:szCs w:val="22"/>
          <w:vertAlign w:val="superscript"/>
          <w:lang w:eastAsia="en-US"/>
        </w:rPr>
        <w:footnoteReference w:id="3"/>
      </w:r>
      <w:r w:rsidR="000D08BE">
        <w:rPr>
          <w:rFonts w:eastAsia="Times New Roman"/>
          <w:color w:val="242929"/>
          <w:szCs w:val="22"/>
          <w:lang w:eastAsia="en-US"/>
        </w:rPr>
        <w:t>,</w:t>
      </w:r>
      <w:r w:rsidRPr="009B7560">
        <w:rPr>
          <w:rFonts w:eastAsia="Times New Roman"/>
          <w:color w:val="242929"/>
          <w:szCs w:val="22"/>
          <w:lang w:eastAsia="en-US"/>
        </w:rPr>
        <w:t xml:space="preserve"> las uniones financiadas mediante tasas deben revisar sus presupuesto</w:t>
      </w:r>
      <w:r w:rsidR="002036B3" w:rsidRPr="009B7560">
        <w:rPr>
          <w:rFonts w:eastAsia="Times New Roman"/>
          <w:color w:val="242929"/>
          <w:szCs w:val="22"/>
          <w:lang w:eastAsia="en-US"/>
        </w:rPr>
        <w:t>s</w:t>
      </w:r>
      <w:r w:rsidRPr="009B7560">
        <w:rPr>
          <w:rFonts w:eastAsia="Times New Roman"/>
          <w:color w:val="242929"/>
          <w:szCs w:val="22"/>
          <w:lang w:eastAsia="en-US"/>
        </w:rPr>
        <w:t xml:space="preserve"> y asegurarse de que no </w:t>
      </w:r>
      <w:r w:rsidR="00903F20">
        <w:rPr>
          <w:rFonts w:eastAsia="Times New Roman"/>
          <w:color w:val="242929"/>
          <w:szCs w:val="22"/>
          <w:lang w:eastAsia="en-US"/>
        </w:rPr>
        <w:t>incurren</w:t>
      </w:r>
      <w:r w:rsidRPr="009B7560">
        <w:rPr>
          <w:rFonts w:eastAsia="Times New Roman"/>
          <w:color w:val="242929"/>
          <w:szCs w:val="22"/>
          <w:lang w:eastAsia="en-US"/>
        </w:rPr>
        <w:t xml:space="preserve"> en déficit. </w:t>
      </w:r>
      <w:r w:rsidR="000D08BE">
        <w:rPr>
          <w:rFonts w:eastAsia="Times New Roman"/>
          <w:color w:val="242929"/>
          <w:szCs w:val="22"/>
          <w:lang w:eastAsia="en-US"/>
        </w:rPr>
        <w:t xml:space="preserve"> </w:t>
      </w:r>
      <w:r w:rsidRPr="009B7560">
        <w:rPr>
          <w:rFonts w:eastAsia="Times New Roman"/>
          <w:color w:val="242929"/>
          <w:szCs w:val="22"/>
          <w:lang w:eastAsia="en-US"/>
        </w:rPr>
        <w:t xml:space="preserve">La delegación de los Estados Unidos de América opina que las uniones financiadas mediante tasas deberían cubrir sus propios gastos y contribuir asimismo a los gastos comunes de la Organización. </w:t>
      </w:r>
      <w:r w:rsidR="000D08BE">
        <w:rPr>
          <w:rFonts w:eastAsia="Times New Roman"/>
          <w:color w:val="242929"/>
          <w:szCs w:val="22"/>
          <w:lang w:eastAsia="en-US"/>
        </w:rPr>
        <w:t xml:space="preserve"> </w:t>
      </w:r>
      <w:r w:rsidRPr="009B7560">
        <w:rPr>
          <w:rFonts w:eastAsia="Times New Roman"/>
          <w:color w:val="242929"/>
          <w:szCs w:val="22"/>
          <w:lang w:eastAsia="en-US"/>
        </w:rPr>
        <w:t>Además, opina que dichas uniones deberían considerar la posibilidad de financiar los gastos de las uniones financiadas mediante contribuciones que estén pasando por dificultades financieras.</w:t>
      </w:r>
    </w:p>
    <w:p w:rsidR="00E076A2" w:rsidRPr="009B7560" w:rsidRDefault="00E076A2" w:rsidP="00E076A2">
      <w:pPr>
        <w:rPr>
          <w:rFonts w:eastAsia="Times New Roman"/>
          <w:color w:val="242929"/>
          <w:szCs w:val="22"/>
          <w:lang w:eastAsia="en-US"/>
        </w:rPr>
      </w:pPr>
    </w:p>
    <w:p w:rsidR="00E076A2" w:rsidRPr="009B7560" w:rsidRDefault="00E076A2" w:rsidP="00E076A2">
      <w:pPr>
        <w:rPr>
          <w:rFonts w:eastAsia="Times New Roman"/>
          <w:color w:val="242929"/>
          <w:szCs w:val="22"/>
          <w:lang w:eastAsia="en-US"/>
        </w:rPr>
      </w:pPr>
      <w:r w:rsidRPr="009B7560">
        <w:rPr>
          <w:rFonts w:eastAsia="Times New Roman"/>
          <w:color w:val="242929"/>
          <w:szCs w:val="22"/>
          <w:lang w:eastAsia="en-US"/>
        </w:rPr>
        <w:tab/>
        <w:t>En 2017, la Asamblea de la Unión de Madrid, junto con las demás Asambleas de la OMPI</w:t>
      </w:r>
      <w:r w:rsidRPr="009B7560">
        <w:rPr>
          <w:rFonts w:eastAsia="Times New Roman"/>
          <w:color w:val="242929"/>
          <w:szCs w:val="22"/>
          <w:vertAlign w:val="superscript"/>
          <w:lang w:eastAsia="en-US"/>
        </w:rPr>
        <w:footnoteReference w:id="4"/>
      </w:r>
      <w:r w:rsidR="000D08BE">
        <w:rPr>
          <w:rFonts w:eastAsia="Times New Roman"/>
          <w:color w:val="242929"/>
          <w:szCs w:val="22"/>
          <w:lang w:eastAsia="en-US"/>
        </w:rPr>
        <w:t xml:space="preserve">:  </w:t>
      </w:r>
    </w:p>
    <w:p w:rsidR="00E076A2" w:rsidRPr="009B7560" w:rsidRDefault="00E076A2" w:rsidP="00E076A2">
      <w:pPr>
        <w:rPr>
          <w:rFonts w:eastAsia="Times New Roman"/>
          <w:color w:val="242929"/>
          <w:szCs w:val="22"/>
          <w:lang w:eastAsia="en-US"/>
        </w:rPr>
      </w:pPr>
    </w:p>
    <w:p w:rsidR="00564DC8" w:rsidRPr="009B7560" w:rsidRDefault="009B7560" w:rsidP="00E076A2">
      <w:pPr>
        <w:rPr>
          <w:rFonts w:eastAsia="Times New Roman"/>
          <w:color w:val="242929"/>
          <w:szCs w:val="22"/>
          <w:lang w:eastAsia="en-US"/>
        </w:rPr>
      </w:pPr>
      <w:r w:rsidRPr="009B7560">
        <w:rPr>
          <w:rFonts w:eastAsia="Times New Roman"/>
          <w:color w:val="242929"/>
          <w:szCs w:val="22"/>
          <w:lang w:eastAsia="en-US"/>
        </w:rPr>
        <w:t>“[…]</w:t>
      </w:r>
      <w:r w:rsidRPr="009B7560">
        <w:rPr>
          <w:rFonts w:eastAsia="Times New Roman"/>
          <w:color w:val="242929"/>
          <w:szCs w:val="22"/>
          <w:lang w:eastAsia="en-US"/>
        </w:rPr>
        <w:tab/>
        <w:t>ii)</w:t>
      </w:r>
      <w:r w:rsidR="00E076A2" w:rsidRPr="009B7560">
        <w:rPr>
          <w:rFonts w:eastAsia="Times New Roman"/>
          <w:color w:val="242929"/>
          <w:szCs w:val="22"/>
          <w:lang w:eastAsia="en-US"/>
        </w:rPr>
        <w:tab/>
        <w:t>recordaron que, de conformidad con los tratados de las uniones financiadas mediante tasas, cada unión deberá tener ingresos suficientes para cubrir sus propios gastos;</w:t>
      </w:r>
    </w:p>
    <w:p w:rsidR="00E076A2" w:rsidRPr="009B7560" w:rsidRDefault="009B7560" w:rsidP="00E076A2">
      <w:pPr>
        <w:rPr>
          <w:rFonts w:eastAsia="Times New Roman"/>
          <w:color w:val="242929"/>
          <w:szCs w:val="22"/>
          <w:lang w:eastAsia="en-US"/>
        </w:rPr>
      </w:pPr>
      <w:r w:rsidRPr="009B7560">
        <w:rPr>
          <w:rFonts w:eastAsia="Times New Roman"/>
          <w:color w:val="242929"/>
          <w:szCs w:val="22"/>
          <w:lang w:eastAsia="en-US"/>
        </w:rPr>
        <w:tab/>
        <w:t>iii)</w:t>
      </w:r>
      <w:r w:rsidR="00E076A2" w:rsidRPr="009B7560">
        <w:rPr>
          <w:rFonts w:eastAsia="Times New Roman"/>
          <w:color w:val="242929"/>
          <w:szCs w:val="22"/>
          <w:lang w:eastAsia="en-US"/>
        </w:rPr>
        <w:tab/>
      </w:r>
      <w:proofErr w:type="gramStart"/>
      <w:r w:rsidR="00E076A2" w:rsidRPr="009B7560">
        <w:rPr>
          <w:rFonts w:eastAsia="Times New Roman"/>
          <w:color w:val="242929"/>
          <w:szCs w:val="22"/>
          <w:lang w:eastAsia="en-US"/>
        </w:rPr>
        <w:t>tomaron</w:t>
      </w:r>
      <w:proofErr w:type="gramEnd"/>
      <w:r w:rsidR="00E076A2" w:rsidRPr="009B7560">
        <w:rPr>
          <w:rFonts w:eastAsia="Times New Roman"/>
          <w:color w:val="242929"/>
          <w:szCs w:val="22"/>
          <w:lang w:eastAsia="en-US"/>
        </w:rPr>
        <w:t xml:space="preserve"> nota de que las uniones financiadas mediante tasas que tengan previsto un déficit bienal para el bienio 2018/19 deberán considerar medidas de conformidad con su propio tratado para afrontar ese déficit […]</w:t>
      </w:r>
      <w:r w:rsidR="009554FA" w:rsidRPr="009B7560">
        <w:rPr>
          <w:rFonts w:eastAsia="Times New Roman"/>
          <w:color w:val="242929"/>
          <w:szCs w:val="22"/>
          <w:lang w:eastAsia="en-US"/>
        </w:rPr>
        <w:t>.</w:t>
      </w:r>
      <w:r w:rsidR="00E076A2" w:rsidRPr="009B7560">
        <w:rPr>
          <w:rFonts w:eastAsia="Times New Roman"/>
          <w:color w:val="242929"/>
          <w:szCs w:val="22"/>
          <w:lang w:eastAsia="en-US"/>
        </w:rPr>
        <w:t>”</w:t>
      </w:r>
    </w:p>
    <w:p w:rsidR="00E076A2" w:rsidRPr="009B7560" w:rsidRDefault="00E076A2" w:rsidP="00E076A2">
      <w:pPr>
        <w:rPr>
          <w:rFonts w:eastAsia="Times New Roman"/>
          <w:color w:val="242929"/>
          <w:szCs w:val="22"/>
          <w:lang w:eastAsia="en-US"/>
        </w:rPr>
      </w:pPr>
    </w:p>
    <w:p w:rsidR="00564DC8" w:rsidRPr="009B7560" w:rsidRDefault="00E076A2" w:rsidP="00E076A2">
      <w:pPr>
        <w:rPr>
          <w:rFonts w:eastAsia="Times New Roman"/>
          <w:color w:val="242929"/>
          <w:szCs w:val="22"/>
          <w:lang w:eastAsia="en-US"/>
        </w:rPr>
      </w:pPr>
      <w:r w:rsidRPr="009B7560">
        <w:rPr>
          <w:rFonts w:eastAsia="Times New Roman"/>
          <w:color w:val="242929"/>
          <w:szCs w:val="22"/>
          <w:lang w:eastAsia="en-US"/>
        </w:rPr>
        <w:tab/>
        <w:t xml:space="preserve">En el Anexo III del presupuesto por programas para el bienio 2018/19 se </w:t>
      </w:r>
      <w:r w:rsidR="002036B3" w:rsidRPr="009B7560">
        <w:rPr>
          <w:rFonts w:eastAsia="Times New Roman"/>
          <w:color w:val="242929"/>
          <w:szCs w:val="22"/>
          <w:lang w:eastAsia="en-US"/>
        </w:rPr>
        <w:t>expone</w:t>
      </w:r>
      <w:r w:rsidRPr="009B7560">
        <w:rPr>
          <w:rFonts w:eastAsia="Times New Roman"/>
          <w:color w:val="242929"/>
          <w:szCs w:val="22"/>
          <w:lang w:eastAsia="en-US"/>
        </w:rPr>
        <w:t xml:space="preserve"> el presupuesto de las uniones y se </w:t>
      </w:r>
      <w:r w:rsidR="002036B3" w:rsidRPr="009B7560">
        <w:rPr>
          <w:rFonts w:eastAsia="Times New Roman"/>
          <w:color w:val="242929"/>
          <w:szCs w:val="22"/>
          <w:lang w:eastAsia="en-US"/>
        </w:rPr>
        <w:t>muestra</w:t>
      </w:r>
      <w:r w:rsidRPr="009B7560">
        <w:rPr>
          <w:rFonts w:eastAsia="Times New Roman"/>
          <w:color w:val="242929"/>
          <w:szCs w:val="22"/>
          <w:lang w:eastAsia="en-US"/>
        </w:rPr>
        <w:t xml:space="preserve"> claramente que la Unión de Madrid no </w:t>
      </w:r>
      <w:r w:rsidR="00903F20">
        <w:rPr>
          <w:rFonts w:eastAsia="Times New Roman"/>
          <w:color w:val="242929"/>
          <w:szCs w:val="22"/>
          <w:lang w:eastAsia="en-US"/>
        </w:rPr>
        <w:t>incurre</w:t>
      </w:r>
      <w:r w:rsidRPr="009B7560">
        <w:rPr>
          <w:rFonts w:eastAsia="Times New Roman"/>
          <w:color w:val="242929"/>
          <w:szCs w:val="22"/>
          <w:lang w:eastAsia="en-US"/>
        </w:rPr>
        <w:t xml:space="preserve"> en déficit. </w:t>
      </w:r>
      <w:r w:rsidR="000D08BE">
        <w:rPr>
          <w:rFonts w:eastAsia="Times New Roman"/>
          <w:color w:val="242929"/>
          <w:szCs w:val="22"/>
          <w:lang w:eastAsia="en-US"/>
        </w:rPr>
        <w:t xml:space="preserve"> </w:t>
      </w:r>
      <w:r w:rsidRPr="009B7560">
        <w:rPr>
          <w:rFonts w:eastAsia="Times New Roman"/>
          <w:color w:val="242929"/>
          <w:szCs w:val="22"/>
          <w:lang w:eastAsia="en-US"/>
        </w:rPr>
        <w:t xml:space="preserve">La Unión de Madrid prevé unos ingresos de 143.114.000 </w:t>
      </w:r>
      <w:r w:rsidR="002036B3" w:rsidRPr="009B7560">
        <w:rPr>
          <w:rFonts w:eastAsia="Times New Roman"/>
          <w:color w:val="242929"/>
          <w:szCs w:val="22"/>
          <w:lang w:eastAsia="en-US"/>
        </w:rPr>
        <w:t>francos suizos</w:t>
      </w:r>
      <w:r w:rsidRPr="009B7560">
        <w:rPr>
          <w:rFonts w:eastAsia="Times New Roman"/>
          <w:color w:val="242929"/>
          <w:szCs w:val="22"/>
          <w:lang w:eastAsia="en-US"/>
        </w:rPr>
        <w:t>, cifra que está muy por encima de los gastos previstos, a saber, 137.405.000 francos suizos.</w:t>
      </w:r>
      <w:r w:rsidR="000D08BE">
        <w:rPr>
          <w:rFonts w:eastAsia="Times New Roman"/>
          <w:color w:val="242929"/>
          <w:szCs w:val="22"/>
          <w:lang w:eastAsia="en-US"/>
        </w:rPr>
        <w:t xml:space="preserve">  </w:t>
      </w:r>
    </w:p>
    <w:p w:rsidR="00E076A2" w:rsidRPr="009B7560" w:rsidRDefault="00E076A2" w:rsidP="00E076A2">
      <w:pPr>
        <w:rPr>
          <w:rFonts w:eastAsia="Times New Roman"/>
          <w:b/>
          <w:color w:val="242929"/>
          <w:szCs w:val="22"/>
          <w:lang w:eastAsia="en-US"/>
        </w:rPr>
      </w:pPr>
    </w:p>
    <w:p w:rsidR="00E076A2" w:rsidRPr="009B7560" w:rsidRDefault="00E076A2" w:rsidP="00E076A2">
      <w:pPr>
        <w:jc w:val="center"/>
        <w:rPr>
          <w:rFonts w:eastAsia="Times New Roman"/>
          <w:b/>
          <w:color w:val="242929"/>
          <w:szCs w:val="22"/>
          <w:lang w:eastAsia="en-US"/>
        </w:rPr>
      </w:pPr>
      <w:r w:rsidRPr="009B7560">
        <w:rPr>
          <w:rFonts w:eastAsia="Times New Roman"/>
          <w:b/>
          <w:color w:val="242929"/>
          <w:szCs w:val="22"/>
          <w:lang w:eastAsia="en-US"/>
        </w:rPr>
        <w:br w:type="page"/>
      </w:r>
    </w:p>
    <w:p w:rsidR="00E076A2" w:rsidRPr="009B7560" w:rsidRDefault="00E076A2" w:rsidP="00E076A2">
      <w:pPr>
        <w:jc w:val="center"/>
        <w:rPr>
          <w:rFonts w:eastAsia="Times New Roman"/>
          <w:b/>
          <w:color w:val="242929"/>
          <w:szCs w:val="22"/>
          <w:lang w:eastAsia="en-US"/>
        </w:rPr>
      </w:pPr>
      <w:r w:rsidRPr="009B7560">
        <w:rPr>
          <w:rFonts w:eastAsia="Times New Roman"/>
          <w:b/>
          <w:color w:val="242929"/>
          <w:szCs w:val="22"/>
          <w:lang w:eastAsia="en-US"/>
        </w:rPr>
        <w:lastRenderedPageBreak/>
        <w:t>Cuadro 11</w:t>
      </w:r>
      <w:proofErr w:type="gramStart"/>
      <w:r w:rsidRPr="009B7560">
        <w:rPr>
          <w:rFonts w:eastAsia="Times New Roman"/>
          <w:b/>
          <w:color w:val="242929"/>
          <w:szCs w:val="22"/>
          <w:lang w:eastAsia="en-US"/>
        </w:rPr>
        <w:t>:</w:t>
      </w:r>
      <w:r w:rsidR="00564DC8" w:rsidRPr="009B7560">
        <w:rPr>
          <w:rFonts w:eastAsia="Times New Roman"/>
          <w:b/>
          <w:color w:val="242929"/>
          <w:szCs w:val="22"/>
          <w:lang w:eastAsia="en-US"/>
        </w:rPr>
        <w:t xml:space="preserve"> </w:t>
      </w:r>
      <w:r w:rsidR="000D08BE">
        <w:rPr>
          <w:rFonts w:eastAsia="Times New Roman"/>
          <w:b/>
          <w:color w:val="242929"/>
          <w:szCs w:val="22"/>
          <w:lang w:eastAsia="en-US"/>
        </w:rPr>
        <w:t xml:space="preserve"> </w:t>
      </w:r>
      <w:r w:rsidRPr="009B7560">
        <w:rPr>
          <w:rFonts w:eastAsia="Times New Roman"/>
          <w:b/>
          <w:color w:val="242929"/>
          <w:szCs w:val="22"/>
          <w:lang w:eastAsia="en-US"/>
        </w:rPr>
        <w:t>Marco</w:t>
      </w:r>
      <w:proofErr w:type="gramEnd"/>
      <w:r w:rsidRPr="009B7560">
        <w:rPr>
          <w:rFonts w:eastAsia="Times New Roman"/>
          <w:b/>
          <w:color w:val="242929"/>
          <w:szCs w:val="22"/>
          <w:lang w:eastAsia="en-US"/>
        </w:rPr>
        <w:t xml:space="preserve"> hipotético por Unión</w:t>
      </w:r>
      <w:r w:rsidRPr="009B7560">
        <w:rPr>
          <w:rStyle w:val="FootnoteReference"/>
          <w:rFonts w:eastAsia="Times New Roman"/>
          <w:b/>
          <w:color w:val="242929"/>
          <w:szCs w:val="22"/>
          <w:lang w:eastAsia="en-US"/>
        </w:rPr>
        <w:footnoteReference w:id="5"/>
      </w:r>
    </w:p>
    <w:p w:rsidR="00E076A2" w:rsidRPr="009B7560" w:rsidRDefault="00E076A2" w:rsidP="00564DC8">
      <w:pPr>
        <w:jc w:val="center"/>
        <w:rPr>
          <w:rFonts w:eastAsia="Times New Roman"/>
          <w:i/>
          <w:color w:val="242929"/>
          <w:szCs w:val="22"/>
          <w:lang w:eastAsia="en-US"/>
        </w:rPr>
      </w:pPr>
      <w:r w:rsidRPr="009B7560">
        <w:rPr>
          <w:rFonts w:eastAsia="Times New Roman"/>
          <w:color w:val="242929"/>
          <w:szCs w:val="22"/>
          <w:lang w:eastAsia="en-US"/>
        </w:rPr>
        <w:t>(</w:t>
      </w:r>
      <w:r w:rsidRPr="009B7560">
        <w:rPr>
          <w:rFonts w:eastAsia="Times New Roman"/>
          <w:i/>
          <w:color w:val="242929"/>
          <w:szCs w:val="22"/>
          <w:lang w:eastAsia="en-US"/>
        </w:rPr>
        <w:t>en miles de francos suizos)</w:t>
      </w:r>
    </w:p>
    <w:p w:rsidR="00564DC8" w:rsidRPr="009B7560" w:rsidRDefault="00564DC8" w:rsidP="00564DC8">
      <w:pPr>
        <w:jc w:val="center"/>
        <w:rPr>
          <w:rFonts w:eastAsia="Times New Roman"/>
          <w:i/>
          <w:color w:val="242929"/>
          <w:szCs w:val="22"/>
          <w:lang w:eastAsia="en-US"/>
        </w:rPr>
      </w:pPr>
    </w:p>
    <w:p w:rsidR="00564DC8" w:rsidRPr="009B7560" w:rsidRDefault="00564DC8" w:rsidP="00E076A2">
      <w:pPr>
        <w:rPr>
          <w:rFonts w:eastAsia="Times New Roman"/>
          <w:i/>
          <w:iCs/>
          <w:color w:val="242929"/>
          <w:sz w:val="18"/>
          <w:szCs w:val="18"/>
          <w:lang w:eastAsia="en-US"/>
        </w:rPr>
      </w:pPr>
      <w:r w:rsidRPr="009B7560">
        <w:rPr>
          <w:noProof/>
          <w:lang w:val="en-US" w:eastAsia="en-US"/>
        </w:rPr>
        <w:drawing>
          <wp:inline distT="0" distB="0" distL="0" distR="0" wp14:anchorId="21CBF8C3" wp14:editId="2913042B">
            <wp:extent cx="5760085" cy="1849135"/>
            <wp:effectExtent l="0" t="0" r="0" b="0"/>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1849135"/>
                    </a:xfrm>
                    <a:prstGeom prst="rect">
                      <a:avLst/>
                    </a:prstGeom>
                    <a:noFill/>
                    <a:ln>
                      <a:noFill/>
                    </a:ln>
                  </pic:spPr>
                </pic:pic>
              </a:graphicData>
            </a:graphic>
          </wp:inline>
        </w:drawing>
      </w:r>
    </w:p>
    <w:p w:rsidR="00E076A2" w:rsidRPr="009B7560" w:rsidRDefault="00E076A2" w:rsidP="009B7560">
      <w:pPr>
        <w:spacing w:before="60"/>
        <w:rPr>
          <w:rFonts w:eastAsia="Times New Roman"/>
          <w:i/>
          <w:iCs/>
          <w:color w:val="242929"/>
          <w:sz w:val="18"/>
          <w:szCs w:val="18"/>
          <w:lang w:eastAsia="en-US"/>
        </w:rPr>
      </w:pPr>
      <w:r w:rsidRPr="009B7560">
        <w:rPr>
          <w:rFonts w:eastAsia="Times New Roman"/>
          <w:i/>
          <w:iCs/>
          <w:color w:val="242929"/>
          <w:sz w:val="18"/>
          <w:szCs w:val="18"/>
          <w:lang w:eastAsia="en-US"/>
        </w:rPr>
        <w:t>*En lo relativo a los FRO, los objetivos se calculan por porcentaje del gasto bienal para cada Unión.</w:t>
      </w:r>
    </w:p>
    <w:p w:rsidR="00E076A2" w:rsidRPr="009B7560" w:rsidRDefault="00E076A2" w:rsidP="00E076A2">
      <w:pPr>
        <w:rPr>
          <w:rFonts w:eastAsia="Times New Roman"/>
          <w:i/>
          <w:iCs/>
          <w:color w:val="242929"/>
          <w:szCs w:val="22"/>
          <w:lang w:eastAsia="en-US"/>
        </w:rPr>
      </w:pPr>
    </w:p>
    <w:p w:rsidR="00564DC8" w:rsidRPr="009B7560" w:rsidRDefault="00E076A2" w:rsidP="00E076A2">
      <w:pPr>
        <w:rPr>
          <w:rFonts w:eastAsia="Times New Roman"/>
          <w:color w:val="242929"/>
          <w:szCs w:val="22"/>
          <w:lang w:eastAsia="en-US"/>
        </w:rPr>
      </w:pPr>
      <w:r w:rsidRPr="009B7560">
        <w:rPr>
          <w:rFonts w:eastAsia="Times New Roman"/>
          <w:color w:val="242929"/>
          <w:szCs w:val="22"/>
          <w:lang w:eastAsia="en-US"/>
        </w:rPr>
        <w:tab/>
        <w:t xml:space="preserve">El cuadro muestra que diversas uniones de la OMPI prevén un déficit, incluidas las uniones financiadas mediante contribuciones. </w:t>
      </w:r>
      <w:r w:rsidR="000D08BE">
        <w:rPr>
          <w:rFonts w:eastAsia="Times New Roman"/>
          <w:color w:val="242929"/>
          <w:szCs w:val="22"/>
          <w:lang w:eastAsia="en-US"/>
        </w:rPr>
        <w:t xml:space="preserve"> </w:t>
      </w:r>
      <w:r w:rsidRPr="009B7560">
        <w:rPr>
          <w:rFonts w:eastAsia="Times New Roman"/>
          <w:color w:val="242929"/>
          <w:szCs w:val="22"/>
          <w:lang w:eastAsia="en-US"/>
        </w:rPr>
        <w:t xml:space="preserve">La delegación opina que todas las uniones financiadas mediante tasas deberían evaluar </w:t>
      </w:r>
      <w:r w:rsidR="009554FA" w:rsidRPr="009B7560">
        <w:rPr>
          <w:rFonts w:eastAsia="Times New Roman"/>
          <w:color w:val="242929"/>
          <w:szCs w:val="22"/>
          <w:lang w:eastAsia="en-US"/>
        </w:rPr>
        <w:t>su</w:t>
      </w:r>
      <w:r w:rsidRPr="009B7560">
        <w:rPr>
          <w:rFonts w:eastAsia="Times New Roman"/>
          <w:color w:val="242929"/>
          <w:szCs w:val="22"/>
          <w:lang w:eastAsia="en-US"/>
        </w:rPr>
        <w:t xml:space="preserve"> nivel de tasas en relación con sus costos y gastos comunes y la salud financiera general de la Organización.</w:t>
      </w:r>
    </w:p>
    <w:p w:rsidR="00E076A2" w:rsidRPr="009B7560" w:rsidRDefault="00E076A2" w:rsidP="00E076A2">
      <w:pPr>
        <w:rPr>
          <w:rFonts w:eastAsia="Times New Roman"/>
          <w:color w:val="242929"/>
          <w:szCs w:val="22"/>
          <w:lang w:eastAsia="en-US"/>
        </w:rPr>
      </w:pPr>
    </w:p>
    <w:p w:rsidR="00564DC8" w:rsidRPr="009B7560" w:rsidRDefault="00E076A2" w:rsidP="00E076A2">
      <w:pPr>
        <w:rPr>
          <w:rFonts w:eastAsia="Times New Roman"/>
          <w:color w:val="242929"/>
          <w:szCs w:val="22"/>
          <w:lang w:eastAsia="en-US"/>
        </w:rPr>
      </w:pPr>
      <w:r w:rsidRPr="009B7560">
        <w:rPr>
          <w:rFonts w:eastAsia="Times New Roman"/>
          <w:color w:val="242929"/>
          <w:szCs w:val="22"/>
          <w:lang w:eastAsia="en-US"/>
        </w:rPr>
        <w:tab/>
        <w:t xml:space="preserve">Actualmente, las uniones financiadas mediante contribuciones apoyan la labor sobre derecho de autor, conocimientos tradicionales, expresiones culturales tradicionales y recursos genéticos, clasificación y normalización y tecnologías de la información. </w:t>
      </w:r>
      <w:r w:rsidR="000D08BE">
        <w:rPr>
          <w:rFonts w:eastAsia="Times New Roman"/>
          <w:color w:val="242929"/>
          <w:szCs w:val="22"/>
          <w:lang w:eastAsia="en-US"/>
        </w:rPr>
        <w:t xml:space="preserve"> </w:t>
      </w:r>
      <w:r w:rsidRPr="009B7560">
        <w:rPr>
          <w:rFonts w:eastAsia="Times New Roman"/>
          <w:color w:val="242929"/>
          <w:szCs w:val="22"/>
          <w:lang w:eastAsia="en-US"/>
        </w:rPr>
        <w:t xml:space="preserve">Además, dichas uniones contribuyen a las actividades </w:t>
      </w:r>
      <w:r w:rsidR="00435E05" w:rsidRPr="009B7560">
        <w:rPr>
          <w:rFonts w:eastAsia="Times New Roman"/>
          <w:color w:val="242929"/>
          <w:szCs w:val="22"/>
          <w:lang w:eastAsia="en-US"/>
        </w:rPr>
        <w:t>que engloban a toda</w:t>
      </w:r>
      <w:r w:rsidRPr="009B7560">
        <w:rPr>
          <w:rFonts w:eastAsia="Times New Roman"/>
          <w:color w:val="242929"/>
          <w:szCs w:val="22"/>
          <w:lang w:eastAsia="en-US"/>
        </w:rPr>
        <w:t xml:space="preserve"> la Organización, como </w:t>
      </w:r>
      <w:r w:rsidR="00435E05" w:rsidRPr="009B7560">
        <w:rPr>
          <w:rFonts w:eastAsia="Times New Roman"/>
          <w:color w:val="242929"/>
          <w:szCs w:val="22"/>
          <w:lang w:eastAsia="en-US"/>
        </w:rPr>
        <w:t xml:space="preserve">las relativas a los </w:t>
      </w:r>
      <w:r w:rsidRPr="009B7560">
        <w:rPr>
          <w:rFonts w:eastAsia="Times New Roman"/>
          <w:color w:val="242929"/>
          <w:szCs w:val="22"/>
          <w:lang w:eastAsia="en-US"/>
        </w:rPr>
        <w:t xml:space="preserve">costos </w:t>
      </w:r>
      <w:r w:rsidR="00435E05" w:rsidRPr="009B7560">
        <w:rPr>
          <w:rFonts w:eastAsia="Times New Roman"/>
          <w:color w:val="242929"/>
          <w:szCs w:val="22"/>
          <w:lang w:eastAsia="en-US"/>
        </w:rPr>
        <w:t>de</w:t>
      </w:r>
      <w:r w:rsidRPr="009B7560">
        <w:rPr>
          <w:rFonts w:eastAsia="Times New Roman"/>
          <w:color w:val="242929"/>
          <w:szCs w:val="22"/>
          <w:lang w:eastAsia="en-US"/>
        </w:rPr>
        <w:t xml:space="preserve"> mantenimiento de los edificios de la OMPI. </w:t>
      </w:r>
      <w:r w:rsidR="000D08BE">
        <w:rPr>
          <w:rFonts w:eastAsia="Times New Roman"/>
          <w:color w:val="242929"/>
          <w:szCs w:val="22"/>
          <w:lang w:eastAsia="en-US"/>
        </w:rPr>
        <w:t xml:space="preserve"> </w:t>
      </w:r>
      <w:r w:rsidR="009554FA" w:rsidRPr="009B7560">
        <w:rPr>
          <w:rFonts w:eastAsia="Times New Roman"/>
          <w:color w:val="242929"/>
          <w:szCs w:val="22"/>
          <w:lang w:eastAsia="en-US"/>
        </w:rPr>
        <w:t>Por otra parte, estas</w:t>
      </w:r>
      <w:r w:rsidRPr="009B7560">
        <w:rPr>
          <w:rFonts w:eastAsia="Times New Roman"/>
          <w:color w:val="242929"/>
          <w:szCs w:val="22"/>
          <w:lang w:eastAsia="en-US"/>
        </w:rPr>
        <w:t xml:space="preserve"> uniones han prestado a la Unión de Lisboa fondos para cubrir su déficit y, por no haber adoptado las medidas necesarias para reducir o eliminar adecuadamente su déficit</w:t>
      </w:r>
      <w:r w:rsidRPr="009B7560">
        <w:rPr>
          <w:rFonts w:eastAsia="Times New Roman"/>
          <w:color w:val="242929"/>
          <w:szCs w:val="22"/>
          <w:vertAlign w:val="superscript"/>
          <w:lang w:eastAsia="en-US"/>
        </w:rPr>
        <w:footnoteReference w:id="6"/>
      </w:r>
      <w:r w:rsidR="000D08BE">
        <w:rPr>
          <w:rFonts w:eastAsia="Times New Roman"/>
          <w:color w:val="242929"/>
          <w:szCs w:val="22"/>
          <w:lang w:eastAsia="en-US"/>
        </w:rPr>
        <w:t>,</w:t>
      </w:r>
      <w:r w:rsidRPr="009B7560">
        <w:rPr>
          <w:rFonts w:eastAsia="Times New Roman"/>
          <w:color w:val="242929"/>
          <w:szCs w:val="22"/>
          <w:lang w:eastAsia="en-US"/>
        </w:rPr>
        <w:t xml:space="preserve"> parece probable que </w:t>
      </w:r>
      <w:r w:rsidR="00903F20">
        <w:rPr>
          <w:rFonts w:eastAsia="Times New Roman"/>
          <w:color w:val="242929"/>
          <w:szCs w:val="22"/>
          <w:lang w:eastAsia="en-US"/>
        </w:rPr>
        <w:t xml:space="preserve">dicha Unión </w:t>
      </w:r>
      <w:r w:rsidRPr="009B7560">
        <w:rPr>
          <w:rFonts w:eastAsia="Times New Roman"/>
          <w:color w:val="242929"/>
          <w:szCs w:val="22"/>
          <w:lang w:eastAsia="en-US"/>
        </w:rPr>
        <w:t xml:space="preserve">seguirá necesitando apoyo financiero. </w:t>
      </w:r>
      <w:r w:rsidR="000D08BE">
        <w:rPr>
          <w:rFonts w:eastAsia="Times New Roman"/>
          <w:color w:val="242929"/>
          <w:szCs w:val="22"/>
          <w:lang w:eastAsia="en-US"/>
        </w:rPr>
        <w:t xml:space="preserve"> </w:t>
      </w:r>
      <w:r w:rsidRPr="009B7560">
        <w:rPr>
          <w:rFonts w:eastAsia="Times New Roman"/>
          <w:color w:val="242929"/>
          <w:szCs w:val="22"/>
          <w:lang w:eastAsia="en-US"/>
        </w:rPr>
        <w:t xml:space="preserve">Parece que el plazo para que las uniones financiadas mediante contribuciones puedan ofrecer apoyo financiero continuado es limitado, ya que dichas uniones prevén un déficit de cerca de dos millones de francos suizos y sus reservas solo son suficientes para dos años más de gasto deficitario. </w:t>
      </w:r>
      <w:r w:rsidR="000D08BE">
        <w:rPr>
          <w:rFonts w:eastAsia="Times New Roman"/>
          <w:color w:val="242929"/>
          <w:szCs w:val="22"/>
          <w:lang w:eastAsia="en-US"/>
        </w:rPr>
        <w:t xml:space="preserve"> </w:t>
      </w:r>
      <w:r w:rsidRPr="009B7560">
        <w:rPr>
          <w:rFonts w:eastAsia="Times New Roman"/>
          <w:color w:val="242929"/>
          <w:szCs w:val="22"/>
          <w:lang w:eastAsia="en-US"/>
        </w:rPr>
        <w:t>La Unión de La Haya también ha experimentado déficits importantes</w:t>
      </w:r>
      <w:r w:rsidRPr="009B7560">
        <w:rPr>
          <w:rFonts w:eastAsia="Times New Roman"/>
          <w:color w:val="242929"/>
          <w:szCs w:val="22"/>
          <w:vertAlign w:val="superscript"/>
          <w:lang w:eastAsia="en-US"/>
        </w:rPr>
        <w:footnoteReference w:id="7"/>
      </w:r>
      <w:r w:rsidR="000D08BE">
        <w:rPr>
          <w:rFonts w:eastAsia="Times New Roman"/>
          <w:color w:val="242929"/>
          <w:szCs w:val="22"/>
          <w:lang w:eastAsia="en-US"/>
        </w:rPr>
        <w:t xml:space="preserve">. </w:t>
      </w:r>
      <w:r w:rsidRPr="009B7560">
        <w:rPr>
          <w:rFonts w:eastAsia="Times New Roman"/>
          <w:color w:val="242929"/>
          <w:szCs w:val="22"/>
          <w:lang w:eastAsia="en-US"/>
        </w:rPr>
        <w:t xml:space="preserve"> En consecuencia, entre el posible mantenimiento del préstamo a las Uniones de Lisboa y de La Haya y el continuo gasto deficitario de las uniones financiadas mediante contribuciones, será necesario encontrar nuevos fondos para que las uniones financiadas mediante contribuciones sean solventes.</w:t>
      </w:r>
    </w:p>
    <w:p w:rsidR="00E076A2" w:rsidRPr="009B7560" w:rsidRDefault="00E076A2" w:rsidP="00E076A2">
      <w:pPr>
        <w:rPr>
          <w:rFonts w:eastAsia="Times New Roman"/>
          <w:color w:val="242929"/>
          <w:szCs w:val="22"/>
          <w:lang w:eastAsia="en-US"/>
        </w:rPr>
      </w:pPr>
    </w:p>
    <w:p w:rsidR="00E076A2" w:rsidRPr="009B7560" w:rsidRDefault="00E076A2" w:rsidP="00E076A2">
      <w:pPr>
        <w:rPr>
          <w:rFonts w:eastAsia="Times New Roman"/>
          <w:color w:val="242929"/>
          <w:szCs w:val="22"/>
          <w:lang w:eastAsia="en-US"/>
        </w:rPr>
      </w:pPr>
      <w:r w:rsidRPr="009B7560">
        <w:rPr>
          <w:rFonts w:eastAsia="Times New Roman"/>
          <w:color w:val="242929"/>
          <w:szCs w:val="22"/>
          <w:lang w:eastAsia="en-US"/>
        </w:rPr>
        <w:tab/>
        <w:t>Normalmente, mediante el PCT se ha cubierto un volumen desproporcionado de los gastos globales de la Organización.</w:t>
      </w:r>
      <w:r w:rsidR="000D08BE">
        <w:rPr>
          <w:rFonts w:eastAsia="Times New Roman"/>
          <w:color w:val="242929"/>
          <w:szCs w:val="22"/>
          <w:lang w:eastAsia="en-US"/>
        </w:rPr>
        <w:t xml:space="preserve"> </w:t>
      </w:r>
      <w:r w:rsidRPr="009B7560">
        <w:rPr>
          <w:rFonts w:eastAsia="Times New Roman"/>
          <w:color w:val="242929"/>
          <w:szCs w:val="22"/>
          <w:lang w:eastAsia="en-US"/>
        </w:rPr>
        <w:t xml:space="preserve"> La delegación opina que otras uniones de la OMPI financiadas mediante tasas, como la Unión de Madrid, deberían examinar sus niveles de tasas para contribuir de forma responsable a la salud financiera general de la Organización.</w:t>
      </w:r>
    </w:p>
    <w:p w:rsidR="00152CEA" w:rsidRPr="009B7560" w:rsidRDefault="00E076A2" w:rsidP="009B7560">
      <w:pPr>
        <w:pStyle w:val="Endofdocument-Annex"/>
        <w:spacing w:before="600"/>
        <w:rPr>
          <w:lang w:val="es-ES"/>
        </w:rPr>
      </w:pPr>
      <w:r w:rsidRPr="009B7560">
        <w:rPr>
          <w:lang w:val="es-ES" w:eastAsia="en-US"/>
        </w:rPr>
        <w:t>[Fin del Anexo y del documento]</w:t>
      </w:r>
    </w:p>
    <w:sectPr w:rsidR="00152CEA" w:rsidRPr="009B7560" w:rsidSect="00E076A2">
      <w:headerReference w:type="default" r:id="rId10"/>
      <w:headerReference w:type="firs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6A2" w:rsidRDefault="00E076A2">
      <w:r>
        <w:separator/>
      </w:r>
    </w:p>
  </w:endnote>
  <w:endnote w:type="continuationSeparator" w:id="0">
    <w:p w:rsidR="00E076A2" w:rsidRPr="009D30E6" w:rsidRDefault="00E076A2" w:rsidP="007E663E">
      <w:pPr>
        <w:rPr>
          <w:sz w:val="17"/>
          <w:szCs w:val="17"/>
        </w:rPr>
      </w:pPr>
      <w:r w:rsidRPr="009D30E6">
        <w:rPr>
          <w:sz w:val="17"/>
          <w:szCs w:val="17"/>
        </w:rPr>
        <w:separator/>
      </w:r>
    </w:p>
    <w:p w:rsidR="00E076A2" w:rsidRPr="007E663E" w:rsidRDefault="00E076A2" w:rsidP="007E663E">
      <w:pPr>
        <w:spacing w:after="60"/>
        <w:rPr>
          <w:sz w:val="17"/>
          <w:szCs w:val="17"/>
        </w:rPr>
      </w:pPr>
      <w:r>
        <w:rPr>
          <w:sz w:val="17"/>
        </w:rPr>
        <w:t>[Continuación de la nota de la página anterior]</w:t>
      </w:r>
    </w:p>
  </w:endnote>
  <w:endnote w:type="continuationNotice" w:id="1">
    <w:p w:rsidR="00E076A2" w:rsidRPr="007E663E" w:rsidRDefault="00E076A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6A2" w:rsidRDefault="00E076A2">
      <w:r>
        <w:separator/>
      </w:r>
    </w:p>
  </w:footnote>
  <w:footnote w:type="continuationSeparator" w:id="0">
    <w:p w:rsidR="00E076A2" w:rsidRPr="009D30E6" w:rsidRDefault="00E076A2" w:rsidP="007E663E">
      <w:pPr>
        <w:rPr>
          <w:sz w:val="17"/>
          <w:szCs w:val="17"/>
        </w:rPr>
      </w:pPr>
      <w:r w:rsidRPr="009D30E6">
        <w:rPr>
          <w:sz w:val="17"/>
          <w:szCs w:val="17"/>
        </w:rPr>
        <w:separator/>
      </w:r>
    </w:p>
    <w:p w:rsidR="00E076A2" w:rsidRPr="007E663E" w:rsidRDefault="00E076A2" w:rsidP="007E663E">
      <w:pPr>
        <w:spacing w:after="60"/>
        <w:rPr>
          <w:sz w:val="17"/>
          <w:szCs w:val="17"/>
        </w:rPr>
      </w:pPr>
      <w:r>
        <w:rPr>
          <w:sz w:val="17"/>
        </w:rPr>
        <w:t>[Continuación de la nota de la página anterior]</w:t>
      </w:r>
    </w:p>
  </w:footnote>
  <w:footnote w:type="continuationNotice" w:id="1">
    <w:p w:rsidR="00E076A2" w:rsidRPr="007E663E" w:rsidRDefault="00E076A2" w:rsidP="007E663E">
      <w:pPr>
        <w:spacing w:before="60"/>
        <w:jc w:val="right"/>
        <w:rPr>
          <w:sz w:val="17"/>
          <w:szCs w:val="17"/>
        </w:rPr>
      </w:pPr>
      <w:r w:rsidRPr="007E663E">
        <w:rPr>
          <w:sz w:val="17"/>
          <w:szCs w:val="17"/>
        </w:rPr>
        <w:t>[Sigue la nota en la página siguiente]</w:t>
      </w:r>
    </w:p>
  </w:footnote>
  <w:footnote w:id="2">
    <w:p w:rsidR="00E076A2" w:rsidRPr="009B7560" w:rsidRDefault="00E076A2" w:rsidP="00E076A2">
      <w:pPr>
        <w:pStyle w:val="FootnoteText"/>
        <w:rPr>
          <w:szCs w:val="18"/>
        </w:rPr>
      </w:pPr>
      <w:r w:rsidRPr="009B7560">
        <w:rPr>
          <w:rStyle w:val="FootnoteReference"/>
          <w:szCs w:val="18"/>
        </w:rPr>
        <w:footnoteRef/>
      </w:r>
      <w:r w:rsidRPr="009B7560">
        <w:rPr>
          <w:szCs w:val="18"/>
        </w:rPr>
        <w:t xml:space="preserve"> </w:t>
      </w:r>
      <w:r w:rsidRPr="009B7560">
        <w:rPr>
          <w:szCs w:val="18"/>
        </w:rPr>
        <w:tab/>
        <w:t>Véase el Anexo IV del documento MM/LD/WG/14/6 (Resumen de la presidencia).</w:t>
      </w:r>
    </w:p>
  </w:footnote>
  <w:footnote w:id="3">
    <w:p w:rsidR="00E076A2" w:rsidRPr="009B7560" w:rsidRDefault="00E076A2" w:rsidP="00E076A2">
      <w:pPr>
        <w:pStyle w:val="FootnoteText"/>
        <w:rPr>
          <w:szCs w:val="18"/>
        </w:rPr>
      </w:pPr>
      <w:r w:rsidRPr="009B7560">
        <w:rPr>
          <w:rStyle w:val="FootnoteReference"/>
          <w:szCs w:val="18"/>
        </w:rPr>
        <w:footnoteRef/>
      </w:r>
      <w:r w:rsidRPr="009B7560">
        <w:rPr>
          <w:szCs w:val="18"/>
        </w:rPr>
        <w:t xml:space="preserve"> </w:t>
      </w:r>
      <w:r w:rsidRPr="009B7560">
        <w:rPr>
          <w:szCs w:val="18"/>
        </w:rPr>
        <w:tab/>
        <w:t>Véase el párrafo</w:t>
      </w:r>
      <w:r w:rsidRPr="009B7560">
        <w:rPr>
          <w:rFonts w:eastAsiaTheme="minorHAnsi"/>
          <w:szCs w:val="18"/>
          <w:lang w:eastAsia="en-US"/>
        </w:rPr>
        <w:t xml:space="preserve"> 88 del documento A/57/12 (</w:t>
      </w:r>
      <w:r w:rsidR="000D08BE">
        <w:rPr>
          <w:rFonts w:eastAsiaTheme="minorHAnsi"/>
          <w:szCs w:val="18"/>
          <w:lang w:eastAsia="en-US"/>
        </w:rPr>
        <w:t>I</w:t>
      </w:r>
      <w:r w:rsidRPr="009B7560">
        <w:rPr>
          <w:rFonts w:eastAsiaTheme="minorHAnsi"/>
          <w:szCs w:val="18"/>
          <w:lang w:eastAsia="en-US"/>
        </w:rPr>
        <w:t>nforme general).</w:t>
      </w:r>
    </w:p>
  </w:footnote>
  <w:footnote w:id="4">
    <w:p w:rsidR="00E076A2" w:rsidRPr="009B7560" w:rsidRDefault="00E076A2" w:rsidP="00E076A2">
      <w:pPr>
        <w:autoSpaceDE w:val="0"/>
        <w:autoSpaceDN w:val="0"/>
        <w:adjustRightInd w:val="0"/>
        <w:rPr>
          <w:rFonts w:eastAsiaTheme="minorHAnsi"/>
          <w:sz w:val="18"/>
          <w:szCs w:val="18"/>
          <w:lang w:eastAsia="en-US"/>
        </w:rPr>
      </w:pPr>
      <w:r w:rsidRPr="009B7560">
        <w:rPr>
          <w:rStyle w:val="FootnoteReference"/>
          <w:sz w:val="18"/>
          <w:szCs w:val="18"/>
        </w:rPr>
        <w:footnoteRef/>
      </w:r>
      <w:r w:rsidRPr="009B7560">
        <w:rPr>
          <w:sz w:val="18"/>
          <w:szCs w:val="18"/>
        </w:rPr>
        <w:t xml:space="preserve"> </w:t>
      </w:r>
      <w:r w:rsidRPr="009B7560">
        <w:rPr>
          <w:rFonts w:eastAsiaTheme="minorHAnsi"/>
          <w:sz w:val="18"/>
          <w:szCs w:val="18"/>
          <w:lang w:eastAsia="en-US"/>
        </w:rPr>
        <w:tab/>
        <w:t>Id.</w:t>
      </w:r>
    </w:p>
  </w:footnote>
  <w:footnote w:id="5">
    <w:p w:rsidR="00E076A2" w:rsidRPr="009B7560" w:rsidRDefault="00E076A2" w:rsidP="00E076A2">
      <w:pPr>
        <w:pStyle w:val="FootnoteText"/>
      </w:pPr>
      <w:r w:rsidRPr="009B7560">
        <w:rPr>
          <w:rStyle w:val="FootnoteReference"/>
        </w:rPr>
        <w:footnoteRef/>
      </w:r>
      <w:r w:rsidRPr="009B7560">
        <w:t xml:space="preserve"> </w:t>
      </w:r>
      <w:r w:rsidRPr="009B7560">
        <w:tab/>
        <w:t>Véase el documento WO/PBC/27/8, página 241.</w:t>
      </w:r>
    </w:p>
  </w:footnote>
  <w:footnote w:id="6">
    <w:p w:rsidR="00E076A2" w:rsidRPr="009B7560" w:rsidRDefault="00E076A2" w:rsidP="00E076A2">
      <w:pPr>
        <w:pStyle w:val="FootnoteText"/>
      </w:pPr>
      <w:r w:rsidRPr="009B7560">
        <w:rPr>
          <w:rStyle w:val="FootnoteReference"/>
        </w:rPr>
        <w:footnoteRef/>
      </w:r>
      <w:r w:rsidRPr="009B7560">
        <w:t xml:space="preserve"> </w:t>
      </w:r>
      <w:r w:rsidRPr="009B7560">
        <w:tab/>
        <w:t xml:space="preserve">En la última reunión, celebrada los días 11 y 12 de junio de 2018, el Grupo de Trabajo sobre el Desarrollo de la Unión de Lisboa examinó una propuesta </w:t>
      </w:r>
      <w:r w:rsidR="00435E05" w:rsidRPr="009B7560">
        <w:t>sobre el establecimiento de una</w:t>
      </w:r>
      <w:r w:rsidRPr="009B7560">
        <w:t xml:space="preserve"> reducción de tasas en lugar de </w:t>
      </w:r>
      <w:r w:rsidR="00435E05" w:rsidRPr="009B7560">
        <w:t>estudiar</w:t>
      </w:r>
      <w:r w:rsidRPr="009B7560">
        <w:t xml:space="preserve"> un aumento de las tasas para afrontar su déficit presupuestario.</w:t>
      </w:r>
    </w:p>
  </w:footnote>
  <w:footnote w:id="7">
    <w:p w:rsidR="00E076A2" w:rsidRPr="009B7560" w:rsidRDefault="00E076A2" w:rsidP="00E076A2">
      <w:pPr>
        <w:pStyle w:val="FootnoteText"/>
      </w:pPr>
      <w:r w:rsidRPr="009B7560">
        <w:rPr>
          <w:rStyle w:val="FootnoteReference"/>
        </w:rPr>
        <w:footnoteRef/>
      </w:r>
      <w:r w:rsidRPr="009B7560">
        <w:t xml:space="preserve"> </w:t>
      </w:r>
      <w:r w:rsidRPr="009B7560">
        <w:tab/>
        <w:t>El Grupo de Trabajo sobre el Desarrollo Jurídico del Sistema de La Haya para el Registro Internacional de Dibujos y Modelos Industriales examinará la posibilidad de aumentar las tasas en su próxima reunión, que se celebrará del 16 al 18 de julio de 2018.</w:t>
      </w:r>
      <w:bookmarkStart w:id="5" w:name="_GoBack"/>
      <w:bookmarkEnd w:id="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Pr="000D08BE" w:rsidRDefault="00E076A2" w:rsidP="00477D6B">
    <w:pPr>
      <w:jc w:val="right"/>
      <w:rPr>
        <w:lang w:val="pt-BR"/>
      </w:rPr>
    </w:pPr>
    <w:bookmarkStart w:id="6" w:name="Code2"/>
    <w:bookmarkEnd w:id="6"/>
    <w:r w:rsidRPr="000D08BE">
      <w:rPr>
        <w:lang w:val="pt-BR"/>
      </w:rPr>
      <w:t>MM/LD/WG/16</w:t>
    </w:r>
    <w:r w:rsidR="00CB7B57" w:rsidRPr="000D08BE">
      <w:rPr>
        <w:lang w:val="pt-BR"/>
      </w:rPr>
      <w:t>/10</w:t>
    </w:r>
  </w:p>
  <w:p w:rsidR="00AE7F20" w:rsidRPr="000D08BE" w:rsidRDefault="00CB7B57" w:rsidP="00477D6B">
    <w:pPr>
      <w:jc w:val="right"/>
      <w:rPr>
        <w:lang w:val="pt-BR"/>
      </w:rPr>
    </w:pPr>
    <w:r w:rsidRPr="000D08BE">
      <w:rPr>
        <w:lang w:val="pt-BR"/>
      </w:rPr>
      <w:t xml:space="preserve">Anexo, </w:t>
    </w:r>
    <w:r w:rsidR="00AE7F20" w:rsidRPr="000D08BE">
      <w:rPr>
        <w:lang w:val="pt-BR"/>
      </w:rPr>
      <w:t xml:space="preserve">página </w:t>
    </w:r>
    <w:r w:rsidRPr="000D08BE">
      <w:rPr>
        <w:lang w:val="pt-BR"/>
      </w:rPr>
      <w:t>2</w:t>
    </w:r>
  </w:p>
  <w:p w:rsidR="00AE7F20" w:rsidRPr="000D08BE" w:rsidRDefault="00AE7F20" w:rsidP="00477D6B">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57" w:rsidRDefault="00CB7B57" w:rsidP="00CB7B57">
    <w:pPr>
      <w:pStyle w:val="Header"/>
      <w:jc w:val="right"/>
    </w:pPr>
    <w:r>
      <w:t>MM/LD/WG/16/10</w:t>
    </w:r>
  </w:p>
  <w:p w:rsidR="00CB7B57" w:rsidRDefault="00CB7B57" w:rsidP="00CB7B57">
    <w:pPr>
      <w:pStyle w:val="Header"/>
      <w:jc w:val="right"/>
    </w:pPr>
    <w:r>
      <w:t>ANEXO</w:t>
    </w:r>
  </w:p>
  <w:p w:rsidR="009B7560" w:rsidRDefault="009B7560" w:rsidP="00CB7B5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6A2"/>
    <w:rsid w:val="00010686"/>
    <w:rsid w:val="00052915"/>
    <w:rsid w:val="000A550C"/>
    <w:rsid w:val="000D08BE"/>
    <w:rsid w:val="000E3BB3"/>
    <w:rsid w:val="000F5E56"/>
    <w:rsid w:val="00124752"/>
    <w:rsid w:val="001362EE"/>
    <w:rsid w:val="001502FA"/>
    <w:rsid w:val="00152CEA"/>
    <w:rsid w:val="001832A6"/>
    <w:rsid w:val="002036B3"/>
    <w:rsid w:val="002634C4"/>
    <w:rsid w:val="002E0F47"/>
    <w:rsid w:val="002F4E68"/>
    <w:rsid w:val="00354647"/>
    <w:rsid w:val="00377273"/>
    <w:rsid w:val="003845C1"/>
    <w:rsid w:val="00387287"/>
    <w:rsid w:val="003B3D85"/>
    <w:rsid w:val="003E48F1"/>
    <w:rsid w:val="003F347A"/>
    <w:rsid w:val="00423E3E"/>
    <w:rsid w:val="00427AF4"/>
    <w:rsid w:val="00435E05"/>
    <w:rsid w:val="0045231F"/>
    <w:rsid w:val="004647DA"/>
    <w:rsid w:val="0046793F"/>
    <w:rsid w:val="00477808"/>
    <w:rsid w:val="00477D6B"/>
    <w:rsid w:val="004A6C37"/>
    <w:rsid w:val="004E297D"/>
    <w:rsid w:val="00531B02"/>
    <w:rsid w:val="005332F0"/>
    <w:rsid w:val="0055013B"/>
    <w:rsid w:val="00564DC8"/>
    <w:rsid w:val="00571B99"/>
    <w:rsid w:val="00605827"/>
    <w:rsid w:val="0063108E"/>
    <w:rsid w:val="00675021"/>
    <w:rsid w:val="006A06C6"/>
    <w:rsid w:val="007224C8"/>
    <w:rsid w:val="00794BE2"/>
    <w:rsid w:val="007A5581"/>
    <w:rsid w:val="007B71FE"/>
    <w:rsid w:val="007D781E"/>
    <w:rsid w:val="007E663E"/>
    <w:rsid w:val="00815082"/>
    <w:rsid w:val="00876626"/>
    <w:rsid w:val="0088395E"/>
    <w:rsid w:val="008B2CC1"/>
    <w:rsid w:val="008E6BD6"/>
    <w:rsid w:val="00903F20"/>
    <w:rsid w:val="0090731E"/>
    <w:rsid w:val="009554FA"/>
    <w:rsid w:val="00966A22"/>
    <w:rsid w:val="00972F03"/>
    <w:rsid w:val="009A0C8B"/>
    <w:rsid w:val="009A20CD"/>
    <w:rsid w:val="009B6241"/>
    <w:rsid w:val="009B7560"/>
    <w:rsid w:val="00A017AD"/>
    <w:rsid w:val="00A16FC0"/>
    <w:rsid w:val="00A32C9E"/>
    <w:rsid w:val="00AB613D"/>
    <w:rsid w:val="00AE7F20"/>
    <w:rsid w:val="00B50748"/>
    <w:rsid w:val="00B534D5"/>
    <w:rsid w:val="00B65A0A"/>
    <w:rsid w:val="00B67CDC"/>
    <w:rsid w:val="00B72D36"/>
    <w:rsid w:val="00BC4164"/>
    <w:rsid w:val="00BD2DCC"/>
    <w:rsid w:val="00C90559"/>
    <w:rsid w:val="00CA2251"/>
    <w:rsid w:val="00CB7B57"/>
    <w:rsid w:val="00D56C7C"/>
    <w:rsid w:val="00D71B4D"/>
    <w:rsid w:val="00D90289"/>
    <w:rsid w:val="00D93D55"/>
    <w:rsid w:val="00DC4C60"/>
    <w:rsid w:val="00E0079A"/>
    <w:rsid w:val="00E076A2"/>
    <w:rsid w:val="00E444DA"/>
    <w:rsid w:val="00E45C84"/>
    <w:rsid w:val="00E504E5"/>
    <w:rsid w:val="00EB7A3E"/>
    <w:rsid w:val="00EC401A"/>
    <w:rsid w:val="00EF530A"/>
    <w:rsid w:val="00EF6622"/>
    <w:rsid w:val="00EF78A9"/>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styleId="FootnoteReference">
    <w:name w:val="footnote reference"/>
    <w:basedOn w:val="DefaultParagraphFont"/>
    <w:uiPriority w:val="99"/>
    <w:rsid w:val="00E076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3D85"/>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3B3D85"/>
    <w:rPr>
      <w:rFonts w:ascii="Tahoma" w:eastAsia="SimSun" w:hAnsi="Tahoma" w:cs="Tahoma"/>
      <w:sz w:val="16"/>
      <w:szCs w:val="16"/>
      <w:lang w:val="es-ES" w:eastAsia="zh-CN"/>
    </w:rPr>
  </w:style>
  <w:style w:type="character" w:styleId="FootnoteReference">
    <w:name w:val="footnote reference"/>
    <w:basedOn w:val="DefaultParagraphFont"/>
    <w:uiPriority w:val="99"/>
    <w:rsid w:val="00E076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MM%20LD%20WG%201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LD WG 16 (S)</Template>
  <TotalTime>6</TotalTime>
  <Pages>3</Pages>
  <Words>891</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MM/LD/WG/16/10</vt:lpstr>
    </vt:vector>
  </TitlesOfParts>
  <Company>WIPO</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MM/LD/WG/16/10</dc:title>
  <dc:creator>WIPO</dc:creator>
  <dc:description>JC / Reviewed</dc:description>
  <cp:lastModifiedBy>Madrid Registry</cp:lastModifiedBy>
  <cp:revision>4</cp:revision>
  <cp:lastPrinted>2018-06-22T07:18:00Z</cp:lastPrinted>
  <dcterms:created xsi:type="dcterms:W3CDTF">2018-06-22T12:57:00Z</dcterms:created>
  <dcterms:modified xsi:type="dcterms:W3CDTF">2018-06-25T16:51:00Z</dcterms:modified>
</cp:coreProperties>
</file>