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9F5F2C" w:rsidP="00A179E6">
            <w:r>
              <w:rPr>
                <w:noProof/>
                <w:lang w:eastAsia="en-US"/>
              </w:rPr>
              <w:drawing>
                <wp:inline distT="0" distB="0" distL="0" distR="0" wp14:anchorId="1150E7E3" wp14:editId="67DCAE8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711E67" w:rsidP="00A179E6">
            <w:pPr>
              <w:rPr>
                <w:b/>
                <w:caps/>
                <w:sz w:val="24"/>
              </w:rPr>
            </w:pPr>
            <w:r>
              <w:rPr>
                <w:b/>
                <w:caps/>
                <w:sz w:val="24"/>
              </w:rPr>
              <w:t>Roundtable</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86251E" w:rsidP="008A551F">
            <w:pPr>
              <w:jc w:val="right"/>
              <w:rPr>
                <w:rFonts w:ascii="Arial Black" w:hAnsi="Arial Black"/>
                <w:caps/>
                <w:sz w:val="15"/>
              </w:rPr>
            </w:pPr>
            <w:r>
              <w:rPr>
                <w:rFonts w:ascii="Arial Black" w:hAnsi="Arial Black"/>
                <w:caps/>
                <w:sz w:val="15"/>
              </w:rPr>
              <w:t>MM/LD/WG/1</w:t>
            </w:r>
            <w:r w:rsidR="001662A9">
              <w:rPr>
                <w:rFonts w:ascii="Arial Black" w:hAnsi="Arial Black"/>
                <w:caps/>
                <w:sz w:val="15"/>
              </w:rPr>
              <w:t>5</w:t>
            </w:r>
            <w:r>
              <w:rPr>
                <w:rFonts w:ascii="Arial Black" w:hAnsi="Arial Black"/>
                <w:caps/>
                <w:sz w:val="15"/>
              </w:rPr>
              <w:t>/RT/</w:t>
            </w:r>
            <w:r w:rsidR="00B3530C">
              <w:rPr>
                <w:rFonts w:ascii="Arial Black" w:hAnsi="Arial Black"/>
                <w:caps/>
                <w:sz w:val="15"/>
              </w:rPr>
              <w:t xml:space="preserve"> 2</w:t>
            </w:r>
            <w:r w:rsidR="00711E67">
              <w:rPr>
                <w:rFonts w:ascii="Arial Black" w:hAnsi="Arial Black"/>
                <w:caps/>
                <w:sz w:val="15"/>
              </w:rPr>
              <w:t xml:space="preserve"> </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8C3BDE">
              <w:rPr>
                <w:rFonts w:ascii="Arial Black" w:hAnsi="Arial Black"/>
                <w:caps/>
                <w:sz w:val="15"/>
              </w:rPr>
              <w:t xml:space="preserve"> </w:t>
            </w:r>
            <w:r w:rsidR="00BC3DD6">
              <w:rPr>
                <w:rFonts w:ascii="Arial Black" w:hAnsi="Arial Black"/>
                <w:caps/>
                <w:sz w:val="15"/>
              </w:rPr>
              <w:t>English</w:t>
            </w:r>
          </w:p>
        </w:tc>
      </w:tr>
      <w:tr w:rsidR="008B2CC1" w:rsidRPr="001832A6" w:rsidTr="00026990">
        <w:trPr>
          <w:trHeight w:hRule="exact" w:val="198"/>
        </w:trPr>
        <w:tc>
          <w:tcPr>
            <w:tcW w:w="4513" w:type="dxa"/>
            <w:gridSpan w:val="2"/>
            <w:tcMar>
              <w:left w:w="0" w:type="dxa"/>
              <w:right w:w="0" w:type="dxa"/>
            </w:tcMar>
            <w:vAlign w:val="bottom"/>
          </w:tcPr>
          <w:p w:rsidR="008B2CC1" w:rsidRPr="0090731E" w:rsidRDefault="008B2CC1" w:rsidP="00864B75">
            <w:pPr>
              <w:jc w:val="right"/>
              <w:rPr>
                <w:rFonts w:ascii="Arial Black" w:hAnsi="Arial Black"/>
                <w:caps/>
                <w:sz w:val="15"/>
              </w:rPr>
            </w:pPr>
            <w:r w:rsidRPr="0090731E">
              <w:rPr>
                <w:rFonts w:ascii="Arial Black" w:hAnsi="Arial Black"/>
                <w:caps/>
                <w:sz w:val="15"/>
              </w:rPr>
              <w:t>DATE:</w:t>
            </w:r>
            <w:r w:rsidR="005D0D70">
              <w:rPr>
                <w:rFonts w:ascii="Arial Black" w:hAnsi="Arial Black"/>
                <w:caps/>
                <w:sz w:val="15"/>
              </w:rPr>
              <w:t xml:space="preserve">  </w:t>
            </w:r>
            <w:r w:rsidR="008A551F">
              <w:rPr>
                <w:rFonts w:ascii="Arial Black" w:hAnsi="Arial Black"/>
                <w:caps/>
                <w:sz w:val="15"/>
              </w:rPr>
              <w:t xml:space="preserve">May </w:t>
            </w:r>
            <w:r w:rsidR="00864B75">
              <w:rPr>
                <w:rFonts w:ascii="Arial Black" w:hAnsi="Arial Black"/>
                <w:caps/>
                <w:sz w:val="15"/>
              </w:rPr>
              <w:t>31</w:t>
            </w:r>
            <w:r w:rsidR="005D0D70">
              <w:rPr>
                <w:rFonts w:ascii="Arial Black" w:hAnsi="Arial Black"/>
                <w:caps/>
                <w:sz w:val="15"/>
              </w:rPr>
              <w:t>, 201</w:t>
            </w:r>
            <w:r w:rsidR="001662A9">
              <w:rPr>
                <w:rFonts w:ascii="Arial Black" w:hAnsi="Arial Black"/>
                <w:caps/>
                <w:sz w:val="15"/>
              </w:rPr>
              <w:t>7</w:t>
            </w:r>
            <w:r w:rsidRPr="0090731E">
              <w:rPr>
                <w:rFonts w:ascii="Arial Black" w:hAnsi="Arial Black"/>
                <w:caps/>
                <w:sz w:val="15"/>
              </w:rPr>
              <w:t xml:space="preserve"> </w:t>
            </w:r>
            <w:bookmarkStart w:id="1" w:name="Date"/>
            <w:bookmarkEnd w:id="1"/>
            <w:r w:rsidR="008C3BDE">
              <w:rPr>
                <w:rFonts w:ascii="Arial Black" w:hAnsi="Arial Black"/>
                <w:caps/>
                <w:sz w:val="15"/>
              </w:rPr>
              <w:t xml:space="preserve"> </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3845C1" w:rsidRDefault="00711E67" w:rsidP="008B2CC1">
      <w:pPr>
        <w:rPr>
          <w:b/>
          <w:sz w:val="28"/>
          <w:szCs w:val="28"/>
        </w:rPr>
      </w:pPr>
      <w:r>
        <w:rPr>
          <w:b/>
          <w:sz w:val="28"/>
          <w:szCs w:val="28"/>
        </w:rPr>
        <w:t>Madrid Working Group</w:t>
      </w:r>
      <w:r w:rsidR="005E04BB">
        <w:rPr>
          <w:b/>
          <w:sz w:val="28"/>
          <w:szCs w:val="28"/>
        </w:rPr>
        <w:t xml:space="preserve"> </w:t>
      </w:r>
      <w:r w:rsidR="00171DBC">
        <w:rPr>
          <w:b/>
          <w:sz w:val="28"/>
          <w:szCs w:val="28"/>
        </w:rPr>
        <w:t>Roundtable</w:t>
      </w:r>
    </w:p>
    <w:p w:rsidR="003845C1" w:rsidRDefault="003845C1" w:rsidP="003845C1"/>
    <w:p w:rsidR="003845C1" w:rsidRDefault="003845C1" w:rsidP="003845C1"/>
    <w:p w:rsidR="008B2CC1" w:rsidRPr="004F4D9B" w:rsidRDefault="00711E67" w:rsidP="008B2CC1">
      <w:pPr>
        <w:rPr>
          <w:b/>
          <w:sz w:val="24"/>
          <w:szCs w:val="24"/>
        </w:rPr>
      </w:pPr>
      <w:r>
        <w:rPr>
          <w:b/>
          <w:sz w:val="24"/>
          <w:szCs w:val="24"/>
        </w:rPr>
        <w:t xml:space="preserve">Geneva, </w:t>
      </w:r>
      <w:r w:rsidR="001662A9">
        <w:rPr>
          <w:b/>
          <w:sz w:val="24"/>
          <w:szCs w:val="24"/>
        </w:rPr>
        <w:t>June 21</w:t>
      </w:r>
      <w:r w:rsidR="008C7A49">
        <w:rPr>
          <w:b/>
          <w:sz w:val="24"/>
          <w:szCs w:val="24"/>
        </w:rPr>
        <w:t xml:space="preserve"> </w:t>
      </w:r>
      <w:r w:rsidR="005E04BB">
        <w:rPr>
          <w:b/>
          <w:sz w:val="24"/>
          <w:szCs w:val="24"/>
        </w:rPr>
        <w:t xml:space="preserve">and </w:t>
      </w:r>
      <w:r w:rsidR="001662A9">
        <w:rPr>
          <w:b/>
          <w:sz w:val="24"/>
          <w:szCs w:val="24"/>
        </w:rPr>
        <w:t>22</w:t>
      </w:r>
      <w:r w:rsidR="00E419AF">
        <w:rPr>
          <w:b/>
          <w:sz w:val="24"/>
          <w:szCs w:val="24"/>
        </w:rPr>
        <w:t>, 201</w:t>
      </w:r>
      <w:r w:rsidR="001662A9">
        <w:rPr>
          <w:b/>
          <w:sz w:val="24"/>
          <w:szCs w:val="24"/>
        </w:rPr>
        <w:t>7</w:t>
      </w:r>
    </w:p>
    <w:p w:rsidR="008B2CC1" w:rsidRDefault="008B2CC1" w:rsidP="001D7119"/>
    <w:p w:rsidR="001D7119" w:rsidRPr="008B2CC1" w:rsidRDefault="001D7119" w:rsidP="001D7119"/>
    <w:p w:rsidR="008B2CC1" w:rsidRPr="008B2CC1" w:rsidRDefault="008B2CC1" w:rsidP="001D7119"/>
    <w:p w:rsidR="008A551F" w:rsidRPr="008A551F" w:rsidRDefault="008A551F" w:rsidP="008A551F">
      <w:pPr>
        <w:rPr>
          <w:b/>
          <w:caps/>
          <w:sz w:val="24"/>
        </w:rPr>
      </w:pPr>
      <w:bookmarkStart w:id="2" w:name="TitleOfDoc"/>
      <w:bookmarkEnd w:id="2"/>
      <w:r w:rsidRPr="008A551F">
        <w:rPr>
          <w:caps/>
          <w:sz w:val="24"/>
        </w:rPr>
        <w:t>CORRESPONDENCE OF MARKS FOR CERTIFICATION PURPOSES</w:t>
      </w:r>
    </w:p>
    <w:p w:rsidR="008B2CC1" w:rsidRPr="008B2CC1" w:rsidRDefault="008B2CC1" w:rsidP="008B2CC1"/>
    <w:p w:rsidR="008B2CC1" w:rsidRPr="008B2CC1" w:rsidRDefault="008A551F" w:rsidP="008B2CC1">
      <w:pPr>
        <w:rPr>
          <w:i/>
        </w:rPr>
      </w:pPr>
      <w:bookmarkStart w:id="3" w:name="Prepared"/>
      <w:bookmarkEnd w:id="3"/>
      <w:r>
        <w:rPr>
          <w:i/>
        </w:rPr>
        <w:t xml:space="preserve">Document </w:t>
      </w:r>
      <w:r w:rsidR="00711E67">
        <w:rPr>
          <w:i/>
        </w:rPr>
        <w:t xml:space="preserve">prepared by the </w:t>
      </w:r>
      <w:r w:rsidR="00F374B4">
        <w:rPr>
          <w:i/>
        </w:rPr>
        <w:t>International Bureau</w:t>
      </w:r>
    </w:p>
    <w:p w:rsidR="000C7343" w:rsidRDefault="000C7343"/>
    <w:p w:rsidR="007B63B3" w:rsidRDefault="007B63B3"/>
    <w:p w:rsidR="007B63B3" w:rsidRDefault="007B63B3"/>
    <w:p w:rsidR="007B63B3" w:rsidRDefault="007B63B3"/>
    <w:p w:rsidR="008A551F" w:rsidRDefault="008A551F" w:rsidP="008A551F">
      <w:pPr>
        <w:pStyle w:val="ONUME"/>
      </w:pPr>
      <w:r w:rsidRPr="008A551F">
        <w:t>This document, for discussion in the Madrid Working Group Roundtable, presents the findings of a survey</w:t>
      </w:r>
      <w:r w:rsidR="00F7190A">
        <w:rPr>
          <w:rStyle w:val="FootnoteReference"/>
        </w:rPr>
        <w:footnoteReference w:id="2"/>
      </w:r>
      <w:r w:rsidRPr="008A551F">
        <w:t xml:space="preserve">, conducted by the International Bureau, on the practices of Offices of origin concerning the correspondence of marks in the certification of the international application. </w:t>
      </w:r>
      <w:r w:rsidR="00F7190A">
        <w:t xml:space="preserve"> </w:t>
      </w:r>
    </w:p>
    <w:p w:rsidR="00F7190A" w:rsidRDefault="00F7190A" w:rsidP="00AB29E0">
      <w:pPr>
        <w:pStyle w:val="Heading1"/>
      </w:pPr>
      <w:r w:rsidRPr="00CC7AA8">
        <w:t>Background</w:t>
      </w:r>
    </w:p>
    <w:p w:rsidR="00F7190A" w:rsidRPr="00F7190A" w:rsidRDefault="00F7190A" w:rsidP="00F7190A"/>
    <w:p w:rsidR="00F7190A" w:rsidRDefault="00F7190A" w:rsidP="00F7190A">
      <w:pPr>
        <w:pStyle w:val="ONUME"/>
        <w:rPr>
          <w:lang w:eastAsia="en-US"/>
        </w:rPr>
      </w:pPr>
      <w:r w:rsidRPr="00F7190A">
        <w:rPr>
          <w:lang w:eastAsia="en-US"/>
        </w:rPr>
        <w:t>The Madr</w:t>
      </w:r>
      <w:r>
        <w:rPr>
          <w:lang w:eastAsia="en-US"/>
        </w:rPr>
        <w:t>id Working Group Roundtables of </w:t>
      </w:r>
      <w:r w:rsidRPr="00F7190A">
        <w:rPr>
          <w:lang w:eastAsia="en-US"/>
        </w:rPr>
        <w:t>2015 and</w:t>
      </w:r>
      <w:r>
        <w:rPr>
          <w:lang w:eastAsia="en-US"/>
        </w:rPr>
        <w:t> </w:t>
      </w:r>
      <w:r w:rsidRPr="00F7190A">
        <w:rPr>
          <w:lang w:eastAsia="en-US"/>
        </w:rPr>
        <w:t>2016 discussed the possibility of a</w:t>
      </w:r>
      <w:r w:rsidR="006974A9">
        <w:rPr>
          <w:lang w:eastAsia="en-US"/>
        </w:rPr>
        <w:t> </w:t>
      </w:r>
      <w:r w:rsidRPr="00F7190A">
        <w:rPr>
          <w:lang w:eastAsia="en-US"/>
        </w:rPr>
        <w:t xml:space="preserve">more flexible approach to the certification function.  </w:t>
      </w:r>
    </w:p>
    <w:p w:rsidR="00F7190A" w:rsidRPr="00F7190A" w:rsidRDefault="00F7190A" w:rsidP="00F7190A">
      <w:pPr>
        <w:pStyle w:val="ONUME"/>
        <w:rPr>
          <w:lang w:eastAsia="en-US"/>
        </w:rPr>
      </w:pPr>
      <w:r w:rsidRPr="00F7190A">
        <w:rPr>
          <w:lang w:eastAsia="en-US"/>
        </w:rPr>
        <w:t xml:space="preserve">The discussions were twofold: </w:t>
      </w:r>
      <w:r>
        <w:rPr>
          <w:lang w:eastAsia="en-US"/>
        </w:rPr>
        <w:t xml:space="preserve"> </w:t>
      </w:r>
      <w:r w:rsidRPr="00F7190A">
        <w:rPr>
          <w:lang w:eastAsia="en-US"/>
        </w:rPr>
        <w:t xml:space="preserve">addressing the branding needs of trademark owners, wanting to reach customers across several regions using different scripts, and assessing whether there could be any flexibility for Offices of origin in the Madrid System when certifying international applications.  </w:t>
      </w:r>
    </w:p>
    <w:p w:rsidR="00F7190A" w:rsidRPr="00F7190A" w:rsidRDefault="00F7190A" w:rsidP="00F7190A">
      <w:pPr>
        <w:pStyle w:val="ONUME"/>
        <w:rPr>
          <w:lang w:eastAsia="en-US"/>
        </w:rPr>
      </w:pPr>
      <w:r w:rsidRPr="00F7190A">
        <w:rPr>
          <w:lang w:eastAsia="en-US"/>
        </w:rPr>
        <w:t>The discussions also raised the question of whether the requirement of sameness between the basic and the international marks, in Rule</w:t>
      </w:r>
      <w:r>
        <w:rPr>
          <w:lang w:eastAsia="en-US"/>
        </w:rPr>
        <w:t> </w:t>
      </w:r>
      <w:r w:rsidRPr="00F7190A">
        <w:rPr>
          <w:lang w:eastAsia="en-US"/>
        </w:rPr>
        <w:t>9(5)(d)(iv) of the Common Regulations under the Madrid Agreement Concerning the International Registration of Marks and the Protocol Relating to that Agreement (</w:t>
      </w:r>
      <w:r>
        <w:rPr>
          <w:lang w:eastAsia="en-US"/>
        </w:rPr>
        <w:t>hereinafter referred to as “</w:t>
      </w:r>
      <w:r w:rsidRPr="00F7190A">
        <w:rPr>
          <w:lang w:eastAsia="en-US"/>
        </w:rPr>
        <w:t>the Common Regulations</w:t>
      </w:r>
      <w:r>
        <w:rPr>
          <w:lang w:eastAsia="en-US"/>
        </w:rPr>
        <w:t>”, “the Agreement” and the “Protocol”</w:t>
      </w:r>
      <w:r w:rsidRPr="00F7190A">
        <w:rPr>
          <w:lang w:eastAsia="en-US"/>
        </w:rPr>
        <w:t>), is stricter than the requirement under Article</w:t>
      </w:r>
      <w:r>
        <w:rPr>
          <w:lang w:eastAsia="en-US"/>
        </w:rPr>
        <w:t> </w:t>
      </w:r>
      <w:r w:rsidRPr="00F7190A">
        <w:rPr>
          <w:lang w:eastAsia="en-US"/>
        </w:rPr>
        <w:t xml:space="preserve">3(1) of the Protocol, which refers to the correspondence between the particulars in the international application and those of the basic application or registration.  </w:t>
      </w:r>
    </w:p>
    <w:p w:rsidR="00F7190A" w:rsidRPr="00F7190A" w:rsidRDefault="00F7190A" w:rsidP="00AB29E0">
      <w:pPr>
        <w:pStyle w:val="ONUME"/>
        <w:keepNext/>
        <w:keepLines/>
        <w:rPr>
          <w:lang w:eastAsia="en-US"/>
        </w:rPr>
      </w:pPr>
      <w:r w:rsidRPr="00F7190A">
        <w:rPr>
          <w:lang w:eastAsia="en-US"/>
        </w:rPr>
        <w:lastRenderedPageBreak/>
        <w:t xml:space="preserve">In previous Roundtable meetings, </w:t>
      </w:r>
      <w:r w:rsidR="00AB29E0">
        <w:rPr>
          <w:lang w:eastAsia="en-US"/>
        </w:rPr>
        <w:t xml:space="preserve">representatives of some </w:t>
      </w:r>
      <w:r w:rsidRPr="00F7190A">
        <w:rPr>
          <w:lang w:eastAsia="en-US"/>
        </w:rPr>
        <w:t>Offices have shared information on their certification practices</w:t>
      </w:r>
      <w:r w:rsidRPr="00F7190A">
        <w:rPr>
          <w:vertAlign w:val="superscript"/>
          <w:lang w:eastAsia="en-US"/>
        </w:rPr>
        <w:footnoteReference w:id="3"/>
      </w:r>
      <w:r w:rsidRPr="00F7190A">
        <w:rPr>
          <w:lang w:eastAsia="en-US"/>
        </w:rPr>
        <w:t xml:space="preserve">, which revealed that some Offices require absolute identity between the basic and the international marks, while other Offices take a more nuanced approach when certifying international applications. </w:t>
      </w:r>
      <w:r w:rsidR="00AB29E0">
        <w:rPr>
          <w:lang w:eastAsia="en-US"/>
        </w:rPr>
        <w:t xml:space="preserve"> </w:t>
      </w:r>
    </w:p>
    <w:p w:rsidR="00F7190A" w:rsidRPr="00F7190A" w:rsidRDefault="00F7190A" w:rsidP="00AB29E0">
      <w:pPr>
        <w:pStyle w:val="ONUME"/>
        <w:rPr>
          <w:lang w:eastAsia="en-US"/>
        </w:rPr>
      </w:pPr>
      <w:r w:rsidRPr="00F7190A">
        <w:rPr>
          <w:lang w:eastAsia="en-US"/>
        </w:rPr>
        <w:t xml:space="preserve">In view of the discussions and shared information, there seemed to be a need for more information on the certification practices by Offices, to see if guidelines or a “best practices” approach could be introduced, to assist Offices interested in clarifying their certification practice. </w:t>
      </w:r>
      <w:r w:rsidR="00AB29E0">
        <w:rPr>
          <w:lang w:eastAsia="en-US"/>
        </w:rPr>
        <w:t xml:space="preserve"> </w:t>
      </w:r>
    </w:p>
    <w:p w:rsidR="00F7190A" w:rsidRDefault="00F7190A" w:rsidP="00AB29E0">
      <w:pPr>
        <w:pStyle w:val="Heading1"/>
        <w:rPr>
          <w:lang w:eastAsia="en-US"/>
        </w:rPr>
      </w:pPr>
      <w:r w:rsidRPr="00F7190A">
        <w:rPr>
          <w:lang w:eastAsia="en-US"/>
        </w:rPr>
        <w:t>General information</w:t>
      </w:r>
    </w:p>
    <w:p w:rsidR="00AB29E0" w:rsidRPr="00AB29E0" w:rsidRDefault="00AB29E0" w:rsidP="00AB29E0">
      <w:pPr>
        <w:rPr>
          <w:lang w:eastAsia="en-US"/>
        </w:rPr>
      </w:pPr>
    </w:p>
    <w:p w:rsidR="00F7190A" w:rsidRPr="00F7190A" w:rsidRDefault="00F7190A" w:rsidP="00AB29E0">
      <w:pPr>
        <w:pStyle w:val="ONUME"/>
        <w:rPr>
          <w:lang w:eastAsia="en-US"/>
        </w:rPr>
      </w:pPr>
      <w:r w:rsidRPr="00F7190A">
        <w:rPr>
          <w:lang w:eastAsia="en-US"/>
        </w:rPr>
        <w:t xml:space="preserve">On February 24, 2017, the International Bureau sent </w:t>
      </w:r>
      <w:r w:rsidR="00AB29E0">
        <w:rPr>
          <w:lang w:eastAsia="en-US"/>
        </w:rPr>
        <w:t>Note</w:t>
      </w:r>
      <w:r w:rsidRPr="00F7190A">
        <w:rPr>
          <w:lang w:eastAsia="en-US"/>
        </w:rPr>
        <w:t xml:space="preserve"> C.M.</w:t>
      </w:r>
      <w:r w:rsidR="00AB29E0">
        <w:rPr>
          <w:lang w:eastAsia="en-US"/>
        </w:rPr>
        <w:t> </w:t>
      </w:r>
      <w:r w:rsidRPr="00F7190A">
        <w:rPr>
          <w:lang w:eastAsia="en-US"/>
        </w:rPr>
        <w:t xml:space="preserve">1446 to the Offices of the Contracting Parties of the Madrid System with a questionnaire on </w:t>
      </w:r>
      <w:r w:rsidRPr="00F7190A">
        <w:rPr>
          <w:i/>
          <w:lang w:eastAsia="en-US"/>
        </w:rPr>
        <w:t>Correspondence of Marks for Certification Purposes</w:t>
      </w:r>
      <w:r w:rsidRPr="00F7190A">
        <w:rPr>
          <w:lang w:eastAsia="en-US"/>
        </w:rPr>
        <w:t xml:space="preserve"> and invited Offices to reply to the questionnaire by April</w:t>
      </w:r>
      <w:r w:rsidR="00AB29E0">
        <w:rPr>
          <w:lang w:eastAsia="en-US"/>
        </w:rPr>
        <w:t> </w:t>
      </w:r>
      <w:r w:rsidRPr="00F7190A">
        <w:rPr>
          <w:lang w:eastAsia="en-US"/>
        </w:rPr>
        <w:t>3,</w:t>
      </w:r>
      <w:r w:rsidR="00AB29E0">
        <w:rPr>
          <w:lang w:eastAsia="en-US"/>
        </w:rPr>
        <w:t> </w:t>
      </w:r>
      <w:r w:rsidRPr="00F7190A">
        <w:rPr>
          <w:lang w:eastAsia="en-US"/>
        </w:rPr>
        <w:t>2017.</w:t>
      </w:r>
      <w:r w:rsidRPr="00F7190A" w:rsidDel="005367B8">
        <w:rPr>
          <w:lang w:eastAsia="en-US"/>
        </w:rPr>
        <w:t xml:space="preserve"> </w:t>
      </w:r>
      <w:r w:rsidR="00AB29E0">
        <w:rPr>
          <w:lang w:eastAsia="en-US"/>
        </w:rPr>
        <w:t xml:space="preserve"> </w:t>
      </w:r>
      <w:r w:rsidRPr="00F7190A">
        <w:rPr>
          <w:lang w:eastAsia="en-US"/>
        </w:rPr>
        <w:t>The</w:t>
      </w:r>
      <w:r w:rsidR="00AB29E0">
        <w:rPr>
          <w:lang w:eastAsia="en-US"/>
        </w:rPr>
        <w:t> </w:t>
      </w:r>
      <w:r w:rsidRPr="00F7190A">
        <w:rPr>
          <w:lang w:eastAsia="en-US"/>
        </w:rPr>
        <w:t xml:space="preserve">questionnaire and the replies by participating Offices are available on the Madrid </w:t>
      </w:r>
      <w:r w:rsidR="00AB29E0">
        <w:rPr>
          <w:lang w:eastAsia="en-US"/>
        </w:rPr>
        <w:t xml:space="preserve">System </w:t>
      </w:r>
      <w:r w:rsidRPr="00F7190A">
        <w:rPr>
          <w:lang w:eastAsia="en-US"/>
        </w:rPr>
        <w:t xml:space="preserve">website </w:t>
      </w:r>
      <w:r w:rsidR="00AB29E0">
        <w:rPr>
          <w:lang w:eastAsia="en-US"/>
        </w:rPr>
        <w:t xml:space="preserve">at: </w:t>
      </w:r>
      <w:r w:rsidRPr="00F7190A">
        <w:rPr>
          <w:lang w:eastAsia="en-US"/>
        </w:rPr>
        <w:t xml:space="preserve"> </w:t>
      </w:r>
      <w:hyperlink r:id="rId10" w:history="1">
        <w:r w:rsidRPr="006974A9">
          <w:rPr>
            <w:u w:val="single"/>
            <w:lang w:eastAsia="en-US"/>
          </w:rPr>
          <w:t>http://www.wipo.int/meetings/en/details.jsp?meeting_id=43285</w:t>
        </w:r>
      </w:hyperlink>
      <w:r w:rsidRPr="006974A9">
        <w:rPr>
          <w:lang w:eastAsia="en-US"/>
        </w:rPr>
        <w:t xml:space="preserve">.  </w:t>
      </w:r>
    </w:p>
    <w:p w:rsidR="00F7190A" w:rsidRPr="00F7190A" w:rsidRDefault="00AB29E0" w:rsidP="00AB29E0">
      <w:pPr>
        <w:pStyle w:val="ONUME"/>
        <w:rPr>
          <w:lang w:eastAsia="en-US"/>
        </w:rPr>
      </w:pPr>
      <w:r>
        <w:rPr>
          <w:lang w:eastAsia="en-US"/>
        </w:rPr>
        <w:t>By May </w:t>
      </w:r>
      <w:r w:rsidR="00F66ACA">
        <w:rPr>
          <w:lang w:eastAsia="en-US"/>
        </w:rPr>
        <w:t>12</w:t>
      </w:r>
      <w:r w:rsidR="00F7190A" w:rsidRPr="00F7190A">
        <w:rPr>
          <w:lang w:eastAsia="en-US"/>
        </w:rPr>
        <w:t>,</w:t>
      </w:r>
      <w:r>
        <w:rPr>
          <w:lang w:eastAsia="en-US"/>
        </w:rPr>
        <w:t> </w:t>
      </w:r>
      <w:r w:rsidR="00F7190A" w:rsidRPr="00F7190A">
        <w:rPr>
          <w:lang w:eastAsia="en-US"/>
        </w:rPr>
        <w:t>2017, the International Bureau had received responses from 6</w:t>
      </w:r>
      <w:r w:rsidR="00F66ACA">
        <w:rPr>
          <w:lang w:eastAsia="en-US"/>
        </w:rPr>
        <w:t>2</w:t>
      </w:r>
      <w:r>
        <w:rPr>
          <w:lang w:eastAsia="en-US"/>
        </w:rPr>
        <w:t> </w:t>
      </w:r>
      <w:r w:rsidR="00F7190A" w:rsidRPr="00F7190A">
        <w:rPr>
          <w:lang w:eastAsia="en-US"/>
        </w:rPr>
        <w:t>Offices.  Three</w:t>
      </w:r>
      <w:r>
        <w:rPr>
          <w:lang w:eastAsia="en-US"/>
        </w:rPr>
        <w:t> </w:t>
      </w:r>
      <w:r w:rsidR="00F7190A" w:rsidRPr="00F7190A">
        <w:rPr>
          <w:lang w:eastAsia="en-US"/>
        </w:rPr>
        <w:t>of these Offices indicated that applicants must use an</w:t>
      </w:r>
      <w:r>
        <w:rPr>
          <w:lang w:eastAsia="en-US"/>
        </w:rPr>
        <w:t xml:space="preserve"> on</w:t>
      </w:r>
      <w:r>
        <w:rPr>
          <w:lang w:eastAsia="en-US"/>
        </w:rPr>
        <w:noBreakHyphen/>
      </w:r>
      <w:r w:rsidR="00F7190A" w:rsidRPr="00F7190A">
        <w:rPr>
          <w:lang w:eastAsia="en-US"/>
        </w:rPr>
        <w:t xml:space="preserve">line application form that automatically includes the reproduction of the basic mark kept in their databases. </w:t>
      </w:r>
      <w:r>
        <w:rPr>
          <w:lang w:eastAsia="en-US"/>
        </w:rPr>
        <w:t xml:space="preserve"> </w:t>
      </w:r>
      <w:r w:rsidR="00F7190A" w:rsidRPr="00F7190A">
        <w:rPr>
          <w:lang w:eastAsia="en-US"/>
        </w:rPr>
        <w:t>Given that there is always identity between the basic and international marks for these Offices, they were not required to answer any further questions.</w:t>
      </w:r>
      <w:r w:rsidR="00F7190A" w:rsidRPr="00F7190A">
        <w:rPr>
          <w:vertAlign w:val="superscript"/>
          <w:lang w:eastAsia="en-US"/>
        </w:rPr>
        <w:footnoteReference w:id="4"/>
      </w:r>
      <w:r w:rsidR="00F7190A" w:rsidRPr="00F7190A">
        <w:rPr>
          <w:lang w:eastAsia="en-US"/>
        </w:rPr>
        <w:t xml:space="preserve">  Therefore, this document is based on replies provided by the remaining 5</w:t>
      </w:r>
      <w:r w:rsidR="00F66ACA">
        <w:rPr>
          <w:lang w:eastAsia="en-US"/>
        </w:rPr>
        <w:t>9</w:t>
      </w:r>
      <w:r>
        <w:rPr>
          <w:lang w:eastAsia="en-US"/>
        </w:rPr>
        <w:t> </w:t>
      </w:r>
      <w:r w:rsidR="00F7190A" w:rsidRPr="00F7190A">
        <w:rPr>
          <w:lang w:eastAsia="en-US"/>
        </w:rPr>
        <w:t xml:space="preserve">Offices.  </w:t>
      </w:r>
    </w:p>
    <w:p w:rsidR="00F7190A" w:rsidRPr="00F7190A" w:rsidRDefault="00F7190A" w:rsidP="00AB29E0">
      <w:pPr>
        <w:pStyle w:val="ONUME"/>
        <w:rPr>
          <w:lang w:eastAsia="en-US"/>
        </w:rPr>
      </w:pPr>
      <w:r w:rsidRPr="00F7190A">
        <w:rPr>
          <w:lang w:eastAsia="en-US"/>
        </w:rPr>
        <w:t>Of the replying Offices, 4</w:t>
      </w:r>
      <w:r w:rsidR="00F66ACA">
        <w:rPr>
          <w:lang w:eastAsia="en-US"/>
        </w:rPr>
        <w:t>4</w:t>
      </w:r>
      <w:r w:rsidR="00AB29E0">
        <w:rPr>
          <w:lang w:eastAsia="en-US"/>
        </w:rPr>
        <w:t> </w:t>
      </w:r>
      <w:r w:rsidRPr="00F7190A">
        <w:rPr>
          <w:lang w:eastAsia="en-US"/>
        </w:rPr>
        <w:t>reported that they mostly receive applications for marks in Latin script</w:t>
      </w:r>
      <w:proofErr w:type="gramStart"/>
      <w:r w:rsidRPr="00F7190A">
        <w:rPr>
          <w:lang w:eastAsia="en-US"/>
        </w:rPr>
        <w:t xml:space="preserve">; </w:t>
      </w:r>
      <w:r w:rsidR="00AB29E0">
        <w:rPr>
          <w:lang w:eastAsia="en-US"/>
        </w:rPr>
        <w:t xml:space="preserve"> </w:t>
      </w:r>
      <w:r w:rsidRPr="00F7190A">
        <w:rPr>
          <w:lang w:eastAsia="en-US"/>
        </w:rPr>
        <w:t>four</w:t>
      </w:r>
      <w:proofErr w:type="gramEnd"/>
      <w:r w:rsidR="00AB29E0">
        <w:rPr>
          <w:lang w:eastAsia="en-US"/>
        </w:rPr>
        <w:t> </w:t>
      </w:r>
      <w:r w:rsidRPr="00F7190A">
        <w:rPr>
          <w:lang w:eastAsia="en-US"/>
        </w:rPr>
        <w:t>Offices reported that they mostly receive applications for marks in other scripts and 14</w:t>
      </w:r>
      <w:r w:rsidR="00AB29E0">
        <w:rPr>
          <w:lang w:eastAsia="en-US"/>
        </w:rPr>
        <w:t> </w:t>
      </w:r>
      <w:r w:rsidRPr="00F7190A">
        <w:rPr>
          <w:lang w:eastAsia="en-US"/>
        </w:rPr>
        <w:t xml:space="preserve">Offices reported that they receive applications for marks in both Latin and other scripts.  </w:t>
      </w:r>
    </w:p>
    <w:p w:rsidR="00F7190A" w:rsidRPr="00F7190A" w:rsidRDefault="00F7190A" w:rsidP="00AB29E0">
      <w:pPr>
        <w:pStyle w:val="ONUME"/>
        <w:rPr>
          <w:lang w:eastAsia="en-US"/>
        </w:rPr>
      </w:pPr>
      <w:r w:rsidRPr="00F7190A">
        <w:rPr>
          <w:lang w:eastAsia="en-US"/>
        </w:rPr>
        <w:t xml:space="preserve">Of the replying Offices, </w:t>
      </w:r>
      <w:r w:rsidR="00AB29E0">
        <w:rPr>
          <w:lang w:eastAsia="en-US"/>
        </w:rPr>
        <w:t>4</w:t>
      </w:r>
      <w:r w:rsidR="00F66ACA">
        <w:rPr>
          <w:lang w:eastAsia="en-US"/>
        </w:rPr>
        <w:t>6</w:t>
      </w:r>
      <w:r w:rsidR="00AB29E0">
        <w:rPr>
          <w:lang w:eastAsia="en-US"/>
        </w:rPr>
        <w:t> </w:t>
      </w:r>
      <w:r w:rsidRPr="00F7190A">
        <w:rPr>
          <w:lang w:eastAsia="en-US"/>
        </w:rPr>
        <w:t>Offices indicated that they consider that a standard character declaration in an international application is equivalent to a declaration that the mark is a word mark, while six</w:t>
      </w:r>
      <w:r w:rsidR="00AB29E0">
        <w:rPr>
          <w:lang w:eastAsia="en-US"/>
        </w:rPr>
        <w:t> </w:t>
      </w:r>
      <w:r w:rsidRPr="00F7190A">
        <w:rPr>
          <w:lang w:eastAsia="en-US"/>
        </w:rPr>
        <w:t>Offices indicated that they did not.  Seven</w:t>
      </w:r>
      <w:r w:rsidR="00AB29E0">
        <w:rPr>
          <w:lang w:eastAsia="en-US"/>
        </w:rPr>
        <w:t> </w:t>
      </w:r>
      <w:r w:rsidRPr="00F7190A">
        <w:rPr>
          <w:lang w:eastAsia="en-US"/>
        </w:rPr>
        <w:t>Offices also replied that they would, depending on the circumstances.  F</w:t>
      </w:r>
      <w:r w:rsidR="00AB29E0">
        <w:rPr>
          <w:lang w:eastAsia="en-US"/>
        </w:rPr>
        <w:t>or example, one </w:t>
      </w:r>
      <w:r w:rsidRPr="00F7190A">
        <w:rPr>
          <w:lang w:eastAsia="en-US"/>
        </w:rPr>
        <w:t xml:space="preserve">Office said that it would accept the declaration if the mark was in what the Office deems as standard characters.  Another Office indicated that it would disregard the declaration and examine the mark as filed.  </w:t>
      </w:r>
    </w:p>
    <w:p w:rsidR="00F7190A" w:rsidRDefault="00F7190A" w:rsidP="00AB29E0">
      <w:pPr>
        <w:pStyle w:val="Heading1"/>
        <w:rPr>
          <w:lang w:eastAsia="en-US"/>
        </w:rPr>
      </w:pPr>
      <w:r w:rsidRPr="00F7190A">
        <w:rPr>
          <w:lang w:eastAsia="en-US"/>
        </w:rPr>
        <w:t>Summary of the replies</w:t>
      </w:r>
    </w:p>
    <w:p w:rsidR="00AB29E0" w:rsidRPr="00AB29E0" w:rsidRDefault="00AB29E0" w:rsidP="00AB29E0">
      <w:pPr>
        <w:rPr>
          <w:lang w:eastAsia="en-US"/>
        </w:rPr>
      </w:pPr>
    </w:p>
    <w:p w:rsidR="00C0247C" w:rsidRPr="00E859DB" w:rsidRDefault="00E859DB" w:rsidP="00E859DB">
      <w:pPr>
        <w:rPr>
          <w:b/>
        </w:rPr>
      </w:pPr>
      <w:r>
        <w:rPr>
          <w:b/>
        </w:rPr>
        <w:t>“A.</w:t>
      </w:r>
      <w:r>
        <w:rPr>
          <w:b/>
        </w:rPr>
        <w:tab/>
      </w:r>
      <w:r w:rsidR="00C0247C" w:rsidRPr="00E859DB">
        <w:rPr>
          <w:b/>
        </w:rPr>
        <w:t>Marks that consist of word(s), letter(s), number(s) or any combination thereof</w:t>
      </w:r>
    </w:p>
    <w:p w:rsidR="00C0247C" w:rsidRPr="00407ABE" w:rsidRDefault="00C0247C" w:rsidP="00C0247C"/>
    <w:p w:rsidR="00C0247C" w:rsidRPr="00E677ED" w:rsidRDefault="00E859DB" w:rsidP="00E859DB">
      <w:pPr>
        <w:pStyle w:val="ListParagraph"/>
        <w:ind w:left="1134" w:hanging="567"/>
        <w:rPr>
          <w:b/>
        </w:rPr>
      </w:pPr>
      <w:r>
        <w:rPr>
          <w:b/>
        </w:rPr>
        <w:t>“–</w:t>
      </w:r>
      <w:r>
        <w:rPr>
          <w:b/>
        </w:rPr>
        <w:tab/>
      </w:r>
      <w:r w:rsidR="00C0247C" w:rsidRPr="00E677ED">
        <w:rPr>
          <w:b/>
        </w:rPr>
        <w:t>Typefaces (font or effect)</w:t>
      </w:r>
    </w:p>
    <w:p w:rsidR="00C0247C" w:rsidRPr="00383DBD" w:rsidRDefault="00C0247C" w:rsidP="00C0247C"/>
    <w:p w:rsidR="00C0247C" w:rsidRDefault="00E859DB" w:rsidP="00E859DB">
      <w:pPr>
        <w:ind w:left="567"/>
      </w:pPr>
      <w:r>
        <w:t>“1.</w:t>
      </w:r>
      <w:r>
        <w:tab/>
      </w:r>
      <w:r w:rsidR="00C0247C">
        <w:t xml:space="preserve">If the mark in an international application consists of word(s), letter(s), number(s) -or any combination thereof- </w:t>
      </w:r>
      <w:r w:rsidR="00C0247C" w:rsidRPr="009F76B0">
        <w:t xml:space="preserve">in </w:t>
      </w:r>
      <w:r w:rsidR="00C0247C">
        <w:t>a given</w:t>
      </w:r>
      <w:r w:rsidR="00C0247C" w:rsidRPr="009F76B0">
        <w:t xml:space="preserve"> </w:t>
      </w:r>
      <w:r w:rsidR="00C0247C">
        <w:t>font, w</w:t>
      </w:r>
      <w:r w:rsidR="00C0247C" w:rsidRPr="009F76B0">
        <w:t xml:space="preserve">ould </w:t>
      </w:r>
      <w:r w:rsidR="00C0247C">
        <w:t>the</w:t>
      </w:r>
      <w:r w:rsidR="00C0247C" w:rsidRPr="009F76B0">
        <w:t xml:space="preserve"> Office consider that it corresponds </w:t>
      </w:r>
      <w:r w:rsidR="00C0247C">
        <w:t>to</w:t>
      </w:r>
      <w:r w:rsidR="00C0247C" w:rsidRPr="009F76B0">
        <w:t xml:space="preserve"> </w:t>
      </w:r>
      <w:r w:rsidR="00C0247C">
        <w:t>a</w:t>
      </w:r>
      <w:r w:rsidR="006974A9">
        <w:t> </w:t>
      </w:r>
      <w:r w:rsidR="00C0247C">
        <w:t xml:space="preserve">basic </w:t>
      </w:r>
      <w:r w:rsidR="00C0247C" w:rsidRPr="009F76B0">
        <w:t>mark comprising the same word</w:t>
      </w:r>
      <w:r w:rsidR="00C0247C">
        <w:t>(</w:t>
      </w:r>
      <w:r w:rsidR="00C0247C" w:rsidRPr="009F76B0">
        <w:t>s</w:t>
      </w:r>
      <w:r w:rsidR="00C0247C">
        <w:t>), letter(s) or number(s) but</w:t>
      </w:r>
      <w:r w:rsidR="00C0247C" w:rsidRPr="009F76B0">
        <w:t xml:space="preserve"> in </w:t>
      </w:r>
      <w:r w:rsidR="00C0247C">
        <w:t xml:space="preserve">a </w:t>
      </w:r>
      <w:r w:rsidR="00C0247C" w:rsidRPr="009F76B0">
        <w:t xml:space="preserve">different </w:t>
      </w:r>
      <w:r w:rsidR="00C0247C" w:rsidRPr="003A37B3">
        <w:t>font?</w:t>
      </w:r>
      <w:r>
        <w:t>”</w:t>
      </w:r>
    </w:p>
    <w:p w:rsidR="00C0247C" w:rsidRPr="00383DBD" w:rsidRDefault="00C0247C" w:rsidP="00C0247C">
      <w:pPr>
        <w:pStyle w:val="ListParagraph"/>
      </w:pP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following answers were recorded:</w:t>
      </w:r>
      <w:r w:rsidR="00C0247C">
        <w:rPr>
          <w:rFonts w:eastAsiaTheme="minorHAnsi"/>
          <w:szCs w:val="22"/>
          <w:lang w:eastAsia="en-US"/>
        </w:rPr>
        <w:t xml:space="preserve">  </w:t>
      </w:r>
    </w:p>
    <w:tbl>
      <w:tblPr>
        <w:tblStyle w:val="TableGrid"/>
        <w:tblW w:w="0" w:type="auto"/>
        <w:jc w:val="center"/>
        <w:tblLook w:val="04A0" w:firstRow="1" w:lastRow="0" w:firstColumn="1" w:lastColumn="0" w:noHBand="0" w:noVBand="1"/>
      </w:tblPr>
      <w:tblGrid>
        <w:gridCol w:w="5353"/>
        <w:gridCol w:w="709"/>
        <w:gridCol w:w="709"/>
      </w:tblGrid>
      <w:tr w:rsidR="00F7190A" w:rsidRPr="00F7190A" w:rsidTr="00C0247C">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3</w:t>
            </w:r>
            <w:r w:rsidR="00F66ACA">
              <w:rPr>
                <w:rFonts w:eastAsiaTheme="minorHAnsi"/>
                <w:lang w:eastAsia="en-US"/>
              </w:rPr>
              <w:t>8</w:t>
            </w:r>
          </w:p>
        </w:tc>
      </w:tr>
      <w:tr w:rsidR="00F7190A" w:rsidRPr="00F7190A" w:rsidTr="00C0247C">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10</w:t>
            </w:r>
          </w:p>
        </w:tc>
        <w:tc>
          <w:tcPr>
            <w:tcW w:w="709" w:type="dxa"/>
          </w:tcPr>
          <w:p w:rsidR="00F7190A" w:rsidRPr="00F7190A" w:rsidRDefault="00F7190A" w:rsidP="00F7190A">
            <w:pPr>
              <w:rPr>
                <w:rFonts w:eastAsiaTheme="minorHAnsi"/>
                <w:lang w:eastAsia="en-US"/>
              </w:rPr>
            </w:pPr>
          </w:p>
        </w:tc>
      </w:tr>
      <w:tr w:rsidR="00F7190A" w:rsidRPr="00F7190A" w:rsidTr="00C0247C">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w:t>
            </w:r>
            <w:r w:rsidR="00F66ACA">
              <w:rPr>
                <w:rFonts w:eastAsiaTheme="minorHAnsi"/>
                <w:lang w:eastAsia="en-US"/>
              </w:rPr>
              <w:t>9</w:t>
            </w:r>
          </w:p>
        </w:tc>
        <w:tc>
          <w:tcPr>
            <w:tcW w:w="709" w:type="dxa"/>
          </w:tcPr>
          <w:p w:rsidR="00F7190A" w:rsidRPr="00F7190A" w:rsidRDefault="00F7190A" w:rsidP="00F7190A">
            <w:pPr>
              <w:rPr>
                <w:rFonts w:eastAsiaTheme="minorHAnsi"/>
                <w:lang w:eastAsia="en-US"/>
              </w:rPr>
            </w:pPr>
          </w:p>
        </w:tc>
      </w:tr>
      <w:tr w:rsidR="00F7190A" w:rsidRPr="00F7190A" w:rsidTr="00C0247C">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9</w:t>
            </w:r>
          </w:p>
        </w:tc>
        <w:tc>
          <w:tcPr>
            <w:tcW w:w="709" w:type="dxa"/>
          </w:tcPr>
          <w:p w:rsidR="00F7190A" w:rsidRPr="00F7190A" w:rsidRDefault="00F7190A" w:rsidP="00F7190A">
            <w:pPr>
              <w:rPr>
                <w:rFonts w:eastAsiaTheme="minorHAnsi"/>
                <w:lang w:eastAsia="en-US"/>
              </w:rPr>
            </w:pPr>
          </w:p>
        </w:tc>
      </w:tr>
      <w:tr w:rsidR="00F7190A" w:rsidRPr="00F7190A" w:rsidTr="00C0247C">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21</w:t>
            </w:r>
          </w:p>
        </w:tc>
      </w:tr>
    </w:tbl>
    <w:p w:rsidR="00F7190A" w:rsidRPr="00F7190A" w:rsidRDefault="00F7190A" w:rsidP="00C0247C">
      <w:pPr>
        <w:pStyle w:val="ONUME"/>
        <w:rPr>
          <w:lang w:eastAsia="en-US"/>
        </w:rPr>
      </w:pPr>
      <w:r w:rsidRPr="00F7190A">
        <w:rPr>
          <w:lang w:eastAsia="en-US"/>
        </w:rPr>
        <w:lastRenderedPageBreak/>
        <w:t>Of the 3</w:t>
      </w:r>
      <w:r w:rsidR="00F66ACA">
        <w:rPr>
          <w:lang w:eastAsia="en-US"/>
        </w:rPr>
        <w:t>8</w:t>
      </w:r>
      <w:r w:rsidR="00C0247C">
        <w:rPr>
          <w:lang w:eastAsia="en-US"/>
        </w:rPr>
        <w:t> </w:t>
      </w:r>
      <w:r w:rsidRPr="00F7190A">
        <w:rPr>
          <w:lang w:eastAsia="en-US"/>
        </w:rPr>
        <w:t xml:space="preserve">Offices that replied </w:t>
      </w:r>
      <w:r w:rsidR="00C0247C">
        <w:rPr>
          <w:lang w:eastAsia="en-US"/>
        </w:rPr>
        <w:t>“</w:t>
      </w:r>
      <w:r w:rsidRPr="00F7190A">
        <w:rPr>
          <w:lang w:eastAsia="en-US"/>
        </w:rPr>
        <w:t>yes</w:t>
      </w:r>
      <w:r w:rsidR="00C0247C">
        <w:rPr>
          <w:lang w:eastAsia="en-US"/>
        </w:rPr>
        <w:t>”</w:t>
      </w:r>
      <w:r w:rsidRPr="00F7190A">
        <w:rPr>
          <w:lang w:eastAsia="en-US"/>
        </w:rPr>
        <w:t>, 2</w:t>
      </w:r>
      <w:r w:rsidR="00F66ACA">
        <w:rPr>
          <w:lang w:eastAsia="en-US"/>
        </w:rPr>
        <w:t>8</w:t>
      </w:r>
      <w:r w:rsidR="00C0247C">
        <w:rPr>
          <w:lang w:eastAsia="en-US"/>
        </w:rPr>
        <w:t> </w:t>
      </w:r>
      <w:r w:rsidRPr="00F7190A">
        <w:rPr>
          <w:lang w:eastAsia="en-US"/>
        </w:rPr>
        <w:t>Offices indicated that they would consider correspondence when there is a standard character declaration or in certain circumstances, for</w:t>
      </w:r>
      <w:r w:rsidR="006974A9">
        <w:rPr>
          <w:lang w:eastAsia="en-US"/>
        </w:rPr>
        <w:t> </w:t>
      </w:r>
      <w:r w:rsidRPr="00F7190A">
        <w:rPr>
          <w:lang w:eastAsia="en-US"/>
        </w:rPr>
        <w:t xml:space="preserve">example, where differences are not noticeable.  </w:t>
      </w:r>
    </w:p>
    <w:p w:rsidR="00F7190A" w:rsidRDefault="00F7190A" w:rsidP="00C0247C">
      <w:pPr>
        <w:pStyle w:val="ONUME"/>
        <w:rPr>
          <w:lang w:eastAsia="en-US"/>
        </w:rPr>
      </w:pPr>
      <w:r w:rsidRPr="00F7190A">
        <w:rPr>
          <w:lang w:eastAsia="en-US"/>
        </w:rPr>
        <w:t>When responding to specific examples</w:t>
      </w:r>
      <w:r w:rsidR="00E859DB">
        <w:rPr>
          <w:lang w:eastAsia="en-US"/>
        </w:rPr>
        <w:t xml:space="preserve"> (question A. 2.)</w:t>
      </w:r>
      <w:r w:rsidRPr="00F7190A">
        <w:rPr>
          <w:lang w:eastAsia="en-US"/>
        </w:rPr>
        <w:t>, Offices replied that they would consider there is correspondence in the following circumstances:</w:t>
      </w:r>
      <w:r w:rsidR="00C0247C">
        <w:rPr>
          <w:lang w:eastAsia="en-US"/>
        </w:rPr>
        <w:t xml:space="preserve">  </w:t>
      </w:r>
    </w:p>
    <w:p w:rsidR="00C0247C" w:rsidRDefault="00C0247C" w:rsidP="005C4A7F">
      <w:pPr>
        <w:ind w:firstLine="567"/>
      </w:pPr>
      <w:r>
        <w:t>–</w:t>
      </w:r>
      <w:r>
        <w:tab/>
      </w:r>
      <w:r w:rsidR="00F7190A" w:rsidRPr="00C0247C">
        <w:t>When the difference was from one particular font to the same font in bold typeface (3</w:t>
      </w:r>
      <w:r w:rsidR="00F66ACA">
        <w:t>7</w:t>
      </w:r>
      <w:r>
        <w:t> </w:t>
      </w:r>
      <w:r w:rsidR="00F7190A" w:rsidRPr="00C0247C">
        <w:t>Offices</w:t>
      </w:r>
      <w:proofErr w:type="gramStart"/>
      <w:r w:rsidR="00F7190A" w:rsidRPr="00C0247C">
        <w:t xml:space="preserve">; </w:t>
      </w:r>
      <w:r>
        <w:t xml:space="preserve"> </w:t>
      </w:r>
      <w:r w:rsidR="00F7190A" w:rsidRPr="00C0247C">
        <w:t>however</w:t>
      </w:r>
      <w:proofErr w:type="gramEnd"/>
      <w:r>
        <w:t>,</w:t>
      </w:r>
      <w:r w:rsidR="00F7190A" w:rsidRPr="00C0247C">
        <w:t xml:space="preserve"> 1</w:t>
      </w:r>
      <w:r w:rsidR="00F66ACA">
        <w:t>2</w:t>
      </w:r>
      <w:r>
        <w:t> </w:t>
      </w:r>
      <w:r w:rsidR="00F7190A" w:rsidRPr="00C0247C">
        <w:t>of those Offices stating only with a standard character declaration).</w:t>
      </w:r>
      <w:r>
        <w:t xml:space="preserve">  </w:t>
      </w:r>
    </w:p>
    <w:p w:rsidR="00C0247C" w:rsidRDefault="00C0247C" w:rsidP="005C4A7F">
      <w:pPr>
        <w:ind w:firstLine="567"/>
      </w:pPr>
    </w:p>
    <w:p w:rsidR="00F7190A" w:rsidRDefault="00C0247C" w:rsidP="005C4A7F">
      <w:pPr>
        <w:ind w:firstLine="567"/>
      </w:pPr>
      <w:r>
        <w:t>–</w:t>
      </w:r>
      <w:r>
        <w:tab/>
      </w:r>
      <w:r w:rsidR="00F7190A" w:rsidRPr="00C0247C">
        <w:t>When the difference was from one</w:t>
      </w:r>
      <w:r>
        <w:t> </w:t>
      </w:r>
      <w:r w:rsidR="00F7190A" w:rsidRPr="00C0247C">
        <w:t>particular font to the same font in italic (27</w:t>
      </w:r>
      <w:r>
        <w:t> </w:t>
      </w:r>
      <w:r w:rsidR="00F7190A" w:rsidRPr="00C0247C">
        <w:t>Offices, while nine</w:t>
      </w:r>
      <w:r>
        <w:t> </w:t>
      </w:r>
      <w:r w:rsidR="00F7190A" w:rsidRPr="00C0247C">
        <w:t xml:space="preserve">of those Offices stating only with a standard character declaration).  </w:t>
      </w:r>
    </w:p>
    <w:p w:rsidR="00C0247C" w:rsidRPr="00C0247C" w:rsidRDefault="00C0247C" w:rsidP="005C4A7F">
      <w:pPr>
        <w:ind w:firstLine="567"/>
      </w:pPr>
    </w:p>
    <w:p w:rsidR="00F7190A" w:rsidRDefault="00C0247C" w:rsidP="005C4A7F">
      <w:pPr>
        <w:ind w:firstLine="567"/>
      </w:pPr>
      <w:r>
        <w:t>–</w:t>
      </w:r>
      <w:r>
        <w:tab/>
      </w:r>
      <w:r w:rsidR="00F7190A" w:rsidRPr="00C0247C">
        <w:t>When the difference was from Bradley Hand to Arial (13</w:t>
      </w:r>
      <w:r w:rsidR="005C4A7F">
        <w:t> </w:t>
      </w:r>
      <w:r w:rsidR="00F7190A" w:rsidRPr="00C0247C">
        <w:t>Offices, while three</w:t>
      </w:r>
      <w:r w:rsidR="005C4A7F">
        <w:t> </w:t>
      </w:r>
      <w:r w:rsidR="00F7190A" w:rsidRPr="00C0247C">
        <w:t xml:space="preserve">of those Offices stating only with a standard character declaration). </w:t>
      </w:r>
      <w:r w:rsidR="005C4A7F">
        <w:t xml:space="preserve"> </w:t>
      </w:r>
    </w:p>
    <w:p w:rsidR="005C4A7F" w:rsidRPr="00C0247C" w:rsidRDefault="005C4A7F" w:rsidP="005C4A7F">
      <w:pPr>
        <w:ind w:firstLine="567"/>
      </w:pPr>
    </w:p>
    <w:p w:rsidR="00F7190A" w:rsidRPr="00C0247C" w:rsidRDefault="005C4A7F" w:rsidP="005C4A7F">
      <w:pPr>
        <w:ind w:firstLine="567"/>
      </w:pPr>
      <w:r>
        <w:t>–</w:t>
      </w:r>
      <w:r>
        <w:tab/>
      </w:r>
      <w:r w:rsidR="00F7190A" w:rsidRPr="00C0247C">
        <w:t>When the difference was from Old English Text to Arial (11</w:t>
      </w:r>
      <w:r>
        <w:t> </w:t>
      </w:r>
      <w:r w:rsidR="00F7190A" w:rsidRPr="00C0247C">
        <w:t>Offices, while two</w:t>
      </w:r>
      <w:r>
        <w:t> </w:t>
      </w:r>
      <w:r w:rsidR="00F7190A" w:rsidRPr="00C0247C">
        <w:t>of those Offices stating only with a standard character declaration).</w:t>
      </w:r>
      <w:r>
        <w:t xml:space="preserve">  </w:t>
      </w:r>
    </w:p>
    <w:p w:rsidR="006974A9" w:rsidRDefault="006974A9" w:rsidP="00E859DB">
      <w:pPr>
        <w:pStyle w:val="ListParagraph"/>
        <w:ind w:left="567"/>
        <w:rPr>
          <w:b/>
        </w:rPr>
      </w:pPr>
    </w:p>
    <w:p w:rsidR="008C6344" w:rsidRPr="00E677ED" w:rsidRDefault="00E859DB" w:rsidP="00E859DB">
      <w:pPr>
        <w:pStyle w:val="ListParagraph"/>
        <w:ind w:left="567"/>
        <w:rPr>
          <w:b/>
        </w:rPr>
      </w:pPr>
      <w:r>
        <w:rPr>
          <w:b/>
        </w:rPr>
        <w:t>“–</w:t>
      </w:r>
      <w:r>
        <w:rPr>
          <w:b/>
        </w:rPr>
        <w:tab/>
      </w:r>
      <w:r w:rsidR="008C6344" w:rsidRPr="00E677ED">
        <w:rPr>
          <w:b/>
        </w:rPr>
        <w:t>Size, spacing and scaling</w:t>
      </w:r>
    </w:p>
    <w:p w:rsidR="008C6344" w:rsidRDefault="008C6344" w:rsidP="008C6344"/>
    <w:p w:rsidR="008C6344" w:rsidRDefault="00E859DB" w:rsidP="00E859DB">
      <w:pPr>
        <w:tabs>
          <w:tab w:val="left" w:pos="1134"/>
        </w:tabs>
        <w:ind w:left="567"/>
      </w:pPr>
      <w:r>
        <w:t>“</w:t>
      </w:r>
      <w:r w:rsidR="0086703F">
        <w:t>3</w:t>
      </w:r>
      <w:r>
        <w:t>.</w:t>
      </w:r>
      <w:r>
        <w:tab/>
      </w:r>
      <w:r w:rsidR="008C6344">
        <w:t xml:space="preserve">If the mark in an international application consists of word(s), letter(s), number(s) - or any combination thereof- </w:t>
      </w:r>
      <w:r w:rsidR="008C6344" w:rsidRPr="009F76B0">
        <w:t xml:space="preserve">in </w:t>
      </w:r>
      <w:r w:rsidR="008C6344">
        <w:t>a given</w:t>
      </w:r>
      <w:r w:rsidR="008C6344" w:rsidRPr="009F76B0">
        <w:t xml:space="preserve"> </w:t>
      </w:r>
      <w:r w:rsidR="008C6344">
        <w:t>font, w</w:t>
      </w:r>
      <w:r w:rsidR="008C6344" w:rsidRPr="009D2E31">
        <w:t xml:space="preserve">ould your Office consider that it corresponds </w:t>
      </w:r>
      <w:r w:rsidR="008C6344">
        <w:t>to</w:t>
      </w:r>
      <w:r w:rsidR="008C6344" w:rsidRPr="009D2E31">
        <w:t xml:space="preserve"> </w:t>
      </w:r>
      <w:r w:rsidR="008C6344">
        <w:t xml:space="preserve">a basic </w:t>
      </w:r>
      <w:r w:rsidR="008C6344" w:rsidRPr="009D2E31">
        <w:t xml:space="preserve">mark comprising the same </w:t>
      </w:r>
      <w:r w:rsidR="008C6344">
        <w:t xml:space="preserve">word(s), letter(s) or number(s) </w:t>
      </w:r>
      <w:r w:rsidR="008C6344" w:rsidRPr="009D2E31">
        <w:t xml:space="preserve">in the same </w:t>
      </w:r>
      <w:r w:rsidR="008C6344">
        <w:t>font</w:t>
      </w:r>
      <w:r w:rsidR="008C6344" w:rsidRPr="009D2E31">
        <w:t xml:space="preserve"> </w:t>
      </w:r>
      <w:r w:rsidR="008C6344">
        <w:t>but:</w:t>
      </w:r>
    </w:p>
    <w:p w:rsidR="008C6344" w:rsidRDefault="008C6344" w:rsidP="008C6344">
      <w:pPr>
        <w:pStyle w:val="ListParagraph"/>
      </w:pPr>
    </w:p>
    <w:p w:rsidR="008C6344" w:rsidRDefault="00E859DB" w:rsidP="00E859DB">
      <w:pPr>
        <w:pStyle w:val="ListParagraph"/>
        <w:ind w:left="1701" w:hanging="567"/>
      </w:pPr>
      <w:r>
        <w:t>“</w:t>
      </w:r>
      <w:proofErr w:type="gramStart"/>
      <w:r>
        <w:t>a</w:t>
      </w:r>
      <w:proofErr w:type="gramEnd"/>
      <w:r>
        <w:t>.</w:t>
      </w:r>
      <w:r>
        <w:tab/>
      </w:r>
      <w:r w:rsidR="008C6344" w:rsidRPr="009D2E31">
        <w:t>in a different size</w:t>
      </w:r>
      <w:r w:rsidR="008C6344">
        <w:t>?</w:t>
      </w:r>
    </w:p>
    <w:p w:rsidR="008C6344" w:rsidRDefault="008C6344" w:rsidP="00E859DB">
      <w:pPr>
        <w:pStyle w:val="ListParagraph"/>
        <w:ind w:left="1701" w:hanging="567"/>
      </w:pPr>
    </w:p>
    <w:p w:rsidR="008C6344" w:rsidRDefault="00E859DB" w:rsidP="00E859DB">
      <w:pPr>
        <w:pStyle w:val="ListParagraph"/>
        <w:ind w:left="1701" w:hanging="567"/>
      </w:pPr>
      <w:r>
        <w:t>“</w:t>
      </w:r>
      <w:proofErr w:type="gramStart"/>
      <w:r>
        <w:t>b</w:t>
      </w:r>
      <w:proofErr w:type="gramEnd"/>
      <w:r>
        <w:t>.</w:t>
      </w:r>
      <w:r>
        <w:tab/>
      </w:r>
      <w:r w:rsidR="008C6344">
        <w:t>with</w:t>
      </w:r>
      <w:r w:rsidR="008C6344" w:rsidRPr="009D2E31">
        <w:t xml:space="preserve"> different </w:t>
      </w:r>
      <w:r w:rsidR="008C6344">
        <w:t>character spacing or scaling?</w:t>
      </w:r>
      <w:r>
        <w:t>”</w:t>
      </w:r>
    </w:p>
    <w:p w:rsidR="00F7190A" w:rsidRPr="00F7190A" w:rsidRDefault="00F7190A" w:rsidP="00F7190A">
      <w:pPr>
        <w:autoSpaceDE w:val="0"/>
        <w:autoSpaceDN w:val="0"/>
        <w:adjustRightInd w:val="0"/>
        <w:rPr>
          <w:rFonts w:eastAsiaTheme="minorHAnsi"/>
          <w:color w:val="000000"/>
          <w:szCs w:val="22"/>
          <w:lang w:eastAsia="en-US"/>
        </w:rPr>
      </w:pP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w:t>
      </w:r>
      <w:r w:rsidR="008C6344">
        <w:rPr>
          <w:rFonts w:eastAsiaTheme="minorHAnsi"/>
          <w:szCs w:val="22"/>
          <w:lang w:eastAsia="en-US"/>
        </w:rPr>
        <w:t>owing answers were recorded to (a</w:t>
      </w:r>
      <w:r w:rsidR="004257DE">
        <w:rPr>
          <w:rFonts w:eastAsiaTheme="minorHAnsi"/>
          <w:szCs w:val="22"/>
          <w:lang w:eastAsia="en-US"/>
        </w:rPr>
        <w:t>.</w:t>
      </w:r>
      <w:r w:rsidR="008C6344">
        <w:rPr>
          <w:rFonts w:eastAsiaTheme="minorHAnsi"/>
          <w:szCs w:val="22"/>
          <w:lang w:eastAsia="en-US"/>
        </w:rPr>
        <w:t>)</w:t>
      </w:r>
      <w:r w:rsidRPr="00F7190A">
        <w:rPr>
          <w:rFonts w:eastAsiaTheme="minorHAnsi"/>
          <w:szCs w:val="22"/>
          <w:lang w:eastAsia="en-US"/>
        </w:rPr>
        <w:t>:</w:t>
      </w:r>
    </w:p>
    <w:tbl>
      <w:tblPr>
        <w:tblStyle w:val="TableGrid"/>
        <w:tblW w:w="0" w:type="auto"/>
        <w:jc w:val="center"/>
        <w:tblLook w:val="04A0" w:firstRow="1" w:lastRow="0" w:firstColumn="1" w:lastColumn="0" w:noHBand="0" w:noVBand="1"/>
      </w:tblPr>
      <w:tblGrid>
        <w:gridCol w:w="5495"/>
        <w:gridCol w:w="567"/>
        <w:gridCol w:w="709"/>
      </w:tblGrid>
      <w:tr w:rsidR="00F7190A" w:rsidRPr="00F7190A" w:rsidTr="008C6344">
        <w:trPr>
          <w:jc w:val="center"/>
        </w:trPr>
        <w:tc>
          <w:tcPr>
            <w:tcW w:w="6062" w:type="dxa"/>
            <w:gridSpan w:val="2"/>
            <w:shd w:val="clear" w:color="auto" w:fill="EEECE1" w:themeFill="background2"/>
          </w:tcPr>
          <w:p w:rsidR="00F7190A" w:rsidRPr="00F7190A" w:rsidRDefault="00F7190A" w:rsidP="007A670E">
            <w:pPr>
              <w:rPr>
                <w:rFonts w:eastAsiaTheme="minorHAnsi"/>
                <w:lang w:eastAsia="en-US"/>
              </w:rPr>
            </w:pPr>
            <w:r w:rsidRPr="00F7190A">
              <w:rPr>
                <w:rFonts w:eastAsiaTheme="minorHAnsi"/>
                <w:lang w:eastAsia="en-US"/>
              </w:rPr>
              <w:t>Yes</w:t>
            </w:r>
          </w:p>
        </w:tc>
        <w:tc>
          <w:tcPr>
            <w:tcW w:w="709" w:type="dxa"/>
          </w:tcPr>
          <w:p w:rsidR="00F7190A" w:rsidRPr="00F7190A" w:rsidRDefault="00F7190A" w:rsidP="007A670E">
            <w:pPr>
              <w:rPr>
                <w:rFonts w:eastAsiaTheme="minorHAnsi"/>
                <w:lang w:eastAsia="en-US"/>
              </w:rPr>
            </w:pPr>
            <w:r w:rsidRPr="00F7190A">
              <w:rPr>
                <w:rFonts w:eastAsiaTheme="minorHAnsi"/>
                <w:lang w:eastAsia="en-US"/>
              </w:rPr>
              <w:t>5</w:t>
            </w:r>
            <w:r w:rsidR="00F66ACA">
              <w:rPr>
                <w:rFonts w:eastAsiaTheme="minorHAnsi"/>
                <w:lang w:eastAsia="en-US"/>
              </w:rPr>
              <w:t>4</w:t>
            </w: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567" w:type="dxa"/>
          </w:tcPr>
          <w:p w:rsidR="00F7190A" w:rsidRPr="00F7190A" w:rsidRDefault="00F7190A" w:rsidP="00F7190A">
            <w:pPr>
              <w:rPr>
                <w:rFonts w:eastAsiaTheme="minorHAnsi"/>
                <w:lang w:eastAsia="en-US"/>
              </w:rPr>
            </w:pPr>
            <w:r w:rsidRPr="00F7190A">
              <w:rPr>
                <w:rFonts w:eastAsiaTheme="minorHAnsi"/>
                <w:lang w:eastAsia="en-US"/>
              </w:rPr>
              <w:t>28</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567" w:type="dxa"/>
          </w:tcPr>
          <w:p w:rsidR="00F7190A" w:rsidRPr="00F7190A" w:rsidRDefault="00F7190A" w:rsidP="00F7190A">
            <w:pPr>
              <w:rPr>
                <w:rFonts w:eastAsiaTheme="minorHAnsi"/>
                <w:lang w:eastAsia="en-US"/>
              </w:rPr>
            </w:pPr>
            <w:r w:rsidRPr="00F7190A">
              <w:rPr>
                <w:rFonts w:eastAsiaTheme="minorHAnsi"/>
                <w:lang w:eastAsia="en-US"/>
              </w:rPr>
              <w:t>1</w:t>
            </w:r>
            <w:r w:rsidR="00F66ACA">
              <w:rPr>
                <w:rFonts w:eastAsiaTheme="minorHAnsi"/>
                <w:lang w:eastAsia="en-US"/>
              </w:rPr>
              <w:t>6</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567" w:type="dxa"/>
          </w:tcPr>
          <w:p w:rsidR="00F7190A" w:rsidRPr="00F7190A" w:rsidRDefault="00F7190A" w:rsidP="00F7190A">
            <w:pPr>
              <w:rPr>
                <w:rFonts w:eastAsiaTheme="minorHAnsi"/>
                <w:lang w:eastAsia="en-US"/>
              </w:rPr>
            </w:pPr>
            <w:r w:rsidRPr="00F7190A">
              <w:rPr>
                <w:rFonts w:eastAsiaTheme="minorHAnsi"/>
                <w:lang w:eastAsia="en-US"/>
              </w:rPr>
              <w:t>10</w:t>
            </w:r>
            <w:r w:rsidR="00F66ACA">
              <w:rPr>
                <w:rFonts w:eastAsiaTheme="minorHAnsi"/>
                <w:lang w:eastAsia="en-US"/>
              </w:rPr>
              <w:t>*</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6</w:t>
            </w:r>
          </w:p>
        </w:tc>
      </w:tr>
    </w:tbl>
    <w:p w:rsidR="00864B75" w:rsidRDefault="00864B75" w:rsidP="00864B75">
      <w:pPr>
        <w:pStyle w:val="ONUME"/>
        <w:numPr>
          <w:ilvl w:val="0"/>
          <w:numId w:val="0"/>
        </w:numPr>
        <w:spacing w:after="0"/>
        <w:ind w:left="1276"/>
        <w:rPr>
          <w:sz w:val="18"/>
          <w:szCs w:val="18"/>
          <w:lang w:eastAsia="en-US"/>
        </w:rPr>
      </w:pPr>
    </w:p>
    <w:p w:rsidR="006974A9" w:rsidRPr="00864B75" w:rsidRDefault="00F66ACA" w:rsidP="00864B75">
      <w:pPr>
        <w:pStyle w:val="ONUME"/>
        <w:numPr>
          <w:ilvl w:val="0"/>
          <w:numId w:val="0"/>
        </w:numPr>
        <w:ind w:left="1276"/>
        <w:rPr>
          <w:sz w:val="18"/>
          <w:szCs w:val="18"/>
          <w:lang w:eastAsia="en-US"/>
        </w:rPr>
      </w:pPr>
      <w:r w:rsidRPr="00864B75">
        <w:rPr>
          <w:sz w:val="18"/>
          <w:szCs w:val="18"/>
          <w:lang w:eastAsia="en-US"/>
        </w:rPr>
        <w:t>*</w:t>
      </w:r>
      <w:r w:rsidR="00C30820">
        <w:rPr>
          <w:sz w:val="18"/>
          <w:szCs w:val="18"/>
          <w:lang w:eastAsia="en-US"/>
        </w:rPr>
        <w:t>One </w:t>
      </w:r>
      <w:r w:rsidRPr="00864B75">
        <w:rPr>
          <w:sz w:val="18"/>
          <w:szCs w:val="18"/>
          <w:lang w:eastAsia="en-US"/>
        </w:rPr>
        <w:t xml:space="preserve">Office </w:t>
      </w:r>
      <w:r w:rsidR="00CB79E0" w:rsidRPr="00864B75">
        <w:rPr>
          <w:sz w:val="18"/>
          <w:szCs w:val="18"/>
          <w:lang w:eastAsia="en-US"/>
        </w:rPr>
        <w:t>answered</w:t>
      </w:r>
      <w:r w:rsidRPr="00864B75">
        <w:rPr>
          <w:sz w:val="18"/>
          <w:szCs w:val="18"/>
          <w:lang w:eastAsia="en-US"/>
        </w:rPr>
        <w:t xml:space="preserve"> </w:t>
      </w:r>
      <w:r w:rsidR="00CB79E0" w:rsidRPr="00864B75">
        <w:rPr>
          <w:sz w:val="18"/>
          <w:szCs w:val="18"/>
          <w:lang w:eastAsia="en-US"/>
        </w:rPr>
        <w:t>“yes, with standard character declaration”</w:t>
      </w:r>
      <w:r w:rsidRPr="00864B75">
        <w:rPr>
          <w:sz w:val="18"/>
          <w:szCs w:val="18"/>
          <w:lang w:eastAsia="en-US"/>
        </w:rPr>
        <w:t xml:space="preserve"> and </w:t>
      </w:r>
      <w:r w:rsidR="00CB79E0" w:rsidRPr="00864B75">
        <w:rPr>
          <w:sz w:val="18"/>
          <w:szCs w:val="18"/>
          <w:lang w:eastAsia="en-US"/>
        </w:rPr>
        <w:t>“</w:t>
      </w:r>
      <w:r w:rsidRPr="00864B75">
        <w:rPr>
          <w:sz w:val="18"/>
          <w:szCs w:val="18"/>
          <w:lang w:eastAsia="en-US"/>
        </w:rPr>
        <w:t xml:space="preserve">yes, in certain </w:t>
      </w:r>
      <w:r w:rsidR="00864B75">
        <w:rPr>
          <w:sz w:val="18"/>
          <w:szCs w:val="18"/>
          <w:lang w:eastAsia="en-US"/>
        </w:rPr>
        <w:br/>
      </w:r>
      <w:r w:rsidRPr="00864B75">
        <w:rPr>
          <w:sz w:val="18"/>
          <w:szCs w:val="18"/>
          <w:lang w:eastAsia="en-US"/>
        </w:rPr>
        <w:t>circumstances</w:t>
      </w:r>
      <w:r w:rsidR="00CB79E0" w:rsidRPr="00864B75">
        <w:rPr>
          <w:sz w:val="18"/>
          <w:szCs w:val="18"/>
          <w:lang w:eastAsia="en-US"/>
        </w:rPr>
        <w:t>”</w:t>
      </w:r>
      <w:r w:rsidR="00864B75">
        <w:rPr>
          <w:sz w:val="18"/>
          <w:szCs w:val="18"/>
          <w:lang w:eastAsia="en-US"/>
        </w:rPr>
        <w:t xml:space="preserve">.  </w:t>
      </w:r>
    </w:p>
    <w:p w:rsidR="00F7190A" w:rsidRPr="00F7190A" w:rsidRDefault="00F7190A" w:rsidP="008C6344">
      <w:pPr>
        <w:pStyle w:val="ONUME"/>
        <w:rPr>
          <w:lang w:eastAsia="en-US"/>
        </w:rPr>
      </w:pPr>
      <w:r w:rsidRPr="00F7190A">
        <w:rPr>
          <w:lang w:eastAsia="en-US"/>
        </w:rPr>
        <w:t>Of the 5</w:t>
      </w:r>
      <w:r w:rsidR="00067015">
        <w:rPr>
          <w:lang w:eastAsia="en-US"/>
        </w:rPr>
        <w:t>4</w:t>
      </w:r>
      <w:r w:rsidR="008C6344">
        <w:rPr>
          <w:lang w:eastAsia="en-US"/>
        </w:rPr>
        <w:t> </w:t>
      </w:r>
      <w:r w:rsidRPr="00F7190A">
        <w:rPr>
          <w:lang w:eastAsia="en-US"/>
        </w:rPr>
        <w:t xml:space="preserve">Offices that replied </w:t>
      </w:r>
      <w:r w:rsidR="008C6344">
        <w:rPr>
          <w:lang w:eastAsia="en-US"/>
        </w:rPr>
        <w:t>“</w:t>
      </w:r>
      <w:r w:rsidRPr="00F7190A">
        <w:rPr>
          <w:lang w:eastAsia="en-US"/>
        </w:rPr>
        <w:t>yes</w:t>
      </w:r>
      <w:r w:rsidR="008C6344">
        <w:rPr>
          <w:lang w:eastAsia="en-US"/>
        </w:rPr>
        <w:t>”</w:t>
      </w:r>
      <w:r w:rsidRPr="00F7190A">
        <w:rPr>
          <w:lang w:eastAsia="en-US"/>
        </w:rPr>
        <w:t>, 2</w:t>
      </w:r>
      <w:r w:rsidR="00067015">
        <w:rPr>
          <w:lang w:eastAsia="en-US"/>
        </w:rPr>
        <w:t>6</w:t>
      </w:r>
      <w:r w:rsidR="008C6344">
        <w:rPr>
          <w:lang w:eastAsia="en-US"/>
        </w:rPr>
        <w:t> </w:t>
      </w:r>
      <w:r w:rsidRPr="00F7190A">
        <w:rPr>
          <w:lang w:eastAsia="en-US"/>
        </w:rPr>
        <w:t>Offices indicated that they would consider correspondence when there is a standard character declaration or in certain circumstances, for</w:t>
      </w:r>
      <w:r w:rsidR="00ED4C60">
        <w:rPr>
          <w:lang w:eastAsia="en-US"/>
        </w:rPr>
        <w:t> </w:t>
      </w:r>
      <w:r w:rsidRPr="00F7190A">
        <w:rPr>
          <w:lang w:eastAsia="en-US"/>
        </w:rPr>
        <w:t xml:space="preserve">example, when all elements are in the same scale.  </w:t>
      </w: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t>
      </w:r>
      <w:r w:rsidR="008C6344">
        <w:rPr>
          <w:rFonts w:eastAsiaTheme="minorHAnsi"/>
          <w:szCs w:val="22"/>
          <w:lang w:eastAsia="en-US"/>
        </w:rPr>
        <w:t>wing answers were recorded to (b</w:t>
      </w:r>
      <w:r w:rsidR="004257DE">
        <w:rPr>
          <w:rFonts w:eastAsiaTheme="minorHAnsi"/>
          <w:szCs w:val="22"/>
          <w:lang w:eastAsia="en-US"/>
        </w:rPr>
        <w:t>.</w:t>
      </w:r>
      <w:r w:rsidRPr="00F7190A">
        <w:rPr>
          <w:rFonts w:eastAsiaTheme="minorHAnsi"/>
          <w:szCs w:val="22"/>
          <w:lang w:eastAsia="en-US"/>
        </w:rPr>
        <w:t>):</w:t>
      </w:r>
    </w:p>
    <w:tbl>
      <w:tblPr>
        <w:tblStyle w:val="TableGrid"/>
        <w:tblW w:w="0" w:type="auto"/>
        <w:jc w:val="center"/>
        <w:tblLook w:val="04A0" w:firstRow="1" w:lastRow="0" w:firstColumn="1" w:lastColumn="0" w:noHBand="0" w:noVBand="1"/>
      </w:tblPr>
      <w:tblGrid>
        <w:gridCol w:w="5495"/>
        <w:gridCol w:w="567"/>
        <w:gridCol w:w="709"/>
      </w:tblGrid>
      <w:tr w:rsidR="00F7190A" w:rsidRPr="00F7190A" w:rsidTr="008C634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4</w:t>
            </w:r>
            <w:r w:rsidR="00067015">
              <w:rPr>
                <w:rFonts w:eastAsiaTheme="minorHAnsi"/>
                <w:lang w:eastAsia="en-US"/>
              </w:rPr>
              <w:t>2</w:t>
            </w: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567" w:type="dxa"/>
          </w:tcPr>
          <w:p w:rsidR="00F7190A" w:rsidRPr="00F7190A" w:rsidRDefault="00F7190A" w:rsidP="00F7190A">
            <w:pPr>
              <w:rPr>
                <w:rFonts w:eastAsiaTheme="minorHAnsi"/>
                <w:lang w:eastAsia="en-US"/>
              </w:rPr>
            </w:pPr>
            <w:r w:rsidRPr="00F7190A">
              <w:rPr>
                <w:rFonts w:eastAsiaTheme="minorHAnsi"/>
                <w:lang w:eastAsia="en-US"/>
              </w:rPr>
              <w:t>14</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567" w:type="dxa"/>
          </w:tcPr>
          <w:p w:rsidR="00F7190A" w:rsidRPr="00F7190A" w:rsidRDefault="00F7190A" w:rsidP="00F7190A">
            <w:pPr>
              <w:rPr>
                <w:rFonts w:eastAsiaTheme="minorHAnsi"/>
                <w:lang w:eastAsia="en-US"/>
              </w:rPr>
            </w:pPr>
            <w:r w:rsidRPr="00F7190A">
              <w:rPr>
                <w:rFonts w:eastAsiaTheme="minorHAnsi"/>
                <w:lang w:eastAsia="en-US"/>
              </w:rPr>
              <w:t>1</w:t>
            </w:r>
            <w:r w:rsidR="00067015">
              <w:rPr>
                <w:rFonts w:eastAsiaTheme="minorHAnsi"/>
                <w:lang w:eastAsia="en-US"/>
              </w:rPr>
              <w:t>9</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567" w:type="dxa"/>
          </w:tcPr>
          <w:p w:rsidR="00F7190A" w:rsidRPr="00F7190A" w:rsidRDefault="00F7190A" w:rsidP="00F7190A">
            <w:pPr>
              <w:rPr>
                <w:rFonts w:eastAsiaTheme="minorHAnsi"/>
                <w:lang w:eastAsia="en-US"/>
              </w:rPr>
            </w:pPr>
            <w:r w:rsidRPr="00F7190A">
              <w:rPr>
                <w:rFonts w:eastAsiaTheme="minorHAnsi"/>
                <w:lang w:eastAsia="en-US"/>
              </w:rPr>
              <w:t>9</w:t>
            </w:r>
          </w:p>
        </w:tc>
        <w:tc>
          <w:tcPr>
            <w:tcW w:w="709" w:type="dxa"/>
          </w:tcPr>
          <w:p w:rsidR="00F7190A" w:rsidRPr="00F7190A" w:rsidRDefault="00F7190A" w:rsidP="00F7190A">
            <w:pPr>
              <w:rPr>
                <w:rFonts w:eastAsiaTheme="minorHAnsi"/>
                <w:lang w:eastAsia="en-US"/>
              </w:rPr>
            </w:pPr>
          </w:p>
        </w:tc>
      </w:tr>
      <w:tr w:rsidR="00F7190A" w:rsidRPr="00F7190A" w:rsidTr="008C634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17</w:t>
            </w:r>
          </w:p>
        </w:tc>
      </w:tr>
    </w:tbl>
    <w:p w:rsidR="00F7190A" w:rsidRPr="00F7190A" w:rsidRDefault="00F7190A" w:rsidP="00864B75">
      <w:pPr>
        <w:pStyle w:val="ONUME"/>
        <w:numPr>
          <w:ilvl w:val="0"/>
          <w:numId w:val="0"/>
        </w:numPr>
        <w:spacing w:after="0"/>
        <w:rPr>
          <w:lang w:eastAsia="en-US"/>
        </w:rPr>
      </w:pPr>
    </w:p>
    <w:p w:rsidR="00F7190A" w:rsidRPr="00F7190A" w:rsidRDefault="00F7190A" w:rsidP="008C6344">
      <w:pPr>
        <w:pStyle w:val="ONUME"/>
        <w:rPr>
          <w:lang w:eastAsia="en-US"/>
        </w:rPr>
      </w:pPr>
      <w:r w:rsidRPr="00F7190A">
        <w:rPr>
          <w:lang w:eastAsia="en-US"/>
        </w:rPr>
        <w:t>Of the 4</w:t>
      </w:r>
      <w:r w:rsidR="00067015">
        <w:rPr>
          <w:lang w:eastAsia="en-US"/>
        </w:rPr>
        <w:t>2</w:t>
      </w:r>
      <w:r w:rsidR="00E859DB">
        <w:rPr>
          <w:lang w:eastAsia="en-US"/>
        </w:rPr>
        <w:t> </w:t>
      </w:r>
      <w:r w:rsidRPr="00F7190A">
        <w:rPr>
          <w:lang w:eastAsia="en-US"/>
        </w:rPr>
        <w:t xml:space="preserve">Offices that replied </w:t>
      </w:r>
      <w:r w:rsidR="00E859DB">
        <w:rPr>
          <w:lang w:eastAsia="en-US"/>
        </w:rPr>
        <w:t>“</w:t>
      </w:r>
      <w:r w:rsidRPr="00F7190A">
        <w:rPr>
          <w:lang w:eastAsia="en-US"/>
        </w:rPr>
        <w:t>yes</w:t>
      </w:r>
      <w:r w:rsidR="00E859DB">
        <w:rPr>
          <w:lang w:eastAsia="en-US"/>
        </w:rPr>
        <w:t>”</w:t>
      </w:r>
      <w:r w:rsidRPr="00F7190A">
        <w:rPr>
          <w:lang w:eastAsia="en-US"/>
        </w:rPr>
        <w:t>, 2</w:t>
      </w:r>
      <w:r w:rsidR="00067015">
        <w:rPr>
          <w:lang w:eastAsia="en-US"/>
        </w:rPr>
        <w:t>8</w:t>
      </w:r>
      <w:r w:rsidR="00E859DB">
        <w:rPr>
          <w:lang w:eastAsia="en-US"/>
        </w:rPr>
        <w:t> </w:t>
      </w:r>
      <w:r w:rsidRPr="00F7190A">
        <w:rPr>
          <w:lang w:eastAsia="en-US"/>
        </w:rPr>
        <w:t>Offices indicated that they would consider correspondence when there is a standard character declaration or in certain circumstances, for</w:t>
      </w:r>
      <w:r w:rsidR="00E859DB">
        <w:rPr>
          <w:lang w:eastAsia="en-US"/>
        </w:rPr>
        <w:t> </w:t>
      </w:r>
      <w:r w:rsidRPr="00F7190A">
        <w:rPr>
          <w:lang w:eastAsia="en-US"/>
        </w:rPr>
        <w:t>example, when the overall impression does not change.</w:t>
      </w:r>
      <w:r w:rsidR="00E859DB">
        <w:rPr>
          <w:lang w:eastAsia="en-US"/>
        </w:rPr>
        <w:t xml:space="preserve">  </w:t>
      </w:r>
    </w:p>
    <w:p w:rsidR="00F7190A" w:rsidRPr="00F7190A" w:rsidRDefault="00F7190A" w:rsidP="006974A9">
      <w:pPr>
        <w:pStyle w:val="ONUME"/>
        <w:keepNext/>
        <w:keepLines/>
        <w:rPr>
          <w:lang w:eastAsia="en-US"/>
        </w:rPr>
      </w:pPr>
      <w:r w:rsidRPr="00F7190A">
        <w:rPr>
          <w:lang w:eastAsia="en-US"/>
        </w:rPr>
        <w:t>When responding to specific examples</w:t>
      </w:r>
      <w:r w:rsidR="007A670E">
        <w:rPr>
          <w:lang w:eastAsia="en-US"/>
        </w:rPr>
        <w:t xml:space="preserve"> (question A. 4.)</w:t>
      </w:r>
      <w:r w:rsidRPr="00F7190A">
        <w:rPr>
          <w:lang w:eastAsia="en-US"/>
        </w:rPr>
        <w:t>, Offices were consistent with their answers to the general question.  However, 4</w:t>
      </w:r>
      <w:r w:rsidR="00067015">
        <w:rPr>
          <w:lang w:eastAsia="en-US"/>
        </w:rPr>
        <w:t>0</w:t>
      </w:r>
      <w:r w:rsidR="00E859DB">
        <w:rPr>
          <w:lang w:eastAsia="en-US"/>
        </w:rPr>
        <w:t> </w:t>
      </w:r>
      <w:r w:rsidRPr="00F7190A">
        <w:rPr>
          <w:lang w:eastAsia="en-US"/>
        </w:rPr>
        <w:t xml:space="preserve">Offices replied that they would never consider there is correspondence when spacing has been adjusted to form a conjoined word.  </w:t>
      </w:r>
    </w:p>
    <w:p w:rsidR="007A670E" w:rsidRDefault="007A670E" w:rsidP="007A670E">
      <w:pPr>
        <w:pStyle w:val="ListParagraph"/>
        <w:ind w:left="567"/>
        <w:rPr>
          <w:b/>
        </w:rPr>
      </w:pPr>
      <w:r>
        <w:rPr>
          <w:b/>
        </w:rPr>
        <w:t>“–</w:t>
      </w:r>
      <w:r>
        <w:rPr>
          <w:b/>
        </w:rPr>
        <w:tab/>
      </w:r>
      <w:r w:rsidRPr="009C46EF">
        <w:rPr>
          <w:b/>
        </w:rPr>
        <w:t xml:space="preserve">Accented letters, capitalization </w:t>
      </w:r>
      <w:r>
        <w:rPr>
          <w:b/>
        </w:rPr>
        <w:t>or</w:t>
      </w:r>
      <w:r w:rsidRPr="009C46EF">
        <w:rPr>
          <w:b/>
        </w:rPr>
        <w:t xml:space="preserve"> punctuation</w:t>
      </w:r>
    </w:p>
    <w:p w:rsidR="007A670E" w:rsidRPr="009C46EF" w:rsidRDefault="007A670E" w:rsidP="007A670E">
      <w:pPr>
        <w:pStyle w:val="ListParagraph"/>
        <w:ind w:left="567"/>
        <w:rPr>
          <w:b/>
        </w:rPr>
      </w:pPr>
    </w:p>
    <w:p w:rsidR="00F7190A" w:rsidRDefault="007A670E" w:rsidP="00ED4C60">
      <w:pPr>
        <w:ind w:left="567"/>
      </w:pPr>
      <w:r w:rsidRPr="00ED4C60">
        <w:t>“5.</w:t>
      </w:r>
      <w:r w:rsidRPr="00ED4C60">
        <w:tab/>
      </w:r>
      <w:r w:rsidR="00F7190A" w:rsidRPr="00ED4C60">
        <w:t>If the mark in an international application consists of word(s), letter(s), number(s) -or any combination thereof- would the Office consider that it corresponds to a basic mark comprising the same word(s), letter(s) or number(s) but with accented letters, capitalization or other punctuation?</w:t>
      </w:r>
      <w:r w:rsidR="00ED4C60">
        <w:t>”</w:t>
      </w:r>
    </w:p>
    <w:p w:rsidR="00ED4C60" w:rsidRPr="00ED4C60" w:rsidRDefault="00ED4C60" w:rsidP="00ED4C60">
      <w:pPr>
        <w:ind w:left="567"/>
      </w:pP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 xml:space="preserve">The following answers were recorded: </w:t>
      </w:r>
      <w:r w:rsidR="00ED4C60">
        <w:rPr>
          <w:rFonts w:eastAsiaTheme="minorHAnsi"/>
          <w:szCs w:val="22"/>
          <w:lang w:eastAsia="en-US"/>
        </w:rPr>
        <w:t xml:space="preserve"> </w:t>
      </w:r>
    </w:p>
    <w:tbl>
      <w:tblPr>
        <w:tblStyle w:val="TableGrid"/>
        <w:tblW w:w="0" w:type="auto"/>
        <w:jc w:val="center"/>
        <w:tblLayout w:type="fixed"/>
        <w:tblLook w:val="04A0" w:firstRow="1" w:lastRow="0" w:firstColumn="1" w:lastColumn="0" w:noHBand="0" w:noVBand="1"/>
      </w:tblPr>
      <w:tblGrid>
        <w:gridCol w:w="5495"/>
        <w:gridCol w:w="567"/>
        <w:gridCol w:w="709"/>
      </w:tblGrid>
      <w:tr w:rsidR="00F7190A" w:rsidRPr="00F7190A" w:rsidTr="007A670E">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22</w:t>
            </w:r>
          </w:p>
        </w:tc>
      </w:tr>
      <w:tr w:rsidR="00F7190A" w:rsidRPr="00F7190A" w:rsidTr="007A670E">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567" w:type="dxa"/>
          </w:tcPr>
          <w:p w:rsidR="00F7190A" w:rsidRPr="00F7190A" w:rsidRDefault="00F7190A" w:rsidP="00F7190A">
            <w:pPr>
              <w:rPr>
                <w:rFonts w:eastAsiaTheme="minorHAnsi"/>
                <w:lang w:eastAsia="en-US"/>
              </w:rPr>
            </w:pPr>
            <w:r w:rsidRPr="00F7190A">
              <w:rPr>
                <w:rFonts w:eastAsiaTheme="minorHAnsi"/>
                <w:lang w:eastAsia="en-US"/>
              </w:rPr>
              <w:t>8</w:t>
            </w:r>
          </w:p>
        </w:tc>
        <w:tc>
          <w:tcPr>
            <w:tcW w:w="709" w:type="dxa"/>
          </w:tcPr>
          <w:p w:rsidR="00F7190A" w:rsidRPr="00F7190A" w:rsidRDefault="00F7190A" w:rsidP="00F7190A">
            <w:pPr>
              <w:rPr>
                <w:rFonts w:eastAsiaTheme="minorHAnsi"/>
                <w:lang w:eastAsia="en-US"/>
              </w:rPr>
            </w:pPr>
          </w:p>
        </w:tc>
      </w:tr>
      <w:tr w:rsidR="00F7190A" w:rsidRPr="00F7190A" w:rsidTr="007A670E">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567" w:type="dxa"/>
          </w:tcPr>
          <w:p w:rsidR="00F7190A" w:rsidRPr="00F7190A" w:rsidRDefault="00F7190A" w:rsidP="00F7190A">
            <w:pPr>
              <w:rPr>
                <w:rFonts w:eastAsiaTheme="minorHAnsi"/>
                <w:lang w:eastAsia="en-US"/>
              </w:rPr>
            </w:pPr>
            <w:r w:rsidRPr="00F7190A">
              <w:rPr>
                <w:rFonts w:eastAsiaTheme="minorHAnsi"/>
                <w:lang w:eastAsia="en-US"/>
              </w:rPr>
              <w:t>3</w:t>
            </w:r>
          </w:p>
        </w:tc>
        <w:tc>
          <w:tcPr>
            <w:tcW w:w="709" w:type="dxa"/>
          </w:tcPr>
          <w:p w:rsidR="00F7190A" w:rsidRPr="00F7190A" w:rsidRDefault="00F7190A" w:rsidP="00F7190A">
            <w:pPr>
              <w:rPr>
                <w:rFonts w:eastAsiaTheme="minorHAnsi"/>
                <w:lang w:eastAsia="en-US"/>
              </w:rPr>
            </w:pPr>
          </w:p>
        </w:tc>
      </w:tr>
      <w:tr w:rsidR="00F7190A" w:rsidRPr="00F7190A" w:rsidTr="007A670E">
        <w:trPr>
          <w:jc w:val="center"/>
        </w:trPr>
        <w:tc>
          <w:tcPr>
            <w:tcW w:w="5495"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567" w:type="dxa"/>
          </w:tcPr>
          <w:p w:rsidR="00F7190A" w:rsidRPr="00F7190A" w:rsidRDefault="00F7190A" w:rsidP="00F7190A">
            <w:pPr>
              <w:rPr>
                <w:rFonts w:eastAsiaTheme="minorHAnsi"/>
                <w:lang w:eastAsia="en-US"/>
              </w:rPr>
            </w:pPr>
            <w:r w:rsidRPr="00F7190A">
              <w:rPr>
                <w:rFonts w:eastAsiaTheme="minorHAnsi"/>
                <w:lang w:eastAsia="en-US"/>
              </w:rPr>
              <w:t>11</w:t>
            </w:r>
          </w:p>
        </w:tc>
        <w:tc>
          <w:tcPr>
            <w:tcW w:w="709" w:type="dxa"/>
          </w:tcPr>
          <w:p w:rsidR="00F7190A" w:rsidRPr="00F7190A" w:rsidRDefault="00F7190A" w:rsidP="00F7190A">
            <w:pPr>
              <w:rPr>
                <w:rFonts w:eastAsiaTheme="minorHAnsi"/>
                <w:lang w:eastAsia="en-US"/>
              </w:rPr>
            </w:pPr>
          </w:p>
        </w:tc>
      </w:tr>
      <w:tr w:rsidR="00F7190A" w:rsidRPr="00F7190A" w:rsidTr="007A670E">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3</w:t>
            </w:r>
            <w:r w:rsidR="00067015">
              <w:rPr>
                <w:rFonts w:eastAsiaTheme="minorHAnsi"/>
                <w:lang w:eastAsia="en-US"/>
              </w:rPr>
              <w:t>7</w:t>
            </w:r>
          </w:p>
        </w:tc>
      </w:tr>
    </w:tbl>
    <w:p w:rsidR="00F7190A" w:rsidRPr="00F7190A" w:rsidRDefault="00F7190A" w:rsidP="00864B75">
      <w:pPr>
        <w:rPr>
          <w:rFonts w:eastAsiaTheme="minorHAnsi"/>
          <w:szCs w:val="22"/>
          <w:highlight w:val="yellow"/>
          <w:lang w:eastAsia="en-US"/>
        </w:rPr>
      </w:pPr>
    </w:p>
    <w:p w:rsidR="00F7190A" w:rsidRPr="00F7190A" w:rsidRDefault="00F7190A" w:rsidP="00ED4C60">
      <w:pPr>
        <w:pStyle w:val="ONUME"/>
        <w:rPr>
          <w:lang w:eastAsia="en-US"/>
        </w:rPr>
      </w:pPr>
      <w:r w:rsidRPr="00F7190A">
        <w:rPr>
          <w:lang w:eastAsia="en-US"/>
        </w:rPr>
        <w:t xml:space="preserve">Of the 22 Offices that replied </w:t>
      </w:r>
      <w:r w:rsidR="00ED4C60">
        <w:rPr>
          <w:lang w:eastAsia="en-US"/>
        </w:rPr>
        <w:t>“</w:t>
      </w:r>
      <w:r w:rsidRPr="00F7190A">
        <w:rPr>
          <w:lang w:eastAsia="en-US"/>
        </w:rPr>
        <w:t>yes</w:t>
      </w:r>
      <w:r w:rsidR="00ED4C60">
        <w:rPr>
          <w:lang w:eastAsia="en-US"/>
        </w:rPr>
        <w:t>”</w:t>
      </w:r>
      <w:r w:rsidRPr="00F7190A">
        <w:rPr>
          <w:lang w:eastAsia="en-US"/>
        </w:rPr>
        <w:t>, 14</w:t>
      </w:r>
      <w:r w:rsidR="00ED4C60">
        <w:rPr>
          <w:lang w:eastAsia="en-US"/>
        </w:rPr>
        <w:t> </w:t>
      </w:r>
      <w:r w:rsidRPr="00F7190A">
        <w:rPr>
          <w:lang w:eastAsia="en-US"/>
        </w:rPr>
        <w:t>Offices indicated that they would consider correspondence when there is a standard character declaration or in certain circumstances, for</w:t>
      </w:r>
      <w:r w:rsidR="00ED4C60">
        <w:rPr>
          <w:lang w:eastAsia="en-US"/>
        </w:rPr>
        <w:t> </w:t>
      </w:r>
      <w:r w:rsidRPr="00F7190A">
        <w:rPr>
          <w:lang w:eastAsia="en-US"/>
        </w:rPr>
        <w:t xml:space="preserve">example, when the difference does not change the meaning or pronunciation of the word. </w:t>
      </w:r>
      <w:r w:rsidR="00ED4C60">
        <w:rPr>
          <w:lang w:eastAsia="en-US"/>
        </w:rPr>
        <w:t xml:space="preserve"> </w:t>
      </w:r>
    </w:p>
    <w:p w:rsidR="00F7190A" w:rsidRPr="00F7190A" w:rsidRDefault="00F7190A" w:rsidP="00ED4C60">
      <w:pPr>
        <w:pStyle w:val="ONUME"/>
        <w:rPr>
          <w:lang w:eastAsia="en-US"/>
        </w:rPr>
      </w:pPr>
      <w:r w:rsidRPr="00F7190A">
        <w:rPr>
          <w:lang w:eastAsia="en-US"/>
        </w:rPr>
        <w:t>When responding to specific examples</w:t>
      </w:r>
      <w:r w:rsidR="00ED4C60">
        <w:rPr>
          <w:lang w:eastAsia="en-US"/>
        </w:rPr>
        <w:t xml:space="preserve"> (question A. 6.)</w:t>
      </w:r>
      <w:r w:rsidRPr="00F7190A">
        <w:rPr>
          <w:lang w:eastAsia="en-US"/>
        </w:rPr>
        <w:t xml:space="preserve">, Offices were consistent with their answers to the general question.  </w:t>
      </w:r>
    </w:p>
    <w:p w:rsidR="00F7190A" w:rsidRPr="00F7190A" w:rsidRDefault="00F7190A" w:rsidP="00ED4C60">
      <w:pPr>
        <w:pStyle w:val="ONUME"/>
        <w:rPr>
          <w:lang w:eastAsia="en-US"/>
        </w:rPr>
      </w:pPr>
      <w:r w:rsidRPr="00F7190A">
        <w:rPr>
          <w:lang w:eastAsia="en-US"/>
        </w:rPr>
        <w:t xml:space="preserve">However, </w:t>
      </w:r>
      <w:r w:rsidR="00067015">
        <w:rPr>
          <w:lang w:eastAsia="en-US"/>
        </w:rPr>
        <w:t>32 </w:t>
      </w:r>
      <w:r w:rsidRPr="00F7190A">
        <w:rPr>
          <w:lang w:eastAsia="en-US"/>
        </w:rPr>
        <w:t>Offices indicated that they would consider there is correspondence when the difference was a change from all words</w:t>
      </w:r>
      <w:r w:rsidR="00067015">
        <w:rPr>
          <w:lang w:eastAsia="en-US"/>
        </w:rPr>
        <w:t xml:space="preserve"> (and characters)</w:t>
      </w:r>
      <w:r w:rsidRPr="00F7190A">
        <w:rPr>
          <w:lang w:eastAsia="en-US"/>
        </w:rPr>
        <w:t xml:space="preserve"> in uppercase to all words</w:t>
      </w:r>
      <w:r w:rsidR="00067015">
        <w:rPr>
          <w:lang w:eastAsia="en-US"/>
        </w:rPr>
        <w:t xml:space="preserve"> (and characters)</w:t>
      </w:r>
      <w:r w:rsidRPr="00F7190A">
        <w:rPr>
          <w:lang w:eastAsia="en-US"/>
        </w:rPr>
        <w:t xml:space="preserve"> in lowercase: </w:t>
      </w:r>
      <w:r w:rsidR="00ED4C60">
        <w:rPr>
          <w:lang w:eastAsia="en-US"/>
        </w:rPr>
        <w:t xml:space="preserve"> </w:t>
      </w:r>
    </w:p>
    <w:p w:rsidR="00F7190A" w:rsidRPr="00ED4C60" w:rsidRDefault="00ED4C60" w:rsidP="00ED4C60">
      <w:pPr>
        <w:ind w:firstLine="567"/>
      </w:pPr>
      <w:r w:rsidRPr="00ED4C60">
        <w:t>–</w:t>
      </w:r>
      <w:r w:rsidRPr="00ED4C60">
        <w:tab/>
      </w:r>
      <w:r w:rsidR="00F7190A" w:rsidRPr="00ED4C60">
        <w:t>1</w:t>
      </w:r>
      <w:r w:rsidR="00067015">
        <w:t>7</w:t>
      </w:r>
      <w:r>
        <w:t> </w:t>
      </w:r>
      <w:r w:rsidR="00F7190A" w:rsidRPr="00ED4C60">
        <w:t xml:space="preserve">indicated that this would always be the case; </w:t>
      </w:r>
      <w:r w:rsidRPr="00ED4C60">
        <w:t xml:space="preserve"> </w:t>
      </w:r>
    </w:p>
    <w:p w:rsidR="00ED4C60" w:rsidRPr="00ED4C60" w:rsidRDefault="00ED4C60" w:rsidP="00ED4C60">
      <w:pPr>
        <w:ind w:firstLine="567"/>
      </w:pPr>
    </w:p>
    <w:p w:rsidR="00F7190A" w:rsidRDefault="00ED4C60" w:rsidP="00ED4C60">
      <w:pPr>
        <w:ind w:firstLine="567"/>
      </w:pPr>
      <w:r w:rsidRPr="00ED4C60">
        <w:t>–</w:t>
      </w:r>
      <w:r w:rsidRPr="00ED4C60">
        <w:tab/>
      </w:r>
      <w:r w:rsidR="00F7190A" w:rsidRPr="00ED4C60">
        <w:t>1</w:t>
      </w:r>
      <w:r w:rsidR="00067015">
        <w:t>5</w:t>
      </w:r>
      <w:r>
        <w:t> </w:t>
      </w:r>
      <w:r w:rsidR="00F7190A" w:rsidRPr="00ED4C60">
        <w:t>indicated that this would be the case providing there is a standard character declaration</w:t>
      </w:r>
      <w:proofErr w:type="gramStart"/>
      <w:r w:rsidR="00F7190A" w:rsidRPr="00ED4C60">
        <w:t xml:space="preserve">; </w:t>
      </w:r>
      <w:r>
        <w:t xml:space="preserve"> </w:t>
      </w:r>
      <w:r w:rsidR="00F7190A" w:rsidRPr="00ED4C60">
        <w:t>and</w:t>
      </w:r>
      <w:proofErr w:type="gramEnd"/>
      <w:r w:rsidR="00F7190A" w:rsidRPr="00ED4C60">
        <w:t>,</w:t>
      </w:r>
    </w:p>
    <w:p w:rsidR="00ED4C60" w:rsidRPr="00ED4C60" w:rsidRDefault="00ED4C60" w:rsidP="00ED4C60">
      <w:pPr>
        <w:ind w:firstLine="567"/>
      </w:pPr>
    </w:p>
    <w:p w:rsidR="00F7190A" w:rsidRPr="00ED4C60" w:rsidRDefault="00ED4C60" w:rsidP="00ED4C60">
      <w:pPr>
        <w:ind w:firstLine="567"/>
      </w:pPr>
      <w:r w:rsidRPr="00ED4C60">
        <w:t>–</w:t>
      </w:r>
      <w:r w:rsidRPr="00ED4C60">
        <w:tab/>
      </w:r>
      <w:r w:rsidR="00F7190A" w:rsidRPr="00ED4C60">
        <w:t>Two</w:t>
      </w:r>
      <w:r>
        <w:t> </w:t>
      </w:r>
      <w:r w:rsidR="00F7190A" w:rsidRPr="00ED4C60">
        <w:t xml:space="preserve">indicated that this would depend on other factors, which related to specific practices undertaken by those Offices. </w:t>
      </w:r>
      <w:r>
        <w:t xml:space="preserve"> </w:t>
      </w:r>
    </w:p>
    <w:p w:rsidR="006974A9" w:rsidRDefault="006974A9" w:rsidP="00ED4C60">
      <w:pPr>
        <w:pStyle w:val="ListParagraph"/>
        <w:ind w:left="567"/>
        <w:rPr>
          <w:b/>
        </w:rPr>
      </w:pPr>
    </w:p>
    <w:p w:rsidR="00ED4C60" w:rsidRPr="009C46EF" w:rsidRDefault="00ED4C60" w:rsidP="00ED4C60">
      <w:pPr>
        <w:pStyle w:val="ListParagraph"/>
        <w:ind w:left="567"/>
        <w:rPr>
          <w:b/>
        </w:rPr>
      </w:pPr>
      <w:r>
        <w:rPr>
          <w:b/>
        </w:rPr>
        <w:t>“–</w:t>
      </w:r>
      <w:r>
        <w:rPr>
          <w:b/>
        </w:rPr>
        <w:tab/>
        <w:t>Positioning, d</w:t>
      </w:r>
      <w:r w:rsidRPr="009C46EF">
        <w:rPr>
          <w:b/>
        </w:rPr>
        <w:t>irection</w:t>
      </w:r>
    </w:p>
    <w:p w:rsidR="00ED4C60" w:rsidRDefault="00ED4C60" w:rsidP="00ED4C60">
      <w:pPr>
        <w:ind w:left="567"/>
      </w:pPr>
    </w:p>
    <w:p w:rsidR="00ED4C60" w:rsidRDefault="00ED4C60" w:rsidP="00ED4C60">
      <w:pPr>
        <w:pStyle w:val="ListParagraph"/>
        <w:ind w:left="567"/>
      </w:pPr>
      <w:r>
        <w:t>“7.</w:t>
      </w:r>
      <w:r>
        <w:tab/>
        <w:t>If the mark in an international application consists of word(s), letter(s), number(s) -or any combination thereof- w</w:t>
      </w:r>
      <w:r w:rsidRPr="009C1BE8">
        <w:t xml:space="preserve">ould your Office consider that it corresponds to </w:t>
      </w:r>
      <w:r>
        <w:t>a basic</w:t>
      </w:r>
      <w:r w:rsidRPr="009C1BE8">
        <w:t xml:space="preserve"> mark comprising the same word</w:t>
      </w:r>
      <w:r>
        <w:t>(s), letter(s) or number(s) but</w:t>
      </w:r>
      <w:r w:rsidRPr="009C1BE8">
        <w:t xml:space="preserve"> </w:t>
      </w:r>
      <w:r>
        <w:t xml:space="preserve">represented with different positioning or direction?”  </w:t>
      </w:r>
    </w:p>
    <w:p w:rsidR="00ED4C60" w:rsidRPr="009C1BE8" w:rsidRDefault="00ED4C60" w:rsidP="00ED4C60">
      <w:pPr>
        <w:pStyle w:val="ListParagraph"/>
        <w:ind w:left="567"/>
      </w:pP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following answers were recorded:</w:t>
      </w:r>
    </w:p>
    <w:tbl>
      <w:tblPr>
        <w:tblStyle w:val="TableGrid"/>
        <w:tblW w:w="0" w:type="auto"/>
        <w:jc w:val="center"/>
        <w:tblLayout w:type="fixed"/>
        <w:tblLook w:val="04A0" w:firstRow="1" w:lastRow="0" w:firstColumn="1" w:lastColumn="0" w:noHBand="0" w:noVBand="1"/>
      </w:tblPr>
      <w:tblGrid>
        <w:gridCol w:w="5353"/>
        <w:gridCol w:w="709"/>
        <w:gridCol w:w="709"/>
      </w:tblGrid>
      <w:tr w:rsidR="00F7190A" w:rsidRPr="00F7190A" w:rsidTr="00ED4C60">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9</w:t>
            </w:r>
          </w:p>
        </w:tc>
      </w:tr>
      <w:tr w:rsidR="00F7190A" w:rsidRPr="00F7190A" w:rsidTr="00ED4C60">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5</w:t>
            </w:r>
          </w:p>
        </w:tc>
        <w:tc>
          <w:tcPr>
            <w:tcW w:w="709" w:type="dxa"/>
          </w:tcPr>
          <w:p w:rsidR="00F7190A" w:rsidRPr="00F7190A" w:rsidRDefault="00F7190A" w:rsidP="00F7190A">
            <w:pPr>
              <w:rPr>
                <w:rFonts w:eastAsiaTheme="minorHAnsi"/>
                <w:lang w:eastAsia="en-US"/>
              </w:rPr>
            </w:pPr>
          </w:p>
        </w:tc>
      </w:tr>
      <w:tr w:rsidR="00F7190A" w:rsidRPr="00F7190A" w:rsidTr="00ED4C60">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w:t>
            </w:r>
          </w:p>
        </w:tc>
        <w:tc>
          <w:tcPr>
            <w:tcW w:w="709" w:type="dxa"/>
          </w:tcPr>
          <w:p w:rsidR="00F7190A" w:rsidRPr="00F7190A" w:rsidRDefault="00F7190A" w:rsidP="00F7190A">
            <w:pPr>
              <w:rPr>
                <w:rFonts w:eastAsiaTheme="minorHAnsi"/>
                <w:lang w:eastAsia="en-US"/>
              </w:rPr>
            </w:pPr>
          </w:p>
        </w:tc>
      </w:tr>
      <w:tr w:rsidR="00F7190A" w:rsidRPr="00F7190A" w:rsidTr="00ED4C60">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w:t>
            </w:r>
          </w:p>
        </w:tc>
        <w:tc>
          <w:tcPr>
            <w:tcW w:w="709" w:type="dxa"/>
          </w:tcPr>
          <w:p w:rsidR="00F7190A" w:rsidRPr="00F7190A" w:rsidRDefault="00F7190A" w:rsidP="00F7190A">
            <w:pPr>
              <w:rPr>
                <w:rFonts w:eastAsiaTheme="minorHAnsi"/>
                <w:lang w:eastAsia="en-US"/>
              </w:rPr>
            </w:pPr>
          </w:p>
        </w:tc>
      </w:tr>
      <w:tr w:rsidR="00F7190A" w:rsidRPr="00F7190A" w:rsidTr="00ED4C60">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067015" w:rsidP="00F7190A">
            <w:pPr>
              <w:rPr>
                <w:rFonts w:eastAsiaTheme="minorHAnsi"/>
                <w:lang w:eastAsia="en-US"/>
              </w:rPr>
            </w:pPr>
            <w:r>
              <w:rPr>
                <w:rFonts w:eastAsiaTheme="minorHAnsi"/>
                <w:lang w:eastAsia="en-US"/>
              </w:rPr>
              <w:t>50</w:t>
            </w:r>
          </w:p>
        </w:tc>
      </w:tr>
    </w:tbl>
    <w:p w:rsidR="00F7190A" w:rsidRPr="00F7190A" w:rsidRDefault="00F7190A" w:rsidP="00864B75">
      <w:pPr>
        <w:rPr>
          <w:rFonts w:eastAsiaTheme="minorHAnsi"/>
          <w:szCs w:val="22"/>
          <w:lang w:eastAsia="en-US"/>
        </w:rPr>
      </w:pPr>
    </w:p>
    <w:p w:rsidR="00F7190A" w:rsidRPr="00F7190A" w:rsidRDefault="00F7190A" w:rsidP="00ED4C60">
      <w:pPr>
        <w:pStyle w:val="ONUME"/>
        <w:rPr>
          <w:lang w:eastAsia="en-US"/>
        </w:rPr>
      </w:pPr>
      <w:r w:rsidRPr="00F7190A">
        <w:rPr>
          <w:lang w:eastAsia="en-US"/>
        </w:rPr>
        <w:t>Of the nine</w:t>
      </w:r>
      <w:r w:rsidR="00ED4C60">
        <w:rPr>
          <w:lang w:eastAsia="en-US"/>
        </w:rPr>
        <w:t> </w:t>
      </w:r>
      <w:r w:rsidRPr="00F7190A">
        <w:rPr>
          <w:lang w:eastAsia="en-US"/>
        </w:rPr>
        <w:t xml:space="preserve">Offices that replied </w:t>
      </w:r>
      <w:r w:rsidR="00ED4C60">
        <w:rPr>
          <w:lang w:eastAsia="en-US"/>
        </w:rPr>
        <w:t>“</w:t>
      </w:r>
      <w:r w:rsidRPr="00F7190A">
        <w:rPr>
          <w:lang w:eastAsia="en-US"/>
        </w:rPr>
        <w:t>yes</w:t>
      </w:r>
      <w:r w:rsidR="00ED4C60">
        <w:rPr>
          <w:lang w:eastAsia="en-US"/>
        </w:rPr>
        <w:t>”</w:t>
      </w:r>
      <w:r w:rsidRPr="00F7190A">
        <w:rPr>
          <w:lang w:eastAsia="en-US"/>
        </w:rPr>
        <w:t>, four</w:t>
      </w:r>
      <w:r w:rsidR="00ED4C60">
        <w:rPr>
          <w:lang w:eastAsia="en-US"/>
        </w:rPr>
        <w:t> </w:t>
      </w:r>
      <w:r w:rsidRPr="00F7190A">
        <w:rPr>
          <w:lang w:eastAsia="en-US"/>
        </w:rPr>
        <w:t>Offices indicated that they would consider correspondence when there is a standard character declaration or in certain circumstances, for</w:t>
      </w:r>
      <w:r w:rsidR="006974A9">
        <w:rPr>
          <w:lang w:eastAsia="en-US"/>
        </w:rPr>
        <w:t> </w:t>
      </w:r>
      <w:r w:rsidRPr="00F7190A">
        <w:rPr>
          <w:lang w:eastAsia="en-US"/>
        </w:rPr>
        <w:t>example, when the difference was strictly limited to positioning or direction.</w:t>
      </w:r>
      <w:r w:rsidR="00ED4C60">
        <w:rPr>
          <w:lang w:eastAsia="en-US"/>
        </w:rPr>
        <w:t xml:space="preserve">  </w:t>
      </w:r>
    </w:p>
    <w:p w:rsidR="00F7190A" w:rsidRDefault="00F7190A" w:rsidP="006974A9">
      <w:pPr>
        <w:pStyle w:val="ONUME"/>
        <w:keepLines/>
        <w:rPr>
          <w:lang w:eastAsia="en-US"/>
        </w:rPr>
      </w:pPr>
      <w:r w:rsidRPr="00F7190A">
        <w:rPr>
          <w:lang w:eastAsia="en-US"/>
        </w:rPr>
        <w:t>When responding to specific examples</w:t>
      </w:r>
      <w:r w:rsidR="00ED4C60">
        <w:rPr>
          <w:lang w:eastAsia="en-US"/>
        </w:rPr>
        <w:t xml:space="preserve"> (question A. 8.)</w:t>
      </w:r>
      <w:r w:rsidRPr="00F7190A">
        <w:rPr>
          <w:lang w:eastAsia="en-US"/>
        </w:rPr>
        <w:t>, Offices were consistent with their answers to the general question.  However, 18 Offices replied that they would consider there is correspondence when the difference was a change from all words in two lines to all words in one line. Of these Offices, 13 indicated that this would always be the case, while five indicated that this would be the case with a standard character declaration.</w:t>
      </w:r>
    </w:p>
    <w:p w:rsidR="00ED4C60" w:rsidRPr="00ED4C60" w:rsidRDefault="00ED4C60" w:rsidP="00ED4C60">
      <w:pPr>
        <w:ind w:left="567"/>
        <w:rPr>
          <w:b/>
        </w:rPr>
      </w:pPr>
      <w:r>
        <w:rPr>
          <w:b/>
        </w:rPr>
        <w:t>“</w:t>
      </w:r>
      <w:r w:rsidRPr="00ED4C60">
        <w:rPr>
          <w:b/>
        </w:rPr>
        <w:t>–</w:t>
      </w:r>
      <w:r w:rsidRPr="00ED4C60">
        <w:rPr>
          <w:b/>
        </w:rPr>
        <w:tab/>
        <w:t>Descriptive elements</w:t>
      </w:r>
    </w:p>
    <w:p w:rsidR="00ED4C60" w:rsidRPr="00ED4C60" w:rsidRDefault="00ED4C60" w:rsidP="00ED4C60">
      <w:pPr>
        <w:ind w:left="567"/>
      </w:pPr>
    </w:p>
    <w:p w:rsidR="00ED4C60" w:rsidRDefault="00ED4C60" w:rsidP="00ED4C60">
      <w:pPr>
        <w:ind w:left="567"/>
      </w:pPr>
      <w:r>
        <w:t>“9.</w:t>
      </w:r>
      <w:r>
        <w:tab/>
      </w:r>
      <w:r w:rsidRPr="00ED4C60">
        <w:t xml:space="preserve">If the mark in an international application consists of word(s), letter(s), number(s) </w:t>
      </w:r>
      <w:r w:rsidR="00394FDF">
        <w:t>-</w:t>
      </w:r>
      <w:r w:rsidRPr="00ED4C60">
        <w:t xml:space="preserve">or any combination thereof- would your Office consider that it corresponds to a basic mark comprising the same word(s), letter(s) or number(s) but with </w:t>
      </w:r>
      <w:r>
        <w:t>additional descriptive elements</w:t>
      </w:r>
      <w:r w:rsidRPr="00ED4C60">
        <w:t>?</w:t>
      </w:r>
      <w:r>
        <w:t>”</w:t>
      </w:r>
    </w:p>
    <w:p w:rsidR="00ED4C60" w:rsidRPr="00ED4C60" w:rsidRDefault="00ED4C60" w:rsidP="00ED4C60"/>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following answers were recorded:</w:t>
      </w:r>
    </w:p>
    <w:tbl>
      <w:tblPr>
        <w:tblStyle w:val="TableGrid"/>
        <w:tblW w:w="0" w:type="auto"/>
        <w:jc w:val="center"/>
        <w:tblLayout w:type="fixed"/>
        <w:tblLook w:val="04A0" w:firstRow="1" w:lastRow="0" w:firstColumn="1" w:lastColumn="0" w:noHBand="0" w:noVBand="1"/>
      </w:tblPr>
      <w:tblGrid>
        <w:gridCol w:w="5353"/>
        <w:gridCol w:w="709"/>
        <w:gridCol w:w="744"/>
      </w:tblGrid>
      <w:tr w:rsidR="00F7190A" w:rsidRPr="00F7190A" w:rsidTr="00AC7BCF">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44" w:type="dxa"/>
          </w:tcPr>
          <w:p w:rsidR="00F7190A" w:rsidRPr="00F7190A" w:rsidRDefault="00F7190A" w:rsidP="00F7190A">
            <w:pPr>
              <w:rPr>
                <w:rFonts w:eastAsiaTheme="minorHAnsi"/>
                <w:lang w:eastAsia="en-US"/>
              </w:rPr>
            </w:pPr>
            <w:r w:rsidRPr="00F7190A">
              <w:rPr>
                <w:rFonts w:eastAsiaTheme="minorHAnsi"/>
                <w:lang w:eastAsia="en-US"/>
              </w:rPr>
              <w:t>1</w:t>
            </w:r>
            <w:r w:rsidR="00067015">
              <w:rPr>
                <w:rFonts w:eastAsiaTheme="minorHAnsi"/>
                <w:lang w:eastAsia="en-US"/>
              </w:rPr>
              <w:t>2</w:t>
            </w:r>
          </w:p>
        </w:tc>
      </w:tr>
      <w:tr w:rsidR="00F7190A" w:rsidRPr="00F7190A" w:rsidTr="00AC7BCF">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067015" w:rsidP="00F7190A">
            <w:pPr>
              <w:rPr>
                <w:rFonts w:eastAsiaTheme="minorHAnsi"/>
                <w:lang w:eastAsia="en-US"/>
              </w:rPr>
            </w:pPr>
            <w:r>
              <w:rPr>
                <w:rFonts w:eastAsiaTheme="minorHAnsi"/>
                <w:lang w:eastAsia="en-US"/>
              </w:rPr>
              <w:t>6</w:t>
            </w:r>
          </w:p>
        </w:tc>
        <w:tc>
          <w:tcPr>
            <w:tcW w:w="744" w:type="dxa"/>
          </w:tcPr>
          <w:p w:rsidR="00F7190A" w:rsidRPr="00F7190A" w:rsidRDefault="00F7190A" w:rsidP="00F7190A">
            <w:pPr>
              <w:rPr>
                <w:rFonts w:eastAsiaTheme="minorHAnsi"/>
                <w:lang w:eastAsia="en-US"/>
              </w:rPr>
            </w:pPr>
          </w:p>
        </w:tc>
      </w:tr>
      <w:tr w:rsidR="00F7190A" w:rsidRPr="00F7190A" w:rsidTr="00AC7BCF">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w:t>
            </w:r>
          </w:p>
        </w:tc>
        <w:tc>
          <w:tcPr>
            <w:tcW w:w="744" w:type="dxa"/>
          </w:tcPr>
          <w:p w:rsidR="00F7190A" w:rsidRPr="00F7190A" w:rsidRDefault="00F7190A" w:rsidP="00F7190A">
            <w:pPr>
              <w:rPr>
                <w:rFonts w:eastAsiaTheme="minorHAnsi"/>
                <w:lang w:eastAsia="en-US"/>
              </w:rPr>
            </w:pPr>
          </w:p>
        </w:tc>
      </w:tr>
      <w:tr w:rsidR="00F7190A" w:rsidRPr="00F7190A" w:rsidTr="00AC7BCF">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6</w:t>
            </w:r>
          </w:p>
        </w:tc>
        <w:tc>
          <w:tcPr>
            <w:tcW w:w="744" w:type="dxa"/>
          </w:tcPr>
          <w:p w:rsidR="00F7190A" w:rsidRPr="00F7190A" w:rsidRDefault="00F7190A" w:rsidP="00F7190A">
            <w:pPr>
              <w:rPr>
                <w:rFonts w:eastAsiaTheme="minorHAnsi"/>
                <w:lang w:eastAsia="en-US"/>
              </w:rPr>
            </w:pPr>
          </w:p>
        </w:tc>
      </w:tr>
      <w:tr w:rsidR="00F7190A" w:rsidRPr="00F7190A" w:rsidTr="00AC7BCF">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44" w:type="dxa"/>
          </w:tcPr>
          <w:p w:rsidR="00F7190A" w:rsidRPr="00F7190A" w:rsidRDefault="00F7190A" w:rsidP="00F7190A">
            <w:pPr>
              <w:rPr>
                <w:rFonts w:eastAsiaTheme="minorHAnsi"/>
                <w:lang w:eastAsia="en-US"/>
              </w:rPr>
            </w:pPr>
            <w:r w:rsidRPr="00F7190A">
              <w:rPr>
                <w:rFonts w:eastAsiaTheme="minorHAnsi"/>
                <w:lang w:eastAsia="en-US"/>
              </w:rPr>
              <w:t>45</w:t>
            </w:r>
          </w:p>
        </w:tc>
      </w:tr>
      <w:tr w:rsidR="00067015" w:rsidRPr="00F7190A" w:rsidTr="00AC7BCF">
        <w:trPr>
          <w:jc w:val="center"/>
        </w:trPr>
        <w:tc>
          <w:tcPr>
            <w:tcW w:w="6062" w:type="dxa"/>
            <w:gridSpan w:val="2"/>
            <w:shd w:val="clear" w:color="auto" w:fill="EEECE1" w:themeFill="background2"/>
          </w:tcPr>
          <w:p w:rsidR="00067015" w:rsidRPr="00F7190A" w:rsidRDefault="000D28E0" w:rsidP="00067015">
            <w:pPr>
              <w:rPr>
                <w:rFonts w:eastAsiaTheme="minorHAnsi"/>
                <w:lang w:eastAsia="en-US"/>
              </w:rPr>
            </w:pPr>
            <w:r>
              <w:rPr>
                <w:rFonts w:eastAsiaTheme="minorHAnsi"/>
                <w:lang w:eastAsia="en-US"/>
              </w:rPr>
              <w:t>No r</w:t>
            </w:r>
            <w:r w:rsidR="00067015">
              <w:rPr>
                <w:rFonts w:eastAsiaTheme="minorHAnsi"/>
                <w:lang w:eastAsia="en-US"/>
              </w:rPr>
              <w:t>esponse</w:t>
            </w:r>
          </w:p>
        </w:tc>
        <w:tc>
          <w:tcPr>
            <w:tcW w:w="744" w:type="dxa"/>
          </w:tcPr>
          <w:p w:rsidR="00067015" w:rsidRPr="00F7190A" w:rsidRDefault="00067015" w:rsidP="00F7190A">
            <w:pPr>
              <w:rPr>
                <w:rFonts w:eastAsiaTheme="minorHAnsi"/>
                <w:lang w:eastAsia="en-US"/>
              </w:rPr>
            </w:pPr>
            <w:r>
              <w:rPr>
                <w:rFonts w:eastAsiaTheme="minorHAnsi"/>
                <w:lang w:eastAsia="en-US"/>
              </w:rPr>
              <w:t>2</w:t>
            </w:r>
          </w:p>
        </w:tc>
      </w:tr>
    </w:tbl>
    <w:p w:rsidR="00F7190A" w:rsidRPr="00F7190A" w:rsidRDefault="00F7190A" w:rsidP="00864B75">
      <w:pPr>
        <w:rPr>
          <w:rFonts w:eastAsiaTheme="minorHAnsi"/>
          <w:szCs w:val="22"/>
          <w:lang w:eastAsia="en-US"/>
        </w:rPr>
      </w:pPr>
    </w:p>
    <w:p w:rsidR="00F7190A" w:rsidRPr="00F7190A" w:rsidRDefault="00F7190A" w:rsidP="00311859">
      <w:pPr>
        <w:pStyle w:val="ONUME"/>
        <w:rPr>
          <w:lang w:eastAsia="en-US"/>
        </w:rPr>
      </w:pPr>
      <w:r w:rsidRPr="00F7190A">
        <w:rPr>
          <w:lang w:eastAsia="en-US"/>
        </w:rPr>
        <w:t>Of the 1</w:t>
      </w:r>
      <w:r w:rsidR="00067015">
        <w:rPr>
          <w:lang w:eastAsia="en-US"/>
        </w:rPr>
        <w:t>2</w:t>
      </w:r>
      <w:r w:rsidR="00311859">
        <w:rPr>
          <w:lang w:eastAsia="en-US"/>
        </w:rPr>
        <w:t> </w:t>
      </w:r>
      <w:r w:rsidRPr="00F7190A">
        <w:rPr>
          <w:lang w:eastAsia="en-US"/>
        </w:rPr>
        <w:t xml:space="preserve">Offices that replied </w:t>
      </w:r>
      <w:r w:rsidR="00311859">
        <w:rPr>
          <w:lang w:eastAsia="en-US"/>
        </w:rPr>
        <w:t>“</w:t>
      </w:r>
      <w:r w:rsidRPr="00F7190A">
        <w:rPr>
          <w:lang w:eastAsia="en-US"/>
        </w:rPr>
        <w:t>yes</w:t>
      </w:r>
      <w:r w:rsidR="00311859">
        <w:rPr>
          <w:lang w:eastAsia="en-US"/>
        </w:rPr>
        <w:t>”</w:t>
      </w:r>
      <w:r w:rsidRPr="00F7190A">
        <w:rPr>
          <w:lang w:eastAsia="en-US"/>
        </w:rPr>
        <w:t>, six</w:t>
      </w:r>
      <w:r w:rsidR="00311859">
        <w:rPr>
          <w:lang w:eastAsia="en-US"/>
        </w:rPr>
        <w:t> </w:t>
      </w:r>
      <w:r w:rsidRPr="00F7190A">
        <w:rPr>
          <w:lang w:eastAsia="en-US"/>
        </w:rPr>
        <w:t>Offices indicated that they would consider correspondence in certain circumstances</w:t>
      </w:r>
      <w:r w:rsidR="008C5AD0">
        <w:rPr>
          <w:lang w:eastAsia="en-US"/>
        </w:rPr>
        <w:t xml:space="preserve">, for example, </w:t>
      </w:r>
      <w:r w:rsidRPr="00F7190A">
        <w:rPr>
          <w:lang w:eastAsia="en-US"/>
        </w:rPr>
        <w:t xml:space="preserve">where the additional element is a trademark symbol such as </w:t>
      </w:r>
      <w:r w:rsidR="00311859">
        <w:rPr>
          <w:lang w:eastAsia="en-US"/>
        </w:rPr>
        <w:t>“</w:t>
      </w:r>
      <w:r w:rsidRPr="00F7190A">
        <w:rPr>
          <w:lang w:eastAsia="en-US"/>
        </w:rPr>
        <w:t>®</w:t>
      </w:r>
      <w:r w:rsidR="00311859">
        <w:rPr>
          <w:lang w:eastAsia="en-US"/>
        </w:rPr>
        <w:t>”</w:t>
      </w:r>
      <w:r w:rsidRPr="00F7190A">
        <w:rPr>
          <w:lang w:eastAsia="en-US"/>
        </w:rPr>
        <w:t xml:space="preserve">.  </w:t>
      </w:r>
    </w:p>
    <w:p w:rsidR="00F7190A" w:rsidRDefault="00F7190A" w:rsidP="00311859">
      <w:pPr>
        <w:pStyle w:val="ONUME"/>
        <w:rPr>
          <w:lang w:eastAsia="en-US"/>
        </w:rPr>
      </w:pPr>
      <w:r w:rsidRPr="00F7190A">
        <w:rPr>
          <w:lang w:eastAsia="en-US"/>
        </w:rPr>
        <w:t>When responding to specific examples</w:t>
      </w:r>
      <w:r w:rsidR="00311859">
        <w:rPr>
          <w:lang w:eastAsia="en-US"/>
        </w:rPr>
        <w:t xml:space="preserve"> (question A. 10.)</w:t>
      </w:r>
      <w:r w:rsidRPr="00F7190A">
        <w:rPr>
          <w:lang w:eastAsia="en-US"/>
        </w:rPr>
        <w:t>, Offices were consistent with their answers to the general question.  However, 2</w:t>
      </w:r>
      <w:r w:rsidR="00067015">
        <w:rPr>
          <w:lang w:eastAsia="en-US"/>
        </w:rPr>
        <w:t>9</w:t>
      </w:r>
      <w:r w:rsidR="00311859">
        <w:rPr>
          <w:lang w:eastAsia="en-US"/>
        </w:rPr>
        <w:t> </w:t>
      </w:r>
      <w:r w:rsidRPr="00F7190A">
        <w:rPr>
          <w:lang w:eastAsia="en-US"/>
        </w:rPr>
        <w:t xml:space="preserve">Offices replied that they would consider there is correspondence when the basic mark includes the registered symbol </w:t>
      </w:r>
      <w:r w:rsidR="00311859">
        <w:rPr>
          <w:lang w:eastAsia="en-US"/>
        </w:rPr>
        <w:t>“®”</w:t>
      </w:r>
      <w:r w:rsidRPr="00F7190A">
        <w:rPr>
          <w:lang w:eastAsia="en-US"/>
        </w:rPr>
        <w:t xml:space="preserve"> and the international mark does not. </w:t>
      </w:r>
      <w:r w:rsidR="00311859">
        <w:rPr>
          <w:lang w:eastAsia="en-US"/>
        </w:rPr>
        <w:t xml:space="preserve"> </w:t>
      </w:r>
      <w:r w:rsidRPr="00F7190A">
        <w:rPr>
          <w:lang w:eastAsia="en-US"/>
        </w:rPr>
        <w:t>Of these Offices, 2</w:t>
      </w:r>
      <w:r w:rsidR="00067015">
        <w:rPr>
          <w:lang w:eastAsia="en-US"/>
        </w:rPr>
        <w:t>1</w:t>
      </w:r>
      <w:r w:rsidR="00311859">
        <w:rPr>
          <w:lang w:eastAsia="en-US"/>
        </w:rPr>
        <w:t> </w:t>
      </w:r>
      <w:r w:rsidRPr="00F7190A">
        <w:rPr>
          <w:lang w:eastAsia="en-US"/>
        </w:rPr>
        <w:t xml:space="preserve">indicated that this would always be the case, while </w:t>
      </w:r>
      <w:r w:rsidR="00067015">
        <w:rPr>
          <w:lang w:eastAsia="en-US"/>
        </w:rPr>
        <w:t>eight </w:t>
      </w:r>
      <w:r w:rsidRPr="00F7190A">
        <w:rPr>
          <w:lang w:eastAsia="en-US"/>
        </w:rPr>
        <w:t xml:space="preserve">Offices indicated that this would be the case provided there was a standard character declaration. </w:t>
      </w:r>
      <w:r w:rsidR="00311859">
        <w:rPr>
          <w:lang w:eastAsia="en-US"/>
        </w:rPr>
        <w:t xml:space="preserve"> </w:t>
      </w:r>
    </w:p>
    <w:p w:rsidR="00311859" w:rsidRDefault="00311859" w:rsidP="00311859">
      <w:pPr>
        <w:rPr>
          <w:b/>
        </w:rPr>
      </w:pPr>
      <w:r>
        <w:rPr>
          <w:b/>
        </w:rPr>
        <w:t>“</w:t>
      </w:r>
      <w:r w:rsidRPr="00311859">
        <w:rPr>
          <w:b/>
        </w:rPr>
        <w:t>B.</w:t>
      </w:r>
      <w:r w:rsidRPr="00311859">
        <w:rPr>
          <w:b/>
        </w:rPr>
        <w:tab/>
        <w:t>Transliteration or translation</w:t>
      </w:r>
    </w:p>
    <w:p w:rsidR="00311859" w:rsidRPr="00311859" w:rsidRDefault="00311859" w:rsidP="00311859">
      <w:pPr>
        <w:ind w:left="567"/>
        <w:rPr>
          <w:b/>
        </w:rPr>
      </w:pPr>
    </w:p>
    <w:p w:rsidR="00F7190A" w:rsidRPr="00F7190A" w:rsidRDefault="00311859" w:rsidP="00311859">
      <w:pPr>
        <w:ind w:left="567"/>
        <w:rPr>
          <w:rFonts w:eastAsia="Times New Roman"/>
          <w:lang w:eastAsia="en-US"/>
        </w:rPr>
      </w:pPr>
      <w:r>
        <w:rPr>
          <w:rFonts w:eastAsia="Times New Roman"/>
          <w:lang w:eastAsia="en-US"/>
        </w:rPr>
        <w:t>“1.</w:t>
      </w:r>
      <w:r>
        <w:rPr>
          <w:rFonts w:eastAsia="Times New Roman"/>
          <w:lang w:eastAsia="en-US"/>
        </w:rPr>
        <w:tab/>
      </w:r>
      <w:r w:rsidR="00F7190A" w:rsidRPr="00F7190A">
        <w:rPr>
          <w:rFonts w:eastAsia="Times New Roman"/>
          <w:lang w:eastAsia="en-US"/>
        </w:rPr>
        <w:t>If a basic mark consists of word(s), letter(s), number(s) -or any combination thereof- in a given language and script (e.g. English in Latin script), would the Office consider that it corresponds to an international mark that consists of its (their) transliteration or translation into other language or script (e.g. Arabic, Chinese, Cyrillic)?</w:t>
      </w:r>
      <w:r>
        <w:rPr>
          <w:rFonts w:eastAsia="Times New Roman"/>
          <w:lang w:eastAsia="en-US"/>
        </w:rPr>
        <w:t>”</w:t>
      </w:r>
    </w:p>
    <w:p w:rsidR="00311859" w:rsidRPr="00311859" w:rsidRDefault="00311859" w:rsidP="00311859"/>
    <w:p w:rsidR="00F7190A" w:rsidRDefault="00F7190A" w:rsidP="00311859">
      <w:r w:rsidRPr="00311859">
        <w:t>The following answers were recorded:</w:t>
      </w:r>
      <w:r w:rsidR="00311859">
        <w:t xml:space="preserve">  </w:t>
      </w:r>
    </w:p>
    <w:p w:rsidR="00311859" w:rsidRPr="00311859" w:rsidRDefault="00311859" w:rsidP="00311859"/>
    <w:tbl>
      <w:tblPr>
        <w:tblStyle w:val="TableGrid"/>
        <w:tblW w:w="0" w:type="auto"/>
        <w:jc w:val="center"/>
        <w:tblLook w:val="04A0" w:firstRow="1" w:lastRow="0" w:firstColumn="1" w:lastColumn="0" w:noHBand="0" w:noVBand="1"/>
      </w:tblPr>
      <w:tblGrid>
        <w:gridCol w:w="5353"/>
        <w:gridCol w:w="709"/>
        <w:gridCol w:w="709"/>
      </w:tblGrid>
      <w:tr w:rsidR="00F7190A" w:rsidRPr="00F7190A" w:rsidTr="00311859">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8</w:t>
            </w:r>
          </w:p>
        </w:tc>
      </w:tr>
      <w:tr w:rsidR="00F7190A" w:rsidRPr="00F7190A" w:rsidTr="00311859">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5</w:t>
            </w:r>
          </w:p>
        </w:tc>
        <w:tc>
          <w:tcPr>
            <w:tcW w:w="709" w:type="dxa"/>
          </w:tcPr>
          <w:p w:rsidR="00F7190A" w:rsidRPr="00F7190A" w:rsidRDefault="00F7190A" w:rsidP="00F7190A">
            <w:pPr>
              <w:rPr>
                <w:rFonts w:eastAsiaTheme="minorHAnsi"/>
                <w:lang w:eastAsia="en-US"/>
              </w:rPr>
            </w:pPr>
          </w:p>
        </w:tc>
      </w:tr>
      <w:tr w:rsidR="00F7190A" w:rsidRPr="00F7190A" w:rsidTr="00311859">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w:t>
            </w:r>
          </w:p>
        </w:tc>
        <w:tc>
          <w:tcPr>
            <w:tcW w:w="709" w:type="dxa"/>
          </w:tcPr>
          <w:p w:rsidR="00F7190A" w:rsidRPr="00F7190A" w:rsidRDefault="00F7190A" w:rsidP="00F7190A">
            <w:pPr>
              <w:rPr>
                <w:rFonts w:eastAsiaTheme="minorHAnsi"/>
                <w:lang w:eastAsia="en-US"/>
              </w:rPr>
            </w:pPr>
          </w:p>
        </w:tc>
      </w:tr>
      <w:tr w:rsidR="00F7190A" w:rsidRPr="00F7190A" w:rsidTr="00311859">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w:t>
            </w:r>
          </w:p>
        </w:tc>
        <w:tc>
          <w:tcPr>
            <w:tcW w:w="709" w:type="dxa"/>
          </w:tcPr>
          <w:p w:rsidR="00F7190A" w:rsidRPr="00F7190A" w:rsidRDefault="00F7190A" w:rsidP="00F7190A">
            <w:pPr>
              <w:rPr>
                <w:rFonts w:eastAsiaTheme="minorHAnsi"/>
                <w:lang w:eastAsia="en-US"/>
              </w:rPr>
            </w:pPr>
          </w:p>
        </w:tc>
      </w:tr>
      <w:tr w:rsidR="00F7190A" w:rsidRPr="00F7190A" w:rsidTr="00311859">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067015" w:rsidP="00F7190A">
            <w:pPr>
              <w:rPr>
                <w:rFonts w:eastAsiaTheme="minorHAnsi"/>
                <w:lang w:eastAsia="en-US"/>
              </w:rPr>
            </w:pPr>
            <w:r>
              <w:rPr>
                <w:rFonts w:eastAsiaTheme="minorHAnsi"/>
                <w:lang w:eastAsia="en-US"/>
              </w:rPr>
              <w:t>50</w:t>
            </w:r>
          </w:p>
        </w:tc>
      </w:tr>
      <w:tr w:rsidR="00067015" w:rsidRPr="00F7190A" w:rsidTr="00311859">
        <w:trPr>
          <w:jc w:val="center"/>
        </w:trPr>
        <w:tc>
          <w:tcPr>
            <w:tcW w:w="6062" w:type="dxa"/>
            <w:gridSpan w:val="2"/>
            <w:shd w:val="clear" w:color="auto" w:fill="EEECE1" w:themeFill="background2"/>
          </w:tcPr>
          <w:p w:rsidR="00067015" w:rsidRPr="00F7190A" w:rsidRDefault="00067015" w:rsidP="000D28E0">
            <w:pPr>
              <w:rPr>
                <w:rFonts w:eastAsiaTheme="minorHAnsi"/>
                <w:lang w:eastAsia="en-US"/>
              </w:rPr>
            </w:pPr>
            <w:r>
              <w:rPr>
                <w:rFonts w:eastAsiaTheme="minorHAnsi"/>
                <w:lang w:eastAsia="en-US"/>
              </w:rPr>
              <w:t xml:space="preserve">No </w:t>
            </w:r>
            <w:r w:rsidR="000D28E0">
              <w:rPr>
                <w:rFonts w:eastAsiaTheme="minorHAnsi"/>
                <w:lang w:eastAsia="en-US"/>
              </w:rPr>
              <w:t>r</w:t>
            </w:r>
            <w:r>
              <w:rPr>
                <w:rFonts w:eastAsiaTheme="minorHAnsi"/>
                <w:lang w:eastAsia="en-US"/>
              </w:rPr>
              <w:t>esponse</w:t>
            </w:r>
          </w:p>
        </w:tc>
        <w:tc>
          <w:tcPr>
            <w:tcW w:w="709" w:type="dxa"/>
          </w:tcPr>
          <w:p w:rsidR="00067015" w:rsidRPr="00F7190A" w:rsidRDefault="00067015" w:rsidP="00F7190A">
            <w:pPr>
              <w:rPr>
                <w:rFonts w:eastAsiaTheme="minorHAnsi"/>
                <w:lang w:eastAsia="en-US"/>
              </w:rPr>
            </w:pPr>
            <w:r>
              <w:rPr>
                <w:rFonts w:eastAsiaTheme="minorHAnsi"/>
                <w:lang w:eastAsia="en-US"/>
              </w:rPr>
              <w:t>1</w:t>
            </w:r>
          </w:p>
        </w:tc>
      </w:tr>
    </w:tbl>
    <w:p w:rsidR="00F7190A" w:rsidRPr="00F7190A" w:rsidRDefault="00F7190A" w:rsidP="00864B75">
      <w:pPr>
        <w:rPr>
          <w:rFonts w:eastAsiaTheme="minorHAnsi"/>
          <w:szCs w:val="22"/>
          <w:lang w:eastAsia="en-US"/>
        </w:rPr>
      </w:pPr>
    </w:p>
    <w:p w:rsidR="00F7190A" w:rsidRPr="00F7190A" w:rsidRDefault="00F7190A" w:rsidP="00311859">
      <w:pPr>
        <w:pStyle w:val="ONUME"/>
        <w:rPr>
          <w:lang w:eastAsia="en-US"/>
        </w:rPr>
      </w:pPr>
      <w:r w:rsidRPr="00F7190A">
        <w:rPr>
          <w:lang w:eastAsia="en-US"/>
        </w:rPr>
        <w:t>Of the eight</w:t>
      </w:r>
      <w:r w:rsidR="00311859">
        <w:rPr>
          <w:lang w:eastAsia="en-US"/>
        </w:rPr>
        <w:t> </w:t>
      </w:r>
      <w:r w:rsidRPr="00F7190A">
        <w:rPr>
          <w:lang w:eastAsia="en-US"/>
        </w:rPr>
        <w:t xml:space="preserve">Offices that replied </w:t>
      </w:r>
      <w:r w:rsidR="00311859">
        <w:rPr>
          <w:lang w:eastAsia="en-US"/>
        </w:rPr>
        <w:t>“</w:t>
      </w:r>
      <w:r w:rsidRPr="00F7190A">
        <w:rPr>
          <w:lang w:eastAsia="en-US"/>
        </w:rPr>
        <w:t>yes</w:t>
      </w:r>
      <w:r w:rsidR="00311859">
        <w:rPr>
          <w:lang w:eastAsia="en-US"/>
        </w:rPr>
        <w:t>”</w:t>
      </w:r>
      <w:r w:rsidRPr="00F7190A">
        <w:rPr>
          <w:lang w:eastAsia="en-US"/>
        </w:rPr>
        <w:t>, three</w:t>
      </w:r>
      <w:r w:rsidR="00311859">
        <w:rPr>
          <w:lang w:eastAsia="en-US"/>
        </w:rPr>
        <w:t> </w:t>
      </w:r>
      <w:r w:rsidRPr="00F7190A">
        <w:rPr>
          <w:lang w:eastAsia="en-US"/>
        </w:rPr>
        <w:t>Offices indicated that they would consider correspondence when there is a standard character declaration or in certain circumstances, for</w:t>
      </w:r>
      <w:r w:rsidR="006974A9">
        <w:rPr>
          <w:lang w:eastAsia="en-US"/>
        </w:rPr>
        <w:t> </w:t>
      </w:r>
      <w:r w:rsidRPr="00F7190A">
        <w:rPr>
          <w:lang w:eastAsia="en-US"/>
        </w:rPr>
        <w:t xml:space="preserve">example, when translated from the language used by the Office into English.  </w:t>
      </w:r>
    </w:p>
    <w:p w:rsidR="00311859" w:rsidRDefault="00F7190A" w:rsidP="00311859">
      <w:pPr>
        <w:pStyle w:val="ONUME"/>
        <w:rPr>
          <w:lang w:eastAsia="en-US"/>
        </w:rPr>
      </w:pPr>
      <w:r w:rsidRPr="00F7190A">
        <w:rPr>
          <w:lang w:eastAsia="en-US"/>
        </w:rPr>
        <w:t>When replying to specific examples</w:t>
      </w:r>
      <w:r w:rsidR="00311859">
        <w:rPr>
          <w:lang w:eastAsia="en-US"/>
        </w:rPr>
        <w:t xml:space="preserve"> (question B. 2.)</w:t>
      </w:r>
      <w:r w:rsidRPr="00F7190A">
        <w:rPr>
          <w:lang w:eastAsia="en-US"/>
        </w:rPr>
        <w:t xml:space="preserve">, Offices were consistent with their answers to the general question. </w:t>
      </w:r>
      <w:r w:rsidR="00311859">
        <w:rPr>
          <w:lang w:eastAsia="en-US"/>
        </w:rPr>
        <w:t xml:space="preserve"> </w:t>
      </w:r>
      <w:r w:rsidR="00311859">
        <w:rPr>
          <w:lang w:eastAsia="en-US"/>
        </w:rPr>
        <w:br w:type="page"/>
      </w:r>
    </w:p>
    <w:p w:rsidR="00311859" w:rsidRDefault="00311859" w:rsidP="00311859">
      <w:pPr>
        <w:rPr>
          <w:b/>
        </w:rPr>
      </w:pPr>
      <w:r>
        <w:rPr>
          <w:b/>
        </w:rPr>
        <w:t>“</w:t>
      </w:r>
      <w:r w:rsidRPr="00311859">
        <w:rPr>
          <w:b/>
        </w:rPr>
        <w:t>C.</w:t>
      </w:r>
      <w:r w:rsidRPr="00311859">
        <w:rPr>
          <w:b/>
        </w:rPr>
        <w:tab/>
        <w:t xml:space="preserve">Representation of the </w:t>
      </w:r>
      <w:r w:rsidR="006C1B94">
        <w:rPr>
          <w:b/>
        </w:rPr>
        <w:t>i</w:t>
      </w:r>
      <w:r w:rsidRPr="00311859">
        <w:rPr>
          <w:b/>
        </w:rPr>
        <w:t>nternational mark in color</w:t>
      </w:r>
    </w:p>
    <w:p w:rsidR="00311859" w:rsidRPr="00311859" w:rsidRDefault="00311859" w:rsidP="00311859">
      <w:pPr>
        <w:rPr>
          <w:b/>
        </w:rPr>
      </w:pPr>
    </w:p>
    <w:p w:rsidR="00311859" w:rsidRDefault="00311859" w:rsidP="00311859">
      <w:pPr>
        <w:ind w:left="567"/>
        <w:rPr>
          <w:lang w:eastAsia="en-US"/>
        </w:rPr>
      </w:pPr>
      <w:r>
        <w:rPr>
          <w:lang w:eastAsia="en-US"/>
        </w:rPr>
        <w:t>“1.</w:t>
      </w:r>
      <w:r>
        <w:rPr>
          <w:lang w:eastAsia="en-US"/>
        </w:rPr>
        <w:tab/>
      </w:r>
      <w:r w:rsidRPr="00311859">
        <w:rPr>
          <w:lang w:eastAsia="en-US"/>
        </w:rPr>
        <w:t>If the mark in an international application consists of word(s), letter(s), number(s) -or any combination thereof- in either color or grayscale, would the Office consider that it corresponds to a basic mark comprising the same word(s), letter(s) or number(s) but in black and white?</w:t>
      </w:r>
      <w:r w:rsidR="00521F14">
        <w:rPr>
          <w:lang w:eastAsia="en-US"/>
        </w:rPr>
        <w:t>”</w:t>
      </w:r>
    </w:p>
    <w:p w:rsidR="00311859" w:rsidRPr="00311859" w:rsidRDefault="00311859" w:rsidP="00311859">
      <w:pPr>
        <w:rPr>
          <w:lang w:eastAsia="en-US"/>
        </w:rPr>
      </w:pP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following answers were recorded:</w:t>
      </w:r>
      <w:r w:rsidR="00521F14">
        <w:rPr>
          <w:rFonts w:eastAsiaTheme="minorHAnsi"/>
          <w:szCs w:val="22"/>
          <w:lang w:eastAsia="en-US"/>
        </w:rPr>
        <w:t xml:space="preserve">  </w:t>
      </w:r>
    </w:p>
    <w:tbl>
      <w:tblPr>
        <w:tblStyle w:val="TableGrid"/>
        <w:tblW w:w="0" w:type="auto"/>
        <w:jc w:val="center"/>
        <w:tblLook w:val="04A0" w:firstRow="1" w:lastRow="0" w:firstColumn="1" w:lastColumn="0" w:noHBand="0" w:noVBand="1"/>
      </w:tblPr>
      <w:tblGrid>
        <w:gridCol w:w="5353"/>
        <w:gridCol w:w="709"/>
        <w:gridCol w:w="709"/>
      </w:tblGrid>
      <w:tr w:rsidR="00F7190A" w:rsidRPr="00F7190A" w:rsidTr="00521F1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20</w:t>
            </w: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13</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7</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3</w:t>
            </w:r>
            <w:r w:rsidR="00067015">
              <w:rPr>
                <w:rFonts w:eastAsiaTheme="minorHAnsi"/>
                <w:lang w:eastAsia="en-US"/>
              </w:rPr>
              <w:t>9</w:t>
            </w:r>
          </w:p>
        </w:tc>
      </w:tr>
    </w:tbl>
    <w:p w:rsidR="00F7190A" w:rsidRPr="00F7190A" w:rsidRDefault="00F7190A" w:rsidP="00864B75">
      <w:pPr>
        <w:rPr>
          <w:rFonts w:eastAsiaTheme="minorHAnsi"/>
          <w:szCs w:val="22"/>
          <w:lang w:eastAsia="en-US"/>
        </w:rPr>
      </w:pPr>
    </w:p>
    <w:p w:rsidR="00F7190A" w:rsidRPr="00F7190A" w:rsidRDefault="00F7190A" w:rsidP="00521F14">
      <w:pPr>
        <w:pStyle w:val="ONUME"/>
        <w:rPr>
          <w:lang w:eastAsia="en-US"/>
        </w:rPr>
      </w:pPr>
      <w:r w:rsidRPr="00F7190A">
        <w:rPr>
          <w:lang w:eastAsia="en-US"/>
        </w:rPr>
        <w:t>Of the 20</w:t>
      </w:r>
      <w:r w:rsidR="00521F14">
        <w:rPr>
          <w:lang w:eastAsia="en-US"/>
        </w:rPr>
        <w:t> </w:t>
      </w:r>
      <w:r w:rsidRPr="00F7190A">
        <w:rPr>
          <w:lang w:eastAsia="en-US"/>
        </w:rPr>
        <w:t xml:space="preserve">Offices that replied </w:t>
      </w:r>
      <w:r w:rsidR="00521F14">
        <w:rPr>
          <w:lang w:eastAsia="en-US"/>
        </w:rPr>
        <w:t>“</w:t>
      </w:r>
      <w:r w:rsidRPr="00F7190A">
        <w:rPr>
          <w:lang w:eastAsia="en-US"/>
        </w:rPr>
        <w:t>yes</w:t>
      </w:r>
      <w:r w:rsidR="00521F14">
        <w:rPr>
          <w:lang w:eastAsia="en-US"/>
        </w:rPr>
        <w:t>”</w:t>
      </w:r>
      <w:r w:rsidRPr="00F7190A">
        <w:rPr>
          <w:lang w:eastAsia="en-US"/>
        </w:rPr>
        <w:t>, seven</w:t>
      </w:r>
      <w:r w:rsidR="00521F14">
        <w:rPr>
          <w:lang w:eastAsia="en-US"/>
        </w:rPr>
        <w:t> </w:t>
      </w:r>
      <w:r w:rsidRPr="00F7190A">
        <w:rPr>
          <w:lang w:eastAsia="en-US"/>
        </w:rPr>
        <w:t xml:space="preserve">Offices indicated that they would consider correspondence in certain circumstances, for example, when color has not been claimed in the basic mark. </w:t>
      </w:r>
      <w:r w:rsidR="00521F14">
        <w:rPr>
          <w:lang w:eastAsia="en-US"/>
        </w:rPr>
        <w:t xml:space="preserve"> </w:t>
      </w:r>
    </w:p>
    <w:p w:rsidR="00F7190A" w:rsidRPr="00F7190A" w:rsidRDefault="00F7190A" w:rsidP="00521F14">
      <w:pPr>
        <w:pStyle w:val="ONUME"/>
        <w:rPr>
          <w:lang w:eastAsia="en-US"/>
        </w:rPr>
      </w:pPr>
      <w:r w:rsidRPr="00F7190A">
        <w:rPr>
          <w:lang w:eastAsia="en-US"/>
        </w:rPr>
        <w:t>When replying to specific examples</w:t>
      </w:r>
      <w:r w:rsidR="00521F14">
        <w:rPr>
          <w:lang w:eastAsia="en-US"/>
        </w:rPr>
        <w:t xml:space="preserve"> (question C. 2.)</w:t>
      </w:r>
      <w:r w:rsidRPr="00F7190A">
        <w:rPr>
          <w:lang w:eastAsia="en-US"/>
        </w:rPr>
        <w:t>, Offices were consistent with their answers to the general question.</w:t>
      </w:r>
      <w:r w:rsidR="00521F14">
        <w:rPr>
          <w:lang w:eastAsia="en-US"/>
        </w:rPr>
        <w:t xml:space="preserve">  </w:t>
      </w:r>
    </w:p>
    <w:p w:rsidR="00F7190A" w:rsidRDefault="00521F14" w:rsidP="00521F14">
      <w:pPr>
        <w:rPr>
          <w:b/>
        </w:rPr>
      </w:pPr>
      <w:r>
        <w:rPr>
          <w:b/>
        </w:rPr>
        <w:t>“</w:t>
      </w:r>
      <w:r w:rsidRPr="00521F14">
        <w:rPr>
          <w:b/>
        </w:rPr>
        <w:t>D.</w:t>
      </w:r>
      <w:r w:rsidRPr="00521F14">
        <w:rPr>
          <w:b/>
        </w:rPr>
        <w:tab/>
      </w:r>
      <w:r w:rsidR="00F7190A" w:rsidRPr="00521F14">
        <w:rPr>
          <w:b/>
        </w:rPr>
        <w:t>Variations of figurative elements</w:t>
      </w:r>
    </w:p>
    <w:p w:rsidR="00521F14" w:rsidRPr="00521F14" w:rsidRDefault="00521F14" w:rsidP="00521F14">
      <w:pPr>
        <w:rPr>
          <w:b/>
        </w:rPr>
      </w:pPr>
    </w:p>
    <w:p w:rsidR="00F7190A" w:rsidRPr="00F7190A" w:rsidRDefault="00521F14" w:rsidP="00521F14">
      <w:pPr>
        <w:spacing w:after="200" w:line="276" w:lineRule="auto"/>
        <w:ind w:left="567"/>
        <w:rPr>
          <w:rFonts w:eastAsiaTheme="minorEastAsia"/>
          <w:szCs w:val="22"/>
          <w:lang w:eastAsia="ja-JP"/>
        </w:rPr>
      </w:pPr>
      <w:r>
        <w:rPr>
          <w:rFonts w:eastAsiaTheme="minorEastAsia"/>
          <w:szCs w:val="22"/>
          <w:lang w:eastAsia="ja-JP"/>
        </w:rPr>
        <w:t>“1.</w:t>
      </w:r>
      <w:r>
        <w:rPr>
          <w:rFonts w:eastAsiaTheme="minorEastAsia"/>
          <w:szCs w:val="22"/>
          <w:lang w:eastAsia="ja-JP"/>
        </w:rPr>
        <w:tab/>
      </w:r>
      <w:r w:rsidR="00F7190A" w:rsidRPr="00F7190A">
        <w:rPr>
          <w:rFonts w:eastAsiaTheme="minorEastAsia"/>
          <w:szCs w:val="22"/>
          <w:lang w:eastAsia="ja-JP"/>
        </w:rPr>
        <w:t>If the Office considers that the mark in an international application and the basic mark do not differ in respect of their material features but only in respect of minor features, would the Office consider that they correspond?</w:t>
      </w:r>
      <w:r>
        <w:rPr>
          <w:rFonts w:eastAsiaTheme="minorEastAsia"/>
          <w:szCs w:val="22"/>
          <w:lang w:eastAsia="ja-JP"/>
        </w:rPr>
        <w:t>”</w:t>
      </w:r>
    </w:p>
    <w:p w:rsidR="00F7190A" w:rsidRPr="00F7190A" w:rsidRDefault="00F7190A" w:rsidP="00F7190A">
      <w:pPr>
        <w:spacing w:after="200" w:line="276" w:lineRule="auto"/>
        <w:rPr>
          <w:rFonts w:eastAsiaTheme="minorHAnsi"/>
          <w:szCs w:val="22"/>
          <w:lang w:eastAsia="en-US"/>
        </w:rPr>
      </w:pPr>
      <w:r w:rsidRPr="00F7190A">
        <w:rPr>
          <w:rFonts w:eastAsiaTheme="minorHAnsi"/>
          <w:szCs w:val="22"/>
          <w:lang w:eastAsia="en-US"/>
        </w:rPr>
        <w:t>The following answers were recorded:</w:t>
      </w:r>
    </w:p>
    <w:tbl>
      <w:tblPr>
        <w:tblStyle w:val="TableGrid"/>
        <w:tblW w:w="0" w:type="auto"/>
        <w:jc w:val="center"/>
        <w:tblLook w:val="04A0" w:firstRow="1" w:lastRow="0" w:firstColumn="1" w:lastColumn="0" w:noHBand="0" w:noVBand="1"/>
      </w:tblPr>
      <w:tblGrid>
        <w:gridCol w:w="5353"/>
        <w:gridCol w:w="709"/>
        <w:gridCol w:w="709"/>
      </w:tblGrid>
      <w:tr w:rsidR="00F7190A" w:rsidRPr="00F7190A" w:rsidTr="00521F1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 xml:space="preserve">Yes </w:t>
            </w:r>
          </w:p>
        </w:tc>
        <w:tc>
          <w:tcPr>
            <w:tcW w:w="709" w:type="dxa"/>
          </w:tcPr>
          <w:p w:rsidR="00F7190A" w:rsidRPr="00F7190A" w:rsidRDefault="00F7190A" w:rsidP="00F7190A">
            <w:pPr>
              <w:rPr>
                <w:rFonts w:eastAsiaTheme="minorHAnsi"/>
                <w:lang w:eastAsia="en-US"/>
              </w:rPr>
            </w:pPr>
            <w:r w:rsidRPr="00F7190A">
              <w:rPr>
                <w:rFonts w:eastAsiaTheme="minorHAnsi"/>
                <w:lang w:eastAsia="en-US"/>
              </w:rPr>
              <w:t>27</w:t>
            </w: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always the case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9</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with standard character declaration</w:t>
            </w:r>
          </w:p>
        </w:tc>
        <w:tc>
          <w:tcPr>
            <w:tcW w:w="709" w:type="dxa"/>
          </w:tcPr>
          <w:p w:rsidR="00F7190A" w:rsidRPr="00F7190A" w:rsidRDefault="00F7190A" w:rsidP="00F7190A">
            <w:pPr>
              <w:rPr>
                <w:rFonts w:eastAsiaTheme="minorHAnsi"/>
                <w:lang w:eastAsia="en-US"/>
              </w:rPr>
            </w:pPr>
            <w:r w:rsidRPr="00F7190A">
              <w:rPr>
                <w:rFonts w:eastAsiaTheme="minorHAnsi"/>
                <w:lang w:eastAsia="en-US"/>
              </w:rPr>
              <w:t>-</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5353" w:type="dxa"/>
          </w:tcPr>
          <w:p w:rsidR="00F7190A" w:rsidRPr="00F7190A" w:rsidRDefault="00F7190A" w:rsidP="00F7190A">
            <w:pPr>
              <w:rPr>
                <w:rFonts w:eastAsiaTheme="minorHAnsi"/>
                <w:lang w:eastAsia="en-US"/>
              </w:rPr>
            </w:pPr>
            <w:r w:rsidRPr="00F7190A">
              <w:rPr>
                <w:rFonts w:eastAsiaTheme="minorHAnsi"/>
                <w:lang w:eastAsia="en-US"/>
              </w:rPr>
              <w:t>Yes, in certain circumstances</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18</w:t>
            </w:r>
          </w:p>
        </w:tc>
        <w:tc>
          <w:tcPr>
            <w:tcW w:w="709" w:type="dxa"/>
          </w:tcPr>
          <w:p w:rsidR="00F7190A" w:rsidRPr="00F7190A" w:rsidRDefault="00F7190A" w:rsidP="00F7190A">
            <w:pPr>
              <w:rPr>
                <w:rFonts w:eastAsiaTheme="minorHAnsi"/>
                <w:lang w:eastAsia="en-US"/>
              </w:rPr>
            </w:pPr>
          </w:p>
        </w:tc>
      </w:tr>
      <w:tr w:rsidR="00F7190A" w:rsidRPr="00F7190A" w:rsidTr="00521F1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Never</w:t>
            </w:r>
          </w:p>
        </w:tc>
        <w:tc>
          <w:tcPr>
            <w:tcW w:w="709" w:type="dxa"/>
          </w:tcPr>
          <w:p w:rsidR="00F7190A" w:rsidRPr="00F7190A" w:rsidRDefault="00F7190A" w:rsidP="00F7190A">
            <w:pPr>
              <w:rPr>
                <w:rFonts w:eastAsiaTheme="minorHAnsi"/>
                <w:lang w:eastAsia="en-US"/>
              </w:rPr>
            </w:pPr>
            <w:r w:rsidRPr="00F7190A">
              <w:rPr>
                <w:rFonts w:eastAsiaTheme="minorHAnsi"/>
                <w:lang w:eastAsia="en-US"/>
              </w:rPr>
              <w:t>31</w:t>
            </w:r>
          </w:p>
        </w:tc>
      </w:tr>
      <w:tr w:rsidR="00F7190A" w:rsidRPr="00F7190A" w:rsidTr="00521F14">
        <w:trPr>
          <w:jc w:val="center"/>
        </w:trPr>
        <w:tc>
          <w:tcPr>
            <w:tcW w:w="6062" w:type="dxa"/>
            <w:gridSpan w:val="2"/>
            <w:shd w:val="clear" w:color="auto" w:fill="EEECE1" w:themeFill="background2"/>
          </w:tcPr>
          <w:p w:rsidR="00F7190A" w:rsidRPr="00F7190A" w:rsidRDefault="00F7190A" w:rsidP="00F7190A">
            <w:pPr>
              <w:rPr>
                <w:rFonts w:eastAsiaTheme="minorHAnsi"/>
                <w:lang w:eastAsia="en-US"/>
              </w:rPr>
            </w:pPr>
            <w:r w:rsidRPr="00F7190A">
              <w:rPr>
                <w:rFonts w:eastAsiaTheme="minorHAnsi"/>
                <w:lang w:eastAsia="en-US"/>
              </w:rPr>
              <w:t>No response</w:t>
            </w:r>
          </w:p>
        </w:tc>
        <w:tc>
          <w:tcPr>
            <w:tcW w:w="709" w:type="dxa"/>
          </w:tcPr>
          <w:p w:rsidR="00F7190A" w:rsidRPr="00F7190A" w:rsidRDefault="00F7190A" w:rsidP="00F7190A">
            <w:pPr>
              <w:rPr>
                <w:rFonts w:eastAsiaTheme="minorHAnsi"/>
                <w:lang w:eastAsia="en-US"/>
              </w:rPr>
            </w:pPr>
            <w:r w:rsidRPr="00F7190A">
              <w:rPr>
                <w:rFonts w:eastAsiaTheme="minorHAnsi"/>
                <w:lang w:eastAsia="en-US"/>
              </w:rPr>
              <w:t>1</w:t>
            </w:r>
          </w:p>
        </w:tc>
      </w:tr>
    </w:tbl>
    <w:p w:rsidR="00F7190A" w:rsidRPr="00F7190A" w:rsidRDefault="00F7190A" w:rsidP="00864B75">
      <w:pPr>
        <w:rPr>
          <w:rFonts w:eastAsiaTheme="minorHAnsi"/>
          <w:szCs w:val="22"/>
          <w:lang w:eastAsia="en-US"/>
        </w:rPr>
      </w:pPr>
    </w:p>
    <w:p w:rsidR="00F7190A" w:rsidRPr="00F7190A" w:rsidRDefault="00F7190A" w:rsidP="00521F14">
      <w:pPr>
        <w:pStyle w:val="ONUME"/>
        <w:rPr>
          <w:lang w:eastAsia="en-US"/>
        </w:rPr>
      </w:pPr>
      <w:r w:rsidRPr="00F7190A">
        <w:rPr>
          <w:lang w:eastAsia="en-US"/>
        </w:rPr>
        <w:t>Of the 27</w:t>
      </w:r>
      <w:r w:rsidR="00521F14">
        <w:rPr>
          <w:lang w:eastAsia="en-US"/>
        </w:rPr>
        <w:t> </w:t>
      </w:r>
      <w:r w:rsidRPr="00F7190A">
        <w:rPr>
          <w:lang w:eastAsia="en-US"/>
        </w:rPr>
        <w:t xml:space="preserve">Offices that replied </w:t>
      </w:r>
      <w:r w:rsidR="00521F14">
        <w:rPr>
          <w:lang w:eastAsia="en-US"/>
        </w:rPr>
        <w:t>“</w:t>
      </w:r>
      <w:r w:rsidRPr="00F7190A">
        <w:rPr>
          <w:lang w:eastAsia="en-US"/>
        </w:rPr>
        <w:t>yes</w:t>
      </w:r>
      <w:r w:rsidR="00521F14">
        <w:rPr>
          <w:lang w:eastAsia="en-US"/>
        </w:rPr>
        <w:t>”, 18 </w:t>
      </w:r>
      <w:r w:rsidRPr="00F7190A">
        <w:rPr>
          <w:lang w:eastAsia="en-US"/>
        </w:rPr>
        <w:t xml:space="preserve">Offices indicated that they would consider correspondence in certain circumstances, </w:t>
      </w:r>
      <w:r w:rsidRPr="00F7190A">
        <w:rPr>
          <w:rFonts w:eastAsiaTheme="minorEastAsia"/>
          <w:lang w:eastAsia="ja-JP"/>
        </w:rPr>
        <w:t xml:space="preserve">for example, when the differences are so minor that they may go unnoticed.  </w:t>
      </w:r>
    </w:p>
    <w:p w:rsidR="00F7190A" w:rsidRPr="00F7190A" w:rsidRDefault="00F7190A" w:rsidP="00521F14">
      <w:pPr>
        <w:pStyle w:val="ONUME"/>
        <w:rPr>
          <w:lang w:eastAsia="en-US"/>
        </w:rPr>
      </w:pPr>
      <w:r w:rsidRPr="00F7190A">
        <w:rPr>
          <w:lang w:eastAsia="en-US"/>
        </w:rPr>
        <w:t>However, when replying to the specific examples</w:t>
      </w:r>
      <w:r w:rsidR="00521F14">
        <w:rPr>
          <w:lang w:eastAsia="en-US"/>
        </w:rPr>
        <w:t xml:space="preserve"> (question D. 2.), the following was noted:  </w:t>
      </w:r>
    </w:p>
    <w:p w:rsidR="00F7190A" w:rsidRPr="00F7190A" w:rsidRDefault="00521F14" w:rsidP="00521F14">
      <w:pPr>
        <w:rPr>
          <w:rFonts w:eastAsiaTheme="minorHAnsi"/>
          <w:szCs w:val="22"/>
          <w:lang w:eastAsia="en-US"/>
        </w:rPr>
      </w:pPr>
      <w:r>
        <w:rPr>
          <w:lang w:eastAsia="en-US"/>
        </w:rPr>
        <w:tab/>
        <w:t>–</w:t>
      </w:r>
      <w:r>
        <w:rPr>
          <w:lang w:eastAsia="en-US"/>
        </w:rPr>
        <w:tab/>
      </w:r>
      <w:r w:rsidR="00F7190A" w:rsidRPr="00F7190A">
        <w:rPr>
          <w:lang w:eastAsia="en-US"/>
        </w:rPr>
        <w:t>Addition of a color element</w:t>
      </w:r>
      <w:r>
        <w:rPr>
          <w:lang w:eastAsia="en-US"/>
        </w:rPr>
        <w:t xml:space="preserve">:  </w:t>
      </w:r>
      <w:r w:rsidR="00F7190A" w:rsidRPr="00F7190A">
        <w:rPr>
          <w:rFonts w:eastAsiaTheme="minorHAnsi"/>
          <w:szCs w:val="22"/>
          <w:lang w:eastAsia="en-US"/>
        </w:rPr>
        <w:t>Of the replying Offices, 13</w:t>
      </w:r>
      <w:r>
        <w:rPr>
          <w:rFonts w:eastAsiaTheme="minorHAnsi"/>
          <w:szCs w:val="22"/>
          <w:lang w:eastAsia="en-US"/>
        </w:rPr>
        <w:t> </w:t>
      </w:r>
      <w:r w:rsidR="00F7190A" w:rsidRPr="00F7190A">
        <w:rPr>
          <w:rFonts w:eastAsiaTheme="minorHAnsi"/>
          <w:szCs w:val="22"/>
          <w:lang w:eastAsia="en-US"/>
        </w:rPr>
        <w:t>indicated that they would consider there is correspondence when the difference is an addition of color to one</w:t>
      </w:r>
      <w:r>
        <w:rPr>
          <w:rFonts w:eastAsiaTheme="minorHAnsi"/>
          <w:szCs w:val="22"/>
          <w:lang w:eastAsia="en-US"/>
        </w:rPr>
        <w:t> </w:t>
      </w:r>
      <w:r w:rsidR="00F7190A" w:rsidRPr="00F7190A">
        <w:rPr>
          <w:rFonts w:eastAsiaTheme="minorHAnsi"/>
          <w:szCs w:val="22"/>
          <w:lang w:eastAsia="en-US"/>
        </w:rPr>
        <w:t>element in the inter</w:t>
      </w:r>
      <w:r>
        <w:rPr>
          <w:rFonts w:eastAsiaTheme="minorHAnsi"/>
          <w:szCs w:val="22"/>
          <w:lang w:eastAsia="en-US"/>
        </w:rPr>
        <w:t>national mark.  Forty-</w:t>
      </w:r>
      <w:r w:rsidR="00067015">
        <w:rPr>
          <w:rFonts w:eastAsiaTheme="minorHAnsi"/>
          <w:szCs w:val="22"/>
          <w:lang w:eastAsia="en-US"/>
        </w:rPr>
        <w:t>five </w:t>
      </w:r>
      <w:r w:rsidR="00F7190A" w:rsidRPr="00F7190A">
        <w:rPr>
          <w:rFonts w:eastAsiaTheme="minorHAnsi"/>
          <w:szCs w:val="22"/>
          <w:lang w:eastAsia="en-US"/>
        </w:rPr>
        <w:t>Offices would not consider correspondence in such circumstances.</w:t>
      </w:r>
      <w:r>
        <w:rPr>
          <w:rFonts w:eastAsiaTheme="minorHAnsi"/>
          <w:szCs w:val="22"/>
          <w:lang w:eastAsia="en-US"/>
        </w:rPr>
        <w:t xml:space="preserve">  </w:t>
      </w:r>
    </w:p>
    <w:p w:rsidR="00F7190A" w:rsidRDefault="00521F14" w:rsidP="00521F14">
      <w:pPr>
        <w:pStyle w:val="Heading4"/>
        <w:rPr>
          <w:rFonts w:eastAsiaTheme="minorHAnsi"/>
          <w:i w:val="0"/>
          <w:szCs w:val="22"/>
          <w:lang w:eastAsia="en-US"/>
        </w:rPr>
      </w:pPr>
      <w:r>
        <w:rPr>
          <w:i w:val="0"/>
          <w:lang w:eastAsia="en-US"/>
        </w:rPr>
        <w:tab/>
        <w:t>–</w:t>
      </w:r>
      <w:r>
        <w:rPr>
          <w:i w:val="0"/>
          <w:lang w:eastAsia="en-US"/>
        </w:rPr>
        <w:tab/>
        <w:t xml:space="preserve">Modernization: </w:t>
      </w:r>
      <w:r w:rsidRPr="00521F14">
        <w:rPr>
          <w:i w:val="0"/>
          <w:lang w:eastAsia="en-US"/>
        </w:rPr>
        <w:t xml:space="preserve"> </w:t>
      </w:r>
      <w:r>
        <w:rPr>
          <w:rFonts w:eastAsiaTheme="minorHAnsi"/>
          <w:i w:val="0"/>
          <w:szCs w:val="22"/>
          <w:lang w:eastAsia="en-US"/>
        </w:rPr>
        <w:t xml:space="preserve">Of the replying Offices, </w:t>
      </w:r>
      <w:r w:rsidR="00C30820">
        <w:rPr>
          <w:rFonts w:eastAsiaTheme="minorHAnsi"/>
          <w:i w:val="0"/>
          <w:szCs w:val="22"/>
          <w:lang w:eastAsia="en-US"/>
        </w:rPr>
        <w:t>eight</w:t>
      </w:r>
      <w:r>
        <w:rPr>
          <w:rFonts w:eastAsiaTheme="minorHAnsi"/>
          <w:i w:val="0"/>
          <w:szCs w:val="22"/>
          <w:lang w:eastAsia="en-US"/>
        </w:rPr>
        <w:t> </w:t>
      </w:r>
      <w:r w:rsidR="00F7190A" w:rsidRPr="00521F14">
        <w:rPr>
          <w:rFonts w:eastAsiaTheme="minorHAnsi"/>
          <w:i w:val="0"/>
          <w:szCs w:val="22"/>
          <w:lang w:eastAsia="en-US"/>
        </w:rPr>
        <w:t>Offices indicated that they would consider there is correspondence where the difference is a modernization of the international ma</w:t>
      </w:r>
      <w:r>
        <w:rPr>
          <w:rFonts w:eastAsiaTheme="minorHAnsi"/>
          <w:i w:val="0"/>
          <w:szCs w:val="22"/>
          <w:lang w:eastAsia="en-US"/>
        </w:rPr>
        <w:t>rk.  Fifty </w:t>
      </w:r>
      <w:r w:rsidR="00F7190A" w:rsidRPr="00521F14">
        <w:rPr>
          <w:rFonts w:eastAsiaTheme="minorHAnsi"/>
          <w:i w:val="0"/>
          <w:szCs w:val="22"/>
          <w:lang w:eastAsia="en-US"/>
        </w:rPr>
        <w:t>Offices would not consider correspondence in such circumstances.</w:t>
      </w:r>
      <w:r>
        <w:rPr>
          <w:rFonts w:eastAsiaTheme="minorHAnsi"/>
          <w:i w:val="0"/>
          <w:szCs w:val="22"/>
          <w:lang w:eastAsia="en-US"/>
        </w:rPr>
        <w:t xml:space="preserve">  </w:t>
      </w:r>
    </w:p>
    <w:p w:rsidR="00521F14" w:rsidRPr="00521F14" w:rsidRDefault="00521F14" w:rsidP="00521F14">
      <w:pPr>
        <w:rPr>
          <w:lang w:eastAsia="en-US"/>
        </w:rPr>
      </w:pPr>
    </w:p>
    <w:p w:rsidR="00521F14" w:rsidRDefault="00521F14" w:rsidP="00521F14">
      <w:r>
        <w:br w:type="page"/>
      </w:r>
    </w:p>
    <w:p w:rsidR="00F7190A" w:rsidRDefault="00521F14" w:rsidP="00521F14">
      <w:pPr>
        <w:rPr>
          <w:rFonts w:eastAsiaTheme="minorHAnsi"/>
          <w:szCs w:val="22"/>
          <w:lang w:eastAsia="en-US"/>
        </w:rPr>
      </w:pPr>
      <w:r>
        <w:tab/>
        <w:t>–</w:t>
      </w:r>
      <w:r>
        <w:tab/>
      </w:r>
      <w:r w:rsidR="00F7190A" w:rsidRPr="00521F14">
        <w:t>Clearer Image</w:t>
      </w:r>
      <w:r>
        <w:t xml:space="preserve">:  </w:t>
      </w:r>
      <w:r>
        <w:rPr>
          <w:rFonts w:eastAsiaTheme="minorHAnsi"/>
          <w:szCs w:val="22"/>
          <w:lang w:eastAsia="en-US"/>
        </w:rPr>
        <w:t>Of the replying Offices, 38 </w:t>
      </w:r>
      <w:r w:rsidR="00F7190A" w:rsidRPr="00F7190A">
        <w:rPr>
          <w:rFonts w:eastAsiaTheme="minorHAnsi"/>
          <w:szCs w:val="22"/>
          <w:lang w:eastAsia="en-US"/>
        </w:rPr>
        <w:t xml:space="preserve">Offices indicated that they would consider there is correspondence where the difference is a clearer or sharper image of the basic mark.  </w:t>
      </w:r>
      <w:r w:rsidR="00067015">
        <w:rPr>
          <w:rFonts w:eastAsiaTheme="minorHAnsi"/>
          <w:szCs w:val="22"/>
          <w:lang w:eastAsia="en-US"/>
        </w:rPr>
        <w:t>Nine </w:t>
      </w:r>
      <w:r w:rsidR="00F7190A" w:rsidRPr="00F7190A">
        <w:rPr>
          <w:rFonts w:eastAsiaTheme="minorHAnsi"/>
          <w:szCs w:val="22"/>
          <w:lang w:eastAsia="en-US"/>
        </w:rPr>
        <w:t xml:space="preserve">Offices indicated that such correspondence would depend on other factors such as whether the overall impression remained the same or the identity of the mark is altered.  </w:t>
      </w:r>
      <w:r>
        <w:rPr>
          <w:rFonts w:eastAsiaTheme="minorHAnsi"/>
          <w:szCs w:val="22"/>
          <w:lang w:eastAsia="en-US"/>
        </w:rPr>
        <w:t>Fourteen </w:t>
      </w:r>
      <w:r w:rsidR="00F7190A" w:rsidRPr="00F7190A">
        <w:rPr>
          <w:rFonts w:eastAsiaTheme="minorHAnsi"/>
          <w:szCs w:val="22"/>
          <w:lang w:eastAsia="en-US"/>
        </w:rPr>
        <w:t>Offices would not consider correspondence in such circumstances.</w:t>
      </w:r>
      <w:r>
        <w:rPr>
          <w:rFonts w:eastAsiaTheme="minorHAnsi"/>
          <w:szCs w:val="22"/>
          <w:lang w:eastAsia="en-US"/>
        </w:rPr>
        <w:t xml:space="preserve">  </w:t>
      </w:r>
    </w:p>
    <w:p w:rsidR="00521F14" w:rsidRPr="00F7190A" w:rsidRDefault="00521F14" w:rsidP="00521F14">
      <w:pPr>
        <w:rPr>
          <w:rFonts w:eastAsiaTheme="minorHAnsi"/>
          <w:szCs w:val="22"/>
          <w:lang w:eastAsia="en-US"/>
        </w:rPr>
      </w:pPr>
    </w:p>
    <w:p w:rsidR="00521F14" w:rsidRDefault="00521F14" w:rsidP="00521F14">
      <w:pPr>
        <w:rPr>
          <w:rFonts w:eastAsiaTheme="minorHAnsi"/>
          <w:b/>
          <w:szCs w:val="22"/>
          <w:lang w:eastAsia="en-US"/>
        </w:rPr>
      </w:pPr>
      <w:r>
        <w:rPr>
          <w:rFonts w:eastAsiaTheme="minorHAnsi"/>
          <w:b/>
          <w:szCs w:val="22"/>
          <w:lang w:eastAsia="en-US"/>
        </w:rPr>
        <w:t>“</w:t>
      </w:r>
      <w:r w:rsidRPr="00521F14">
        <w:rPr>
          <w:rFonts w:eastAsiaTheme="minorHAnsi"/>
          <w:b/>
          <w:szCs w:val="22"/>
          <w:lang w:eastAsia="en-US"/>
        </w:rPr>
        <w:t>E.</w:t>
      </w:r>
      <w:r w:rsidRPr="00521F14">
        <w:rPr>
          <w:rFonts w:eastAsiaTheme="minorHAnsi"/>
          <w:b/>
          <w:szCs w:val="22"/>
          <w:lang w:eastAsia="en-US"/>
        </w:rPr>
        <w:tab/>
        <w:t>Three-dimensional and sound marks (where applicable)</w:t>
      </w:r>
      <w:r w:rsidR="00454C04">
        <w:rPr>
          <w:rFonts w:eastAsiaTheme="minorHAnsi"/>
          <w:b/>
          <w:szCs w:val="22"/>
          <w:lang w:eastAsia="en-US"/>
        </w:rPr>
        <w:t>”</w:t>
      </w:r>
    </w:p>
    <w:p w:rsidR="00521F14" w:rsidRDefault="00521F14" w:rsidP="00521F14">
      <w:pPr>
        <w:rPr>
          <w:rFonts w:eastAsiaTheme="minorHAnsi"/>
          <w:b/>
          <w:szCs w:val="22"/>
          <w:lang w:eastAsia="en-US"/>
        </w:rPr>
      </w:pPr>
    </w:p>
    <w:p w:rsidR="00454C04" w:rsidRPr="00454C04" w:rsidRDefault="00454C04" w:rsidP="00454C04">
      <w:pPr>
        <w:rPr>
          <w:i/>
        </w:rPr>
      </w:pPr>
      <w:r w:rsidRPr="00454C04">
        <w:rPr>
          <w:i/>
        </w:rPr>
        <w:t>Three-dimensional marks</w:t>
      </w:r>
    </w:p>
    <w:p w:rsidR="00454C04" w:rsidRPr="00521F14" w:rsidRDefault="00454C04" w:rsidP="00521F14">
      <w:pPr>
        <w:rPr>
          <w:rFonts w:eastAsiaTheme="minorHAnsi"/>
          <w:b/>
          <w:szCs w:val="22"/>
          <w:lang w:eastAsia="en-US"/>
        </w:rPr>
      </w:pPr>
    </w:p>
    <w:p w:rsidR="00F7190A" w:rsidRPr="00F7190A" w:rsidRDefault="00F7190A" w:rsidP="00521F14">
      <w:pPr>
        <w:pStyle w:val="ONUME"/>
        <w:rPr>
          <w:lang w:eastAsia="en-US"/>
        </w:rPr>
      </w:pPr>
      <w:r w:rsidRPr="00F7190A">
        <w:rPr>
          <w:lang w:eastAsia="en-US"/>
        </w:rPr>
        <w:t>The majority of Offices indicated that they would not consider correspondence where a</w:t>
      </w:r>
      <w:r w:rsidR="00521F14">
        <w:rPr>
          <w:lang w:eastAsia="en-US"/>
        </w:rPr>
        <w:t> </w:t>
      </w:r>
      <w:r w:rsidRPr="00F7190A">
        <w:rPr>
          <w:lang w:eastAsia="en-US"/>
        </w:rPr>
        <w:t>three</w:t>
      </w:r>
      <w:r w:rsidR="00521F14">
        <w:rPr>
          <w:lang w:eastAsia="en-US"/>
        </w:rPr>
        <w:noBreakHyphen/>
      </w:r>
      <w:r w:rsidRPr="00F7190A">
        <w:rPr>
          <w:lang w:eastAsia="en-US"/>
        </w:rPr>
        <w:t>dimensional basic and a three</w:t>
      </w:r>
      <w:r w:rsidR="00521F14">
        <w:rPr>
          <w:lang w:eastAsia="en-US"/>
        </w:rPr>
        <w:noBreakHyphen/>
      </w:r>
      <w:r w:rsidRPr="00F7190A">
        <w:rPr>
          <w:lang w:eastAsia="en-US"/>
        </w:rPr>
        <w:t>dimensional international mark comprised of representations of inconsistent views in partic</w:t>
      </w:r>
      <w:r w:rsidR="00521F14">
        <w:rPr>
          <w:lang w:eastAsia="en-US"/>
        </w:rPr>
        <w:t xml:space="preserve">ular this would be case where:  </w:t>
      </w:r>
    </w:p>
    <w:p w:rsidR="00F7190A" w:rsidRDefault="00454C04" w:rsidP="00521F14">
      <w:r>
        <w:tab/>
        <w:t>–</w:t>
      </w:r>
      <w:r>
        <w:tab/>
      </w:r>
      <w:proofErr w:type="gramStart"/>
      <w:r w:rsidR="00F7190A" w:rsidRPr="00521F14">
        <w:t>the</w:t>
      </w:r>
      <w:proofErr w:type="gramEnd"/>
      <w:r w:rsidR="00F7190A" w:rsidRPr="00521F14">
        <w:t xml:space="preserve"> international mark comprised a combined view and the basic mark comprised a single view (49</w:t>
      </w:r>
      <w:r>
        <w:t> </w:t>
      </w:r>
      <w:r w:rsidR="00F7190A" w:rsidRPr="00521F14">
        <w:t>Offices);</w:t>
      </w:r>
      <w:r>
        <w:t xml:space="preserve">  </w:t>
      </w:r>
    </w:p>
    <w:p w:rsidR="00454C04" w:rsidRPr="00521F14" w:rsidRDefault="00454C04" w:rsidP="00521F14">
      <w:bookmarkStart w:id="4" w:name="_GoBack"/>
      <w:bookmarkEnd w:id="4"/>
    </w:p>
    <w:p w:rsidR="00F7190A" w:rsidRPr="00521F14" w:rsidRDefault="00454C04" w:rsidP="00521F14">
      <w:r>
        <w:tab/>
        <w:t>–</w:t>
      </w:r>
      <w:r>
        <w:tab/>
      </w:r>
      <w:proofErr w:type="gramStart"/>
      <w:r w:rsidR="00F7190A" w:rsidRPr="00521F14">
        <w:t>the</w:t>
      </w:r>
      <w:proofErr w:type="gramEnd"/>
      <w:r w:rsidR="00F7190A" w:rsidRPr="00521F14">
        <w:t xml:space="preserve"> international mark comprised a single view and the basic mark comprised a</w:t>
      </w:r>
      <w:r w:rsidR="006974A9">
        <w:t> </w:t>
      </w:r>
      <w:r w:rsidR="00F7190A" w:rsidRPr="00521F14">
        <w:t>combined view (46</w:t>
      </w:r>
      <w:r>
        <w:t> </w:t>
      </w:r>
      <w:r w:rsidR="00F7190A" w:rsidRPr="00521F14">
        <w:t xml:space="preserve">Offices). </w:t>
      </w:r>
      <w:r>
        <w:t xml:space="preserve"> </w:t>
      </w:r>
    </w:p>
    <w:p w:rsidR="00521F14" w:rsidRPr="00F7190A" w:rsidRDefault="00521F14" w:rsidP="00864B75">
      <w:pPr>
        <w:rPr>
          <w:rFonts w:eastAsiaTheme="minorHAnsi"/>
          <w:szCs w:val="22"/>
          <w:lang w:eastAsia="en-US"/>
        </w:rPr>
      </w:pPr>
    </w:p>
    <w:p w:rsidR="00F7190A" w:rsidRDefault="00F7190A" w:rsidP="00454C04">
      <w:pPr>
        <w:pStyle w:val="ONUME"/>
      </w:pPr>
      <w:r w:rsidRPr="00454C04">
        <w:t>Some Offices (21) indicated that they would consider correspondence where the international mark consists of a combined view and the basic mark consists of two separate views.</w:t>
      </w:r>
      <w:r w:rsidR="00454C04">
        <w:t xml:space="preserve">  </w:t>
      </w:r>
    </w:p>
    <w:p w:rsidR="00F7190A" w:rsidRDefault="00F7190A" w:rsidP="00454C04">
      <w:pPr>
        <w:rPr>
          <w:i/>
          <w:lang w:eastAsia="en-US"/>
        </w:rPr>
      </w:pPr>
      <w:r w:rsidRPr="00454C04">
        <w:rPr>
          <w:i/>
          <w:lang w:eastAsia="en-US"/>
        </w:rPr>
        <w:t>Sound marks</w:t>
      </w:r>
    </w:p>
    <w:p w:rsidR="00454C04" w:rsidRPr="00454C04" w:rsidRDefault="00454C04" w:rsidP="00454C04">
      <w:pPr>
        <w:rPr>
          <w:i/>
          <w:lang w:eastAsia="en-US"/>
        </w:rPr>
      </w:pPr>
    </w:p>
    <w:p w:rsidR="00F7190A" w:rsidRPr="00F7190A" w:rsidRDefault="00F7190A" w:rsidP="00454C04">
      <w:pPr>
        <w:pStyle w:val="ONUME"/>
        <w:rPr>
          <w:lang w:eastAsia="en-US"/>
        </w:rPr>
      </w:pPr>
      <w:r w:rsidRPr="00F7190A">
        <w:rPr>
          <w:lang w:eastAsia="en-US"/>
        </w:rPr>
        <w:t xml:space="preserve">The majority of Offices indicated that they would not consider correspondence where the basic mark consists of a sound represented in a different manner to that represented in the international mark.  Offices indicated in particular that they would not consider there is correspondence </w:t>
      </w:r>
      <w:r w:rsidR="00454C04">
        <w:rPr>
          <w:lang w:eastAsia="en-US"/>
        </w:rPr>
        <w:t xml:space="preserve">in the following circumstances:  </w:t>
      </w:r>
    </w:p>
    <w:p w:rsidR="00F7190A" w:rsidRDefault="00454C04" w:rsidP="00454C04">
      <w:r>
        <w:tab/>
        <w:t>–</w:t>
      </w:r>
      <w:r>
        <w:tab/>
      </w:r>
      <w:proofErr w:type="gramStart"/>
      <w:r w:rsidR="00F7190A" w:rsidRPr="00454C04">
        <w:t>where</w:t>
      </w:r>
      <w:proofErr w:type="gramEnd"/>
      <w:r w:rsidR="00F7190A" w:rsidRPr="00454C04">
        <w:t xml:space="preserve"> the basic mark consists of a sonogram and the international mark consists of</w:t>
      </w:r>
      <w:r w:rsidR="006974A9">
        <w:t> </w:t>
      </w:r>
      <w:r w:rsidR="00F7190A" w:rsidRPr="00454C04">
        <w:t>a pentagram (43</w:t>
      </w:r>
      <w:r>
        <w:t> </w:t>
      </w:r>
      <w:r w:rsidR="00F7190A" w:rsidRPr="00454C04">
        <w:t>Offices);</w:t>
      </w:r>
      <w:r>
        <w:t xml:space="preserve">  </w:t>
      </w:r>
    </w:p>
    <w:p w:rsidR="00454C04" w:rsidRPr="00454C04" w:rsidRDefault="00454C04" w:rsidP="00454C04"/>
    <w:p w:rsidR="00F7190A" w:rsidRDefault="00454C04" w:rsidP="00454C04">
      <w:r>
        <w:tab/>
        <w:t>–</w:t>
      </w:r>
      <w:r>
        <w:tab/>
      </w:r>
      <w:proofErr w:type="gramStart"/>
      <w:r w:rsidR="00F7190A" w:rsidRPr="00454C04">
        <w:t>where</w:t>
      </w:r>
      <w:proofErr w:type="gramEnd"/>
      <w:r w:rsidR="00F7190A" w:rsidRPr="00454C04">
        <w:t xml:space="preserve"> a basic mark consists of a sound recording and the international mark consists of a pentagram (36</w:t>
      </w:r>
      <w:r>
        <w:t> </w:t>
      </w:r>
      <w:r w:rsidR="00F7190A" w:rsidRPr="00454C04">
        <w:t>Offices);</w:t>
      </w:r>
      <w:r>
        <w:t xml:space="preserve">  </w:t>
      </w:r>
    </w:p>
    <w:p w:rsidR="00454C04" w:rsidRPr="00454C04" w:rsidRDefault="00454C04" w:rsidP="00454C04"/>
    <w:p w:rsidR="00F7190A" w:rsidRDefault="00454C04" w:rsidP="00454C04">
      <w:r>
        <w:tab/>
        <w:t>–</w:t>
      </w:r>
      <w:r>
        <w:tab/>
      </w:r>
      <w:proofErr w:type="gramStart"/>
      <w:r w:rsidR="00F7190A" w:rsidRPr="00454C04">
        <w:t>where</w:t>
      </w:r>
      <w:proofErr w:type="gramEnd"/>
      <w:r w:rsidR="00F7190A" w:rsidRPr="00454C04">
        <w:t xml:space="preserve"> a basic mark consists of a sound recording and the international mark consists of a written description (37</w:t>
      </w:r>
      <w:r>
        <w:t> </w:t>
      </w:r>
      <w:r w:rsidR="00F7190A" w:rsidRPr="00454C04">
        <w:t>Offices).</w:t>
      </w:r>
      <w:r>
        <w:t xml:space="preserve">  </w:t>
      </w:r>
    </w:p>
    <w:p w:rsidR="00454C04" w:rsidRPr="00454C04" w:rsidRDefault="00454C04" w:rsidP="00454C04"/>
    <w:p w:rsidR="00F7190A" w:rsidRPr="00F7190A" w:rsidRDefault="00F7190A" w:rsidP="00454C04">
      <w:pPr>
        <w:pStyle w:val="ONUME"/>
        <w:rPr>
          <w:lang w:eastAsia="en-US"/>
        </w:rPr>
      </w:pPr>
      <w:r w:rsidRPr="00F7190A">
        <w:rPr>
          <w:lang w:eastAsia="en-US"/>
        </w:rPr>
        <w:t xml:space="preserve">Several Offices replied that it “depends on other factors” to indicate that their legislation does not provide for sound marks.  Some Offices provided further information concerning the other factors.  For example, one Office indicated that it </w:t>
      </w:r>
      <w:r w:rsidR="00454C04">
        <w:rPr>
          <w:lang w:eastAsia="en-US"/>
        </w:rPr>
        <w:t>works with applicants on a case</w:t>
      </w:r>
      <w:r w:rsidR="00454C04">
        <w:rPr>
          <w:lang w:eastAsia="en-US"/>
        </w:rPr>
        <w:noBreakHyphen/>
      </w:r>
      <w:r w:rsidRPr="00F7190A">
        <w:rPr>
          <w:lang w:eastAsia="en-US"/>
        </w:rPr>
        <w:t>by</w:t>
      </w:r>
      <w:r w:rsidR="00454C04">
        <w:rPr>
          <w:lang w:eastAsia="en-US"/>
        </w:rPr>
        <w:noBreakHyphen/>
      </w:r>
      <w:r w:rsidRPr="00F7190A">
        <w:rPr>
          <w:lang w:eastAsia="en-US"/>
        </w:rPr>
        <w:t>case basis to determine the best course of action, while another Office reported that it was engaged in a pro</w:t>
      </w:r>
      <w:r w:rsidR="00454C04">
        <w:rPr>
          <w:lang w:eastAsia="en-US"/>
        </w:rPr>
        <w:t xml:space="preserve">active review of sound marks.  </w:t>
      </w:r>
    </w:p>
    <w:p w:rsidR="00454C04" w:rsidRPr="00454C04" w:rsidRDefault="00454C04" w:rsidP="00454C04">
      <w:pPr>
        <w:pStyle w:val="ONUME"/>
        <w:numPr>
          <w:ilvl w:val="0"/>
          <w:numId w:val="0"/>
        </w:numPr>
        <w:rPr>
          <w:b/>
        </w:rPr>
      </w:pPr>
      <w:r>
        <w:rPr>
          <w:b/>
        </w:rPr>
        <w:t>“</w:t>
      </w:r>
      <w:r w:rsidRPr="00454C04">
        <w:rPr>
          <w:b/>
        </w:rPr>
        <w:t>F.</w:t>
      </w:r>
      <w:r w:rsidRPr="00454C04">
        <w:rPr>
          <w:b/>
        </w:rPr>
        <w:tab/>
        <w:t>Series of marks (where applicable)</w:t>
      </w:r>
      <w:r w:rsidRPr="00454C04">
        <w:rPr>
          <w:b/>
          <w:noProof/>
          <w:lang w:eastAsia="en-US"/>
        </w:rPr>
        <w:drawing>
          <wp:inline distT="0" distB="0" distL="0" distR="0" wp14:anchorId="0F455EC8" wp14:editId="7351CE88">
            <wp:extent cx="15875" cy="8255"/>
            <wp:effectExtent l="0" t="0" r="0" b="0"/>
            <wp:docPr id="22" name="Picture 2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Pr>
          <w:b/>
        </w:rPr>
        <w:t>”</w:t>
      </w:r>
    </w:p>
    <w:p w:rsidR="00F7190A" w:rsidRPr="00F7190A" w:rsidRDefault="00F7190A" w:rsidP="00454C04">
      <w:pPr>
        <w:pStyle w:val="ONUME"/>
        <w:rPr>
          <w:lang w:eastAsia="en-US"/>
        </w:rPr>
      </w:pPr>
      <w:r w:rsidRPr="00F7190A">
        <w:rPr>
          <w:lang w:eastAsia="en-US"/>
        </w:rPr>
        <w:t xml:space="preserve">Of the </w:t>
      </w:r>
      <w:r w:rsidR="00CB79E0" w:rsidRPr="00F7190A">
        <w:rPr>
          <w:lang w:eastAsia="en-US"/>
        </w:rPr>
        <w:t>5</w:t>
      </w:r>
      <w:r w:rsidR="00CB79E0">
        <w:rPr>
          <w:lang w:eastAsia="en-US"/>
        </w:rPr>
        <w:t>5 </w:t>
      </w:r>
      <w:r w:rsidRPr="00F7190A">
        <w:rPr>
          <w:lang w:eastAsia="en-US"/>
        </w:rPr>
        <w:t xml:space="preserve">Offices that replied to the question concerning correspondence relating to series marks, </w:t>
      </w:r>
      <w:r w:rsidR="00CB79E0" w:rsidRPr="00F7190A">
        <w:rPr>
          <w:lang w:eastAsia="en-US"/>
        </w:rPr>
        <w:t>4</w:t>
      </w:r>
      <w:r w:rsidR="00CB79E0">
        <w:rPr>
          <w:lang w:eastAsia="en-US"/>
        </w:rPr>
        <w:t>7 </w:t>
      </w:r>
      <w:r w:rsidRPr="00F7190A">
        <w:rPr>
          <w:lang w:eastAsia="en-US"/>
        </w:rPr>
        <w:t>Offices would not consider correspondence where the international mark consists of verbal elements extracted from a series of marks in a basic mark.  Six</w:t>
      </w:r>
      <w:r w:rsidR="00454C04">
        <w:rPr>
          <w:lang w:eastAsia="en-US"/>
        </w:rPr>
        <w:t> </w:t>
      </w:r>
      <w:r w:rsidRPr="00F7190A">
        <w:rPr>
          <w:lang w:eastAsia="en-US"/>
        </w:rPr>
        <w:t xml:space="preserve">Offices indicated that they would consider correspondence in this case. </w:t>
      </w:r>
    </w:p>
    <w:p w:rsidR="00F7190A" w:rsidRPr="00F7190A" w:rsidRDefault="00F7190A" w:rsidP="00454C04">
      <w:pPr>
        <w:pStyle w:val="ONUME"/>
        <w:keepNext/>
        <w:keepLines/>
        <w:rPr>
          <w:lang w:eastAsia="en-US"/>
        </w:rPr>
      </w:pPr>
      <w:r w:rsidRPr="00F7190A">
        <w:rPr>
          <w:lang w:eastAsia="en-US"/>
        </w:rPr>
        <w:t>A significant number of Offices (</w:t>
      </w:r>
      <w:r w:rsidR="00CB79E0" w:rsidRPr="00F7190A">
        <w:rPr>
          <w:lang w:eastAsia="en-US"/>
        </w:rPr>
        <w:t>3</w:t>
      </w:r>
      <w:r w:rsidR="00CB79E0">
        <w:rPr>
          <w:lang w:eastAsia="en-US"/>
        </w:rPr>
        <w:t>8</w:t>
      </w:r>
      <w:r w:rsidRPr="00F7190A">
        <w:rPr>
          <w:lang w:eastAsia="en-US"/>
        </w:rPr>
        <w:t xml:space="preserve">) would not consider correspondence where the international mark consists of one mark selected from a series of marks in a basic mark.  </w:t>
      </w:r>
      <w:r w:rsidR="00454C04">
        <w:rPr>
          <w:lang w:eastAsia="en-US"/>
        </w:rPr>
        <w:t>Thirteen</w:t>
      </w:r>
      <w:r w:rsidRPr="00F7190A">
        <w:rPr>
          <w:lang w:eastAsia="en-US"/>
        </w:rPr>
        <w:t> Offices indicated that they would consider cor</w:t>
      </w:r>
      <w:r w:rsidR="00454C04">
        <w:rPr>
          <w:lang w:eastAsia="en-US"/>
        </w:rPr>
        <w:t>respondence in this case.  Five </w:t>
      </w:r>
      <w:r w:rsidRPr="00F7190A">
        <w:rPr>
          <w:lang w:eastAsia="en-US"/>
        </w:rPr>
        <w:t>Offices indicated that correspondence would depend on other factors (for example, the mark selected from the series of basic marks must be identical to the international mark).</w:t>
      </w:r>
      <w:r w:rsidR="00454C04">
        <w:rPr>
          <w:lang w:eastAsia="en-US"/>
        </w:rPr>
        <w:t xml:space="preserve">  </w:t>
      </w:r>
    </w:p>
    <w:p w:rsidR="00F7190A" w:rsidRDefault="00F7190A" w:rsidP="00454C04">
      <w:pPr>
        <w:pStyle w:val="Heading1"/>
        <w:rPr>
          <w:lang w:eastAsia="en-US"/>
        </w:rPr>
      </w:pPr>
      <w:r w:rsidRPr="00F7190A">
        <w:rPr>
          <w:lang w:eastAsia="en-US"/>
        </w:rPr>
        <w:t>Main findings of the exercise</w:t>
      </w:r>
    </w:p>
    <w:p w:rsidR="00454C04" w:rsidRPr="00454C04" w:rsidRDefault="00454C04" w:rsidP="00454C04">
      <w:pPr>
        <w:rPr>
          <w:lang w:eastAsia="en-US"/>
        </w:rPr>
      </w:pPr>
    </w:p>
    <w:p w:rsidR="00F7190A" w:rsidRPr="00F7190A" w:rsidRDefault="00F7190A" w:rsidP="00454C04">
      <w:pPr>
        <w:pStyle w:val="ONUME"/>
        <w:rPr>
          <w:lang w:eastAsia="en-US"/>
        </w:rPr>
      </w:pPr>
      <w:r w:rsidRPr="00F7190A">
        <w:rPr>
          <w:lang w:eastAsia="en-US"/>
        </w:rPr>
        <w:t>A large number of Offices consider that a standard character declaration is equivalent to a</w:t>
      </w:r>
      <w:r w:rsidR="006974A9">
        <w:rPr>
          <w:lang w:eastAsia="en-US"/>
        </w:rPr>
        <w:t> </w:t>
      </w:r>
      <w:r w:rsidRPr="00F7190A">
        <w:rPr>
          <w:lang w:eastAsia="en-US"/>
        </w:rPr>
        <w:t>declaration that the mark is a word mark.</w:t>
      </w:r>
      <w:r w:rsidR="00454C04">
        <w:rPr>
          <w:lang w:eastAsia="en-US"/>
        </w:rPr>
        <w:t xml:space="preserve">  </w:t>
      </w:r>
    </w:p>
    <w:p w:rsidR="00F7190A" w:rsidRPr="00F7190A" w:rsidRDefault="00F7190A" w:rsidP="00454C04">
      <w:pPr>
        <w:pStyle w:val="ONUME"/>
        <w:rPr>
          <w:lang w:eastAsia="en-US"/>
        </w:rPr>
      </w:pPr>
      <w:r w:rsidRPr="00F7190A">
        <w:rPr>
          <w:lang w:eastAsia="en-US"/>
        </w:rPr>
        <w:t>A review of the replies to the questionnaire suggests that an important number of Offices exercise some degree of flexibility regarding the certification of the international application when:</w:t>
      </w:r>
      <w:r w:rsidR="00454C04">
        <w:rPr>
          <w:lang w:eastAsia="en-US"/>
        </w:rPr>
        <w:t xml:space="preserve">  </w:t>
      </w:r>
    </w:p>
    <w:p w:rsidR="00F7190A" w:rsidRPr="00192B99" w:rsidRDefault="00192B99" w:rsidP="00192B99">
      <w:pPr>
        <w:ind w:firstLine="567"/>
      </w:pPr>
      <w:r>
        <w:t>–</w:t>
      </w:r>
      <w:r>
        <w:tab/>
      </w:r>
      <w:proofErr w:type="gramStart"/>
      <w:r w:rsidR="00F7190A" w:rsidRPr="00192B99">
        <w:t>the</w:t>
      </w:r>
      <w:proofErr w:type="gramEnd"/>
      <w:r w:rsidR="00F7190A" w:rsidRPr="00192B99">
        <w:t xml:space="preserve"> basic and international marks are in different fonts but the Office deems they are commonly used fonts (e.g. Arial);</w:t>
      </w:r>
      <w:r w:rsidRPr="00192B99">
        <w:t xml:space="preserve">  </w:t>
      </w:r>
    </w:p>
    <w:p w:rsidR="00192B99" w:rsidRPr="00192B99" w:rsidRDefault="00192B99" w:rsidP="00192B99">
      <w:pPr>
        <w:ind w:firstLine="567"/>
      </w:pPr>
    </w:p>
    <w:p w:rsidR="00F7190A" w:rsidRPr="00192B99" w:rsidRDefault="00192B99" w:rsidP="00192B99">
      <w:pPr>
        <w:ind w:firstLine="567"/>
      </w:pPr>
      <w:r>
        <w:t>–</w:t>
      </w:r>
      <w:r>
        <w:tab/>
      </w:r>
      <w:proofErr w:type="gramStart"/>
      <w:r w:rsidR="00F7190A" w:rsidRPr="00192B99">
        <w:t>the</w:t>
      </w:r>
      <w:proofErr w:type="gramEnd"/>
      <w:r w:rsidR="00F7190A" w:rsidRPr="00192B99">
        <w:t xml:space="preserve"> basic and international marks are in the same font but one of them is in bold typeface; </w:t>
      </w:r>
      <w:r w:rsidRPr="00192B99">
        <w:t xml:space="preserve"> </w:t>
      </w:r>
    </w:p>
    <w:p w:rsidR="00192B99" w:rsidRPr="00192B99" w:rsidRDefault="00192B99" w:rsidP="00192B99">
      <w:pPr>
        <w:ind w:firstLine="567"/>
      </w:pPr>
    </w:p>
    <w:p w:rsidR="00F7190A" w:rsidRPr="00192B99" w:rsidRDefault="00192B99" w:rsidP="00192B99">
      <w:pPr>
        <w:ind w:firstLine="567"/>
      </w:pPr>
      <w:r>
        <w:t>–</w:t>
      </w:r>
      <w:r>
        <w:tab/>
      </w:r>
      <w:proofErr w:type="gramStart"/>
      <w:r w:rsidR="00F7190A" w:rsidRPr="00192B99">
        <w:t>the</w:t>
      </w:r>
      <w:proofErr w:type="gramEnd"/>
      <w:r w:rsidR="00F7190A" w:rsidRPr="00192B99">
        <w:t xml:space="preserve"> characters in the basic and international marks are in the same font but the marks are presented in different size.</w:t>
      </w:r>
      <w:r w:rsidRPr="00192B99">
        <w:t xml:space="preserve">  </w:t>
      </w:r>
    </w:p>
    <w:p w:rsidR="00192B99" w:rsidRPr="00192B99" w:rsidRDefault="00192B99" w:rsidP="00192B99">
      <w:pPr>
        <w:ind w:firstLine="567"/>
      </w:pPr>
    </w:p>
    <w:p w:rsidR="00F7190A" w:rsidRDefault="00192B99" w:rsidP="00192B99">
      <w:pPr>
        <w:ind w:firstLine="567"/>
      </w:pPr>
      <w:r>
        <w:t>–</w:t>
      </w:r>
      <w:r>
        <w:tab/>
      </w:r>
      <w:proofErr w:type="gramStart"/>
      <w:r w:rsidR="00F7190A" w:rsidRPr="00192B99">
        <w:t>the</w:t>
      </w:r>
      <w:proofErr w:type="gramEnd"/>
      <w:r w:rsidR="00F7190A" w:rsidRPr="00192B99">
        <w:t xml:space="preserve"> characters in the basic mark are spaced in a way which is different than the</w:t>
      </w:r>
      <w:r>
        <w:t> </w:t>
      </w:r>
      <w:r w:rsidR="00F7190A" w:rsidRPr="00192B99">
        <w:t xml:space="preserve">one used in the international mark; </w:t>
      </w:r>
      <w:r>
        <w:t xml:space="preserve"> </w:t>
      </w:r>
    </w:p>
    <w:p w:rsidR="00192B99" w:rsidRPr="00192B99" w:rsidRDefault="00192B99" w:rsidP="00192B99">
      <w:pPr>
        <w:ind w:firstLine="567"/>
      </w:pPr>
    </w:p>
    <w:p w:rsidR="00F7190A" w:rsidRPr="00192B99" w:rsidRDefault="00192B99" w:rsidP="00192B99">
      <w:pPr>
        <w:ind w:firstLine="567"/>
      </w:pPr>
      <w:r>
        <w:t>–</w:t>
      </w:r>
      <w:r>
        <w:tab/>
      </w:r>
      <w:proofErr w:type="gramStart"/>
      <w:r w:rsidR="00F7190A" w:rsidRPr="00192B99">
        <w:t>the</w:t>
      </w:r>
      <w:proofErr w:type="gramEnd"/>
      <w:r w:rsidR="00F7190A" w:rsidRPr="00192B99">
        <w:t xml:space="preserve"> basic mark is in uppercase and the international mark is not, or vice versa;</w:t>
      </w:r>
      <w:r>
        <w:t xml:space="preserve">  </w:t>
      </w:r>
    </w:p>
    <w:p w:rsidR="00192B99" w:rsidRDefault="00192B99" w:rsidP="00192B99">
      <w:pPr>
        <w:ind w:firstLine="567"/>
      </w:pPr>
    </w:p>
    <w:p w:rsidR="00F7190A" w:rsidRDefault="00192B99" w:rsidP="00192B99">
      <w:pPr>
        <w:ind w:firstLine="567"/>
      </w:pPr>
      <w:r>
        <w:t>–</w:t>
      </w:r>
      <w:r>
        <w:tab/>
      </w:r>
      <w:proofErr w:type="gramStart"/>
      <w:r w:rsidR="00F7190A" w:rsidRPr="00192B99">
        <w:t>the</w:t>
      </w:r>
      <w:proofErr w:type="gramEnd"/>
      <w:r w:rsidR="00F7190A" w:rsidRPr="00192B99">
        <w:t xml:space="preserve"> basic mark includes the registered symbol </w:t>
      </w:r>
      <w:r>
        <w:t>“</w:t>
      </w:r>
      <w:r w:rsidR="00F7190A" w:rsidRPr="00192B99">
        <w:t>®</w:t>
      </w:r>
      <w:r>
        <w:t>”</w:t>
      </w:r>
      <w:r w:rsidR="00F7190A" w:rsidRPr="00192B99">
        <w:t xml:space="preserve"> and the international mark does not;</w:t>
      </w:r>
      <w:r>
        <w:t xml:space="preserve">  </w:t>
      </w:r>
    </w:p>
    <w:p w:rsidR="00192B99" w:rsidRPr="00192B99" w:rsidRDefault="00192B99" w:rsidP="00192B99">
      <w:pPr>
        <w:ind w:firstLine="567"/>
      </w:pPr>
    </w:p>
    <w:p w:rsidR="00F7190A" w:rsidRDefault="00192B99" w:rsidP="00192B99">
      <w:pPr>
        <w:ind w:firstLine="567"/>
      </w:pPr>
      <w:r>
        <w:t>–</w:t>
      </w:r>
      <w:r>
        <w:tab/>
      </w:r>
      <w:proofErr w:type="gramStart"/>
      <w:r w:rsidR="00F7190A" w:rsidRPr="00192B99">
        <w:t>the</w:t>
      </w:r>
      <w:proofErr w:type="gramEnd"/>
      <w:r w:rsidR="00F7190A" w:rsidRPr="00192B99">
        <w:t xml:space="preserve"> international mark consists of a clearer or sharper image of the basic mark.</w:t>
      </w:r>
      <w:r>
        <w:t xml:space="preserve">  </w:t>
      </w:r>
    </w:p>
    <w:p w:rsidR="00192B99" w:rsidRPr="00192B99" w:rsidRDefault="00192B99" w:rsidP="00192B99">
      <w:pPr>
        <w:ind w:firstLine="567"/>
      </w:pPr>
    </w:p>
    <w:p w:rsidR="00F7190A" w:rsidRPr="00F7190A" w:rsidRDefault="00F7190A" w:rsidP="00454C04">
      <w:pPr>
        <w:pStyle w:val="ONUME"/>
        <w:rPr>
          <w:lang w:eastAsia="en-US"/>
        </w:rPr>
      </w:pPr>
      <w:r w:rsidRPr="00F7190A">
        <w:rPr>
          <w:lang w:eastAsia="en-US"/>
        </w:rPr>
        <w:t xml:space="preserve">The review also suggests that most Offices are less flexible concerning the certification of the international application when: </w:t>
      </w:r>
      <w:r w:rsidR="00192B99">
        <w:rPr>
          <w:lang w:eastAsia="en-US"/>
        </w:rPr>
        <w:t xml:space="preserve"> </w:t>
      </w:r>
    </w:p>
    <w:p w:rsidR="00F7190A" w:rsidRPr="00192B99" w:rsidRDefault="00192B99" w:rsidP="00192B99">
      <w:r>
        <w:tab/>
        <w:t>–</w:t>
      </w:r>
      <w:r>
        <w:tab/>
      </w:r>
      <w:proofErr w:type="gramStart"/>
      <w:r w:rsidR="00F7190A" w:rsidRPr="00192B99">
        <w:t>the</w:t>
      </w:r>
      <w:proofErr w:type="gramEnd"/>
      <w:r w:rsidR="00F7190A" w:rsidRPr="00192B99">
        <w:t xml:space="preserve"> basic and international marks are in different fonts and the Office deems they are less commonly used fonts (e.g. Old English);</w:t>
      </w:r>
      <w:r w:rsidRPr="00192B99">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basic and international marks are in the same font but one of them is in italic typeface;</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basic mark consists of more than one word and spacing in the international mark has been adjusted to form a conjoined word;</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basic mark has some letters in uppercase and the international mark does not;</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basic mark has accented letters or punctuation marks and the international mark does not;</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basic and international mark differ in respect of positioning or direction;</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international mark is a translation or transliteration of the basic mark;</w:t>
      </w:r>
      <w:r>
        <w:t xml:space="preserve">  </w:t>
      </w:r>
    </w:p>
    <w:p w:rsidR="00192B99" w:rsidRPr="00192B99" w:rsidRDefault="00192B99" w:rsidP="00192B99"/>
    <w:p w:rsidR="00F7190A" w:rsidRDefault="00192B99" w:rsidP="00192B99">
      <w:r>
        <w:tab/>
        <w:t>–</w:t>
      </w:r>
      <w:r>
        <w:tab/>
      </w:r>
      <w:proofErr w:type="gramStart"/>
      <w:r w:rsidR="00F7190A" w:rsidRPr="00192B99">
        <w:t>there</w:t>
      </w:r>
      <w:proofErr w:type="gramEnd"/>
      <w:r w:rsidR="00F7190A" w:rsidRPr="00192B99">
        <w:t xml:space="preserve"> are differences in color between the basic and international mark;</w:t>
      </w:r>
      <w:r>
        <w:t xml:space="preserve">  </w:t>
      </w:r>
    </w:p>
    <w:p w:rsidR="00192B99" w:rsidRPr="00192B99" w:rsidRDefault="00192B99" w:rsidP="00192B99"/>
    <w:p w:rsidR="00F7190A" w:rsidRDefault="00192B99" w:rsidP="00192B99">
      <w:r>
        <w:tab/>
        <w:t>–</w:t>
      </w:r>
      <w:r>
        <w:tab/>
      </w:r>
      <w:proofErr w:type="gramStart"/>
      <w:r w:rsidR="00F7190A" w:rsidRPr="00192B99">
        <w:t>there</w:t>
      </w:r>
      <w:proofErr w:type="gramEnd"/>
      <w:r w:rsidR="00F7190A" w:rsidRPr="00192B99">
        <w:t xml:space="preserve"> are variations between the basic and international mark, when these have figurative elements;</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representation of the international mark is different than the representation of the basic mark, when these are three-dimensional or sound marks;</w:t>
      </w:r>
      <w:r>
        <w:t xml:space="preserve">  </w:t>
      </w:r>
    </w:p>
    <w:p w:rsidR="00192B99" w:rsidRPr="00192B99" w:rsidRDefault="00192B99" w:rsidP="00192B99"/>
    <w:p w:rsidR="00F7190A" w:rsidRDefault="00192B99" w:rsidP="00192B99">
      <w:r>
        <w:tab/>
        <w:t>–</w:t>
      </w:r>
      <w:r>
        <w:tab/>
      </w:r>
      <w:proofErr w:type="gramStart"/>
      <w:r w:rsidR="00F7190A" w:rsidRPr="00192B99">
        <w:t>the</w:t>
      </w:r>
      <w:proofErr w:type="gramEnd"/>
      <w:r w:rsidR="00F7190A" w:rsidRPr="00192B99">
        <w:t xml:space="preserve"> international mark consists of one mark or verbal elements extracted from the basic mark, when the latter is a series of marks.</w:t>
      </w:r>
      <w:r>
        <w:t xml:space="preserve">  </w:t>
      </w:r>
    </w:p>
    <w:p w:rsidR="00192B99" w:rsidRPr="00192B99" w:rsidRDefault="00192B99" w:rsidP="00192B99"/>
    <w:p w:rsidR="00F7190A" w:rsidRPr="00F7190A" w:rsidRDefault="00F7190A" w:rsidP="00454C04">
      <w:pPr>
        <w:pStyle w:val="ONUME"/>
        <w:rPr>
          <w:lang w:eastAsia="en-US"/>
        </w:rPr>
      </w:pPr>
      <w:r w:rsidRPr="00F7190A">
        <w:rPr>
          <w:lang w:eastAsia="en-US"/>
        </w:rPr>
        <w:t xml:space="preserve">Some Offices consistently indicated that they would not certify the international application under any of the circumstances or cases presented in the questionnaire. </w:t>
      </w:r>
      <w:r w:rsidR="00192B99">
        <w:rPr>
          <w:lang w:eastAsia="en-US"/>
        </w:rPr>
        <w:t xml:space="preserve"> </w:t>
      </w:r>
    </w:p>
    <w:p w:rsidR="00F7190A" w:rsidRPr="00F7190A" w:rsidRDefault="00F7190A" w:rsidP="00192B99">
      <w:pPr>
        <w:pStyle w:val="ONUME"/>
        <w:rPr>
          <w:lang w:eastAsia="en-US"/>
        </w:rPr>
      </w:pPr>
      <w:r w:rsidRPr="00F7190A">
        <w:rPr>
          <w:lang w:eastAsia="en-US"/>
        </w:rPr>
        <w:t>Therefore, it seems that, regarding the certification function, the practices of the Offices range from being moderately flexible to requiring identity with the basic mark.</w:t>
      </w:r>
      <w:r w:rsidR="00192B99">
        <w:rPr>
          <w:lang w:eastAsia="en-US"/>
        </w:rPr>
        <w:t xml:space="preserve">  </w:t>
      </w:r>
    </w:p>
    <w:p w:rsidR="00F7190A" w:rsidRPr="00F7190A" w:rsidRDefault="00F7190A" w:rsidP="00192B99">
      <w:pPr>
        <w:pStyle w:val="ONUME"/>
        <w:rPr>
          <w:lang w:eastAsia="en-US"/>
        </w:rPr>
      </w:pPr>
      <w:r w:rsidRPr="00F7190A">
        <w:rPr>
          <w:lang w:eastAsia="en-US"/>
        </w:rPr>
        <w:t>Finally, it appears that the immediate problem with special types of marks, such as three</w:t>
      </w:r>
      <w:r w:rsidR="00192B99">
        <w:rPr>
          <w:lang w:eastAsia="en-US"/>
        </w:rPr>
        <w:noBreakHyphen/>
      </w:r>
      <w:r w:rsidRPr="00F7190A">
        <w:rPr>
          <w:lang w:eastAsia="en-US"/>
        </w:rPr>
        <w:t xml:space="preserve">dimensional marks and sound marks is not directly related with their certification, but with requirements concerning their representation.  </w:t>
      </w:r>
    </w:p>
    <w:p w:rsidR="00F7190A" w:rsidRDefault="00F7190A" w:rsidP="00192B99">
      <w:pPr>
        <w:pStyle w:val="Heading1"/>
        <w:rPr>
          <w:lang w:eastAsia="en-US"/>
        </w:rPr>
      </w:pPr>
      <w:r w:rsidRPr="00F7190A">
        <w:rPr>
          <w:lang w:eastAsia="en-US"/>
        </w:rPr>
        <w:t>Possible ways forward</w:t>
      </w:r>
    </w:p>
    <w:p w:rsidR="00192B99" w:rsidRPr="00192B99" w:rsidRDefault="00192B99" w:rsidP="00192B99">
      <w:pPr>
        <w:rPr>
          <w:lang w:eastAsia="en-US"/>
        </w:rPr>
      </w:pPr>
    </w:p>
    <w:p w:rsidR="00F7190A" w:rsidRPr="00F7190A" w:rsidRDefault="00F7190A" w:rsidP="00192B99">
      <w:pPr>
        <w:pStyle w:val="ONUME"/>
        <w:rPr>
          <w:lang w:eastAsia="en-US"/>
        </w:rPr>
      </w:pPr>
      <w:r w:rsidRPr="00F7190A">
        <w:rPr>
          <w:lang w:eastAsia="en-US"/>
        </w:rPr>
        <w:t xml:space="preserve">The findings reveal that there are different practices amongst the Offices when certifying international applications.  Some Offices seem to require “identity”, which makes them less flexible, while other Offices seem to require “correspondence” between the basic and international marks, which makes them more flexible.  In view of the above, a deeper analysis and further discussion may be necessary to reach general principles and possible guidelines or “best practices” for those Offices that are interested. </w:t>
      </w:r>
      <w:r w:rsidR="00192B99">
        <w:rPr>
          <w:lang w:eastAsia="en-US"/>
        </w:rPr>
        <w:t xml:space="preserve"> </w:t>
      </w:r>
    </w:p>
    <w:p w:rsidR="00CE5752" w:rsidRDefault="00CE5752" w:rsidP="00E93BD7"/>
    <w:p w:rsidR="00192B99" w:rsidRDefault="00192B99" w:rsidP="00E93BD7"/>
    <w:p w:rsidR="007B63B3" w:rsidRDefault="00E93BD7" w:rsidP="00192B99">
      <w:pPr>
        <w:pStyle w:val="Endofdocument-Annex"/>
        <w:ind w:left="5533"/>
      </w:pPr>
      <w:r w:rsidRPr="00793D7F">
        <w:t>[End of document]</w:t>
      </w:r>
    </w:p>
    <w:sectPr w:rsidR="007B63B3" w:rsidSect="00286EE5">
      <w:headerReference w:type="default" r:id="rId12"/>
      <w:pgSz w:w="11907" w:h="16840" w:code="9"/>
      <w:pgMar w:top="567" w:right="1134" w:bottom="54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47" w:rsidRDefault="00742B47">
      <w:r>
        <w:separator/>
      </w:r>
    </w:p>
  </w:endnote>
  <w:endnote w:type="continuationSeparator" w:id="0">
    <w:p w:rsidR="00742B47" w:rsidRDefault="00742B47" w:rsidP="000C7343">
      <w:r>
        <w:separator/>
      </w:r>
    </w:p>
    <w:p w:rsidR="00742B47" w:rsidRPr="000C7343" w:rsidRDefault="00742B47" w:rsidP="000C7343">
      <w:r>
        <w:rPr>
          <w:sz w:val="17"/>
        </w:rPr>
        <w:t>[Endnote continued from previous page]</w:t>
      </w:r>
    </w:p>
  </w:endnote>
  <w:endnote w:type="continuationNotice" w:id="1">
    <w:p w:rsidR="00742B47" w:rsidRPr="000C7343" w:rsidRDefault="00742B47"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47" w:rsidRDefault="00742B47">
      <w:r>
        <w:separator/>
      </w:r>
    </w:p>
  </w:footnote>
  <w:footnote w:type="continuationSeparator" w:id="0">
    <w:p w:rsidR="00742B47" w:rsidRDefault="00742B47" w:rsidP="000C7343">
      <w:r>
        <w:separator/>
      </w:r>
    </w:p>
    <w:p w:rsidR="00742B47" w:rsidRPr="000C7343" w:rsidRDefault="00742B47"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742B47" w:rsidRPr="000C7343" w:rsidRDefault="00742B47" w:rsidP="000C7343">
      <w:pPr>
        <w:spacing w:before="60"/>
        <w:jc w:val="right"/>
        <w:rPr>
          <w:sz w:val="17"/>
          <w:szCs w:val="17"/>
        </w:rPr>
      </w:pPr>
      <w:r w:rsidRPr="000C7343">
        <w:rPr>
          <w:sz w:val="17"/>
          <w:szCs w:val="17"/>
        </w:rPr>
        <w:t>[Footnote continued on next page]</w:t>
      </w:r>
    </w:p>
  </w:footnote>
  <w:footnote w:id="2">
    <w:p w:rsidR="00311859" w:rsidRPr="00F7190A" w:rsidRDefault="00311859">
      <w:pPr>
        <w:pStyle w:val="FootnoteText"/>
      </w:pPr>
      <w:r>
        <w:rPr>
          <w:rStyle w:val="FootnoteReference"/>
        </w:rPr>
        <w:footnoteRef/>
      </w:r>
      <w:r>
        <w:t xml:space="preserve"> </w:t>
      </w:r>
      <w:r>
        <w:tab/>
      </w:r>
      <w:proofErr w:type="gramStart"/>
      <w:r>
        <w:t xml:space="preserve">Published </w:t>
      </w:r>
      <w:r w:rsidRPr="006974A9">
        <w:t xml:space="preserve">at:  </w:t>
      </w:r>
      <w:hyperlink r:id="rId1" w:history="1">
        <w:r w:rsidRPr="006974A9">
          <w:rPr>
            <w:rStyle w:val="Hyperlink"/>
            <w:color w:val="auto"/>
          </w:rPr>
          <w:t>http://www.wipo.int/meetings/en/doc_details.jsp?doc_id=371316</w:t>
        </w:r>
      </w:hyperlink>
      <w:r w:rsidRPr="006974A9">
        <w:t>.</w:t>
      </w:r>
      <w:proofErr w:type="gramEnd"/>
      <w:r w:rsidRPr="006974A9">
        <w:t xml:space="preserve">   </w:t>
      </w:r>
    </w:p>
  </w:footnote>
  <w:footnote w:id="3">
    <w:p w:rsidR="00311859" w:rsidRPr="00864B75" w:rsidRDefault="00311859" w:rsidP="00F7190A">
      <w:pPr>
        <w:pStyle w:val="FootnoteText"/>
        <w:rPr>
          <w:u w:val="single"/>
        </w:rPr>
      </w:pPr>
      <w:r>
        <w:rPr>
          <w:rStyle w:val="FootnoteReference"/>
        </w:rPr>
        <w:footnoteRef/>
      </w:r>
      <w:r>
        <w:t xml:space="preserve"> </w:t>
      </w:r>
      <w:r>
        <w:tab/>
        <w:t xml:space="preserve">See MM/LD/WG/13/RT </w:t>
      </w:r>
      <w:hyperlink r:id="rId2" w:history="1">
        <w:r w:rsidRPr="006974A9">
          <w:rPr>
            <w:rStyle w:val="Hyperlink"/>
            <w:color w:val="auto"/>
          </w:rPr>
          <w:t>http://www.wipo.int/meetings/en/details.jsp?meeting_id=37742</w:t>
        </w:r>
      </w:hyperlink>
      <w:r w:rsidRPr="006974A9">
        <w:t xml:space="preserve"> and MM/LD/WG/14/RT </w:t>
      </w:r>
      <w:hyperlink r:id="rId3" w:history="1">
        <w:r w:rsidRPr="006974A9">
          <w:rPr>
            <w:rStyle w:val="Hyperlink"/>
            <w:color w:val="auto"/>
          </w:rPr>
          <w:t>http://www.wipo.int/meetings/en/details.jsp?meeting_id=39952</w:t>
        </w:r>
      </w:hyperlink>
      <w:r w:rsidR="00864B75">
        <w:rPr>
          <w:rStyle w:val="Hyperlink"/>
          <w:color w:val="auto"/>
        </w:rPr>
        <w:t xml:space="preserve">.  </w:t>
      </w:r>
    </w:p>
  </w:footnote>
  <w:footnote w:id="4">
    <w:p w:rsidR="00311859" w:rsidRDefault="00311859" w:rsidP="00F7190A">
      <w:pPr>
        <w:pStyle w:val="FootnoteText"/>
      </w:pPr>
      <w:r>
        <w:rPr>
          <w:rStyle w:val="FootnoteReference"/>
        </w:rPr>
        <w:footnoteRef/>
      </w:r>
      <w:r>
        <w:t xml:space="preserve"> </w:t>
      </w:r>
      <w:r>
        <w:tab/>
        <w:t>I</w:t>
      </w:r>
      <w:r w:rsidRPr="00D96B98">
        <w:t xml:space="preserve">n addition, one Office </w:t>
      </w:r>
      <w:r>
        <w:t>indicated that</w:t>
      </w:r>
      <w:r w:rsidRPr="00D96B98">
        <w:t xml:space="preserve"> applicants must use the on</w:t>
      </w:r>
      <w:r>
        <w:t>–</w:t>
      </w:r>
      <w:r w:rsidRPr="00D96B98">
        <w:t>line application form and cannot change the reproduction of the mark, but nevertheless filled out the full questionnaire.  Another Office allows the applicant to choose</w:t>
      </w:r>
      <w:r>
        <w:t xml:space="preserve"> either an</w:t>
      </w:r>
      <w:r w:rsidRPr="00D96B98">
        <w:t xml:space="preserve"> on</w:t>
      </w:r>
      <w:r>
        <w:t>–</w:t>
      </w:r>
      <w:r w:rsidRPr="00D96B98">
        <w:t>line form or paper form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59" w:rsidRDefault="00311859" w:rsidP="00477D6B">
    <w:pPr>
      <w:jc w:val="right"/>
    </w:pPr>
    <w:bookmarkStart w:id="5" w:name="Code2"/>
    <w:bookmarkEnd w:id="5"/>
    <w:r>
      <w:t>MM/LD/WG/15/RT/2</w:t>
    </w:r>
  </w:p>
  <w:p w:rsidR="00311859" w:rsidRDefault="00311859" w:rsidP="00477D6B">
    <w:pPr>
      <w:jc w:val="right"/>
    </w:pPr>
    <w:proofErr w:type="gramStart"/>
    <w:r>
      <w:t>page</w:t>
    </w:r>
    <w:proofErr w:type="gramEnd"/>
    <w:r>
      <w:t xml:space="preserve"> </w:t>
    </w:r>
    <w:r>
      <w:fldChar w:fldCharType="begin"/>
    </w:r>
    <w:r>
      <w:instrText xml:space="preserve"> PAGE  \* MERGEFORMAT </w:instrText>
    </w:r>
    <w:r>
      <w:fldChar w:fldCharType="separate"/>
    </w:r>
    <w:r w:rsidR="006C1B94">
      <w:rPr>
        <w:noProof/>
      </w:rPr>
      <w:t>8</w:t>
    </w:r>
    <w:r>
      <w:fldChar w:fldCharType="end"/>
    </w:r>
  </w:p>
  <w:p w:rsidR="00311859" w:rsidRDefault="00311859" w:rsidP="00477D6B">
    <w:pPr>
      <w:jc w:val="right"/>
    </w:pPr>
  </w:p>
  <w:p w:rsidR="00311859" w:rsidRDefault="0031185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C7103"/>
    <w:multiLevelType w:val="hybridMultilevel"/>
    <w:tmpl w:val="C560838C"/>
    <w:lvl w:ilvl="0" w:tplc="3682A0CA">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5530"/>
    <w:multiLevelType w:val="hybridMultilevel"/>
    <w:tmpl w:val="D436B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05B2"/>
    <w:multiLevelType w:val="hybridMultilevel"/>
    <w:tmpl w:val="5DF88A18"/>
    <w:lvl w:ilvl="0" w:tplc="864CAF0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F0442"/>
    <w:multiLevelType w:val="hybridMultilevel"/>
    <w:tmpl w:val="E6A26496"/>
    <w:lvl w:ilvl="0" w:tplc="EF7885A4">
      <w:start w:val="2"/>
      <w:numFmt w:val="bullet"/>
      <w:lvlText w:val="̶"/>
      <w:lvlJc w:val="left"/>
      <w:pPr>
        <w:ind w:left="1080" w:hanging="360"/>
      </w:pPr>
      <w:rPr>
        <w:rFonts w:ascii="Arial" w:eastAsiaTheme="minorHAnsi"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59F0070"/>
    <w:multiLevelType w:val="hybridMultilevel"/>
    <w:tmpl w:val="8E4EB178"/>
    <w:lvl w:ilvl="0" w:tplc="4F1A05F2">
      <w:start w:val="37"/>
      <w:numFmt w:val="bullet"/>
      <w:lvlText w:val="̶"/>
      <w:lvlJc w:val="left"/>
      <w:pPr>
        <w:ind w:left="1070" w:hanging="360"/>
      </w:pPr>
      <w:rPr>
        <w:rFonts w:ascii="Arial" w:eastAsiaTheme="minorHAnsi" w:hAnsi="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95D7E71"/>
    <w:multiLevelType w:val="hybridMultilevel"/>
    <w:tmpl w:val="7E10AB2E"/>
    <w:lvl w:ilvl="0" w:tplc="3F3E8C1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C18CD"/>
    <w:multiLevelType w:val="hybridMultilevel"/>
    <w:tmpl w:val="614AC268"/>
    <w:lvl w:ilvl="0" w:tplc="A91AE2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61FA6"/>
    <w:multiLevelType w:val="hybridMultilevel"/>
    <w:tmpl w:val="BC3CBEDE"/>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114FF"/>
    <w:multiLevelType w:val="hybridMultilevel"/>
    <w:tmpl w:val="DE9230D8"/>
    <w:lvl w:ilvl="0" w:tplc="BA827BE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D721E"/>
    <w:multiLevelType w:val="hybridMultilevel"/>
    <w:tmpl w:val="96EA0D5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010A2"/>
    <w:multiLevelType w:val="hybridMultilevel"/>
    <w:tmpl w:val="824ABE1C"/>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A1A6F"/>
    <w:multiLevelType w:val="hybridMultilevel"/>
    <w:tmpl w:val="4338310C"/>
    <w:lvl w:ilvl="0" w:tplc="2CE6D95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E3029"/>
    <w:multiLevelType w:val="hybridMultilevel"/>
    <w:tmpl w:val="B74451CC"/>
    <w:lvl w:ilvl="0" w:tplc="3682A0CA">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243B2"/>
    <w:multiLevelType w:val="hybridMultilevel"/>
    <w:tmpl w:val="6B18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E209E"/>
    <w:multiLevelType w:val="hybridMultilevel"/>
    <w:tmpl w:val="5C8E25D4"/>
    <w:lvl w:ilvl="0" w:tplc="9198F70E">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1"/>
  </w:num>
  <w:num w:numId="6">
    <w:abstractNumId w:val="7"/>
  </w:num>
  <w:num w:numId="7">
    <w:abstractNumId w:val="4"/>
  </w:num>
  <w:num w:numId="8">
    <w:abstractNumId w:val="3"/>
  </w:num>
  <w:num w:numId="9">
    <w:abstractNumId w:val="11"/>
  </w:num>
  <w:num w:numId="10">
    <w:abstractNumId w:val="16"/>
  </w:num>
  <w:num w:numId="11">
    <w:abstractNumId w:val="17"/>
  </w:num>
  <w:num w:numId="12">
    <w:abstractNumId w:val="20"/>
  </w:num>
  <w:num w:numId="13">
    <w:abstractNumId w:val="10"/>
  </w:num>
  <w:num w:numId="14">
    <w:abstractNumId w:val="9"/>
  </w:num>
  <w:num w:numId="15">
    <w:abstractNumId w:val="8"/>
  </w:num>
  <w:num w:numId="16">
    <w:abstractNumId w:val="19"/>
  </w:num>
  <w:num w:numId="17">
    <w:abstractNumId w:val="5"/>
  </w:num>
  <w:num w:numId="18">
    <w:abstractNumId w:val="12"/>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D6"/>
    <w:rsid w:val="00021317"/>
    <w:rsid w:val="00026990"/>
    <w:rsid w:val="00067015"/>
    <w:rsid w:val="000869FB"/>
    <w:rsid w:val="000A46A9"/>
    <w:rsid w:val="000C1C61"/>
    <w:rsid w:val="000C7343"/>
    <w:rsid w:val="000D28E0"/>
    <w:rsid w:val="000E7585"/>
    <w:rsid w:val="000F5E56"/>
    <w:rsid w:val="00124D47"/>
    <w:rsid w:val="001362EE"/>
    <w:rsid w:val="0014291E"/>
    <w:rsid w:val="00153FF2"/>
    <w:rsid w:val="00156BA7"/>
    <w:rsid w:val="001662A9"/>
    <w:rsid w:val="00171DBC"/>
    <w:rsid w:val="00176EF4"/>
    <w:rsid w:val="001832A6"/>
    <w:rsid w:val="00192B99"/>
    <w:rsid w:val="001B3C6A"/>
    <w:rsid w:val="001C2EF2"/>
    <w:rsid w:val="001C47BF"/>
    <w:rsid w:val="001D7119"/>
    <w:rsid w:val="0023011C"/>
    <w:rsid w:val="002317F6"/>
    <w:rsid w:val="002456E6"/>
    <w:rsid w:val="002634C4"/>
    <w:rsid w:val="00277697"/>
    <w:rsid w:val="0028381B"/>
    <w:rsid w:val="00286EE5"/>
    <w:rsid w:val="002A52E1"/>
    <w:rsid w:val="002F4E68"/>
    <w:rsid w:val="00303CC1"/>
    <w:rsid w:val="00311859"/>
    <w:rsid w:val="00327EE4"/>
    <w:rsid w:val="00351D2C"/>
    <w:rsid w:val="003818A7"/>
    <w:rsid w:val="003845C1"/>
    <w:rsid w:val="00393C7E"/>
    <w:rsid w:val="00394FDF"/>
    <w:rsid w:val="003962A8"/>
    <w:rsid w:val="003D4C7C"/>
    <w:rsid w:val="003E31B9"/>
    <w:rsid w:val="003F1476"/>
    <w:rsid w:val="004055A0"/>
    <w:rsid w:val="00414057"/>
    <w:rsid w:val="004223DE"/>
    <w:rsid w:val="00423E3E"/>
    <w:rsid w:val="004257DE"/>
    <w:rsid w:val="00427AF4"/>
    <w:rsid w:val="00431DA6"/>
    <w:rsid w:val="00454C04"/>
    <w:rsid w:val="004647DA"/>
    <w:rsid w:val="004647DB"/>
    <w:rsid w:val="004647FC"/>
    <w:rsid w:val="00477D6B"/>
    <w:rsid w:val="004A066F"/>
    <w:rsid w:val="004A2E8A"/>
    <w:rsid w:val="004C7F09"/>
    <w:rsid w:val="004F3461"/>
    <w:rsid w:val="004F4D9B"/>
    <w:rsid w:val="005136F0"/>
    <w:rsid w:val="00521D47"/>
    <w:rsid w:val="00521F14"/>
    <w:rsid w:val="00526CF5"/>
    <w:rsid w:val="0053426E"/>
    <w:rsid w:val="00564105"/>
    <w:rsid w:val="005914B5"/>
    <w:rsid w:val="005930A5"/>
    <w:rsid w:val="005A40B0"/>
    <w:rsid w:val="005C4A7F"/>
    <w:rsid w:val="005C57E9"/>
    <w:rsid w:val="005D0D70"/>
    <w:rsid w:val="005E04BB"/>
    <w:rsid w:val="005F347E"/>
    <w:rsid w:val="005F652F"/>
    <w:rsid w:val="00605827"/>
    <w:rsid w:val="006251C6"/>
    <w:rsid w:val="0063363C"/>
    <w:rsid w:val="006364DA"/>
    <w:rsid w:val="00643AC7"/>
    <w:rsid w:val="006455AC"/>
    <w:rsid w:val="00656BB5"/>
    <w:rsid w:val="0068132A"/>
    <w:rsid w:val="006974A9"/>
    <w:rsid w:val="006C1B94"/>
    <w:rsid w:val="006C39FA"/>
    <w:rsid w:val="006E3AD1"/>
    <w:rsid w:val="006E69E9"/>
    <w:rsid w:val="00711E67"/>
    <w:rsid w:val="00715A6B"/>
    <w:rsid w:val="00721176"/>
    <w:rsid w:val="00736161"/>
    <w:rsid w:val="00742B47"/>
    <w:rsid w:val="00747B94"/>
    <w:rsid w:val="0075287F"/>
    <w:rsid w:val="00784777"/>
    <w:rsid w:val="007A670E"/>
    <w:rsid w:val="007B63B3"/>
    <w:rsid w:val="007C6245"/>
    <w:rsid w:val="007F0242"/>
    <w:rsid w:val="007F2C40"/>
    <w:rsid w:val="00831073"/>
    <w:rsid w:val="00833662"/>
    <w:rsid w:val="0083588F"/>
    <w:rsid w:val="0086251E"/>
    <w:rsid w:val="00864B75"/>
    <w:rsid w:val="0086703F"/>
    <w:rsid w:val="00872B2F"/>
    <w:rsid w:val="0089487E"/>
    <w:rsid w:val="008A3809"/>
    <w:rsid w:val="008A551F"/>
    <w:rsid w:val="008B2CC1"/>
    <w:rsid w:val="008C3BDE"/>
    <w:rsid w:val="008C5AD0"/>
    <w:rsid w:val="008C6344"/>
    <w:rsid w:val="008C7A49"/>
    <w:rsid w:val="008D2155"/>
    <w:rsid w:val="008E40BF"/>
    <w:rsid w:val="00905121"/>
    <w:rsid w:val="0090731E"/>
    <w:rsid w:val="009335B4"/>
    <w:rsid w:val="00943BDC"/>
    <w:rsid w:val="00966A22"/>
    <w:rsid w:val="009A0DFE"/>
    <w:rsid w:val="009B1672"/>
    <w:rsid w:val="009C40F8"/>
    <w:rsid w:val="009E7AB7"/>
    <w:rsid w:val="009F5F2C"/>
    <w:rsid w:val="009F625B"/>
    <w:rsid w:val="009F7477"/>
    <w:rsid w:val="00A12656"/>
    <w:rsid w:val="00A179E6"/>
    <w:rsid w:val="00A5352D"/>
    <w:rsid w:val="00A62A25"/>
    <w:rsid w:val="00A81511"/>
    <w:rsid w:val="00A94F2C"/>
    <w:rsid w:val="00AA2D03"/>
    <w:rsid w:val="00AB29E0"/>
    <w:rsid w:val="00AC7BCF"/>
    <w:rsid w:val="00B21426"/>
    <w:rsid w:val="00B2271E"/>
    <w:rsid w:val="00B3530C"/>
    <w:rsid w:val="00B43A3B"/>
    <w:rsid w:val="00B45604"/>
    <w:rsid w:val="00B46668"/>
    <w:rsid w:val="00B63C93"/>
    <w:rsid w:val="00BC3DD6"/>
    <w:rsid w:val="00BC6C82"/>
    <w:rsid w:val="00BF1606"/>
    <w:rsid w:val="00BF25E2"/>
    <w:rsid w:val="00C0247C"/>
    <w:rsid w:val="00C071DF"/>
    <w:rsid w:val="00C163F8"/>
    <w:rsid w:val="00C17225"/>
    <w:rsid w:val="00C22B7C"/>
    <w:rsid w:val="00C30820"/>
    <w:rsid w:val="00C74C95"/>
    <w:rsid w:val="00CB79E0"/>
    <w:rsid w:val="00CE00C0"/>
    <w:rsid w:val="00CE5752"/>
    <w:rsid w:val="00CE5ED9"/>
    <w:rsid w:val="00D02732"/>
    <w:rsid w:val="00D122F3"/>
    <w:rsid w:val="00D30976"/>
    <w:rsid w:val="00D35270"/>
    <w:rsid w:val="00D70D78"/>
    <w:rsid w:val="00D71B4D"/>
    <w:rsid w:val="00D93D55"/>
    <w:rsid w:val="00DB4C63"/>
    <w:rsid w:val="00DE4291"/>
    <w:rsid w:val="00DE4546"/>
    <w:rsid w:val="00DE652A"/>
    <w:rsid w:val="00DE6DF2"/>
    <w:rsid w:val="00DF33C1"/>
    <w:rsid w:val="00DF6A22"/>
    <w:rsid w:val="00E1416E"/>
    <w:rsid w:val="00E25155"/>
    <w:rsid w:val="00E419AF"/>
    <w:rsid w:val="00E835C1"/>
    <w:rsid w:val="00E859DB"/>
    <w:rsid w:val="00E93BD7"/>
    <w:rsid w:val="00EB0670"/>
    <w:rsid w:val="00ED0E71"/>
    <w:rsid w:val="00ED4C60"/>
    <w:rsid w:val="00ED6B05"/>
    <w:rsid w:val="00EE3C77"/>
    <w:rsid w:val="00F06445"/>
    <w:rsid w:val="00F13A1E"/>
    <w:rsid w:val="00F17EFC"/>
    <w:rsid w:val="00F366ED"/>
    <w:rsid w:val="00F374B4"/>
    <w:rsid w:val="00F66152"/>
    <w:rsid w:val="00F66ACA"/>
    <w:rsid w:val="00F7190A"/>
    <w:rsid w:val="00F8109D"/>
    <w:rsid w:val="00F81747"/>
    <w:rsid w:val="00FA116C"/>
    <w:rsid w:val="00FA1BAD"/>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F7190A"/>
    <w:rPr>
      <w:vertAlign w:val="superscript"/>
    </w:rPr>
  </w:style>
  <w:style w:type="character" w:styleId="Hyperlink">
    <w:name w:val="Hyperlink"/>
    <w:basedOn w:val="DefaultParagraphFont"/>
    <w:uiPriority w:val="99"/>
    <w:unhideWhenUsed/>
    <w:rsid w:val="00F7190A"/>
    <w:rPr>
      <w:color w:val="0000FF" w:themeColor="hyperlink"/>
      <w:u w:val="single"/>
    </w:rPr>
  </w:style>
  <w:style w:type="table" w:styleId="TableGrid">
    <w:name w:val="Table Grid"/>
    <w:basedOn w:val="TableNormal"/>
    <w:uiPriority w:val="59"/>
    <w:rsid w:val="00F7190A"/>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7190A"/>
    <w:rPr>
      <w:color w:val="800080" w:themeColor="followedHyperlink"/>
      <w:u w:val="single"/>
    </w:rPr>
  </w:style>
  <w:style w:type="paragraph" w:styleId="ListParagraph">
    <w:name w:val="List Paragraph"/>
    <w:basedOn w:val="Normal"/>
    <w:uiPriority w:val="34"/>
    <w:qFormat/>
    <w:rsid w:val="00C0247C"/>
    <w:pPr>
      <w:ind w:left="720"/>
      <w:contextualSpacing/>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character" w:styleId="FootnoteReference">
    <w:name w:val="footnote reference"/>
    <w:basedOn w:val="DefaultParagraphFont"/>
    <w:unhideWhenUsed/>
    <w:rsid w:val="00F7190A"/>
    <w:rPr>
      <w:vertAlign w:val="superscript"/>
    </w:rPr>
  </w:style>
  <w:style w:type="character" w:styleId="Hyperlink">
    <w:name w:val="Hyperlink"/>
    <w:basedOn w:val="DefaultParagraphFont"/>
    <w:uiPriority w:val="99"/>
    <w:unhideWhenUsed/>
    <w:rsid w:val="00F7190A"/>
    <w:rPr>
      <w:color w:val="0000FF" w:themeColor="hyperlink"/>
      <w:u w:val="single"/>
    </w:rPr>
  </w:style>
  <w:style w:type="table" w:styleId="TableGrid">
    <w:name w:val="Table Grid"/>
    <w:basedOn w:val="TableNormal"/>
    <w:uiPriority w:val="59"/>
    <w:rsid w:val="00F7190A"/>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7190A"/>
    <w:rPr>
      <w:color w:val="800080" w:themeColor="followedHyperlink"/>
      <w:u w:val="single"/>
    </w:rPr>
  </w:style>
  <w:style w:type="paragraph" w:styleId="ListParagraph">
    <w:name w:val="List Paragraph"/>
    <w:basedOn w:val="Normal"/>
    <w:uiPriority w:val="34"/>
    <w:qFormat/>
    <w:rsid w:val="00C0247C"/>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wipo.int/meetings/en/details.jsp?meeting_id=432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39952" TargetMode="External"/><Relationship Id="rId2" Type="http://schemas.openxmlformats.org/officeDocument/2006/relationships/hyperlink" Target="http://www.wipo.int/meetings/en/details.jsp?meeting_id=37742" TargetMode="External"/><Relationship Id="rId1" Type="http://schemas.openxmlformats.org/officeDocument/2006/relationships/hyperlink" Target="http://www.wipo.int/meetings/en/doc_details.jsp?doc_id=37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A6B6-5381-4AE1-BB5A-CE551232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10018</Words>
  <Characters>10720</Characters>
  <Application>Microsoft Office Word</Application>
  <DocSecurity>0</DocSecurity>
  <Lines>428</Lines>
  <Paragraphs>370</Paragraphs>
  <ScaleCrop>false</ScaleCrop>
  <HeadingPairs>
    <vt:vector size="2" baseType="variant">
      <vt:variant>
        <vt:lpstr>Title</vt:lpstr>
      </vt:variant>
      <vt:variant>
        <vt:i4>1</vt:i4>
      </vt:variant>
    </vt:vector>
  </HeadingPairs>
  <TitlesOfParts>
    <vt:vector size="1" baseType="lpstr">
      <vt:lpstr>E</vt:lpstr>
    </vt:vector>
  </TitlesOfParts>
  <Company>WIPO</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DiazN</dc:creator>
  <cp:lastModifiedBy>Madrid Registry</cp:lastModifiedBy>
  <cp:revision>9</cp:revision>
  <cp:lastPrinted>2017-05-19T11:49:00Z</cp:lastPrinted>
  <dcterms:created xsi:type="dcterms:W3CDTF">2017-05-30T16:20:00Z</dcterms:created>
  <dcterms:modified xsi:type="dcterms:W3CDTF">2017-06-06T16:17:00Z</dcterms:modified>
</cp:coreProperties>
</file>