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C73E53" w:rsidRDefault="00C73E53" w:rsidP="00BA4140">
            <w:pPr>
              <w:pStyle w:val="DocumentCodeAR"/>
              <w:bidi/>
              <w:rPr>
                <w:rtl/>
              </w:rPr>
            </w:pPr>
            <w:r w:rsidRPr="00C73E53">
              <w:rPr>
                <w:caps/>
              </w:rPr>
              <w:t>MM/LD/WG/16/9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D295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D295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D295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D2957">
              <w:rPr>
                <w:rFonts w:hint="cs"/>
                <w:rtl/>
              </w:rPr>
              <w:t>8</w:t>
            </w:r>
            <w:r w:rsidRPr="00B6101C">
              <w:rPr>
                <w:rFonts w:hint="cs"/>
                <w:rtl/>
              </w:rPr>
              <w:t xml:space="preserve"> </w:t>
            </w:r>
            <w:r w:rsidR="008D2957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A41E7B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796CF7">
      <w:pPr>
        <w:pStyle w:val="MeetingTitleAR"/>
        <w:bidi/>
        <w:ind w:right="550"/>
        <w:rPr>
          <w:rtl/>
        </w:rPr>
      </w:pPr>
      <w:r w:rsidRPr="00F369E7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A41E7B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r w:rsidR="00A41E7B">
        <w:rPr>
          <w:rFonts w:ascii="Cambria Math" w:hAnsi="Cambria Math" w:hint="cs"/>
          <w:rtl/>
        </w:rPr>
        <w:t>السادسة</w:t>
      </w:r>
      <w:r w:rsidR="00BA4140">
        <w:rPr>
          <w:rFonts w:ascii="Cambria Math" w:hAnsi="Cambria Math" w:hint="cs"/>
          <w:rtl/>
        </w:rPr>
        <w:t xml:space="preserve"> </w:t>
      </w:r>
      <w:r w:rsidRPr="00F369E7">
        <w:rPr>
          <w:rFonts w:ascii="Cambria Math" w:hAnsi="Cambria Math"/>
          <w:rtl/>
        </w:rPr>
        <w:t>عشرة</w:t>
      </w:r>
    </w:p>
    <w:p w:rsidR="00D61541" w:rsidRPr="00D61541" w:rsidRDefault="00D61541" w:rsidP="00A41E7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41E7B">
        <w:rPr>
          <w:rFonts w:hint="cs"/>
          <w:rtl/>
        </w:rPr>
        <w:t>2</w:t>
      </w:r>
      <w:r w:rsidR="00100F97">
        <w:rPr>
          <w:rFonts w:hint="cs"/>
          <w:rtl/>
        </w:rPr>
        <w:t xml:space="preserve"> إلى </w:t>
      </w:r>
      <w:r w:rsidR="00A41E7B">
        <w:rPr>
          <w:rFonts w:hint="cs"/>
          <w:rtl/>
        </w:rPr>
        <w:t>6</w:t>
      </w:r>
      <w:r w:rsidR="00783D11">
        <w:rPr>
          <w:rFonts w:hint="cs"/>
          <w:rtl/>
        </w:rPr>
        <w:t xml:space="preserve"> </w:t>
      </w:r>
      <w:r w:rsidR="00A41E7B">
        <w:rPr>
          <w:rFonts w:hint="cs"/>
          <w:rtl/>
        </w:rPr>
        <w:t>يول</w:t>
      </w:r>
      <w:r w:rsidR="00F369E7">
        <w:rPr>
          <w:rFonts w:hint="cs"/>
          <w:rtl/>
        </w:rPr>
        <w:t>يو</w:t>
      </w:r>
      <w:r w:rsidR="007205B1">
        <w:rPr>
          <w:rFonts w:hint="cs"/>
          <w:rtl/>
        </w:rPr>
        <w:t xml:space="preserve"> </w:t>
      </w:r>
      <w:r w:rsidR="00A41E7B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B46B19" w:rsidRDefault="00B46B19" w:rsidP="00FB7EC9">
      <w:pPr>
        <w:pStyle w:val="DocumentTitleAR"/>
        <w:bidi/>
        <w:rPr>
          <w:rtl/>
        </w:rPr>
      </w:pPr>
      <w:r w:rsidRPr="00B46B19">
        <w:rPr>
          <w:rFonts w:hint="cs"/>
          <w:rtl/>
        </w:rPr>
        <w:t>اقتراح مقدم من وفد الاتحاد الروسي</w:t>
      </w:r>
    </w:p>
    <w:p w:rsidR="00CF79DF" w:rsidRDefault="00CF79DF" w:rsidP="007F38D1">
      <w:pPr>
        <w:pStyle w:val="NormalParaAR"/>
        <w:rPr>
          <w:rtl/>
        </w:rPr>
      </w:pPr>
    </w:p>
    <w:p w:rsidR="00CF79DF" w:rsidRDefault="00B46B19" w:rsidP="0061088B">
      <w:pPr>
        <w:pStyle w:val="NumberedParaAR"/>
        <w:rPr>
          <w:lang w:val="fr-CH"/>
        </w:rPr>
      </w:pPr>
      <w:r w:rsidRPr="00B46B19">
        <w:rPr>
          <w:rtl/>
          <w:lang w:val="fr-CH"/>
        </w:rPr>
        <w:t xml:space="preserve">في </w:t>
      </w:r>
      <w:r>
        <w:rPr>
          <w:rFonts w:hint="cs"/>
          <w:rtl/>
          <w:lang w:val="fr-CH"/>
        </w:rPr>
        <w:t>تبليغ</w:t>
      </w:r>
      <w:r w:rsidRPr="00B46B19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بتاريخ</w:t>
      </w:r>
      <w:r w:rsidRPr="00B46B19">
        <w:rPr>
          <w:rtl/>
          <w:lang w:val="fr-CH"/>
        </w:rPr>
        <w:t xml:space="preserve"> 1 يونيو 2018 ، تلقى المكتب الدولي اقتراحا من وفد الاتحاد الروسي بشأن إمكانية إدخال الروسية كلغة عمل في نظام مدريد للتسج</w:t>
      </w:r>
      <w:r>
        <w:rPr>
          <w:rtl/>
          <w:lang w:val="fr-CH"/>
        </w:rPr>
        <w:t>يل الدولي للعلامات لكي ينظر فيه</w:t>
      </w:r>
      <w:r w:rsidRPr="00B46B19">
        <w:rPr>
          <w:rtl/>
          <w:lang w:val="fr-CH"/>
        </w:rPr>
        <w:t xml:space="preserve"> الفريق </w:t>
      </w:r>
      <w:r w:rsidR="0061088B" w:rsidRPr="0061088B">
        <w:rPr>
          <w:rtl/>
          <w:lang w:val="fr-CH"/>
        </w:rPr>
        <w:t>العامل المعني بالتطوير القانوني لنظام مدريد بشأن التسجيل الدولي للعلامات</w:t>
      </w:r>
      <w:r w:rsidRPr="00B46B19">
        <w:rPr>
          <w:rtl/>
          <w:lang w:val="fr-CH"/>
        </w:rPr>
        <w:t xml:space="preserve"> في دورته السادسة عشرة التي ستعقد في جنيف من 2 إلى 6 يوليو 2018.</w:t>
      </w:r>
    </w:p>
    <w:p w:rsidR="00B46B19" w:rsidRDefault="00B46B19" w:rsidP="00C73E53">
      <w:pPr>
        <w:pStyle w:val="NumberedParaAR"/>
        <w:spacing w:after="360"/>
        <w:rPr>
          <w:lang w:val="fr-CH"/>
        </w:rPr>
      </w:pPr>
      <w:r>
        <w:rPr>
          <w:rFonts w:hint="cs"/>
          <w:rtl/>
          <w:lang w:val="fr-CH"/>
        </w:rPr>
        <w:t>ويرد هذا الاقتراح المذكور في مرفق هذه الوثيقة.</w:t>
      </w:r>
    </w:p>
    <w:p w:rsidR="00B46B19" w:rsidRPr="00F369E7" w:rsidRDefault="00C73E53" w:rsidP="00C73E53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>[يلي ذلك المرفق]</w:t>
      </w:r>
    </w:p>
    <w:p w:rsidR="009F513E" w:rsidRPr="007F38D1" w:rsidRDefault="009F513E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  <w:sectPr w:rsidR="00C73E53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722B3" w:rsidRPr="00F22E75" w:rsidRDefault="006722B3" w:rsidP="006722B3">
      <w:pPr>
        <w:pStyle w:val="NormalParaAR"/>
        <w:spacing w:after="0"/>
        <w:jc w:val="center"/>
        <w:rPr>
          <w:b/>
          <w:bCs/>
          <w:rtl/>
        </w:rPr>
      </w:pPr>
      <w:r w:rsidRPr="00F22E75">
        <w:rPr>
          <w:b/>
          <w:bCs/>
          <w:rtl/>
        </w:rPr>
        <w:lastRenderedPageBreak/>
        <w:t>اقتراح من الاتحاد الروسي</w:t>
      </w:r>
    </w:p>
    <w:p w:rsidR="006722B3" w:rsidRPr="00F22E75" w:rsidRDefault="006722B3" w:rsidP="00F42E90">
      <w:pPr>
        <w:pStyle w:val="NormalParaAR"/>
        <w:spacing w:after="0"/>
        <w:jc w:val="center"/>
        <w:rPr>
          <w:b/>
          <w:bCs/>
          <w:rtl/>
        </w:rPr>
      </w:pPr>
      <w:r w:rsidRPr="00F22E75">
        <w:rPr>
          <w:b/>
          <w:bCs/>
          <w:rtl/>
        </w:rPr>
        <w:t xml:space="preserve">فيما يتعلق </w:t>
      </w:r>
      <w:r w:rsidR="00F42E90" w:rsidRPr="00F22E75">
        <w:rPr>
          <w:rFonts w:hint="cs"/>
          <w:b/>
          <w:bCs/>
          <w:rtl/>
          <w:lang w:val="fr-CH" w:bidi="ar-MA"/>
        </w:rPr>
        <w:t>بإدراج</w:t>
      </w:r>
      <w:r w:rsidRPr="00F22E75">
        <w:rPr>
          <w:b/>
          <w:bCs/>
          <w:rtl/>
        </w:rPr>
        <w:t xml:space="preserve"> الروسية </w:t>
      </w:r>
    </w:p>
    <w:p w:rsidR="006722B3" w:rsidRPr="00F22E75" w:rsidRDefault="006722B3" w:rsidP="006722B3">
      <w:pPr>
        <w:pStyle w:val="NormalParaAR"/>
        <w:spacing w:after="0"/>
        <w:jc w:val="center"/>
        <w:rPr>
          <w:b/>
          <w:bCs/>
          <w:rtl/>
        </w:rPr>
      </w:pPr>
      <w:r w:rsidRPr="00F22E75">
        <w:rPr>
          <w:rFonts w:hint="cs"/>
          <w:b/>
          <w:bCs/>
          <w:rtl/>
        </w:rPr>
        <w:t>ك</w:t>
      </w:r>
      <w:r w:rsidRPr="00F22E75">
        <w:rPr>
          <w:b/>
          <w:bCs/>
          <w:rtl/>
        </w:rPr>
        <w:t>لغة</w:t>
      </w:r>
      <w:r w:rsidRPr="00F22E75">
        <w:rPr>
          <w:rFonts w:hint="cs"/>
          <w:b/>
          <w:bCs/>
          <w:rtl/>
        </w:rPr>
        <w:t xml:space="preserve"> رسمية</w:t>
      </w:r>
      <w:r w:rsidRPr="00F22E75">
        <w:rPr>
          <w:b/>
          <w:bCs/>
          <w:rtl/>
        </w:rPr>
        <w:t xml:space="preserve"> لنظام مدريد بشأن التسجيل</w:t>
      </w:r>
    </w:p>
    <w:p w:rsidR="006722B3" w:rsidRPr="00F22E75" w:rsidRDefault="006722B3" w:rsidP="00F42E90">
      <w:pPr>
        <w:pStyle w:val="NormalParaAR"/>
        <w:jc w:val="center"/>
        <w:rPr>
          <w:b/>
          <w:bCs/>
          <w:rtl/>
        </w:rPr>
      </w:pPr>
      <w:r w:rsidRPr="00F22E75">
        <w:rPr>
          <w:b/>
          <w:bCs/>
          <w:rtl/>
        </w:rPr>
        <w:t>الدولي للعلامات</w:t>
      </w:r>
    </w:p>
    <w:p w:rsidR="006722B3" w:rsidRPr="004748BA" w:rsidRDefault="0012033D" w:rsidP="004748BA">
      <w:pPr>
        <w:pStyle w:val="NormalParaAR"/>
        <w:ind w:firstLine="567"/>
        <w:rPr>
          <w:rtl/>
        </w:rPr>
      </w:pPr>
      <w:r>
        <w:rPr>
          <w:rFonts w:hint="cs"/>
          <w:rtl/>
        </w:rPr>
        <w:t>قدم</w:t>
      </w:r>
      <w:r w:rsidR="006722B3">
        <w:rPr>
          <w:rtl/>
        </w:rPr>
        <w:t xml:space="preserve"> الاتحاد الروسي </w:t>
      </w:r>
      <w:r w:rsidRPr="0012033D">
        <w:rPr>
          <w:rtl/>
        </w:rPr>
        <w:t>اقت</w:t>
      </w:r>
      <w:r w:rsidRPr="004748BA">
        <w:rPr>
          <w:rtl/>
        </w:rPr>
        <w:t>راح</w:t>
      </w:r>
      <w:r w:rsidRPr="004748BA">
        <w:rPr>
          <w:rFonts w:hint="cs"/>
          <w:rtl/>
        </w:rPr>
        <w:t>ا</w:t>
      </w:r>
      <w:r w:rsidRPr="004748BA">
        <w:rPr>
          <w:rtl/>
        </w:rPr>
        <w:t xml:space="preserve"> </w:t>
      </w:r>
      <w:r w:rsidRPr="004748BA">
        <w:rPr>
          <w:rFonts w:hint="cs"/>
          <w:rtl/>
        </w:rPr>
        <w:t>ب</w:t>
      </w:r>
      <w:r w:rsidR="006722B3" w:rsidRPr="004748BA">
        <w:rPr>
          <w:rtl/>
        </w:rPr>
        <w:t xml:space="preserve">إدراج الروسية كلغة رسمية لنظام مدريد </w:t>
      </w:r>
      <w:r w:rsidR="00F42E90" w:rsidRPr="004748BA">
        <w:rPr>
          <w:rtl/>
        </w:rPr>
        <w:t>بشأن التسجيل</w:t>
      </w:r>
      <w:r w:rsidR="00F42E90" w:rsidRPr="004748BA">
        <w:rPr>
          <w:rFonts w:hint="cs"/>
          <w:rtl/>
        </w:rPr>
        <w:t xml:space="preserve"> </w:t>
      </w:r>
      <w:r w:rsidR="00F42E90" w:rsidRPr="004748BA">
        <w:rPr>
          <w:rtl/>
        </w:rPr>
        <w:t>الدولي للعلامات</w:t>
      </w:r>
      <w:r w:rsidR="006722B3" w:rsidRPr="004748BA">
        <w:rPr>
          <w:rtl/>
        </w:rPr>
        <w:t>.</w:t>
      </w:r>
    </w:p>
    <w:p w:rsidR="006722B3" w:rsidRPr="004748BA" w:rsidRDefault="00A755A0" w:rsidP="004748BA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 xml:space="preserve">وتُعد </w:t>
      </w:r>
      <w:r w:rsidR="006722B3" w:rsidRPr="004748BA">
        <w:rPr>
          <w:rtl/>
        </w:rPr>
        <w:t xml:space="preserve">اللغة الروسية </w:t>
      </w:r>
      <w:r w:rsidR="00EF65CE" w:rsidRPr="004748BA">
        <w:rPr>
          <w:rtl/>
        </w:rPr>
        <w:t xml:space="preserve">واحدة من اللغات الرسمية </w:t>
      </w:r>
      <w:r w:rsidR="00EF65CE" w:rsidRPr="004748BA">
        <w:rPr>
          <w:rFonts w:hint="cs"/>
          <w:rtl/>
        </w:rPr>
        <w:t xml:space="preserve">في </w:t>
      </w:r>
      <w:r w:rsidR="006722B3" w:rsidRPr="004748BA">
        <w:rPr>
          <w:rtl/>
        </w:rPr>
        <w:t>منظومة الأمم المتحدة.</w:t>
      </w:r>
      <w:r w:rsidRPr="004748BA">
        <w:rPr>
          <w:rFonts w:hint="cs"/>
          <w:rtl/>
        </w:rPr>
        <w:t xml:space="preserve"> </w:t>
      </w:r>
      <w:proofErr w:type="spellStart"/>
      <w:r w:rsidRPr="004748BA">
        <w:rPr>
          <w:rFonts w:hint="cs"/>
          <w:rtl/>
        </w:rPr>
        <w:t>ويتحدثها</w:t>
      </w:r>
      <w:proofErr w:type="spellEnd"/>
      <w:r w:rsidR="006722B3" w:rsidRPr="004748BA">
        <w:rPr>
          <w:rtl/>
        </w:rPr>
        <w:t xml:space="preserve"> أكثر من 250 مليون شخص. </w:t>
      </w:r>
      <w:r w:rsidRPr="004748BA">
        <w:rPr>
          <w:rFonts w:hint="cs"/>
          <w:rtl/>
        </w:rPr>
        <w:t>و</w:t>
      </w:r>
      <w:r w:rsidR="006722B3" w:rsidRPr="004748BA">
        <w:rPr>
          <w:rtl/>
        </w:rPr>
        <w:t>ت</w:t>
      </w:r>
      <w:r w:rsidRPr="004748BA">
        <w:rPr>
          <w:rFonts w:hint="cs"/>
          <w:rtl/>
        </w:rPr>
        <w:t>ُ</w:t>
      </w:r>
      <w:r w:rsidR="006722B3" w:rsidRPr="004748BA">
        <w:rPr>
          <w:rtl/>
        </w:rPr>
        <w:t xml:space="preserve">عد الروسية من بين </w:t>
      </w:r>
      <w:r w:rsidRPr="004748BA">
        <w:rPr>
          <w:rFonts w:hint="cs"/>
          <w:rtl/>
        </w:rPr>
        <w:t xml:space="preserve">اللغات العشرة الأولى </w:t>
      </w:r>
      <w:r w:rsidR="00EF65CE" w:rsidRPr="004748BA">
        <w:rPr>
          <w:rFonts w:hint="cs"/>
          <w:rtl/>
        </w:rPr>
        <w:t xml:space="preserve">المُتحدث بها </w:t>
      </w:r>
      <w:r w:rsidR="006722B3" w:rsidRPr="004748BA">
        <w:rPr>
          <w:rtl/>
        </w:rPr>
        <w:t xml:space="preserve">في العالم </w:t>
      </w:r>
      <w:r w:rsidR="00EF65CE" w:rsidRPr="004748BA">
        <w:rPr>
          <w:rFonts w:hint="cs"/>
          <w:rtl/>
        </w:rPr>
        <w:t>من حيث</w:t>
      </w:r>
      <w:r w:rsidR="006722B3" w:rsidRPr="004748BA">
        <w:rPr>
          <w:rtl/>
        </w:rPr>
        <w:t xml:space="preserve"> عدد المتحدثين.</w:t>
      </w:r>
    </w:p>
    <w:p w:rsidR="006722B3" w:rsidRPr="004748BA" w:rsidRDefault="00D73767" w:rsidP="004748BA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>و</w:t>
      </w:r>
      <w:r w:rsidR="006722B3" w:rsidRPr="004748BA">
        <w:rPr>
          <w:rtl/>
        </w:rPr>
        <w:t xml:space="preserve">اللغة الروسية هي لغة </w:t>
      </w:r>
      <w:r w:rsidR="00982226" w:rsidRPr="004748BA">
        <w:rPr>
          <w:rFonts w:hint="cs"/>
          <w:rtl/>
        </w:rPr>
        <w:t>الدولة</w:t>
      </w:r>
      <w:r w:rsidR="006722B3" w:rsidRPr="004748BA">
        <w:rPr>
          <w:rtl/>
        </w:rPr>
        <w:t xml:space="preserve"> في الاتحاد الروسي وجمهورية بيلاروسيا وجمهورية كازاخستان. </w:t>
      </w:r>
      <w:r w:rsidRPr="004748BA">
        <w:rPr>
          <w:rFonts w:hint="cs"/>
          <w:rtl/>
        </w:rPr>
        <w:t>وتُعد</w:t>
      </w:r>
      <w:r w:rsidR="006722B3" w:rsidRPr="004748BA">
        <w:rPr>
          <w:rtl/>
        </w:rPr>
        <w:t xml:space="preserve"> لغة رسمية في جمهورية قيرغيزستان. </w:t>
      </w:r>
      <w:r w:rsidRPr="004748BA">
        <w:rPr>
          <w:rFonts w:hint="cs"/>
          <w:rtl/>
        </w:rPr>
        <w:t>و</w:t>
      </w:r>
      <w:r w:rsidR="006722B3" w:rsidRPr="004748BA">
        <w:rPr>
          <w:rtl/>
        </w:rPr>
        <w:t xml:space="preserve">تستخدم اللغة الروسية على نطاق واسع للتواصل </w:t>
      </w:r>
      <w:r w:rsidR="005079D5" w:rsidRPr="004748BA">
        <w:rPr>
          <w:rtl/>
        </w:rPr>
        <w:t>في عدد من البلدان في جميع أنحاء</w:t>
      </w:r>
      <w:r w:rsidR="005079D5" w:rsidRPr="004748BA">
        <w:rPr>
          <w:rFonts w:hint="cs"/>
          <w:rtl/>
        </w:rPr>
        <w:t xml:space="preserve"> ال</w:t>
      </w:r>
      <w:r w:rsidRPr="004748BA">
        <w:rPr>
          <w:rtl/>
        </w:rPr>
        <w:t>منطقة الأوروبية الآسيوية</w:t>
      </w:r>
      <w:r w:rsidR="006722B3" w:rsidRPr="004748BA">
        <w:rPr>
          <w:rtl/>
        </w:rPr>
        <w:t>.</w:t>
      </w:r>
    </w:p>
    <w:p w:rsidR="006722B3" w:rsidRPr="004748BA" w:rsidRDefault="00F8010F" w:rsidP="004748BA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>و</w:t>
      </w:r>
      <w:r w:rsidR="006722B3" w:rsidRPr="004748BA">
        <w:rPr>
          <w:rtl/>
        </w:rPr>
        <w:t xml:space="preserve">تعمل الويبو بنشاط على قاعدة بيانات الويبو الخاصة </w:t>
      </w:r>
      <w:r w:rsidR="00061528" w:rsidRPr="004748BA">
        <w:rPr>
          <w:rFonts w:hint="cs"/>
          <w:rtl/>
        </w:rPr>
        <w:t>ب</w:t>
      </w:r>
      <w:r w:rsidR="00061528" w:rsidRPr="004748BA">
        <w:rPr>
          <w:rtl/>
        </w:rPr>
        <w:t>إدارة السلع والخدمات في نظام مدريد</w:t>
      </w:r>
      <w:r w:rsidR="006722B3" w:rsidRPr="004748BA">
        <w:rPr>
          <w:rtl/>
        </w:rPr>
        <w:t>، وهي أداة فعالة للمستخدمين الروس لتجميع قائمة بالسلع والخدمات عند تقديم الطلبات الدولية والوطنية لتسجيل العلامة التجارية.</w:t>
      </w:r>
    </w:p>
    <w:p w:rsidR="006722B3" w:rsidRPr="004748BA" w:rsidRDefault="00061528" w:rsidP="004748BA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>و</w:t>
      </w:r>
      <w:r w:rsidR="006722B3" w:rsidRPr="004748BA">
        <w:rPr>
          <w:rtl/>
        </w:rPr>
        <w:t xml:space="preserve">يشارك الاتحاد الروسي بنشاط في نظام مدريد للتسجيل الدولي للعلامات. </w:t>
      </w:r>
      <w:r w:rsidRPr="004748BA">
        <w:rPr>
          <w:rFonts w:hint="cs"/>
          <w:rtl/>
        </w:rPr>
        <w:t>و</w:t>
      </w:r>
      <w:r w:rsidR="006722B3" w:rsidRPr="004748BA">
        <w:rPr>
          <w:rtl/>
        </w:rPr>
        <w:t>الاتحاد الروسي</w:t>
      </w:r>
      <w:r w:rsidRPr="004748BA">
        <w:rPr>
          <w:rFonts w:hint="cs"/>
          <w:rtl/>
        </w:rPr>
        <w:t xml:space="preserve"> هو</w:t>
      </w:r>
      <w:r w:rsidR="006722B3" w:rsidRPr="004748BA">
        <w:rPr>
          <w:rtl/>
        </w:rPr>
        <w:t xml:space="preserve"> من بين الدول</w:t>
      </w:r>
      <w:r w:rsidRPr="004748BA">
        <w:rPr>
          <w:rFonts w:hint="cs"/>
          <w:rtl/>
        </w:rPr>
        <w:t xml:space="preserve"> الأعضاء</w:t>
      </w:r>
      <w:r w:rsidR="006722B3" w:rsidRPr="004748BA">
        <w:rPr>
          <w:rtl/>
        </w:rPr>
        <w:t xml:space="preserve"> الخمس الأولى في الويبو الأكثر </w:t>
      </w:r>
      <w:r w:rsidRPr="004748BA">
        <w:rPr>
          <w:rFonts w:hint="cs"/>
          <w:rtl/>
        </w:rPr>
        <w:t>تعيينا</w:t>
      </w:r>
      <w:r w:rsidR="006722B3" w:rsidRPr="004748BA">
        <w:rPr>
          <w:rtl/>
        </w:rPr>
        <w:t xml:space="preserve"> في التسجيلات الدولية في إطار نظام مدريد.</w:t>
      </w:r>
    </w:p>
    <w:p w:rsidR="00C73E53" w:rsidRDefault="00863795" w:rsidP="004748BA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>وفيما يلي توضيح</w:t>
      </w:r>
      <w:r w:rsidR="006722B3" w:rsidRPr="004748BA">
        <w:rPr>
          <w:rtl/>
        </w:rPr>
        <w:t xml:space="preserve"> النمو الم</w:t>
      </w:r>
      <w:r w:rsidR="006722B3">
        <w:rPr>
          <w:rtl/>
        </w:rPr>
        <w:t xml:space="preserve">ستدام للطلبات الدولية المقدمة إلى الويبو خلال السنوات الثلاث الأخيرة. </w:t>
      </w:r>
      <w:r w:rsidR="00F25B08">
        <w:rPr>
          <w:rFonts w:hint="cs"/>
          <w:rtl/>
        </w:rPr>
        <w:t>وقد سُجل في</w:t>
      </w:r>
      <w:r w:rsidR="006722B3">
        <w:rPr>
          <w:rtl/>
        </w:rPr>
        <w:t xml:space="preserve"> عام</w:t>
      </w:r>
      <w:r w:rsidR="00D716D5">
        <w:rPr>
          <w:rFonts w:hint="cs"/>
          <w:rtl/>
        </w:rPr>
        <w:t> </w:t>
      </w:r>
      <w:r w:rsidR="006722B3">
        <w:rPr>
          <w:rtl/>
        </w:rPr>
        <w:t xml:space="preserve">2017 </w:t>
      </w:r>
      <w:r w:rsidR="00BE0BDC">
        <w:rPr>
          <w:rFonts w:hint="cs"/>
          <w:rtl/>
        </w:rPr>
        <w:t>زخما</w:t>
      </w:r>
      <w:r w:rsidR="00BE0BDC">
        <w:rPr>
          <w:rtl/>
        </w:rPr>
        <w:t xml:space="preserve"> إيجابي</w:t>
      </w:r>
      <w:r w:rsidR="00BE0BDC">
        <w:rPr>
          <w:rFonts w:hint="cs"/>
          <w:rtl/>
        </w:rPr>
        <w:t>ا</w:t>
      </w:r>
      <w:r w:rsidR="00F25B08">
        <w:rPr>
          <w:rtl/>
        </w:rPr>
        <w:t xml:space="preserve"> </w:t>
      </w:r>
      <w:r w:rsidR="00F25B08">
        <w:rPr>
          <w:rFonts w:hint="cs"/>
          <w:rtl/>
        </w:rPr>
        <w:t xml:space="preserve">في </w:t>
      </w:r>
      <w:r w:rsidR="006722B3">
        <w:rPr>
          <w:rtl/>
        </w:rPr>
        <w:t>طلبات العلامات التجارية (</w:t>
      </w:r>
      <w:r w:rsidR="00FC3341">
        <w:rPr>
          <w:rFonts w:hint="cs"/>
          <w:rtl/>
        </w:rPr>
        <w:t>نمو</w:t>
      </w:r>
      <w:r w:rsidR="006722B3">
        <w:rPr>
          <w:rtl/>
        </w:rPr>
        <w:t xml:space="preserve"> </w:t>
      </w:r>
      <w:r w:rsidR="00F25B08">
        <w:rPr>
          <w:rFonts w:hint="cs"/>
          <w:rtl/>
        </w:rPr>
        <w:t>ب</w:t>
      </w:r>
      <w:r w:rsidR="006722B3">
        <w:rPr>
          <w:rtl/>
        </w:rPr>
        <w:t xml:space="preserve">أكثر من 20 </w:t>
      </w:r>
      <w:r w:rsidR="00F25B08">
        <w:rPr>
          <w:rFonts w:hint="cs"/>
          <w:rtl/>
        </w:rPr>
        <w:t>في المائة</w:t>
      </w:r>
      <w:r w:rsidR="006722B3">
        <w:rPr>
          <w:rtl/>
        </w:rPr>
        <w:t>) مقارنة مع عام 2016.</w:t>
      </w:r>
    </w:p>
    <w:p w:rsidR="007C40F2" w:rsidRPr="007C40F2" w:rsidRDefault="007C40F2" w:rsidP="002E2431">
      <w:pPr>
        <w:pStyle w:val="NormalParaAR"/>
        <w:spacing w:after="0"/>
        <w:jc w:val="center"/>
        <w:rPr>
          <w:b/>
          <w:bCs/>
          <w:rtl/>
        </w:rPr>
      </w:pPr>
      <w:r w:rsidRPr="007C40F2">
        <w:rPr>
          <w:b/>
          <w:bCs/>
          <w:rtl/>
        </w:rPr>
        <w:t>الطلب</w:t>
      </w:r>
      <w:r>
        <w:rPr>
          <w:rFonts w:hint="cs"/>
          <w:b/>
          <w:bCs/>
          <w:rtl/>
        </w:rPr>
        <w:t xml:space="preserve">ات </w:t>
      </w:r>
      <w:r w:rsidR="002E2431">
        <w:rPr>
          <w:rFonts w:hint="cs"/>
          <w:b/>
          <w:bCs/>
          <w:rtl/>
        </w:rPr>
        <w:t>المقدمة</w:t>
      </w:r>
      <w:r w:rsidRPr="007C40F2">
        <w:rPr>
          <w:b/>
          <w:bCs/>
          <w:rtl/>
        </w:rPr>
        <w:t xml:space="preserve"> إلى الويبو من أجل</w:t>
      </w:r>
    </w:p>
    <w:p w:rsidR="007C40F2" w:rsidRPr="007C40F2" w:rsidRDefault="007C40F2" w:rsidP="007C40F2">
      <w:pPr>
        <w:pStyle w:val="NormalParaAR"/>
        <w:spacing w:after="0"/>
        <w:jc w:val="center"/>
        <w:rPr>
          <w:b/>
          <w:bCs/>
        </w:rPr>
      </w:pPr>
      <w:r>
        <w:rPr>
          <w:b/>
          <w:bCs/>
          <w:rtl/>
        </w:rPr>
        <w:t>التسجيل الدولي للعلامات التجاري</w:t>
      </w:r>
      <w:r>
        <w:rPr>
          <w:rFonts w:hint="cs"/>
          <w:b/>
          <w:bCs/>
          <w:rtl/>
        </w:rPr>
        <w:t>ة</w:t>
      </w:r>
    </w:p>
    <w:p w:rsidR="00D612DB" w:rsidRDefault="007C40F2" w:rsidP="007C40F2">
      <w:pPr>
        <w:tabs>
          <w:tab w:val="left" w:pos="5485"/>
        </w:tabs>
      </w:pPr>
      <w:r>
        <w:rPr>
          <w:noProof/>
          <w:color w:val="242929"/>
          <w:szCs w:val="22"/>
        </w:rPr>
        <w:drawing>
          <wp:inline distT="0" distB="0" distL="0" distR="0" wp14:anchorId="6450BA45" wp14:editId="0806E0E1">
            <wp:extent cx="5618539" cy="1827159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3" cy="18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DB" w:rsidRDefault="00D612DB" w:rsidP="00A128F4">
      <w:pPr>
        <w:bidi/>
        <w:rPr>
          <w:rFonts w:hint="cs"/>
          <w:rtl/>
        </w:rPr>
      </w:pPr>
    </w:p>
    <w:p w:rsidR="00D716D5" w:rsidRDefault="00D716D5" w:rsidP="00D716D5">
      <w:pPr>
        <w:bidi/>
      </w:pPr>
    </w:p>
    <w:p w:rsidR="00014ED9" w:rsidRDefault="00D716D5" w:rsidP="004748BA">
      <w:pPr>
        <w:bidi/>
        <w:ind w:firstLine="567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وسيحفز إدراج</w:t>
      </w:r>
      <w:r w:rsidR="00D612DB" w:rsidRPr="00D612DB">
        <w:rPr>
          <w:rFonts w:ascii="Arabic Typesetting" w:hAnsi="Arabic Typesetting" w:cs="Arabic Typesetting"/>
          <w:sz w:val="36"/>
          <w:szCs w:val="36"/>
          <w:rtl/>
        </w:rPr>
        <w:t xml:space="preserve"> اللغة الروسية كلغة رسمية لنظام مدريد </w:t>
      </w:r>
      <w:r w:rsidR="00FC3341">
        <w:rPr>
          <w:rFonts w:ascii="Arabic Typesetting" w:hAnsi="Arabic Typesetting" w:cs="Arabic Typesetting" w:hint="cs"/>
          <w:sz w:val="36"/>
          <w:szCs w:val="36"/>
          <w:rtl/>
        </w:rPr>
        <w:t>تزايد</w:t>
      </w:r>
      <w:r w:rsidR="00D612DB" w:rsidRPr="00D612D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C3341">
        <w:rPr>
          <w:rFonts w:ascii="Arabic Typesetting" w:hAnsi="Arabic Typesetting" w:cs="Arabic Typesetting" w:hint="cs"/>
          <w:sz w:val="36"/>
          <w:szCs w:val="36"/>
          <w:rtl/>
        </w:rPr>
        <w:t>الطلبات</w:t>
      </w:r>
      <w:r w:rsidR="00D612DB" w:rsidRPr="00D612DB">
        <w:rPr>
          <w:rFonts w:ascii="Arabic Typesetting" w:hAnsi="Arabic Typesetting" w:cs="Arabic Typesetting"/>
          <w:sz w:val="36"/>
          <w:szCs w:val="36"/>
          <w:rtl/>
        </w:rPr>
        <w:t xml:space="preserve"> الدولية من روسيا </w:t>
      </w:r>
      <w:r w:rsidR="0018533B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FC3341" w:rsidRPr="00FC3341">
        <w:rPr>
          <w:rFonts w:ascii="Arabic Typesetting" w:hAnsi="Arabic Typesetting" w:cs="Arabic Typesetting"/>
          <w:sz w:val="36"/>
          <w:szCs w:val="36"/>
          <w:rtl/>
        </w:rPr>
        <w:t>بلدان آسيا الوسطى والقوقاز وأوروبا الشرقية</w:t>
      </w:r>
      <w:r w:rsidR="0018533B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D716D5" w:rsidRDefault="00D716D5">
      <w:p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br w:type="page"/>
      </w:r>
    </w:p>
    <w:p w:rsidR="00014ED9" w:rsidRPr="00014ED9" w:rsidRDefault="00014ED9" w:rsidP="004748BA">
      <w:pPr>
        <w:pStyle w:val="NormalParaAR"/>
        <w:ind w:firstLine="567"/>
        <w:rPr>
          <w:rtl/>
          <w:lang w:bidi="ar-MA"/>
        </w:rPr>
      </w:pPr>
      <w:r>
        <w:rPr>
          <w:rFonts w:hint="cs"/>
          <w:rtl/>
        </w:rPr>
        <w:lastRenderedPageBreak/>
        <w:t>وتشير</w:t>
      </w:r>
      <w:r w:rsidRPr="00014ED9">
        <w:rPr>
          <w:rtl/>
        </w:rPr>
        <w:t xml:space="preserve"> الإحصاءات </w:t>
      </w:r>
      <w:r>
        <w:rPr>
          <w:rFonts w:hint="cs"/>
          <w:rtl/>
        </w:rPr>
        <w:t>حاليا</w:t>
      </w:r>
      <w:r w:rsidRPr="00014ED9">
        <w:rPr>
          <w:rtl/>
        </w:rPr>
        <w:t xml:space="preserve"> إلى تزايد اهتمام مقدمي الطلبات من</w:t>
      </w:r>
      <w:r w:rsidRPr="00014ED9">
        <w:t xml:space="preserve"> </w:t>
      </w:r>
      <w:r w:rsidRPr="00014ED9">
        <w:rPr>
          <w:rtl/>
        </w:rPr>
        <w:t xml:space="preserve">بلدان آسيا الوسطى والقوقاز وأوروبا الشرقية </w:t>
      </w:r>
      <w:r>
        <w:rPr>
          <w:rtl/>
        </w:rPr>
        <w:t>بنظام مدريد</w:t>
      </w:r>
      <w:r>
        <w:rPr>
          <w:rFonts w:hint="cs"/>
          <w:rtl/>
        </w:rPr>
        <w:t xml:space="preserve">، </w:t>
      </w:r>
      <w:r w:rsidR="00B82C1E">
        <w:rPr>
          <w:rFonts w:hint="cs"/>
          <w:rtl/>
        </w:rPr>
        <w:t>حيث</w:t>
      </w:r>
      <w:r>
        <w:rPr>
          <w:rFonts w:hint="cs"/>
          <w:rtl/>
        </w:rPr>
        <w:t xml:space="preserve"> </w:t>
      </w:r>
      <w:r w:rsidRPr="00014ED9">
        <w:rPr>
          <w:rtl/>
        </w:rPr>
        <w:t>ازدادت</w:t>
      </w:r>
      <w:r>
        <w:rPr>
          <w:rFonts w:hint="cs"/>
          <w:rtl/>
        </w:rPr>
        <w:t xml:space="preserve"> بنحو ملفت</w:t>
      </w:r>
      <w:r w:rsidRPr="00014ED9">
        <w:rPr>
          <w:rtl/>
        </w:rPr>
        <w:t xml:space="preserve"> </w:t>
      </w:r>
      <w:r>
        <w:rPr>
          <w:rFonts w:hint="cs"/>
          <w:rtl/>
        </w:rPr>
        <w:t>الطلبات</w:t>
      </w:r>
      <w:r w:rsidRPr="00014ED9">
        <w:rPr>
          <w:rtl/>
        </w:rPr>
        <w:t xml:space="preserve"> الدولية في عدد من</w:t>
      </w:r>
      <w:r w:rsidR="00E8564B">
        <w:rPr>
          <w:rFonts w:hint="cs"/>
          <w:rtl/>
        </w:rPr>
        <w:t xml:space="preserve"> هذه</w:t>
      </w:r>
      <w:r w:rsidRPr="00014ED9">
        <w:rPr>
          <w:rtl/>
        </w:rPr>
        <w:t xml:space="preserve"> البلدان</w:t>
      </w:r>
      <w:r w:rsidRPr="00014ED9">
        <w:t>.</w:t>
      </w:r>
    </w:p>
    <w:p w:rsidR="00B82C1E" w:rsidRDefault="00014ED9" w:rsidP="00B82C1E">
      <w:pPr>
        <w:bidi/>
        <w:rPr>
          <w:rFonts w:ascii="Arabic Typesetting" w:hAnsi="Arabic Typesetting" w:cs="Arabic Typesetting"/>
          <w:b/>
          <w:bCs/>
          <w:sz w:val="36"/>
          <w:szCs w:val="36"/>
        </w:rPr>
      </w:pPr>
      <w:r w:rsidRPr="00B82C1E">
        <w:rPr>
          <w:rFonts w:ascii="Arabic Typesetting" w:hAnsi="Arabic Typesetting" w:cs="Arabic Typesetting"/>
          <w:b/>
          <w:bCs/>
          <w:sz w:val="36"/>
          <w:szCs w:val="36"/>
          <w:rtl/>
        </w:rPr>
        <w:t>الطلبات الدولية المقدمة</w:t>
      </w:r>
    </w:p>
    <w:tbl>
      <w:tblPr>
        <w:bidiVisual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  <w:gridCol w:w="1418"/>
      </w:tblGrid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الطرف المتعاقد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مكتب المنشأ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 xml:space="preserve">% </w:t>
            </w:r>
          </w:p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>2017/</w:t>
            </w: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br/>
              <w:t>2016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59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275.0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9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9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 الروسي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 الروسي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1218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29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9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600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333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C34C1A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المجموع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1762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2442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21</w:t>
            </w:r>
            <w:r w:rsidR="000C41B9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</w:tr>
    </w:tbl>
    <w:p w:rsidR="00C73E53" w:rsidRDefault="00562114" w:rsidP="004748BA">
      <w:pPr>
        <w:pStyle w:val="NormalParaAR"/>
        <w:spacing w:before="240"/>
        <w:ind w:firstLine="567"/>
        <w:rPr>
          <w:rtl/>
        </w:rPr>
      </w:pPr>
      <w:r>
        <w:rPr>
          <w:rFonts w:hint="cs"/>
          <w:rtl/>
        </w:rPr>
        <w:t>تُعد</w:t>
      </w:r>
      <w:r w:rsidRPr="00562114">
        <w:rPr>
          <w:rtl/>
        </w:rPr>
        <w:t xml:space="preserve"> بلدان المنطقة مثيرة للاهتمام بالنسبة للمتقدمين الأجانب الذين يعينون بلدان آسيا الوسطى والقوقاز وأوروبا الشرقية في </w:t>
      </w:r>
      <w:r>
        <w:rPr>
          <w:rFonts w:hint="cs"/>
          <w:rtl/>
        </w:rPr>
        <w:t>الطلبات</w:t>
      </w:r>
      <w:r w:rsidRPr="00562114">
        <w:rPr>
          <w:rtl/>
        </w:rPr>
        <w:t xml:space="preserve"> </w:t>
      </w:r>
      <w:r>
        <w:rPr>
          <w:rFonts w:hint="cs"/>
          <w:rtl/>
        </w:rPr>
        <w:t>أكثر فأكثر</w:t>
      </w:r>
      <w:r w:rsidRPr="00562114">
        <w:rPr>
          <w:rtl/>
        </w:rPr>
        <w:t>.</w:t>
      </w:r>
    </w:p>
    <w:p w:rsidR="000C41B9" w:rsidRPr="000C41B9" w:rsidRDefault="00562114" w:rsidP="000C41B9">
      <w:pPr>
        <w:bidi/>
        <w:spacing w:before="240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5621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التعيينات والتعيينات اللاحقة</w:t>
      </w:r>
    </w:p>
    <w:tbl>
      <w:tblPr>
        <w:bidiVisual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الطرف المتعاقد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مكتب المنشأ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 xml:space="preserve">% </w:t>
            </w:r>
          </w:p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>2017/</w:t>
            </w: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br/>
              <w:t>2016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2655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31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5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4044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3565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0C41B9" w:rsidRDefault="002164A8" w:rsidP="000C41B9">
            <w:pPr>
              <w:rPr>
                <w:color w:val="242929"/>
                <w:sz w:val="20"/>
                <w:lang w:val="fr-FR"/>
              </w:rPr>
            </w:pPr>
            <w:r w:rsidRPr="0071158F">
              <w:rPr>
                <w:color w:val="242929"/>
                <w:sz w:val="20"/>
              </w:rPr>
              <w:t>17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0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5857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4281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5235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22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3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3607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4564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22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0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2784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9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 الروسي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 الروسي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14250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15691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16634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18239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16573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17436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14301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17199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20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3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1537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25.1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1899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19.5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8288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8903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9282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9589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7828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7630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25.3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2844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2804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18.4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المجموع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46220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51501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55662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58089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52597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54501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42449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51891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1B9" w:rsidRPr="0071158F" w:rsidRDefault="000C41B9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22.2</w:t>
            </w:r>
          </w:p>
        </w:tc>
      </w:tr>
    </w:tbl>
    <w:p w:rsidR="00CE670B" w:rsidRPr="00CE670B" w:rsidRDefault="00CE670B" w:rsidP="004748BA">
      <w:pPr>
        <w:pStyle w:val="NormalParaAR"/>
        <w:ind w:firstLine="567"/>
        <w:rPr>
          <w:rtl/>
        </w:rPr>
      </w:pPr>
      <w:r>
        <w:rPr>
          <w:rFonts w:hint="cs"/>
          <w:rtl/>
        </w:rPr>
        <w:lastRenderedPageBreak/>
        <w:t xml:space="preserve">لم يتم استيفاء </w:t>
      </w:r>
      <w:r w:rsidRPr="00CE670B">
        <w:rPr>
          <w:rtl/>
        </w:rPr>
        <w:t xml:space="preserve">إمكانات نمو نظام مدريد إلى حد كبير. </w:t>
      </w:r>
      <w:r>
        <w:rPr>
          <w:rFonts w:hint="cs"/>
          <w:rtl/>
        </w:rPr>
        <w:t>و</w:t>
      </w:r>
      <w:r w:rsidRPr="00CE670B">
        <w:rPr>
          <w:rtl/>
        </w:rPr>
        <w:t xml:space="preserve">سيساهم إدراج الروسية كلغة رسمية في الحفاظ على </w:t>
      </w:r>
      <w:r>
        <w:rPr>
          <w:rFonts w:hint="cs"/>
          <w:rtl/>
        </w:rPr>
        <w:t>الزخم</w:t>
      </w:r>
      <w:r w:rsidRPr="00CE670B">
        <w:rPr>
          <w:rtl/>
        </w:rPr>
        <w:t xml:space="preserve"> </w:t>
      </w:r>
      <w:r>
        <w:rPr>
          <w:rFonts w:hint="cs"/>
          <w:rtl/>
        </w:rPr>
        <w:t>الإيجابي</w:t>
      </w:r>
      <w:r w:rsidRPr="00CE670B">
        <w:rPr>
          <w:rtl/>
        </w:rPr>
        <w:t xml:space="preserve"> لتقديم الطلبات لتسجيل العلامات التجارية ليس فقط من روسيا ولكن أيضًا من جميع</w:t>
      </w:r>
      <w:r>
        <w:rPr>
          <w:rFonts w:hint="cs"/>
          <w:rtl/>
        </w:rPr>
        <w:t xml:space="preserve"> </w:t>
      </w:r>
      <w:r w:rsidRPr="00CE670B">
        <w:rPr>
          <w:rtl/>
        </w:rPr>
        <w:t>بلدان آسيا الوسطى والقوقاز وأوروبا الشرقية</w:t>
      </w:r>
      <w:r>
        <w:rPr>
          <w:rFonts w:hint="cs"/>
          <w:rtl/>
        </w:rPr>
        <w:t>.</w:t>
      </w:r>
    </w:p>
    <w:p w:rsidR="00CE670B" w:rsidRPr="00CE670B" w:rsidRDefault="00CE670B" w:rsidP="004748BA">
      <w:pPr>
        <w:pStyle w:val="NormalParaAR"/>
        <w:ind w:firstLine="567"/>
        <w:rPr>
          <w:rtl/>
        </w:rPr>
      </w:pPr>
      <w:r w:rsidRPr="00CE670B">
        <w:rPr>
          <w:rtl/>
        </w:rPr>
        <w:t xml:space="preserve">وسيكفل تنفيذ المبادرة احترام حقوق </w:t>
      </w:r>
      <w:r w:rsidR="00F84CAE">
        <w:rPr>
          <w:rFonts w:hint="cs"/>
          <w:rtl/>
        </w:rPr>
        <w:t>المودعين</w:t>
      </w:r>
      <w:r w:rsidRPr="00CE670B">
        <w:rPr>
          <w:rtl/>
        </w:rPr>
        <w:t xml:space="preserve"> </w:t>
      </w:r>
      <w:r w:rsidR="00F84CAE">
        <w:rPr>
          <w:rtl/>
        </w:rPr>
        <w:t>الناطقين</w:t>
      </w:r>
      <w:r w:rsidR="00F84CAE">
        <w:rPr>
          <w:rFonts w:hint="cs"/>
          <w:rtl/>
        </w:rPr>
        <w:t xml:space="preserve"> باللغة</w:t>
      </w:r>
      <w:r w:rsidR="004748BA">
        <w:rPr>
          <w:rtl/>
        </w:rPr>
        <w:t xml:space="preserve"> </w:t>
      </w:r>
      <w:r w:rsidR="00F84CAE">
        <w:rPr>
          <w:rtl/>
        </w:rPr>
        <w:t>الروسية</w:t>
      </w:r>
      <w:r w:rsidRPr="00CE670B">
        <w:rPr>
          <w:rtl/>
        </w:rPr>
        <w:t xml:space="preserve"> وتيسير وصولهم إلى النظم العالمية لحماية الملكية الفكرية فضلاً عن تحسين كفاءة عمل الفاحصين الناطقين ب</w:t>
      </w:r>
      <w:r w:rsidR="003C6936">
        <w:rPr>
          <w:rFonts w:hint="cs"/>
          <w:rtl/>
        </w:rPr>
        <w:t xml:space="preserve">اللغة </w:t>
      </w:r>
      <w:r w:rsidRPr="00CE670B">
        <w:rPr>
          <w:rtl/>
        </w:rPr>
        <w:t xml:space="preserve">الروسية وتخفيض الفترات الزمنية اللازمة </w:t>
      </w:r>
      <w:r w:rsidR="00D15E71">
        <w:rPr>
          <w:rFonts w:hint="cs"/>
          <w:rtl/>
        </w:rPr>
        <w:t>لمعالجة</w:t>
      </w:r>
      <w:r w:rsidRPr="00CE670B">
        <w:rPr>
          <w:rtl/>
        </w:rPr>
        <w:t xml:space="preserve"> مكاتب الملكية الفكرية في المنطقة </w:t>
      </w:r>
      <w:r w:rsidR="00D15E71">
        <w:rPr>
          <w:rFonts w:hint="cs"/>
          <w:rtl/>
        </w:rPr>
        <w:t>للطلب</w:t>
      </w:r>
      <w:r w:rsidR="00733C15">
        <w:rPr>
          <w:rFonts w:hint="cs"/>
          <w:rtl/>
        </w:rPr>
        <w:t>ات</w:t>
      </w:r>
      <w:r w:rsidRPr="00CE670B">
        <w:t>.</w:t>
      </w:r>
    </w:p>
    <w:p w:rsidR="00F7009D" w:rsidRDefault="00CE670B" w:rsidP="004748BA">
      <w:pPr>
        <w:pStyle w:val="NormalParaAR"/>
        <w:ind w:firstLine="567"/>
        <w:rPr>
          <w:rtl/>
          <w:lang w:bidi="ar-MA"/>
        </w:rPr>
      </w:pPr>
      <w:r w:rsidRPr="00CE670B">
        <w:rPr>
          <w:rtl/>
        </w:rPr>
        <w:t xml:space="preserve">ويتوقع الطرف الروسي من </w:t>
      </w:r>
      <w:r w:rsidR="00F7009D" w:rsidRPr="00F7009D">
        <w:rPr>
          <w:rtl/>
        </w:rPr>
        <w:t xml:space="preserve">الفريق العامل المعني بالتطوير القانوني لنظام مدريد بشأن التسجيل الدولي للعلامات </w:t>
      </w:r>
      <w:r w:rsidR="00733C15">
        <w:rPr>
          <w:rtl/>
        </w:rPr>
        <w:t xml:space="preserve">أن </w:t>
      </w:r>
      <w:r w:rsidR="00733C15">
        <w:rPr>
          <w:rFonts w:hint="cs"/>
          <w:rtl/>
        </w:rPr>
        <w:t>ت</w:t>
      </w:r>
      <w:r w:rsidRPr="00CE670B">
        <w:rPr>
          <w:rtl/>
        </w:rPr>
        <w:t xml:space="preserve">وصي جمعية اتحاد مدريد بالنظر في </w:t>
      </w:r>
      <w:bookmarkStart w:id="2" w:name="_GoBack"/>
      <w:bookmarkEnd w:id="2"/>
      <w:r w:rsidRPr="00CE670B">
        <w:rPr>
          <w:rtl/>
        </w:rPr>
        <w:t>الاقتراح.</w:t>
      </w:r>
    </w:p>
    <w:p w:rsidR="00F7009D" w:rsidRPr="00F369E7" w:rsidRDefault="00F7009D" w:rsidP="00F7009D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>[نهاية المرفق والوثيقة]</w:t>
      </w:r>
    </w:p>
    <w:p w:rsidR="00562114" w:rsidRPr="00F7009D" w:rsidRDefault="00562114" w:rsidP="00F7009D">
      <w:pPr>
        <w:tabs>
          <w:tab w:val="left" w:pos="6237"/>
        </w:tabs>
        <w:bidi/>
        <w:rPr>
          <w:rFonts w:ascii="Arabic Typesetting" w:hAnsi="Arabic Typesetting" w:cs="Arabic Typesetting"/>
          <w:sz w:val="36"/>
          <w:szCs w:val="36"/>
        </w:rPr>
      </w:pPr>
    </w:p>
    <w:sectPr w:rsidR="00562114" w:rsidRPr="00F7009D" w:rsidSect="00D716D5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72" w:rsidRDefault="00BF1972">
      <w:r>
        <w:separator/>
      </w:r>
    </w:p>
  </w:endnote>
  <w:endnote w:type="continuationSeparator" w:id="0">
    <w:p w:rsidR="00BF1972" w:rsidRDefault="00BF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72" w:rsidRDefault="00BF197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F1972" w:rsidRDefault="00BF197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D9" w:rsidRDefault="00014ED9" w:rsidP="00014ED9">
    <w:r w:rsidRPr="006722B3">
      <w:t>MM/LD/WG/16/9</w:t>
    </w:r>
  </w:p>
  <w:p w:rsidR="00014ED9" w:rsidRDefault="00014ED9" w:rsidP="00014ED9">
    <w:pPr>
      <w:rPr>
        <w:rtl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  <w:r>
      <w:t xml:space="preserve"> </w:t>
    </w:r>
  </w:p>
  <w:p w:rsidR="004819F1" w:rsidRDefault="002F77FC" w:rsidP="00014ED9">
    <w:pPr>
      <w:rPr>
        <w:rtl/>
        <w:lang w:bidi="ar-MA"/>
      </w:rPr>
    </w:pPr>
    <w:r>
      <w:fldChar w:fldCharType="begin"/>
    </w:r>
    <w:r>
      <w:instrText xml:space="preserve"> PAGE  \* MERGEFORMAT </w:instrText>
    </w:r>
    <w:r>
      <w:fldChar w:fldCharType="separate"/>
    </w:r>
    <w:r w:rsidR="000F511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D5" w:rsidRDefault="00D716D5" w:rsidP="00014ED9">
    <w:r w:rsidRPr="006722B3">
      <w:t>MM/LD/WG/16/9</w:t>
    </w:r>
  </w:p>
  <w:p w:rsidR="00D716D5" w:rsidRDefault="00D716D5" w:rsidP="00014ED9">
    <w:pPr>
      <w:rPr>
        <w:rFonts w:hint="cs"/>
        <w:rtl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  <w:r>
      <w:t xml:space="preserve"> </w:t>
    </w:r>
  </w:p>
  <w:p w:rsidR="00D716D5" w:rsidRDefault="00D716D5" w:rsidP="00014ED9">
    <w:pPr>
      <w:rPr>
        <w:rFonts w:hint="cs"/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0F5116">
      <w:rPr>
        <w:noProof/>
      </w:rPr>
      <w:t>3</w:t>
    </w:r>
    <w:r>
      <w:rPr>
        <w:noProof/>
      </w:rPr>
      <w:fldChar w:fldCharType="end"/>
    </w:r>
  </w:p>
  <w:p w:rsidR="00D716D5" w:rsidRDefault="00D716D5" w:rsidP="00014ED9">
    <w:pPr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53" w:rsidRDefault="006722B3" w:rsidP="00D716D5">
    <w:pPr>
      <w:jc w:val="both"/>
    </w:pPr>
    <w:r w:rsidRPr="006722B3">
      <w:t>MM/LD/WG/16/9</w:t>
    </w:r>
  </w:p>
  <w:p w:rsidR="00C73E53" w:rsidRDefault="00D716D5" w:rsidP="00D716D5">
    <w:pPr>
      <w:pStyle w:val="Header"/>
      <w:jc w:val="both"/>
      <w:rPr>
        <w:rFonts w:asciiTheme="minorBidi" w:hAnsiTheme="minorBidi" w:cstheme="minorBidi"/>
        <w:szCs w:val="22"/>
      </w:rPr>
    </w:pPr>
    <w:r>
      <w:rPr>
        <w:rFonts w:asciiTheme="minorBidi" w:hAnsiTheme="minorBidi" w:cstheme="minorBidi"/>
        <w:szCs w:val="22"/>
        <w:lang w:val="fr-CH"/>
      </w:rPr>
      <w:t>A</w:t>
    </w:r>
    <w:r>
      <w:rPr>
        <w:rFonts w:asciiTheme="minorBidi" w:hAnsiTheme="minorBidi" w:cstheme="minorBidi"/>
        <w:szCs w:val="22"/>
      </w:rPr>
      <w:t>NNEX</w:t>
    </w:r>
  </w:p>
  <w:p w:rsidR="00D716D5" w:rsidRDefault="00D716D5" w:rsidP="00D716D5">
    <w:pPr>
      <w:pStyle w:val="Header"/>
      <w:jc w:val="both"/>
      <w:rPr>
        <w:rFonts w:ascii="Arabic Typesetting" w:hAnsi="Arabic Typesetting" w:cs="Arabic Typesetting" w:hint="cs"/>
        <w:sz w:val="36"/>
        <w:szCs w:val="36"/>
        <w:rtl/>
      </w:rPr>
    </w:pPr>
    <w:r w:rsidRPr="00D716D5">
      <w:rPr>
        <w:rFonts w:ascii="Arabic Typesetting" w:hAnsi="Arabic Typesetting" w:cs="Arabic Typesetting"/>
        <w:sz w:val="36"/>
        <w:szCs w:val="36"/>
        <w:rtl/>
      </w:rPr>
      <w:t>الملحق</w:t>
    </w:r>
  </w:p>
  <w:p w:rsidR="00D716D5" w:rsidRPr="00D716D5" w:rsidRDefault="00D716D5" w:rsidP="00D716D5">
    <w:pPr>
      <w:pStyle w:val="Header"/>
      <w:jc w:val="both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4ED9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528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1B9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116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33D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33B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7D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4A8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85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431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936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48BA"/>
    <w:rsid w:val="0047572C"/>
    <w:rsid w:val="00476407"/>
    <w:rsid w:val="004773F7"/>
    <w:rsid w:val="004819F1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79D5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114"/>
    <w:rsid w:val="0056248F"/>
    <w:rsid w:val="00564985"/>
    <w:rsid w:val="00565379"/>
    <w:rsid w:val="005674C3"/>
    <w:rsid w:val="00567990"/>
    <w:rsid w:val="00567C4C"/>
    <w:rsid w:val="005728C8"/>
    <w:rsid w:val="0057326F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8A1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088B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6CD0"/>
    <w:rsid w:val="00667537"/>
    <w:rsid w:val="00670865"/>
    <w:rsid w:val="00671AED"/>
    <w:rsid w:val="006722B3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46B6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C15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0F2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1A9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795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2957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DE4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226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8F4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BD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E7B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5A0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B19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1E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14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0BDC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972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4C1A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4B2"/>
    <w:rsid w:val="00C57ED3"/>
    <w:rsid w:val="00C61640"/>
    <w:rsid w:val="00C61AA7"/>
    <w:rsid w:val="00C61B8E"/>
    <w:rsid w:val="00C668DE"/>
    <w:rsid w:val="00C7044F"/>
    <w:rsid w:val="00C720F8"/>
    <w:rsid w:val="00C7294B"/>
    <w:rsid w:val="00C73E53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6960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70B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5E71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2DB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6D5"/>
    <w:rsid w:val="00D7194A"/>
    <w:rsid w:val="00D72AE4"/>
    <w:rsid w:val="00D73026"/>
    <w:rsid w:val="00D73767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564B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5CE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2E75"/>
    <w:rsid w:val="00F24D27"/>
    <w:rsid w:val="00F2520C"/>
    <w:rsid w:val="00F25B08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E90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09D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10F"/>
    <w:rsid w:val="00F8031F"/>
    <w:rsid w:val="00F80C5C"/>
    <w:rsid w:val="00F818A5"/>
    <w:rsid w:val="00F8197C"/>
    <w:rsid w:val="00F8465D"/>
    <w:rsid w:val="00F848B3"/>
    <w:rsid w:val="00F84CAE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41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MM_LD_WG_16_AR.dotx</Template>
  <TotalTime>93</TotalTime>
  <Pages>4</Pages>
  <Words>755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MM/LD/WG/16/-- (Arabic)</vt:lpstr>
    </vt:vector>
  </TitlesOfParts>
  <Company>World Intellectual Property Organization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MM/LD/WG/16/-- (Arabic)</dc:title>
  <dc:creator>BEN MOHAMED Abdelhak</dc:creator>
  <cp:lastModifiedBy>YOUSSEF Randa</cp:lastModifiedBy>
  <cp:revision>40</cp:revision>
  <cp:lastPrinted>2018-06-11T14:53:00Z</cp:lastPrinted>
  <dcterms:created xsi:type="dcterms:W3CDTF">2018-06-11T12:34:00Z</dcterms:created>
  <dcterms:modified xsi:type="dcterms:W3CDTF">2018-06-11T14:53:00Z</dcterms:modified>
</cp:coreProperties>
</file>