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369E7" w:rsidP="00BA4140">
            <w:pPr>
              <w:pStyle w:val="DocumentCodeAR"/>
              <w:bidi/>
              <w:rPr>
                <w:rtl/>
              </w:rPr>
            </w:pPr>
            <w:r>
              <w:t>MM/LD/WG/1</w:t>
            </w:r>
            <w:r w:rsidR="00A41E7B">
              <w:t>6</w:t>
            </w:r>
            <w:r w:rsidR="00312653">
              <w:t>/10</w:t>
            </w:r>
          </w:p>
        </w:tc>
      </w:tr>
      <w:tr w:rsidR="001667B6" w:rsidTr="00BF164F">
        <w:tc>
          <w:tcPr>
            <w:tcW w:w="9571" w:type="dxa"/>
            <w:gridSpan w:val="3"/>
          </w:tcPr>
          <w:p w:rsidR="001667B6" w:rsidRPr="00B6101C" w:rsidRDefault="00B6101C" w:rsidP="00312653">
            <w:pPr>
              <w:pStyle w:val="DocumentLanguageAR"/>
              <w:bidi/>
              <w:rPr>
                <w:rtl/>
              </w:rPr>
            </w:pPr>
            <w:r w:rsidRPr="00B6101C">
              <w:rPr>
                <w:rFonts w:hint="cs"/>
                <w:rtl/>
              </w:rPr>
              <w:t xml:space="preserve">الأصل: </w:t>
            </w:r>
            <w:proofErr w:type="gramStart"/>
            <w:r w:rsidR="00312653">
              <w:rPr>
                <w:rFonts w:hint="cs"/>
                <w:rtl/>
              </w:rPr>
              <w:t>بالإنكليزية</w:t>
            </w:r>
            <w:proofErr w:type="gramEnd"/>
          </w:p>
        </w:tc>
      </w:tr>
      <w:tr w:rsidR="001667B6" w:rsidTr="00BF164F">
        <w:tc>
          <w:tcPr>
            <w:tcW w:w="9571" w:type="dxa"/>
            <w:gridSpan w:val="3"/>
          </w:tcPr>
          <w:p w:rsidR="001667B6" w:rsidRPr="00B6101C" w:rsidRDefault="00B6101C" w:rsidP="00312653">
            <w:pPr>
              <w:pStyle w:val="DocumentDateAR"/>
              <w:bidi/>
              <w:rPr>
                <w:rtl/>
              </w:rPr>
            </w:pPr>
            <w:r w:rsidRPr="00B6101C">
              <w:rPr>
                <w:rFonts w:hint="cs"/>
                <w:rtl/>
              </w:rPr>
              <w:t xml:space="preserve">التاريخ: </w:t>
            </w:r>
            <w:r w:rsidR="00312653">
              <w:rPr>
                <w:rFonts w:hint="cs"/>
                <w:rtl/>
              </w:rPr>
              <w:t>22</w:t>
            </w:r>
            <w:r w:rsidRPr="00B6101C">
              <w:rPr>
                <w:rFonts w:hint="cs"/>
                <w:rtl/>
              </w:rPr>
              <w:t xml:space="preserve"> </w:t>
            </w:r>
            <w:proofErr w:type="gramStart"/>
            <w:r w:rsidR="00312653">
              <w:rPr>
                <w:rFonts w:hint="cs"/>
                <w:rtl/>
              </w:rPr>
              <w:t>يونيو</w:t>
            </w:r>
            <w:proofErr w:type="gramEnd"/>
            <w:r w:rsidRPr="00B6101C">
              <w:rPr>
                <w:rFonts w:hint="cs"/>
                <w:rtl/>
              </w:rPr>
              <w:t xml:space="preserve"> </w:t>
            </w:r>
            <w:r w:rsidR="00A41E7B">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369E7" w:rsidP="00796CF7">
      <w:pPr>
        <w:pStyle w:val="MeetingTitleAR"/>
        <w:bidi/>
        <w:ind w:right="550"/>
        <w:rPr>
          <w:rtl/>
        </w:rPr>
      </w:pPr>
      <w:r w:rsidRPr="00F369E7">
        <w:rPr>
          <w:rtl/>
        </w:rPr>
        <w:t>الفريق العامل المعني بالتطوير القانوني لنظام مدريد بشأن التسجيل الدولي للعلامات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369E7" w:rsidP="00A41E7B">
      <w:pPr>
        <w:pStyle w:val="MeetingSessionAR"/>
        <w:bidi/>
        <w:rPr>
          <w:rFonts w:ascii="Cambria Math" w:hAnsi="Cambria Math"/>
          <w:rtl/>
        </w:rPr>
      </w:pPr>
      <w:r w:rsidRPr="00F369E7">
        <w:rPr>
          <w:rFonts w:ascii="Cambria Math" w:hAnsi="Cambria Math"/>
          <w:rtl/>
        </w:rPr>
        <w:t xml:space="preserve">الدورة </w:t>
      </w:r>
      <w:proofErr w:type="gramStart"/>
      <w:r w:rsidR="00A41E7B">
        <w:rPr>
          <w:rFonts w:ascii="Cambria Math" w:hAnsi="Cambria Math" w:hint="cs"/>
          <w:rtl/>
        </w:rPr>
        <w:t>السادسة</w:t>
      </w:r>
      <w:proofErr w:type="gramEnd"/>
      <w:r w:rsidR="00BA4140">
        <w:rPr>
          <w:rFonts w:ascii="Cambria Math" w:hAnsi="Cambria Math" w:hint="cs"/>
          <w:rtl/>
        </w:rPr>
        <w:t xml:space="preserve"> </w:t>
      </w:r>
      <w:r w:rsidRPr="00F369E7">
        <w:rPr>
          <w:rFonts w:ascii="Cambria Math" w:hAnsi="Cambria Math"/>
          <w:rtl/>
        </w:rPr>
        <w:t>عشرة</w:t>
      </w:r>
    </w:p>
    <w:p w:rsidR="00D61541" w:rsidRPr="00D61541" w:rsidRDefault="00D61541" w:rsidP="00A41E7B">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41E7B">
        <w:rPr>
          <w:rFonts w:hint="cs"/>
          <w:rtl/>
        </w:rPr>
        <w:t>2</w:t>
      </w:r>
      <w:r w:rsidR="00100F97">
        <w:rPr>
          <w:rFonts w:hint="cs"/>
          <w:rtl/>
        </w:rPr>
        <w:t xml:space="preserve"> إلى </w:t>
      </w:r>
      <w:r w:rsidR="00A41E7B">
        <w:rPr>
          <w:rFonts w:hint="cs"/>
          <w:rtl/>
        </w:rPr>
        <w:t>6</w:t>
      </w:r>
      <w:r w:rsidR="00783D11">
        <w:rPr>
          <w:rFonts w:hint="cs"/>
          <w:rtl/>
        </w:rPr>
        <w:t xml:space="preserve"> </w:t>
      </w:r>
      <w:r w:rsidR="00A41E7B">
        <w:rPr>
          <w:rFonts w:hint="cs"/>
          <w:rtl/>
        </w:rPr>
        <w:t>يول</w:t>
      </w:r>
      <w:r w:rsidR="00F369E7">
        <w:rPr>
          <w:rFonts w:hint="cs"/>
          <w:rtl/>
        </w:rPr>
        <w:t>يو</w:t>
      </w:r>
      <w:r w:rsidR="007205B1">
        <w:rPr>
          <w:rFonts w:hint="cs"/>
          <w:rtl/>
        </w:rPr>
        <w:t xml:space="preserve"> </w:t>
      </w:r>
      <w:r w:rsidR="00A41E7B">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51CA0" w:rsidP="00FB7EC9">
      <w:pPr>
        <w:pStyle w:val="DocumentTitleAR"/>
        <w:bidi/>
        <w:rPr>
          <w:rtl/>
        </w:rPr>
      </w:pPr>
      <w:r>
        <w:rPr>
          <w:rFonts w:hint="cs"/>
          <w:rtl/>
        </w:rPr>
        <w:t xml:space="preserve">اقتراح مقدم </w:t>
      </w:r>
      <w:proofErr w:type="gramStart"/>
      <w:r>
        <w:rPr>
          <w:rFonts w:hint="cs"/>
          <w:rtl/>
        </w:rPr>
        <w:t>من</w:t>
      </w:r>
      <w:proofErr w:type="gramEnd"/>
      <w:r>
        <w:rPr>
          <w:rFonts w:hint="cs"/>
          <w:rtl/>
        </w:rPr>
        <w:t xml:space="preserve"> وفد الولايات المتحدة الأمريكية</w:t>
      </w:r>
    </w:p>
    <w:p w:rsidR="00D61541" w:rsidRPr="00D61541" w:rsidRDefault="00D61541" w:rsidP="00931859">
      <w:pPr>
        <w:pStyle w:val="PreparedbyAR"/>
        <w:bidi/>
        <w:rPr>
          <w:rtl/>
        </w:rPr>
      </w:pPr>
    </w:p>
    <w:p w:rsidR="00651CA0" w:rsidRPr="00651CA0" w:rsidRDefault="00651CA0" w:rsidP="002A0A4C">
      <w:pPr>
        <w:pStyle w:val="NumberedParaAR"/>
        <w:rPr>
          <w:lang w:val="fr-CH"/>
        </w:rPr>
      </w:pPr>
      <w:r w:rsidRPr="00651CA0">
        <w:rPr>
          <w:rtl/>
          <w:lang w:val="fr-CH"/>
        </w:rPr>
        <w:t xml:space="preserve">في </w:t>
      </w:r>
      <w:r w:rsidRPr="00651CA0">
        <w:rPr>
          <w:rFonts w:hint="cs"/>
          <w:rtl/>
          <w:lang w:val="fr-CH"/>
        </w:rPr>
        <w:t>تبليغ</w:t>
      </w:r>
      <w:r w:rsidRPr="00651CA0">
        <w:rPr>
          <w:rtl/>
          <w:lang w:val="fr-CH"/>
        </w:rPr>
        <w:t xml:space="preserve"> </w:t>
      </w:r>
      <w:r w:rsidRPr="00651CA0">
        <w:rPr>
          <w:rFonts w:hint="cs"/>
          <w:rtl/>
          <w:lang w:val="fr-CH"/>
        </w:rPr>
        <w:t>بتاريخ</w:t>
      </w:r>
      <w:r w:rsidRPr="00651CA0">
        <w:rPr>
          <w:rtl/>
          <w:lang w:val="fr-CH"/>
        </w:rPr>
        <w:t xml:space="preserve"> </w:t>
      </w:r>
      <w:r>
        <w:rPr>
          <w:rFonts w:hint="cs"/>
          <w:rtl/>
          <w:lang w:val="fr-CH"/>
        </w:rPr>
        <w:t>19</w:t>
      </w:r>
      <w:r w:rsidRPr="00651CA0">
        <w:rPr>
          <w:rtl/>
          <w:lang w:val="fr-CH"/>
        </w:rPr>
        <w:t xml:space="preserve"> </w:t>
      </w:r>
      <w:r>
        <w:rPr>
          <w:rFonts w:hint="cs"/>
          <w:rtl/>
          <w:lang w:val="fr-CH"/>
        </w:rPr>
        <w:t>يونيو</w:t>
      </w:r>
      <w:r>
        <w:rPr>
          <w:rtl/>
          <w:lang w:val="fr-CH"/>
        </w:rPr>
        <w:t xml:space="preserve"> 2018</w:t>
      </w:r>
      <w:r w:rsidRPr="00651CA0">
        <w:rPr>
          <w:rtl/>
          <w:lang w:val="fr-CH"/>
        </w:rPr>
        <w:t xml:space="preserve">، تلقى المكتب الدولي اقتراحا من وفد </w:t>
      </w:r>
      <w:r>
        <w:rPr>
          <w:rFonts w:hint="cs"/>
          <w:rtl/>
          <w:lang w:val="fr-CH"/>
        </w:rPr>
        <w:t>الولايات المتحدة الأمريكية</w:t>
      </w:r>
      <w:r w:rsidRPr="00651CA0">
        <w:rPr>
          <w:rtl/>
          <w:lang w:val="fr-CH"/>
        </w:rPr>
        <w:t xml:space="preserve"> </w:t>
      </w:r>
      <w:r>
        <w:rPr>
          <w:rFonts w:hint="cs"/>
          <w:rtl/>
          <w:lang w:val="fr-CH"/>
        </w:rPr>
        <w:t>بعنوان "الإسهام في</w:t>
      </w:r>
      <w:r w:rsidR="002A0A4C">
        <w:rPr>
          <w:rFonts w:hint="eastAsia"/>
          <w:rtl/>
          <w:lang w:val="fr-CH"/>
        </w:rPr>
        <w:t> </w:t>
      </w:r>
      <w:r>
        <w:rPr>
          <w:rFonts w:hint="cs"/>
          <w:rtl/>
          <w:lang w:val="fr-CH"/>
        </w:rPr>
        <w:t xml:space="preserve">السلامة المالية للمنظمة"، </w:t>
      </w:r>
      <w:r w:rsidRPr="00651CA0">
        <w:rPr>
          <w:rtl/>
          <w:lang w:val="fr-CH"/>
        </w:rPr>
        <w:t xml:space="preserve">كي ينظر فيه الفريق العامل المعني بالتطوير القانوني لنظام مدريد بشأن التسجيل الدولي للعلامات في دورته السادسة عشرة </w:t>
      </w:r>
      <w:r>
        <w:rPr>
          <w:rFonts w:hint="cs"/>
          <w:rtl/>
          <w:lang w:val="fr-CH"/>
        </w:rPr>
        <w:t>المزمع عقدها</w:t>
      </w:r>
      <w:r w:rsidRPr="00651CA0">
        <w:rPr>
          <w:rtl/>
          <w:lang w:val="fr-CH"/>
        </w:rPr>
        <w:t xml:space="preserve"> في جنيف </w:t>
      </w:r>
      <w:r>
        <w:rPr>
          <w:rFonts w:hint="cs"/>
          <w:rtl/>
          <w:lang w:val="fr-CH"/>
        </w:rPr>
        <w:t xml:space="preserve">في الفترة </w:t>
      </w:r>
      <w:r w:rsidRPr="00651CA0">
        <w:rPr>
          <w:rtl/>
          <w:lang w:val="fr-CH"/>
        </w:rPr>
        <w:t>من 2 إلى 6 يوليو 2018.</w:t>
      </w:r>
    </w:p>
    <w:p w:rsidR="00651CA0" w:rsidRPr="00651CA0" w:rsidRDefault="00651CA0" w:rsidP="00651CA0">
      <w:pPr>
        <w:pStyle w:val="NumberedParaAR"/>
        <w:rPr>
          <w:lang w:val="fr-CH"/>
        </w:rPr>
      </w:pPr>
      <w:r w:rsidRPr="00651CA0">
        <w:rPr>
          <w:rFonts w:hint="cs"/>
          <w:rtl/>
          <w:lang w:val="fr-CH"/>
        </w:rPr>
        <w:t>ويرد الاقتراح المذكور في مرفق هذه الوثيقة.</w:t>
      </w:r>
    </w:p>
    <w:p w:rsidR="00651CA0" w:rsidRPr="00651CA0" w:rsidRDefault="00651CA0" w:rsidP="00651CA0">
      <w:pPr>
        <w:pStyle w:val="EndofDocumentAR"/>
        <w:rPr>
          <w:lang w:val="fr-CH"/>
        </w:rPr>
      </w:pPr>
      <w:r w:rsidRPr="00651CA0">
        <w:rPr>
          <w:rFonts w:hint="cs"/>
          <w:rtl/>
          <w:lang w:val="fr-CH"/>
        </w:rPr>
        <w:t xml:space="preserve">[يلي ذلك </w:t>
      </w:r>
      <w:proofErr w:type="gramStart"/>
      <w:r w:rsidRPr="00651CA0">
        <w:rPr>
          <w:rFonts w:hint="cs"/>
          <w:rtl/>
          <w:lang w:val="fr-CH"/>
        </w:rPr>
        <w:t>المرفق</w:t>
      </w:r>
      <w:proofErr w:type="gramEnd"/>
      <w:r w:rsidRPr="00651CA0">
        <w:rPr>
          <w:rFonts w:hint="cs"/>
          <w:rtl/>
          <w:lang w:val="fr-CH"/>
        </w:rPr>
        <w:t>]</w:t>
      </w:r>
    </w:p>
    <w:p w:rsidR="00651CA0" w:rsidRDefault="00651CA0" w:rsidP="007F38D1">
      <w:pPr>
        <w:pStyle w:val="NormalParaAR"/>
        <w:rPr>
          <w:rtl/>
        </w:rPr>
        <w:sectPr w:rsidR="00651CA0" w:rsidSect="00EB7752">
          <w:headerReference w:type="default" r:id="rId10"/>
          <w:pgSz w:w="11907" w:h="16840" w:code="9"/>
          <w:pgMar w:top="567" w:right="1418" w:bottom="1418" w:left="1134" w:header="510" w:footer="1021" w:gutter="0"/>
          <w:cols w:space="720"/>
          <w:titlePg/>
          <w:docGrid w:linePitch="299"/>
        </w:sectPr>
      </w:pPr>
    </w:p>
    <w:p w:rsidR="00A41E7B" w:rsidRPr="00EE5CDE" w:rsidRDefault="00EE5CDE" w:rsidP="00EE5CDE">
      <w:pPr>
        <w:pStyle w:val="NormalParaAR"/>
        <w:jc w:val="center"/>
        <w:rPr>
          <w:rFonts w:hint="cs"/>
          <w:b/>
          <w:bCs/>
          <w:rtl/>
        </w:rPr>
      </w:pPr>
      <w:r w:rsidRPr="00EE5CDE">
        <w:rPr>
          <w:rFonts w:hint="cs"/>
          <w:b/>
          <w:bCs/>
          <w:rtl/>
        </w:rPr>
        <w:lastRenderedPageBreak/>
        <w:t>الإسهام في السلامة المالية للمنظمة</w:t>
      </w:r>
    </w:p>
    <w:p w:rsidR="00EE5CDE" w:rsidRPr="00EE5CDE" w:rsidRDefault="00EE5CDE" w:rsidP="00EE5CDE">
      <w:pPr>
        <w:pStyle w:val="NormalParaAR"/>
        <w:spacing w:after="600"/>
        <w:jc w:val="center"/>
        <w:rPr>
          <w:rFonts w:hint="cs"/>
          <w:b/>
          <w:bCs/>
          <w:rtl/>
        </w:rPr>
      </w:pPr>
      <w:r w:rsidRPr="00EE5CDE">
        <w:rPr>
          <w:rFonts w:hint="cs"/>
          <w:b/>
          <w:bCs/>
          <w:rtl/>
        </w:rPr>
        <w:t xml:space="preserve">اقتراح مقدم من الولايات المتحدة الأمريكية إلى الفريق العامل </w:t>
      </w:r>
      <w:r>
        <w:rPr>
          <w:rFonts w:hint="cs"/>
          <w:b/>
          <w:bCs/>
          <w:rtl/>
        </w:rPr>
        <w:t>لنظام</w:t>
      </w:r>
      <w:r w:rsidRPr="00EE5CDE">
        <w:rPr>
          <w:rFonts w:hint="cs"/>
          <w:b/>
          <w:bCs/>
          <w:rtl/>
        </w:rPr>
        <w:t xml:space="preserve"> مدريد</w:t>
      </w:r>
    </w:p>
    <w:p w:rsidR="00EE5CDE" w:rsidRDefault="00EE5CDE" w:rsidP="002A0A4C">
      <w:pPr>
        <w:pStyle w:val="NormalParaAR"/>
        <w:ind w:hanging="1"/>
        <w:rPr>
          <w:rFonts w:hint="cs"/>
          <w:rtl/>
        </w:rPr>
      </w:pPr>
      <w:r>
        <w:rPr>
          <w:rtl/>
        </w:rPr>
        <w:tab/>
      </w:r>
      <w:r>
        <w:rPr>
          <w:rFonts w:hint="cs"/>
          <w:rtl/>
        </w:rPr>
        <w:tab/>
        <w:t xml:space="preserve">سعيا إلى الإسهام في السلامة المالية </w:t>
      </w:r>
      <w:r w:rsidR="002A0A4C">
        <w:rPr>
          <w:rFonts w:hint="cs"/>
          <w:rtl/>
        </w:rPr>
        <w:t>ل</w:t>
      </w:r>
      <w:r>
        <w:rPr>
          <w:rFonts w:hint="cs"/>
          <w:rtl/>
        </w:rPr>
        <w:t xml:space="preserve">لمنظمة العالمية للملكية الفكرية (الويبو)، نقترح أن ينظر الفريق العامل المعني بالتطوير القانوني لنظام مدريد بشأن التسجيل الدولي للعلامات (الفريق العامل لنظام مدريد) فيما إذا كان مستوى الرسوم كافيا لتغطية </w:t>
      </w:r>
      <w:r w:rsidR="003A62F5">
        <w:rPr>
          <w:rFonts w:hint="cs"/>
          <w:rtl/>
        </w:rPr>
        <w:t>النفقات</w:t>
      </w:r>
      <w:r>
        <w:rPr>
          <w:rFonts w:hint="cs"/>
          <w:rtl/>
        </w:rPr>
        <w:t xml:space="preserve"> والإسهام بشكل أعم في تغطية </w:t>
      </w:r>
      <w:r w:rsidR="003A62F5">
        <w:rPr>
          <w:rFonts w:hint="cs"/>
          <w:rtl/>
        </w:rPr>
        <w:t>نفقات</w:t>
      </w:r>
      <w:r>
        <w:rPr>
          <w:rFonts w:hint="cs"/>
          <w:rtl/>
        </w:rPr>
        <w:t xml:space="preserve"> المنظمة المشتركة. وفي حين أشار الفريق العامل لن</w:t>
      </w:r>
      <w:r w:rsidR="002A0A4C">
        <w:rPr>
          <w:rFonts w:hint="cs"/>
          <w:rtl/>
        </w:rPr>
        <w:t xml:space="preserve">ظام مدريد إلى اعتزامه الاستمرار، </w:t>
      </w:r>
      <w:r w:rsidR="002A0A4C">
        <w:rPr>
          <w:rFonts w:hint="cs"/>
          <w:rtl/>
        </w:rPr>
        <w:t>على المدى المتوسط</w:t>
      </w:r>
      <w:r w:rsidR="002A0A4C">
        <w:rPr>
          <w:rFonts w:hint="cs"/>
          <w:rtl/>
        </w:rPr>
        <w:t>،</w:t>
      </w:r>
      <w:r w:rsidR="002A0A4C">
        <w:rPr>
          <w:rFonts w:hint="cs"/>
          <w:rtl/>
        </w:rPr>
        <w:t xml:space="preserve"> </w:t>
      </w:r>
      <w:r>
        <w:rPr>
          <w:rFonts w:hint="cs"/>
          <w:rtl/>
        </w:rPr>
        <w:t xml:space="preserve">في مناقشة مراجعة الرسوم وخيارات الدفع </w:t>
      </w:r>
      <w:r w:rsidR="005022E5">
        <w:rPr>
          <w:rFonts w:hint="cs"/>
          <w:rtl/>
        </w:rPr>
        <w:t>كما هو وارد</w:t>
      </w:r>
      <w:r>
        <w:rPr>
          <w:rFonts w:hint="cs"/>
          <w:rtl/>
        </w:rPr>
        <w:t xml:space="preserve"> </w:t>
      </w:r>
      <w:r w:rsidR="005022E5">
        <w:rPr>
          <w:rFonts w:hint="cs"/>
          <w:rtl/>
        </w:rPr>
        <w:t>في</w:t>
      </w:r>
      <w:r>
        <w:rPr>
          <w:rFonts w:hint="cs"/>
          <w:rtl/>
        </w:rPr>
        <w:t xml:space="preserve"> خريطة الطريق الخاصة بأولوياته</w:t>
      </w:r>
      <w:r>
        <w:rPr>
          <w:rStyle w:val="FootnoteReference"/>
          <w:rtl/>
        </w:rPr>
        <w:footnoteReference w:id="1"/>
      </w:r>
      <w:r>
        <w:rPr>
          <w:rFonts w:hint="cs"/>
          <w:rtl/>
        </w:rPr>
        <w:t xml:space="preserve">، </w:t>
      </w:r>
      <w:r w:rsidR="005022E5">
        <w:rPr>
          <w:rFonts w:hint="cs"/>
          <w:rtl/>
        </w:rPr>
        <w:t>فإن الولايات المتحدة الأمريكية تقترح نقل تلك المناقشة إلى المدى القريب لضمان تمكّن اتحاد مدريد من الإسهام بشكل مسؤول في السلامة المالية للمنظمة في أقرب فرصة ممكنة.</w:t>
      </w:r>
    </w:p>
    <w:p w:rsidR="005022E5" w:rsidRDefault="005022E5" w:rsidP="002A0A4C">
      <w:pPr>
        <w:pStyle w:val="NormalParaAR"/>
        <w:ind w:hanging="1"/>
        <w:rPr>
          <w:rFonts w:hint="cs"/>
          <w:rtl/>
        </w:rPr>
      </w:pPr>
      <w:r>
        <w:rPr>
          <w:rtl/>
        </w:rPr>
        <w:tab/>
      </w:r>
      <w:r>
        <w:rPr>
          <w:rFonts w:hint="cs"/>
          <w:rtl/>
        </w:rPr>
        <w:tab/>
        <w:t xml:space="preserve">وطبقا للقرار الذي اتخذته جمعيات الويبو </w:t>
      </w:r>
      <w:r w:rsidR="002A0A4C">
        <w:rPr>
          <w:rFonts w:hint="cs"/>
          <w:rtl/>
        </w:rPr>
        <w:t>المعقودة</w:t>
      </w:r>
      <w:r>
        <w:rPr>
          <w:rFonts w:hint="cs"/>
          <w:rtl/>
        </w:rPr>
        <w:t xml:space="preserve"> في أكتوبر 2017 بشأن برنامج وميزانية الويبو 2018-2019</w:t>
      </w:r>
      <w:r>
        <w:rPr>
          <w:rStyle w:val="FootnoteReference"/>
          <w:rtl/>
        </w:rPr>
        <w:footnoteReference w:id="2"/>
      </w:r>
      <w:r>
        <w:rPr>
          <w:rFonts w:hint="cs"/>
          <w:rtl/>
        </w:rPr>
        <w:t xml:space="preserve">، </w:t>
      </w:r>
      <w:r w:rsidR="002A0A4C">
        <w:rPr>
          <w:rFonts w:hint="cs"/>
          <w:rtl/>
        </w:rPr>
        <w:t>يُتوقّع</w:t>
      </w:r>
      <w:r>
        <w:rPr>
          <w:rFonts w:hint="cs"/>
          <w:rtl/>
        </w:rPr>
        <w:t xml:space="preserve"> </w:t>
      </w:r>
      <w:r w:rsidR="002A0A4C">
        <w:rPr>
          <w:rFonts w:hint="cs"/>
          <w:rtl/>
        </w:rPr>
        <w:t xml:space="preserve">من </w:t>
      </w:r>
      <w:r w:rsidR="003A62F5">
        <w:rPr>
          <w:rFonts w:hint="cs"/>
          <w:rtl/>
        </w:rPr>
        <w:t xml:space="preserve">الاتحادات الممولة من الرسوم استعراض ميزانياتها وضمان ألا يكون لديها عجز. </w:t>
      </w:r>
      <w:proofErr w:type="gramStart"/>
      <w:r w:rsidR="003A62F5">
        <w:rPr>
          <w:rFonts w:hint="cs"/>
          <w:rtl/>
        </w:rPr>
        <w:t>وترى</w:t>
      </w:r>
      <w:proofErr w:type="gramEnd"/>
      <w:r w:rsidR="003A62F5">
        <w:rPr>
          <w:rFonts w:hint="cs"/>
          <w:rtl/>
        </w:rPr>
        <w:t xml:space="preserve"> الولايات المتحدة الأمريكية أنه ينبغي للاتحاد الممولة من الرسوم أن تغطي النفقات الخاصة بها وتسهم أيضا في تغطية نفقات المنظمة المشتركة. وعلاوة على ذلك، نرى أنه ينبغي كذلك للاتحادات الممولة من الرسوم النظر في تحمّل تكاليف الاتحادات الممولة من الاشتراكات، التي تعاني حاليا من مشكلات مالية.</w:t>
      </w:r>
    </w:p>
    <w:p w:rsidR="00D14B2C" w:rsidRDefault="00D14B2C" w:rsidP="002A0A4C">
      <w:pPr>
        <w:pStyle w:val="NormalParaAR"/>
        <w:ind w:hanging="1"/>
        <w:rPr>
          <w:rFonts w:hint="cs"/>
          <w:rtl/>
        </w:rPr>
      </w:pPr>
      <w:r>
        <w:rPr>
          <w:rtl/>
        </w:rPr>
        <w:tab/>
      </w:r>
      <w:r>
        <w:rPr>
          <w:rFonts w:hint="cs"/>
          <w:rtl/>
        </w:rPr>
        <w:tab/>
        <w:t xml:space="preserve">وفي عام </w:t>
      </w:r>
      <w:r w:rsidR="002A0A4C">
        <w:rPr>
          <w:rFonts w:hint="cs"/>
          <w:rtl/>
        </w:rPr>
        <w:t>2017</w:t>
      </w:r>
      <w:r>
        <w:rPr>
          <w:rFonts w:hint="cs"/>
          <w:rtl/>
        </w:rPr>
        <w:t>، صدر عن جمعية اتحاد مدريد، وعن سائر جمعيات الويبو، أنها</w:t>
      </w:r>
      <w:r>
        <w:rPr>
          <w:rStyle w:val="FootnoteReference"/>
          <w:rtl/>
        </w:rPr>
        <w:footnoteReference w:id="3"/>
      </w:r>
      <w:r>
        <w:rPr>
          <w:rFonts w:hint="cs"/>
          <w:rtl/>
        </w:rPr>
        <w:t>:</w:t>
      </w:r>
    </w:p>
    <w:p w:rsidR="00D14B2C" w:rsidRPr="00D14B2C" w:rsidRDefault="00D14B2C" w:rsidP="00D14B2C">
      <w:pPr>
        <w:pStyle w:val="NormalParaAR"/>
        <w:rPr>
          <w:rtl/>
        </w:rPr>
      </w:pPr>
      <w:r>
        <w:rPr>
          <w:rFonts w:hint="cs"/>
          <w:rtl/>
        </w:rPr>
        <w:t>"..</w:t>
      </w:r>
      <w:r>
        <w:rPr>
          <w:rtl/>
        </w:rPr>
        <w:tab/>
      </w:r>
      <w:r>
        <w:rPr>
          <w:rFonts w:hint="cs"/>
          <w:rtl/>
        </w:rPr>
        <w:t>"1"</w:t>
      </w:r>
      <w:r>
        <w:rPr>
          <w:rFonts w:hint="cs"/>
          <w:rtl/>
        </w:rPr>
        <w:tab/>
      </w:r>
      <w:r w:rsidRPr="00D14B2C">
        <w:rPr>
          <w:rFonts w:hint="cs"/>
          <w:rtl/>
        </w:rPr>
        <w:t>ذكّرت بأنه ينبغي، طبقا لمعاهدات الاتحادات الممولة من الرسوم، أن يكون لكل اتحاد إيرادات كافية لتغطية النفقات الخاصة به؛</w:t>
      </w:r>
    </w:p>
    <w:p w:rsidR="00D14B2C" w:rsidRPr="00D14B2C" w:rsidRDefault="00D14B2C" w:rsidP="00D14B2C">
      <w:pPr>
        <w:pStyle w:val="NormalParaAR"/>
        <w:rPr>
          <w:rtl/>
        </w:rPr>
      </w:pPr>
      <w:r>
        <w:rPr>
          <w:rtl/>
        </w:rPr>
        <w:tab/>
      </w:r>
      <w:r w:rsidRPr="00D14B2C">
        <w:rPr>
          <w:rFonts w:hint="cs"/>
          <w:rtl/>
        </w:rPr>
        <w:t>"3"</w:t>
      </w:r>
      <w:r w:rsidRPr="00D14B2C">
        <w:rPr>
          <w:rtl/>
        </w:rPr>
        <w:tab/>
      </w:r>
      <w:r w:rsidRPr="00D14B2C">
        <w:rPr>
          <w:rFonts w:hint="cs"/>
          <w:rtl/>
        </w:rPr>
        <w:t>وأشارت إلى أن الاتحادات الممولة من الرسوم التي لها عجز متوقّع في الثنائية 2018/19 ينبغي أن تبحث تدابير طبقا للمعاهدة الخاص</w:t>
      </w:r>
      <w:r>
        <w:rPr>
          <w:rFonts w:hint="cs"/>
          <w:rtl/>
        </w:rPr>
        <w:t>ة بكل منها من أجل سدّ ذلك العجز..."</w:t>
      </w:r>
    </w:p>
    <w:p w:rsidR="00D14B2C" w:rsidRDefault="00D14B2C" w:rsidP="002A0A4C">
      <w:pPr>
        <w:pStyle w:val="NormalParaAR"/>
        <w:rPr>
          <w:rtl/>
        </w:rPr>
      </w:pPr>
      <w:r>
        <w:rPr>
          <w:rFonts w:hint="cs"/>
          <w:rtl/>
        </w:rPr>
        <w:tab/>
        <w:t>ويبيّن المرفق الثالث من وثيقة البرنامج والميزانية للثنائية 2018/19 ميزانية الاتحادات ويُظهر بوضوح أن اتحاد مدريد لا</w:t>
      </w:r>
      <w:r w:rsidR="002A0A4C">
        <w:rPr>
          <w:rFonts w:hint="eastAsia"/>
          <w:rtl/>
        </w:rPr>
        <w:t> </w:t>
      </w:r>
      <w:r>
        <w:rPr>
          <w:rFonts w:hint="cs"/>
          <w:rtl/>
        </w:rPr>
        <w:t>يعاني من أي عجز. ويتوقّع اتحاد مدريد إيرادات بقيمة 000</w:t>
      </w:r>
      <w:r>
        <w:rPr>
          <w:rFonts w:hint="eastAsia"/>
          <w:rtl/>
        </w:rPr>
        <w:t> </w:t>
      </w:r>
      <w:r>
        <w:rPr>
          <w:rFonts w:hint="cs"/>
          <w:rtl/>
        </w:rPr>
        <w:t>114</w:t>
      </w:r>
      <w:r>
        <w:rPr>
          <w:rFonts w:hint="eastAsia"/>
          <w:rtl/>
        </w:rPr>
        <w:t> </w:t>
      </w:r>
      <w:r>
        <w:rPr>
          <w:rFonts w:hint="cs"/>
          <w:rtl/>
        </w:rPr>
        <w:t>143 فرنك سويسري، مما يتجاوز بكثير نفقاته المرتقبة البالغة 000</w:t>
      </w:r>
      <w:r>
        <w:rPr>
          <w:rFonts w:hint="eastAsia"/>
          <w:rtl/>
        </w:rPr>
        <w:t> </w:t>
      </w:r>
      <w:r>
        <w:rPr>
          <w:rFonts w:hint="cs"/>
          <w:rtl/>
        </w:rPr>
        <w:t>405</w:t>
      </w:r>
      <w:r>
        <w:rPr>
          <w:rFonts w:hint="eastAsia"/>
          <w:rtl/>
        </w:rPr>
        <w:t> </w:t>
      </w:r>
      <w:r>
        <w:rPr>
          <w:rFonts w:hint="cs"/>
          <w:rtl/>
        </w:rPr>
        <w:t>137 فرنك سويسري.</w:t>
      </w:r>
    </w:p>
    <w:p w:rsidR="00D14B2C" w:rsidRDefault="00D14B2C">
      <w:pPr>
        <w:rPr>
          <w:rFonts w:ascii="Arabic Typesetting" w:hAnsi="Arabic Typesetting" w:cs="Arabic Typesetting"/>
          <w:sz w:val="36"/>
          <w:szCs w:val="36"/>
          <w:rtl/>
        </w:rPr>
      </w:pPr>
      <w:r>
        <w:rPr>
          <w:rtl/>
        </w:rPr>
        <w:br w:type="page"/>
      </w:r>
    </w:p>
    <w:p w:rsidR="009121FD" w:rsidRPr="003917E7" w:rsidRDefault="009121FD" w:rsidP="009121FD">
      <w:pPr>
        <w:keepNext/>
        <w:bidi/>
        <w:spacing w:after="120" w:line="340" w:lineRule="exact"/>
        <w:jc w:val="center"/>
        <w:rPr>
          <w:rFonts w:ascii="Arabic Typesetting" w:eastAsia="SimSun" w:hAnsi="Arabic Typesetting" w:cs="Arabic Typesetting"/>
          <w:b/>
          <w:sz w:val="34"/>
          <w:szCs w:val="34"/>
          <w:lang w:eastAsia="zh-CN" w:bidi="ar-EG"/>
        </w:rPr>
      </w:pPr>
      <w:r w:rsidRPr="009121FD">
        <w:rPr>
          <w:rFonts w:ascii="Arabic Typesetting" w:eastAsia="SimSun" w:hAnsi="Arabic Typesetting" w:cs="Arabic Typesetting"/>
          <w:b/>
          <w:bCs/>
          <w:sz w:val="36"/>
          <w:szCs w:val="36"/>
          <w:rtl/>
          <w:lang w:eastAsia="zh-CN" w:bidi="ar-EG"/>
        </w:rPr>
        <w:lastRenderedPageBreak/>
        <w:t>الجدول 11</w:t>
      </w:r>
      <w:r w:rsidRPr="009121FD">
        <w:rPr>
          <w:rFonts w:ascii="Arabic Typesetting" w:eastAsia="SimSun" w:hAnsi="Arabic Typesetting" w:cs="Arabic Typesetting" w:hint="cs"/>
          <w:b/>
          <w:bCs/>
          <w:sz w:val="36"/>
          <w:szCs w:val="36"/>
          <w:rtl/>
          <w:lang w:eastAsia="zh-CN" w:bidi="ar-EG"/>
        </w:rPr>
        <w:t>:</w:t>
      </w:r>
      <w:r w:rsidRPr="009121FD">
        <w:rPr>
          <w:rFonts w:ascii="Arabic Typesetting" w:eastAsia="SimSun" w:hAnsi="Arabic Typesetting" w:cs="Arabic Typesetting"/>
          <w:b/>
          <w:bCs/>
          <w:sz w:val="36"/>
          <w:szCs w:val="36"/>
          <w:rtl/>
          <w:lang w:eastAsia="zh-CN" w:bidi="ar-EG"/>
        </w:rPr>
        <w:t xml:space="preserve">  السيناريو العام بحسب</w:t>
      </w:r>
      <w:r w:rsidRPr="009121FD">
        <w:rPr>
          <w:rFonts w:ascii="Arabic Typesetting" w:eastAsia="SimSun" w:hAnsi="Arabic Typesetting" w:cs="Arabic Typesetting" w:hint="cs"/>
          <w:b/>
          <w:bCs/>
          <w:sz w:val="36"/>
          <w:szCs w:val="36"/>
          <w:rtl/>
          <w:lang w:eastAsia="zh-CN" w:bidi="ar-EG"/>
        </w:rPr>
        <w:t xml:space="preserve"> كل</w:t>
      </w:r>
      <w:r w:rsidRPr="009121FD">
        <w:rPr>
          <w:rFonts w:ascii="Arabic Typesetting" w:eastAsia="SimSun" w:hAnsi="Arabic Typesetting" w:cs="Arabic Typesetting"/>
          <w:b/>
          <w:bCs/>
          <w:sz w:val="36"/>
          <w:szCs w:val="36"/>
          <w:rtl/>
          <w:lang w:eastAsia="zh-CN" w:bidi="ar-EG"/>
        </w:rPr>
        <w:t xml:space="preserve"> اتحاد</w:t>
      </w:r>
      <w:r>
        <w:rPr>
          <w:rStyle w:val="FootnoteReference"/>
          <w:rFonts w:eastAsia="SimSun"/>
          <w:b/>
          <w:bCs/>
          <w:rtl/>
          <w:lang w:eastAsia="zh-CN" w:bidi="ar-EG"/>
        </w:rPr>
        <w:footnoteReference w:id="4"/>
      </w:r>
    </w:p>
    <w:p w:rsidR="009121FD" w:rsidRPr="009121FD" w:rsidRDefault="009121FD" w:rsidP="009121FD">
      <w:pPr>
        <w:keepNext/>
        <w:bidi/>
        <w:spacing w:after="240" w:line="340" w:lineRule="exact"/>
        <w:jc w:val="center"/>
        <w:rPr>
          <w:rFonts w:ascii="Arabic Typesetting" w:eastAsia="SimSun" w:hAnsi="Arabic Typesetting" w:cs="Arabic Typesetting"/>
          <w:i/>
          <w:sz w:val="36"/>
          <w:szCs w:val="36"/>
          <w:lang w:eastAsia="zh-CN" w:bidi="ar-EG"/>
        </w:rPr>
      </w:pPr>
      <w:r w:rsidRPr="009121FD">
        <w:rPr>
          <w:rFonts w:ascii="Arabic Typesetting" w:eastAsia="SimSun" w:hAnsi="Arabic Typesetting" w:cs="Arabic Typesetting"/>
          <w:i/>
          <w:iCs/>
          <w:sz w:val="36"/>
          <w:szCs w:val="36"/>
          <w:rtl/>
          <w:lang w:eastAsia="zh-CN" w:bidi="ar-EG"/>
        </w:rPr>
        <w:t>(</w:t>
      </w:r>
      <w:proofErr w:type="gramStart"/>
      <w:r w:rsidRPr="009121FD">
        <w:rPr>
          <w:rFonts w:ascii="Arabic Typesetting" w:eastAsia="SimSun" w:hAnsi="Arabic Typesetting" w:cs="Arabic Typesetting"/>
          <w:i/>
          <w:iCs/>
          <w:sz w:val="36"/>
          <w:szCs w:val="36"/>
          <w:rtl/>
          <w:lang w:eastAsia="zh-CN" w:bidi="ar-EG"/>
        </w:rPr>
        <w:t>بآلاف</w:t>
      </w:r>
      <w:proofErr w:type="gramEnd"/>
      <w:r w:rsidRPr="009121FD">
        <w:rPr>
          <w:rFonts w:ascii="Arabic Typesetting" w:eastAsia="SimSun" w:hAnsi="Arabic Typesetting" w:cs="Arabic Typesetting"/>
          <w:i/>
          <w:iCs/>
          <w:sz w:val="36"/>
          <w:szCs w:val="36"/>
          <w:rtl/>
          <w:lang w:eastAsia="zh-CN" w:bidi="ar-EG"/>
        </w:rPr>
        <w:t xml:space="preserve"> الفرنكات السويسرية)</w:t>
      </w:r>
    </w:p>
    <w:p w:rsidR="009121FD" w:rsidRPr="003917E7" w:rsidRDefault="009121FD" w:rsidP="009121FD">
      <w:pPr>
        <w:bidi/>
        <w:spacing w:before="240" w:after="240"/>
        <w:rPr>
          <w:rFonts w:ascii="Arabic Typesetting" w:hAnsi="Arabic Typesetting" w:cs="Arabic Typesetting"/>
          <w:bCs/>
          <w:sz w:val="34"/>
          <w:szCs w:val="34"/>
          <w:lang w:eastAsia="zh-CN" w:bidi="ar-EG"/>
        </w:rPr>
      </w:pPr>
      <w:r w:rsidRPr="00BA721F">
        <w:rPr>
          <w:noProof/>
          <w:szCs w:val="22"/>
          <w:rtl/>
        </w:rPr>
        <w:drawing>
          <wp:inline distT="0" distB="0" distL="0" distR="0" wp14:anchorId="6607DACE" wp14:editId="5661FD8E">
            <wp:extent cx="5934694" cy="1924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925908"/>
                    </a:xfrm>
                    <a:prstGeom prst="rect">
                      <a:avLst/>
                    </a:prstGeom>
                    <a:noFill/>
                    <a:ln>
                      <a:noFill/>
                    </a:ln>
                  </pic:spPr>
                </pic:pic>
              </a:graphicData>
            </a:graphic>
          </wp:inline>
        </w:drawing>
      </w:r>
    </w:p>
    <w:p w:rsidR="00EE5CDE" w:rsidRDefault="009121FD" w:rsidP="00C669DD">
      <w:pPr>
        <w:pStyle w:val="NormalParaAR"/>
        <w:rPr>
          <w:rFonts w:hint="cs"/>
          <w:rtl/>
        </w:rPr>
      </w:pPr>
      <w:r>
        <w:rPr>
          <w:rtl/>
        </w:rPr>
        <w:tab/>
      </w:r>
      <w:r>
        <w:rPr>
          <w:rFonts w:hint="cs"/>
          <w:rtl/>
        </w:rPr>
        <w:t xml:space="preserve">يظهر من الجدول أن </w:t>
      </w:r>
      <w:r w:rsidR="00C669DD">
        <w:rPr>
          <w:rFonts w:hint="cs"/>
          <w:rtl/>
        </w:rPr>
        <w:t>عدة اتحادات من اتحادات الويبو ترتقب عجزا، بما في ذلك الاتحادات الممولة من الاشتراكات. ونرى أنه ينبغي لكل الاتحادات الممولة من الرسوم تقدير مستوى رسومها وفقا للتكاليف الخاصة بها والنفقات المشتركة والسلامة المالية للمنظمة عموما.</w:t>
      </w:r>
    </w:p>
    <w:p w:rsidR="00C669DD" w:rsidRDefault="00C669DD" w:rsidP="00DD3F5C">
      <w:pPr>
        <w:pStyle w:val="NormalParaAR"/>
        <w:rPr>
          <w:rFonts w:hint="cs"/>
          <w:rtl/>
        </w:rPr>
      </w:pPr>
      <w:r>
        <w:rPr>
          <w:rtl/>
        </w:rPr>
        <w:tab/>
      </w:r>
      <w:r w:rsidR="00685A3D">
        <w:rPr>
          <w:rFonts w:hint="cs"/>
          <w:rtl/>
        </w:rPr>
        <w:t xml:space="preserve">وتدعم الاتحادات الممولة من الاشتراكات، حاليا، العمل الخاص بحق المؤلف، والمعارف التقليدية وأشكال التعبير الثقافي التقليدي والموارد الوراثية، والتصنيف والمعايير، وتكنولوجيا المعلومات. وبالإضافة ِإلى ذلك، تسهم الاتحادات الممولة من الاشتراكات في أنشطة المنظمة المشتركة، مثل التكاليف المرتبطة بصيانة مباني الويبو. كما ظلّت الاتحادات الممولة من الاشتراكات </w:t>
      </w:r>
      <w:r w:rsidR="00693BD4">
        <w:rPr>
          <w:rFonts w:hint="cs"/>
          <w:rtl/>
        </w:rPr>
        <w:t>تُقرض أموالا لاتحاد لشبونة من أجل تغطية عجزه، ولأن اتحاد لشبونة لم يتخذ خطوات للحد بشكل كاف من عجزه أو إزالة ذلك  العجز</w:t>
      </w:r>
      <w:r w:rsidR="00693BD4">
        <w:rPr>
          <w:rStyle w:val="FootnoteReference"/>
          <w:rtl/>
        </w:rPr>
        <w:footnoteReference w:id="5"/>
      </w:r>
      <w:r w:rsidR="00693BD4">
        <w:rPr>
          <w:rFonts w:hint="cs"/>
          <w:rtl/>
        </w:rPr>
        <w:t xml:space="preserve">، </w:t>
      </w:r>
      <w:r w:rsidR="000640EB">
        <w:rPr>
          <w:rFonts w:hint="cs"/>
          <w:rtl/>
        </w:rPr>
        <w:t xml:space="preserve">فإن من المرجّح، على ما يبدو، أنه سيظّل بحاجة إلى دعم مالي. واستمرار الاتحاد الممولة من الاشتراكات في توفير الدعم المالي يبدو أمرا محدودا زمنيا لأن تلك الاتحادات تتوقّع عجزا يناهز مليوني فرنك سويسري، وأموالها الاحتياطية لن تمكّن </w:t>
      </w:r>
      <w:r w:rsidR="00FD33CB">
        <w:rPr>
          <w:rFonts w:hint="cs"/>
          <w:rtl/>
        </w:rPr>
        <w:t xml:space="preserve">سوى </w:t>
      </w:r>
      <w:r w:rsidR="000640EB">
        <w:rPr>
          <w:rFonts w:hint="cs"/>
          <w:rtl/>
        </w:rPr>
        <w:t xml:space="preserve">من </w:t>
      </w:r>
      <w:r w:rsidR="00FD33CB">
        <w:rPr>
          <w:rFonts w:hint="cs"/>
          <w:rtl/>
        </w:rPr>
        <w:t>ضمان إنفاق عجزي لب</w:t>
      </w:r>
      <w:r w:rsidR="000640EB">
        <w:rPr>
          <w:rFonts w:hint="cs"/>
          <w:rtl/>
        </w:rPr>
        <w:t xml:space="preserve">ضع سنوات أخرى. وما فتئ اتحاد لاهاي يشهد </w:t>
      </w:r>
      <w:r w:rsidR="000640EB">
        <w:rPr>
          <w:rFonts w:hint="cs"/>
          <w:rtl/>
        </w:rPr>
        <w:t>هو أيضا</w:t>
      </w:r>
      <w:r w:rsidR="000640EB">
        <w:rPr>
          <w:rFonts w:hint="cs"/>
          <w:rtl/>
        </w:rPr>
        <w:t xml:space="preserve"> عجزا كبيرا</w:t>
      </w:r>
      <w:r w:rsidR="000640EB">
        <w:rPr>
          <w:rStyle w:val="FootnoteReference"/>
          <w:rtl/>
        </w:rPr>
        <w:footnoteReference w:id="6"/>
      </w:r>
      <w:r w:rsidR="00FD33CB">
        <w:rPr>
          <w:rFonts w:hint="cs"/>
          <w:rtl/>
        </w:rPr>
        <w:t xml:space="preserve">. ونتيجة لذلك وبالنظر إلى احتمال الاستمرار في تقديم قروض إلى اتحادي لشبونة ولاهاي واستمرار الاتحادات الممولة من الاشتراكات في ممارسة إنفاق عجزي، لا بدّ </w:t>
      </w:r>
      <w:r w:rsidR="00DD3F5C">
        <w:rPr>
          <w:rFonts w:hint="cs"/>
          <w:rtl/>
        </w:rPr>
        <w:t>من إيجاد أموال إضافية لتمكين تلك الاتحادات من تغطية نفقاتها.</w:t>
      </w:r>
    </w:p>
    <w:p w:rsidR="00DD3F5C" w:rsidRDefault="00DD3F5C" w:rsidP="00DD3F5C">
      <w:pPr>
        <w:pStyle w:val="NormalParaAR"/>
        <w:spacing w:after="480"/>
        <w:rPr>
          <w:rFonts w:hint="cs"/>
          <w:rtl/>
        </w:rPr>
      </w:pPr>
      <w:r>
        <w:rPr>
          <w:rtl/>
        </w:rPr>
        <w:tab/>
      </w:r>
      <w:r>
        <w:rPr>
          <w:rFonts w:hint="cs"/>
          <w:rtl/>
        </w:rPr>
        <w:t>وقد تولى اتحاد معاهدة التعاون بشأن البراءات، حتى الآن، تغط</w:t>
      </w:r>
      <w:r w:rsidR="002A0A4C">
        <w:rPr>
          <w:rFonts w:hint="cs"/>
          <w:rtl/>
        </w:rPr>
        <w:t>ية حص</w:t>
      </w:r>
      <w:bookmarkStart w:id="2" w:name="_GoBack"/>
      <w:bookmarkEnd w:id="2"/>
      <w:r>
        <w:rPr>
          <w:rFonts w:hint="cs"/>
          <w:rtl/>
        </w:rPr>
        <w:t>ة غير متكافئة من نفقات المنظمة الإجمالية. وعليه، نرى أنه ينبغي لاتحادات الويبو الممولة من الرسوم، بما في ذلك اتحاد مدريد، النظر في مستويات رسومها من أجل الإسهام بشكل مسؤول في السلامة المالية الإجمالية للمنظمة.</w:t>
      </w:r>
    </w:p>
    <w:p w:rsidR="00DD3F5C" w:rsidRDefault="00DD3F5C" w:rsidP="00DD3F5C">
      <w:pPr>
        <w:pStyle w:val="EndofDocumentAR"/>
        <w:rPr>
          <w:rFonts w:hint="cs"/>
          <w:rtl/>
        </w:rPr>
      </w:pPr>
      <w:r>
        <w:rPr>
          <w:rFonts w:hint="cs"/>
          <w:rtl/>
        </w:rPr>
        <w:t xml:space="preserve">[نهاية المرفق </w:t>
      </w:r>
      <w:proofErr w:type="gramStart"/>
      <w:r>
        <w:rPr>
          <w:rFonts w:hint="cs"/>
          <w:rtl/>
        </w:rPr>
        <w:t>والوثيقة</w:t>
      </w:r>
      <w:proofErr w:type="gramEnd"/>
      <w:r>
        <w:rPr>
          <w:rFonts w:hint="cs"/>
          <w:rtl/>
        </w:rPr>
        <w:t>]</w:t>
      </w:r>
    </w:p>
    <w:sectPr w:rsidR="00DD3F5C" w:rsidSect="00D14B2C">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27" w:rsidRDefault="00DA0127">
      <w:r>
        <w:separator/>
      </w:r>
    </w:p>
  </w:endnote>
  <w:endnote w:type="continuationSeparator" w:id="0">
    <w:p w:rsidR="00DA0127" w:rsidRDefault="00DA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27" w:rsidRDefault="00DA0127" w:rsidP="009622BF">
      <w:pPr>
        <w:bidi/>
      </w:pPr>
      <w:bookmarkStart w:id="0" w:name="OLE_LINK1"/>
      <w:bookmarkStart w:id="1" w:name="OLE_LINK2"/>
      <w:r>
        <w:separator/>
      </w:r>
      <w:bookmarkEnd w:id="0"/>
      <w:bookmarkEnd w:id="1"/>
    </w:p>
  </w:footnote>
  <w:footnote w:type="continuationSeparator" w:id="0">
    <w:p w:rsidR="00DA0127" w:rsidRDefault="00DA0127" w:rsidP="009622BF">
      <w:pPr>
        <w:bidi/>
      </w:pPr>
      <w:r>
        <w:separator/>
      </w:r>
    </w:p>
  </w:footnote>
  <w:footnote w:id="1">
    <w:p w:rsidR="00EE5CDE" w:rsidRDefault="00EE5CDE" w:rsidP="005022E5">
      <w:pPr>
        <w:pStyle w:val="FootnoteText"/>
        <w:rPr>
          <w:rFonts w:hint="cs"/>
        </w:rPr>
      </w:pPr>
      <w:r>
        <w:rPr>
          <w:rStyle w:val="FootnoteReference"/>
        </w:rPr>
        <w:footnoteRef/>
      </w:r>
      <w:r w:rsidR="005022E5">
        <w:rPr>
          <w:rFonts w:hint="cs"/>
          <w:rtl/>
        </w:rPr>
        <w:tab/>
        <w:t xml:space="preserve">انظر </w:t>
      </w:r>
      <w:proofErr w:type="gramStart"/>
      <w:r w:rsidR="005022E5">
        <w:rPr>
          <w:rFonts w:hint="cs"/>
          <w:rtl/>
        </w:rPr>
        <w:t>المرفق</w:t>
      </w:r>
      <w:proofErr w:type="gramEnd"/>
      <w:r w:rsidR="005022E5">
        <w:rPr>
          <w:rFonts w:hint="cs"/>
          <w:rtl/>
        </w:rPr>
        <w:t xml:space="preserve"> الرابع من الوثيقة </w:t>
      </w:r>
      <w:r w:rsidR="005022E5" w:rsidRPr="005022E5">
        <w:t>MM/LD/WG/14/6</w:t>
      </w:r>
      <w:r w:rsidR="005022E5">
        <w:rPr>
          <w:rFonts w:hint="cs"/>
          <w:rtl/>
        </w:rPr>
        <w:t xml:space="preserve"> (ملخص الرئيس).</w:t>
      </w:r>
    </w:p>
  </w:footnote>
  <w:footnote w:id="2">
    <w:p w:rsidR="005022E5" w:rsidRDefault="005022E5" w:rsidP="005022E5">
      <w:pPr>
        <w:pStyle w:val="FootnoteText"/>
        <w:rPr>
          <w:rFonts w:hint="cs"/>
        </w:rPr>
      </w:pPr>
      <w:r>
        <w:rPr>
          <w:rStyle w:val="FootnoteReference"/>
        </w:rPr>
        <w:footnoteRef/>
      </w:r>
      <w:r>
        <w:rPr>
          <w:rFonts w:hint="cs"/>
          <w:rtl/>
        </w:rPr>
        <w:tab/>
        <w:t xml:space="preserve">انظر </w:t>
      </w:r>
      <w:proofErr w:type="gramStart"/>
      <w:r>
        <w:rPr>
          <w:rFonts w:hint="cs"/>
          <w:rtl/>
        </w:rPr>
        <w:t>الفقرة</w:t>
      </w:r>
      <w:proofErr w:type="gramEnd"/>
      <w:r>
        <w:rPr>
          <w:rFonts w:hint="cs"/>
          <w:rtl/>
        </w:rPr>
        <w:t xml:space="preserve"> 88 من الوثيقة </w:t>
      </w:r>
      <w:r w:rsidRPr="005022E5">
        <w:t>A/57/12</w:t>
      </w:r>
      <w:r>
        <w:rPr>
          <w:rFonts w:hint="cs"/>
          <w:rtl/>
        </w:rPr>
        <w:t xml:space="preserve"> (التقرير العام)</w:t>
      </w:r>
    </w:p>
  </w:footnote>
  <w:footnote w:id="3">
    <w:p w:rsidR="00D14B2C" w:rsidRDefault="00D14B2C">
      <w:pPr>
        <w:pStyle w:val="FootnoteText"/>
        <w:rPr>
          <w:rFonts w:hint="cs"/>
        </w:rPr>
      </w:pPr>
      <w:r>
        <w:rPr>
          <w:rStyle w:val="FootnoteReference"/>
        </w:rPr>
        <w:footnoteRef/>
      </w:r>
      <w:r>
        <w:rPr>
          <w:rFonts w:hint="cs"/>
          <w:rtl/>
        </w:rPr>
        <w:tab/>
        <w:t>مكرّر</w:t>
      </w:r>
    </w:p>
  </w:footnote>
  <w:footnote w:id="4">
    <w:p w:rsidR="009121FD" w:rsidRDefault="009121FD" w:rsidP="009121FD">
      <w:pPr>
        <w:pStyle w:val="FootnoteText"/>
        <w:rPr>
          <w:rFonts w:hint="cs"/>
        </w:rPr>
      </w:pPr>
      <w:r>
        <w:rPr>
          <w:rStyle w:val="FootnoteReference"/>
        </w:rPr>
        <w:footnoteRef/>
      </w:r>
      <w:r>
        <w:rPr>
          <w:rFonts w:hint="cs"/>
          <w:rtl/>
        </w:rPr>
        <w:tab/>
        <w:t xml:space="preserve">انظر </w:t>
      </w:r>
      <w:proofErr w:type="gramStart"/>
      <w:r>
        <w:rPr>
          <w:rFonts w:hint="cs"/>
          <w:rtl/>
        </w:rPr>
        <w:t>الصفحة</w:t>
      </w:r>
      <w:proofErr w:type="gramEnd"/>
      <w:r>
        <w:rPr>
          <w:rFonts w:hint="cs"/>
          <w:rtl/>
        </w:rPr>
        <w:t xml:space="preserve"> 206 من الوثيقة </w:t>
      </w:r>
      <w:r w:rsidRPr="009121FD">
        <w:t>WO/PBC/27/8</w:t>
      </w:r>
      <w:r>
        <w:rPr>
          <w:rFonts w:hint="cs"/>
          <w:rtl/>
        </w:rPr>
        <w:t>.</w:t>
      </w:r>
    </w:p>
  </w:footnote>
  <w:footnote w:id="5">
    <w:p w:rsidR="00693BD4" w:rsidRDefault="00693BD4" w:rsidP="00693BD4">
      <w:pPr>
        <w:pStyle w:val="FootnoteText"/>
        <w:rPr>
          <w:rFonts w:hint="cs"/>
        </w:rPr>
      </w:pPr>
      <w:r>
        <w:rPr>
          <w:rStyle w:val="FootnoteReference"/>
        </w:rPr>
        <w:footnoteRef/>
      </w:r>
      <w:r>
        <w:rPr>
          <w:rFonts w:hint="cs"/>
          <w:rtl/>
        </w:rPr>
        <w:tab/>
        <w:t xml:space="preserve">نظر الفريق العامل المعني بتطوير نظام لشبونة، في آخر اجتماع عقده يومي 11 و12 يونيو 2018، </w:t>
      </w:r>
      <w:r w:rsidR="000640EB">
        <w:rPr>
          <w:rFonts w:hint="cs"/>
          <w:rtl/>
        </w:rPr>
        <w:t>في اقتراح يدعو إلى إتاحة تخفيض في الرسوم بدلا من النظر في زيادة الرسوم للتصدي لعجز ميزانيته.</w:t>
      </w:r>
    </w:p>
  </w:footnote>
  <w:footnote w:id="6">
    <w:p w:rsidR="000640EB" w:rsidRDefault="000640EB">
      <w:pPr>
        <w:pStyle w:val="FootnoteText"/>
        <w:rPr>
          <w:rFonts w:hint="cs"/>
        </w:rPr>
      </w:pPr>
      <w:r>
        <w:rPr>
          <w:rStyle w:val="FootnoteReference"/>
        </w:rPr>
        <w:footnoteRef/>
      </w:r>
      <w:r>
        <w:rPr>
          <w:rFonts w:hint="cs"/>
          <w:rtl/>
        </w:rPr>
        <w:tab/>
        <w:t>سينظر الفريق العامل المعني بالتطوير القانوني لنظام لاهي للتسجيل الدولي للتصاميم الصناعية في إمكانية فرض زيادة في الرسوم في دورته المقبلة المزمع عقدها في الفترة من 16 إلى 18 يوليو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F369E7" w:rsidP="00A41E7B">
    <w:r w:rsidRPr="00F369E7">
      <w:t>MM/LD/WG/</w:t>
    </w:r>
    <w:r w:rsidR="00A41E7B">
      <w:t>16</w:t>
    </w:r>
    <w:r w:rsidRPr="00F369E7">
      <w:t>/--</w:t>
    </w:r>
  </w:p>
  <w:p w:rsidR="002F77FC" w:rsidRDefault="002F77FC" w:rsidP="00D61541">
    <w:r>
      <w:fldChar w:fldCharType="begin"/>
    </w:r>
    <w:r>
      <w:instrText xml:space="preserve"> PAGE  \* MERGEFORMAT </w:instrText>
    </w:r>
    <w:r>
      <w:fldChar w:fldCharType="separate"/>
    </w:r>
    <w:r w:rsidR="00D14B2C">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2C" w:rsidRPr="00D14B2C" w:rsidRDefault="00D14B2C" w:rsidP="00D14B2C">
    <w:r w:rsidRPr="00D14B2C">
      <w:t>MM/LD/WG/16/10</w:t>
    </w:r>
  </w:p>
  <w:p w:rsidR="00D14B2C" w:rsidRPr="00D14B2C" w:rsidRDefault="00D14B2C" w:rsidP="00D14B2C">
    <w:r>
      <w:t>Annex</w:t>
    </w:r>
  </w:p>
  <w:p w:rsidR="00D14B2C" w:rsidRDefault="00D14B2C" w:rsidP="00D61541">
    <w:r>
      <w:fldChar w:fldCharType="begin"/>
    </w:r>
    <w:r>
      <w:instrText xml:space="preserve"> PAGE  \* MERGEFORMAT </w:instrText>
    </w:r>
    <w:r>
      <w:fldChar w:fldCharType="separate"/>
    </w:r>
    <w:r w:rsidR="00542AA1">
      <w:rPr>
        <w:noProof/>
      </w:rPr>
      <w:t>2</w:t>
    </w:r>
    <w:r>
      <w:fldChar w:fldCharType="end"/>
    </w:r>
  </w:p>
  <w:p w:rsidR="00D14B2C" w:rsidRDefault="00D14B2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2C" w:rsidRPr="00D14B2C" w:rsidRDefault="00D14B2C" w:rsidP="00D14B2C">
    <w:pPr>
      <w:pStyle w:val="Header"/>
    </w:pPr>
    <w:r w:rsidRPr="00D14B2C">
      <w:t>MM/LD/WG/16/10</w:t>
    </w:r>
  </w:p>
  <w:p w:rsidR="00D14B2C" w:rsidRPr="00D14B2C" w:rsidRDefault="00D14B2C" w:rsidP="00D14B2C">
    <w:pPr>
      <w:pStyle w:val="Header"/>
    </w:pPr>
    <w:r w:rsidRPr="00D14B2C">
      <w:t>ANNEX</w:t>
    </w:r>
  </w:p>
  <w:p w:rsidR="00D14B2C" w:rsidRPr="00D14B2C" w:rsidRDefault="00D14B2C" w:rsidP="00D14B2C">
    <w:pPr>
      <w:pStyle w:val="Header"/>
      <w:bidi/>
      <w:jc w:val="right"/>
      <w:rPr>
        <w:rFonts w:ascii="Arabic Typesetting" w:hAnsi="Arabic Typesetting" w:cs="Arabic Typesetting"/>
        <w:sz w:val="36"/>
        <w:szCs w:val="36"/>
        <w:rtl/>
      </w:rPr>
    </w:pPr>
    <w:r w:rsidRPr="00D14B2C">
      <w:rPr>
        <w:rFonts w:ascii="Arabic Typesetting" w:hAnsi="Arabic Typesetting" w:cs="Arabic Typesetting"/>
        <w:sz w:val="36"/>
        <w:szCs w:val="36"/>
        <w:rtl/>
      </w:rPr>
      <w:t>المرفق</w:t>
    </w:r>
  </w:p>
  <w:p w:rsidR="00D14B2C" w:rsidRDefault="00D14B2C" w:rsidP="00D14B2C">
    <w:pPr>
      <w:pStyle w:val="Header"/>
    </w:pPr>
  </w:p>
  <w:p w:rsidR="00D14B2C" w:rsidRDefault="00D14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2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0EB"/>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F0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0A4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653"/>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2F5"/>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2E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AA1"/>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8A1"/>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1CA0"/>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A3D"/>
    <w:rsid w:val="006868CA"/>
    <w:rsid w:val="00686E32"/>
    <w:rsid w:val="0069087A"/>
    <w:rsid w:val="00690B4B"/>
    <w:rsid w:val="00690BE4"/>
    <w:rsid w:val="00691077"/>
    <w:rsid w:val="00691982"/>
    <w:rsid w:val="00691BB0"/>
    <w:rsid w:val="00692777"/>
    <w:rsid w:val="00692BE0"/>
    <w:rsid w:val="00692C98"/>
    <w:rsid w:val="0069324E"/>
    <w:rsid w:val="00693BD4"/>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4AF"/>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4D9D"/>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1FD"/>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E7B"/>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140"/>
    <w:rsid w:val="00BA47CC"/>
    <w:rsid w:val="00BA524B"/>
    <w:rsid w:val="00BA54F7"/>
    <w:rsid w:val="00BA576C"/>
    <w:rsid w:val="00BA6205"/>
    <w:rsid w:val="00BA6CE5"/>
    <w:rsid w:val="00BA6F38"/>
    <w:rsid w:val="00BA701F"/>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4B2"/>
    <w:rsid w:val="00C57ED3"/>
    <w:rsid w:val="00C61640"/>
    <w:rsid w:val="00C61AA7"/>
    <w:rsid w:val="00C61B8E"/>
    <w:rsid w:val="00C668DE"/>
    <w:rsid w:val="00C669DD"/>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B2C"/>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127"/>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3F5C"/>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CDE"/>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3CB"/>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 w:type="character" w:customStyle="1" w:styleId="HeaderChar">
    <w:name w:val="Header Char"/>
    <w:basedOn w:val="DefaultParagraphFont"/>
    <w:link w:val="Header"/>
    <w:uiPriority w:val="99"/>
    <w:rsid w:val="00D14B2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 w:type="character" w:customStyle="1" w:styleId="HeaderChar">
    <w:name w:val="Header Char"/>
    <w:basedOn w:val="DefaultParagraphFont"/>
    <w:link w:val="Header"/>
    <w:uiPriority w:val="99"/>
    <w:rsid w:val="00D14B2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9B3F-4CF0-4843-9C7B-FFFED34F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MM_LD_WG_16_AR.dotx</Template>
  <TotalTime>169</TotalTime>
  <Pages>3</Pages>
  <Words>654</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MM/LD/WG/16/10 (Arabic)</vt:lpstr>
    </vt:vector>
  </TitlesOfParts>
  <Company>World Intellectual Property Organization</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MM/LD/WG/16/10 (Arabic)</dc:title>
  <dc:creator>MERZOUK Fawzi</dc:creator>
  <cp:lastModifiedBy>MERZOUK Fawzi</cp:lastModifiedBy>
  <cp:revision>8</cp:revision>
  <cp:lastPrinted>2018-06-25T15:40:00Z</cp:lastPrinted>
  <dcterms:created xsi:type="dcterms:W3CDTF">2018-06-25T10:50:00Z</dcterms:created>
  <dcterms:modified xsi:type="dcterms:W3CDTF">2018-06-25T15:40:00Z</dcterms:modified>
</cp:coreProperties>
</file>