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1C185F"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1C185F" w:rsidRDefault="00772E46" w:rsidP="00246E87">
            <w:pPr>
              <w:bidi/>
              <w:spacing w:after="20"/>
              <w:rPr>
                <w:rFonts w:ascii="Arabic Typesetting" w:hAnsi="Arabic Typesetting" w:cs="Arabic Typesetting"/>
                <w:sz w:val="36"/>
                <w:szCs w:val="36"/>
                <w:rtl/>
              </w:rPr>
            </w:pPr>
            <w:r w:rsidRPr="001C185F">
              <w:rPr>
                <w:noProof/>
              </w:rPr>
              <w:drawing>
                <wp:inline distT="0" distB="0" distL="0" distR="0" wp14:anchorId="5380647F" wp14:editId="7F9C3A5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C185F" w:rsidRDefault="001667B6" w:rsidP="001667B6">
            <w:pPr>
              <w:rPr>
                <w:b/>
                <w:bCs/>
                <w:sz w:val="40"/>
                <w:szCs w:val="40"/>
              </w:rPr>
            </w:pPr>
            <w:r w:rsidRPr="001C185F">
              <w:rPr>
                <w:b/>
                <w:bCs/>
                <w:sz w:val="40"/>
                <w:szCs w:val="40"/>
              </w:rPr>
              <w:t>A</w:t>
            </w:r>
          </w:p>
        </w:tc>
      </w:tr>
      <w:tr w:rsidR="001667B6" w:rsidRPr="001C185F" w:rsidTr="00B6101C">
        <w:trPr>
          <w:trHeight w:val="333"/>
        </w:trPr>
        <w:tc>
          <w:tcPr>
            <w:tcW w:w="9571" w:type="dxa"/>
            <w:gridSpan w:val="3"/>
            <w:tcBorders>
              <w:top w:val="single" w:sz="4" w:space="0" w:color="auto"/>
            </w:tcBorders>
            <w:vAlign w:val="bottom"/>
          </w:tcPr>
          <w:p w:rsidR="00B6101C" w:rsidRPr="001C185F" w:rsidRDefault="00655F5A" w:rsidP="00C613CC">
            <w:pPr>
              <w:pStyle w:val="DocumentCodeAR"/>
              <w:bidi/>
              <w:rPr>
                <w:rtl/>
              </w:rPr>
            </w:pPr>
            <w:r w:rsidRPr="001C185F">
              <w:t>MM</w:t>
            </w:r>
            <w:r w:rsidR="008A059F" w:rsidRPr="001C185F">
              <w:t>/</w:t>
            </w:r>
            <w:r w:rsidRPr="001C185F">
              <w:t>LD/</w:t>
            </w:r>
            <w:r w:rsidR="008A059F" w:rsidRPr="001C185F">
              <w:t>WG/</w:t>
            </w:r>
            <w:r w:rsidR="00C613CC">
              <w:t>14</w:t>
            </w:r>
            <w:r w:rsidR="00D103AA" w:rsidRPr="001C185F">
              <w:t>/</w:t>
            </w:r>
            <w:r w:rsidR="00C613CC">
              <w:t>5</w:t>
            </w:r>
          </w:p>
        </w:tc>
      </w:tr>
      <w:tr w:rsidR="001667B6" w:rsidRPr="001C185F" w:rsidTr="00BF164F">
        <w:tc>
          <w:tcPr>
            <w:tcW w:w="9571" w:type="dxa"/>
            <w:gridSpan w:val="3"/>
          </w:tcPr>
          <w:p w:rsidR="001667B6" w:rsidRPr="001C185F" w:rsidRDefault="00B6101C" w:rsidP="00FB7EC9">
            <w:pPr>
              <w:pStyle w:val="DocumentLanguageAR"/>
              <w:bidi/>
              <w:rPr>
                <w:rtl/>
              </w:rPr>
            </w:pPr>
            <w:r w:rsidRPr="001C185F">
              <w:rPr>
                <w:rFonts w:hint="cs"/>
                <w:rtl/>
              </w:rPr>
              <w:t xml:space="preserve">الأصل: </w:t>
            </w:r>
            <w:r w:rsidR="00D103AA" w:rsidRPr="001C185F">
              <w:rPr>
                <w:rtl/>
              </w:rPr>
              <w:t>بالإنكليزية</w:t>
            </w:r>
          </w:p>
        </w:tc>
      </w:tr>
      <w:tr w:rsidR="001667B6" w:rsidRPr="001C185F" w:rsidTr="00BF164F">
        <w:tc>
          <w:tcPr>
            <w:tcW w:w="9571" w:type="dxa"/>
            <w:gridSpan w:val="3"/>
          </w:tcPr>
          <w:p w:rsidR="001667B6" w:rsidRPr="001C185F" w:rsidRDefault="00B6101C" w:rsidP="0072778B">
            <w:pPr>
              <w:pStyle w:val="DocumentDateAR"/>
              <w:bidi/>
              <w:rPr>
                <w:rtl/>
                <w:lang w:bidi="ar-EG"/>
              </w:rPr>
            </w:pPr>
            <w:r w:rsidRPr="001C185F">
              <w:rPr>
                <w:rFonts w:hint="cs"/>
                <w:rtl/>
              </w:rPr>
              <w:t xml:space="preserve">التاريخ: </w:t>
            </w:r>
            <w:r w:rsidR="0072778B">
              <w:rPr>
                <w:rFonts w:hint="cs"/>
                <w:rtl/>
                <w:lang w:bidi="ar-EG"/>
              </w:rPr>
              <w:t xml:space="preserve">11 أبريل </w:t>
            </w:r>
            <w:r w:rsidR="00B12163">
              <w:t>2016</w:t>
            </w:r>
          </w:p>
        </w:tc>
      </w:tr>
    </w:tbl>
    <w:p w:rsidR="000F5E56" w:rsidRPr="001C185F" w:rsidRDefault="000F5E56" w:rsidP="001667B6">
      <w:pPr>
        <w:bidi/>
        <w:spacing w:line="360" w:lineRule="exact"/>
        <w:rPr>
          <w:rFonts w:ascii="Arabic Typesetting" w:hAnsi="Arabic Typesetting" w:cs="Arabic Typesetting"/>
          <w:sz w:val="36"/>
          <w:szCs w:val="36"/>
          <w:rtl/>
        </w:rPr>
      </w:pPr>
    </w:p>
    <w:p w:rsidR="001667B6" w:rsidRPr="001C185F" w:rsidRDefault="001667B6" w:rsidP="001667B6">
      <w:pPr>
        <w:bidi/>
        <w:spacing w:line="360" w:lineRule="exact"/>
        <w:rPr>
          <w:rFonts w:ascii="Arabic Typesetting" w:hAnsi="Arabic Typesetting" w:cs="Arabic Typesetting"/>
          <w:sz w:val="36"/>
          <w:szCs w:val="36"/>
          <w:rtl/>
        </w:rPr>
      </w:pPr>
    </w:p>
    <w:p w:rsidR="00F27305" w:rsidRPr="001C185F" w:rsidRDefault="00F27305" w:rsidP="00F27305">
      <w:pPr>
        <w:bidi/>
        <w:spacing w:line="360" w:lineRule="exact"/>
        <w:rPr>
          <w:rFonts w:ascii="Arabic Typesetting" w:hAnsi="Arabic Typesetting" w:cs="Arabic Typesetting"/>
          <w:sz w:val="36"/>
          <w:szCs w:val="36"/>
          <w:rtl/>
        </w:rPr>
      </w:pPr>
    </w:p>
    <w:p w:rsidR="001667B6" w:rsidRPr="001C185F" w:rsidRDefault="008A059F" w:rsidP="00655F5A">
      <w:pPr>
        <w:pStyle w:val="MeetingTitleAR"/>
        <w:bidi/>
        <w:ind w:right="993"/>
        <w:rPr>
          <w:rtl/>
          <w:lang w:bidi="ar-EG"/>
        </w:rPr>
      </w:pPr>
      <w:r w:rsidRPr="001C185F">
        <w:rPr>
          <w:rtl/>
        </w:rPr>
        <w:t>الفريق العامل</w:t>
      </w:r>
      <w:r w:rsidRPr="001C185F">
        <w:rPr>
          <w:rFonts w:hint="cs"/>
          <w:rtl/>
        </w:rPr>
        <w:t xml:space="preserve"> </w:t>
      </w:r>
      <w:r w:rsidRPr="001C185F">
        <w:rPr>
          <w:rFonts w:hint="cs"/>
          <w:rtl/>
          <w:lang w:bidi="ar-EG"/>
        </w:rPr>
        <w:t>المعني ب</w:t>
      </w:r>
      <w:r w:rsidR="00655F5A" w:rsidRPr="001C185F">
        <w:rPr>
          <w:rFonts w:hint="cs"/>
          <w:rtl/>
          <w:lang w:bidi="ar-EG"/>
        </w:rPr>
        <w:t>ال</w:t>
      </w:r>
      <w:r w:rsidRPr="001C185F">
        <w:rPr>
          <w:rFonts w:hint="cs"/>
          <w:rtl/>
          <w:lang w:bidi="ar-EG"/>
        </w:rPr>
        <w:t xml:space="preserve">تطوير </w:t>
      </w:r>
      <w:r w:rsidR="00655F5A" w:rsidRPr="001C185F">
        <w:rPr>
          <w:rFonts w:hint="cs"/>
          <w:rtl/>
          <w:lang w:bidi="ar-EG"/>
        </w:rPr>
        <w:t>القانوني ل</w:t>
      </w:r>
      <w:r w:rsidRPr="001C185F">
        <w:rPr>
          <w:rFonts w:hint="cs"/>
          <w:rtl/>
          <w:lang w:bidi="ar-EG"/>
        </w:rPr>
        <w:t xml:space="preserve">نظام </w:t>
      </w:r>
      <w:r w:rsidR="00655F5A" w:rsidRPr="001C185F">
        <w:rPr>
          <w:rFonts w:hint="cs"/>
          <w:rtl/>
          <w:lang w:bidi="ar-EG"/>
        </w:rPr>
        <w:t>مدريد بشأن التسجيل الدولي للعلامات</w:t>
      </w:r>
    </w:p>
    <w:p w:rsidR="00AB54AE" w:rsidRPr="001C185F" w:rsidRDefault="00AB54AE" w:rsidP="00655F5A">
      <w:pPr>
        <w:bidi/>
        <w:spacing w:line="360" w:lineRule="exact"/>
        <w:rPr>
          <w:rFonts w:ascii="Arabic Typesetting" w:hAnsi="Arabic Typesetting" w:cs="Arabic Typesetting"/>
          <w:sz w:val="36"/>
          <w:szCs w:val="36"/>
          <w:rtl/>
        </w:rPr>
      </w:pPr>
    </w:p>
    <w:p w:rsidR="001667B6" w:rsidRPr="001C185F" w:rsidRDefault="001667B6" w:rsidP="001667B6">
      <w:pPr>
        <w:bidi/>
        <w:spacing w:line="360" w:lineRule="exact"/>
        <w:rPr>
          <w:rFonts w:ascii="Arabic Typesetting" w:hAnsi="Arabic Typesetting" w:cs="Arabic Typesetting"/>
          <w:sz w:val="36"/>
          <w:szCs w:val="36"/>
          <w:rtl/>
        </w:rPr>
      </w:pPr>
    </w:p>
    <w:p w:rsidR="001667B6" w:rsidRPr="001C185F" w:rsidRDefault="00F27305" w:rsidP="00C613CC">
      <w:pPr>
        <w:pStyle w:val="MeetingSessionAR"/>
        <w:bidi/>
        <w:rPr>
          <w:rFonts w:ascii="Cambria Math" w:hAnsi="Cambria Math"/>
          <w:rtl/>
        </w:rPr>
      </w:pPr>
      <w:r w:rsidRPr="001C185F">
        <w:rPr>
          <w:rFonts w:ascii="Cambria Math" w:hAnsi="Cambria Math"/>
          <w:rtl/>
        </w:rPr>
        <w:t xml:space="preserve">الدورة </w:t>
      </w:r>
      <w:r w:rsidR="00C613CC">
        <w:rPr>
          <w:rFonts w:ascii="Cambria Math" w:hAnsi="Cambria Math" w:hint="cs"/>
          <w:rtl/>
        </w:rPr>
        <w:t>الرابعة</w:t>
      </w:r>
      <w:r w:rsidR="00655F5A" w:rsidRPr="001C185F">
        <w:rPr>
          <w:rFonts w:ascii="Cambria Math" w:hAnsi="Cambria Math" w:hint="cs"/>
          <w:rtl/>
        </w:rPr>
        <w:t xml:space="preserve"> </w:t>
      </w:r>
      <w:r w:rsidR="008A059F" w:rsidRPr="001C185F">
        <w:rPr>
          <w:rFonts w:ascii="Cambria Math" w:hAnsi="Cambria Math" w:hint="cs"/>
          <w:rtl/>
        </w:rPr>
        <w:t>عشرة</w:t>
      </w:r>
    </w:p>
    <w:p w:rsidR="00D61541" w:rsidRPr="001C185F" w:rsidRDefault="00D61541" w:rsidP="00C613CC">
      <w:pPr>
        <w:pStyle w:val="MeetingDatesAR"/>
        <w:bidi/>
        <w:rPr>
          <w:rtl/>
        </w:rPr>
      </w:pPr>
      <w:r w:rsidRPr="001C185F">
        <w:rPr>
          <w:rFonts w:hint="cs"/>
          <w:rtl/>
        </w:rPr>
        <w:t xml:space="preserve">جنيف، من </w:t>
      </w:r>
      <w:r w:rsidR="00C613CC">
        <w:rPr>
          <w:rFonts w:hint="cs"/>
          <w:rtl/>
        </w:rPr>
        <w:t>13</w:t>
      </w:r>
      <w:r w:rsidR="00655F5A" w:rsidRPr="001C185F">
        <w:rPr>
          <w:rFonts w:hint="cs"/>
          <w:rtl/>
        </w:rPr>
        <w:t xml:space="preserve"> </w:t>
      </w:r>
      <w:r w:rsidR="00C742C5" w:rsidRPr="001C185F">
        <w:rPr>
          <w:rFonts w:hint="cs"/>
          <w:rtl/>
        </w:rPr>
        <w:t xml:space="preserve">إلى </w:t>
      </w:r>
      <w:r w:rsidR="00C613CC">
        <w:rPr>
          <w:rFonts w:hint="cs"/>
          <w:rtl/>
        </w:rPr>
        <w:t>17</w:t>
      </w:r>
      <w:r w:rsidR="00655F5A" w:rsidRPr="001C185F">
        <w:rPr>
          <w:rFonts w:hint="cs"/>
          <w:rtl/>
        </w:rPr>
        <w:t xml:space="preserve"> </w:t>
      </w:r>
      <w:r w:rsidR="00C613CC">
        <w:rPr>
          <w:rFonts w:hint="cs"/>
          <w:rtl/>
        </w:rPr>
        <w:t>يونيو</w:t>
      </w:r>
      <w:r w:rsidR="00655F5A" w:rsidRPr="001C185F">
        <w:rPr>
          <w:rFonts w:hint="cs"/>
          <w:rtl/>
        </w:rPr>
        <w:t xml:space="preserve"> </w:t>
      </w:r>
      <w:r w:rsidR="00C613CC">
        <w:rPr>
          <w:rFonts w:hint="cs"/>
          <w:rtl/>
        </w:rPr>
        <w:t>2016</w:t>
      </w:r>
    </w:p>
    <w:p w:rsidR="00D61541" w:rsidRPr="001C185F" w:rsidRDefault="00D61541" w:rsidP="00D61541">
      <w:pPr>
        <w:bidi/>
        <w:spacing w:line="360" w:lineRule="exact"/>
        <w:rPr>
          <w:rFonts w:ascii="Arabic Typesetting" w:hAnsi="Arabic Typesetting" w:cs="Arabic Typesetting"/>
          <w:sz w:val="36"/>
          <w:szCs w:val="36"/>
          <w:rtl/>
        </w:rPr>
      </w:pPr>
    </w:p>
    <w:p w:rsidR="00D61541" w:rsidRPr="001C185F" w:rsidRDefault="00D61541" w:rsidP="00D61541">
      <w:pPr>
        <w:bidi/>
        <w:spacing w:line="360" w:lineRule="exact"/>
        <w:rPr>
          <w:rFonts w:ascii="Arabic Typesetting" w:hAnsi="Arabic Typesetting" w:cs="Arabic Typesetting"/>
          <w:sz w:val="36"/>
          <w:szCs w:val="36"/>
          <w:rtl/>
        </w:rPr>
      </w:pPr>
    </w:p>
    <w:p w:rsidR="00D103AA" w:rsidRPr="001C185F" w:rsidRDefault="00D103AA" w:rsidP="00A50027">
      <w:pPr>
        <w:pStyle w:val="DocumentTitleAR"/>
        <w:bidi/>
        <w:rPr>
          <w:i/>
          <w:iCs/>
          <w:rtl/>
        </w:rPr>
      </w:pPr>
      <w:r w:rsidRPr="001C185F">
        <w:rPr>
          <w:rtl/>
        </w:rPr>
        <w:t>‏</w:t>
      </w:r>
      <w:r w:rsidR="00C613CC" w:rsidRPr="009741CF">
        <w:rPr>
          <w:rFonts w:hint="cs"/>
          <w:rtl/>
        </w:rPr>
        <w:t xml:space="preserve">تحليل </w:t>
      </w:r>
      <w:r w:rsidR="009741CF" w:rsidRPr="009741CF">
        <w:rPr>
          <w:rFonts w:hint="cs"/>
          <w:rtl/>
        </w:rPr>
        <w:t>الإنقاص</w:t>
      </w:r>
      <w:r w:rsidR="009741CF">
        <w:rPr>
          <w:rFonts w:hint="cs"/>
          <w:rtl/>
        </w:rPr>
        <w:t>ات</w:t>
      </w:r>
      <w:r w:rsidRPr="001C185F">
        <w:rPr>
          <w:rtl/>
        </w:rPr>
        <w:t xml:space="preserve"> </w:t>
      </w:r>
      <w:r w:rsidR="009741CF">
        <w:rPr>
          <w:rFonts w:hint="cs"/>
          <w:rtl/>
        </w:rPr>
        <w:t>وفقا ل</w:t>
      </w:r>
      <w:r w:rsidR="00C613CC" w:rsidRPr="00C613CC">
        <w:rPr>
          <w:rtl/>
        </w:rPr>
        <w:t>نظام مدريد بشأن التسجيل الدولي للعلامات</w:t>
      </w:r>
    </w:p>
    <w:p w:rsidR="00D61541" w:rsidRPr="001C185F" w:rsidRDefault="004D2394" w:rsidP="00E42D07">
      <w:pPr>
        <w:pStyle w:val="PreparedbyAR"/>
        <w:bidi/>
        <w:rPr>
          <w:rtl/>
        </w:rPr>
      </w:pPr>
      <w:r>
        <w:rPr>
          <w:rFonts w:hint="cs"/>
          <w:rtl/>
        </w:rPr>
        <w:t xml:space="preserve">وثيقة </w:t>
      </w:r>
      <w:r w:rsidR="00D61541" w:rsidRPr="001C185F">
        <w:rPr>
          <w:rFonts w:hint="cs"/>
          <w:rtl/>
        </w:rPr>
        <w:t>من إعداد</w:t>
      </w:r>
      <w:r w:rsidR="00D103AA" w:rsidRPr="001C185F">
        <w:rPr>
          <w:rFonts w:hint="cs"/>
          <w:rtl/>
        </w:rPr>
        <w:t xml:space="preserve"> المكتب الدولي</w:t>
      </w:r>
    </w:p>
    <w:p w:rsidR="002F77FC" w:rsidRPr="009F4162" w:rsidRDefault="00D103AA" w:rsidP="001C5C14">
      <w:pPr>
        <w:pStyle w:val="NormalParaAR"/>
        <w:rPr>
          <w:b/>
          <w:bCs/>
          <w:sz w:val="40"/>
          <w:szCs w:val="40"/>
          <w:rtl/>
        </w:rPr>
      </w:pPr>
      <w:r w:rsidRPr="009F4162">
        <w:rPr>
          <w:rFonts w:hint="cs"/>
          <w:b/>
          <w:bCs/>
          <w:sz w:val="40"/>
          <w:szCs w:val="40"/>
          <w:rtl/>
        </w:rPr>
        <w:t>مقدمة</w:t>
      </w:r>
    </w:p>
    <w:p w:rsidR="00D103AA" w:rsidRDefault="00D103AA" w:rsidP="007F23E2">
      <w:pPr>
        <w:pStyle w:val="NumberedParaAR"/>
      </w:pPr>
      <w:r w:rsidRPr="001C185F">
        <w:rPr>
          <w:rtl/>
        </w:rPr>
        <w:t>‏</w:t>
      </w:r>
      <w:r w:rsidR="009741CF">
        <w:rPr>
          <w:rFonts w:hint="cs"/>
          <w:rtl/>
        </w:rPr>
        <w:t>التمس</w:t>
      </w:r>
      <w:r w:rsidRPr="001C185F">
        <w:rPr>
          <w:rtl/>
        </w:rPr>
        <w:t xml:space="preserve"> الفريق العامل المعني بالتطوير القانوني لنظام مدريد </w:t>
      </w:r>
      <w:r w:rsidR="00C613CC">
        <w:rPr>
          <w:rFonts w:hint="cs"/>
          <w:rtl/>
        </w:rPr>
        <w:t>بشأن ا</w:t>
      </w:r>
      <w:r w:rsidRPr="001C185F">
        <w:rPr>
          <w:rtl/>
        </w:rPr>
        <w:t xml:space="preserve">لتسجيل الدولي للعلامات (المشار إليه فيما يلي بعبارة "الفريق العامل") في دورته </w:t>
      </w:r>
      <w:r w:rsidR="00C613CC">
        <w:rPr>
          <w:rFonts w:hint="cs"/>
          <w:rtl/>
        </w:rPr>
        <w:t>الث</w:t>
      </w:r>
      <w:r w:rsidR="007F23E2">
        <w:rPr>
          <w:rFonts w:hint="cs"/>
          <w:rtl/>
        </w:rPr>
        <w:t>ا</w:t>
      </w:r>
      <w:r w:rsidR="00C613CC">
        <w:rPr>
          <w:rFonts w:hint="cs"/>
          <w:rtl/>
        </w:rPr>
        <w:t>لثة</w:t>
      </w:r>
      <w:r w:rsidRPr="001C185F">
        <w:rPr>
          <w:rtl/>
        </w:rPr>
        <w:t xml:space="preserve"> </w:t>
      </w:r>
      <w:r w:rsidR="00284165" w:rsidRPr="001C185F">
        <w:rPr>
          <w:rFonts w:hint="cs"/>
          <w:rtl/>
        </w:rPr>
        <w:t>عشرة</w:t>
      </w:r>
      <w:r w:rsidR="00C613CC">
        <w:rPr>
          <w:rFonts w:hint="cs"/>
          <w:rtl/>
        </w:rPr>
        <w:t xml:space="preserve">، من </w:t>
      </w:r>
      <w:r w:rsidR="00C613CC">
        <w:rPr>
          <w:rtl/>
        </w:rPr>
        <w:t>المكتب الدولي</w:t>
      </w:r>
      <w:r w:rsidRPr="001C185F">
        <w:rPr>
          <w:rFonts w:hint="cs"/>
          <w:rtl/>
        </w:rPr>
        <w:t xml:space="preserve"> </w:t>
      </w:r>
      <w:r w:rsidR="00C613CC">
        <w:rPr>
          <w:rFonts w:hint="cs"/>
          <w:rtl/>
        </w:rPr>
        <w:t>أن يحلل</w:t>
      </w:r>
      <w:r w:rsidR="00D038E7">
        <w:rPr>
          <w:rFonts w:hint="cs"/>
          <w:rtl/>
        </w:rPr>
        <w:t xml:space="preserve"> في وثيقة تناقش في دورته القادمة</w:t>
      </w:r>
      <w:r w:rsidR="00D038E7" w:rsidRPr="009741CF">
        <w:rPr>
          <w:rFonts w:hint="cs"/>
          <w:rtl/>
        </w:rPr>
        <w:t>،</w:t>
      </w:r>
      <w:r w:rsidR="00D038E7" w:rsidRPr="009741CF">
        <w:rPr>
          <w:rtl/>
        </w:rPr>
        <w:t xml:space="preserve"> </w:t>
      </w:r>
      <w:r w:rsidR="009741CF" w:rsidRPr="009741CF">
        <w:rPr>
          <w:rFonts w:hint="cs"/>
          <w:rtl/>
        </w:rPr>
        <w:t>الإنقاص</w:t>
      </w:r>
      <w:r w:rsidR="009741CF">
        <w:rPr>
          <w:rFonts w:hint="cs"/>
          <w:rtl/>
        </w:rPr>
        <w:t>ات</w:t>
      </w:r>
      <w:r w:rsidR="00D038E7" w:rsidRPr="009741CF">
        <w:rPr>
          <w:rtl/>
        </w:rPr>
        <w:t xml:space="preserve"> </w:t>
      </w:r>
      <w:r w:rsidR="009741CF" w:rsidRPr="009741CF">
        <w:rPr>
          <w:rFonts w:hint="cs"/>
          <w:rtl/>
        </w:rPr>
        <w:t>الملتمس</w:t>
      </w:r>
      <w:r w:rsidR="009741CF">
        <w:rPr>
          <w:rFonts w:hint="cs"/>
          <w:rtl/>
        </w:rPr>
        <w:t>ة</w:t>
      </w:r>
      <w:r w:rsidR="00D038E7" w:rsidRPr="00D038E7">
        <w:rPr>
          <w:rtl/>
        </w:rPr>
        <w:t xml:space="preserve"> في الطلبات الدولية والتعيينات اللاحقة </w:t>
      </w:r>
      <w:r w:rsidR="007F23E2">
        <w:rPr>
          <w:rFonts w:hint="cs"/>
          <w:rtl/>
        </w:rPr>
        <w:t>و</w:t>
      </w:r>
      <w:r w:rsidR="009741CF">
        <w:rPr>
          <w:rFonts w:hint="cs"/>
          <w:rtl/>
        </w:rPr>
        <w:t xml:space="preserve">كالتماس تدوين تغيير لاسيما </w:t>
      </w:r>
      <w:r w:rsidR="00D038E7">
        <w:rPr>
          <w:rFonts w:hint="cs"/>
          <w:rtl/>
        </w:rPr>
        <w:t xml:space="preserve">أدوار مكتب المنشأ والمكتب الدولي ومكتب الأطراف المتعاقدة المعينة </w:t>
      </w:r>
      <w:r w:rsidR="007F23E2">
        <w:rPr>
          <w:rFonts w:hint="cs"/>
          <w:rtl/>
        </w:rPr>
        <w:t xml:space="preserve">ومسؤولياتها </w:t>
      </w:r>
      <w:r w:rsidR="00D038E7">
        <w:rPr>
          <w:rFonts w:hint="cs"/>
          <w:rtl/>
        </w:rPr>
        <w:t xml:space="preserve">في فحص نطاق </w:t>
      </w:r>
      <w:r w:rsidR="009741CF">
        <w:rPr>
          <w:rFonts w:hint="cs"/>
          <w:rtl/>
        </w:rPr>
        <w:t>تلك الإنقاصات</w:t>
      </w:r>
      <w:r w:rsidR="00D038E7">
        <w:rPr>
          <w:rFonts w:hint="cs"/>
          <w:rtl/>
        </w:rPr>
        <w:t>.</w:t>
      </w:r>
    </w:p>
    <w:p w:rsidR="00D038E7" w:rsidRPr="009F4162" w:rsidRDefault="00D038E7" w:rsidP="007D0CE8">
      <w:pPr>
        <w:pStyle w:val="NumberedParaAR"/>
        <w:numPr>
          <w:ilvl w:val="0"/>
          <w:numId w:val="0"/>
        </w:numPr>
        <w:rPr>
          <w:sz w:val="40"/>
          <w:szCs w:val="40"/>
        </w:rPr>
      </w:pPr>
      <w:r w:rsidRPr="009F4162">
        <w:rPr>
          <w:rFonts w:hint="cs"/>
          <w:b/>
          <w:bCs/>
          <w:sz w:val="40"/>
          <w:szCs w:val="40"/>
          <w:rtl/>
        </w:rPr>
        <w:t xml:space="preserve">الغرض من </w:t>
      </w:r>
      <w:r w:rsidR="007D0CE8" w:rsidRPr="009F4162">
        <w:rPr>
          <w:rFonts w:hint="cs"/>
          <w:b/>
          <w:bCs/>
          <w:sz w:val="40"/>
          <w:szCs w:val="40"/>
          <w:rtl/>
        </w:rPr>
        <w:t>الإنقاص</w:t>
      </w:r>
    </w:p>
    <w:p w:rsidR="00D038E7" w:rsidRDefault="007D0CE8" w:rsidP="007F23E2">
      <w:pPr>
        <w:pStyle w:val="NumberedParaAR"/>
      </w:pPr>
      <w:r>
        <w:rPr>
          <w:rFonts w:hint="cs"/>
          <w:rtl/>
        </w:rPr>
        <w:t>الإنقاص من</w:t>
      </w:r>
      <w:r w:rsidR="00D038E7">
        <w:rPr>
          <w:rFonts w:hint="cs"/>
          <w:rtl/>
        </w:rPr>
        <w:t xml:space="preserve"> قائمة السلع والخدمات هو تغيير في نطاق حماية تسجيل دولي، </w:t>
      </w:r>
      <w:r w:rsidR="009741CF">
        <w:rPr>
          <w:rFonts w:hint="cs"/>
          <w:rtl/>
        </w:rPr>
        <w:t>و</w:t>
      </w:r>
      <w:r w:rsidR="009971E1">
        <w:rPr>
          <w:rFonts w:hint="cs"/>
          <w:rtl/>
        </w:rPr>
        <w:t xml:space="preserve">هو </w:t>
      </w:r>
      <w:r w:rsidR="009741CF">
        <w:rPr>
          <w:rFonts w:hint="cs"/>
          <w:rtl/>
        </w:rPr>
        <w:t>على وجه التحديد</w:t>
      </w:r>
      <w:r>
        <w:rPr>
          <w:rFonts w:hint="cs"/>
          <w:rtl/>
        </w:rPr>
        <w:t xml:space="preserve"> </w:t>
      </w:r>
      <w:r w:rsidR="009971E1">
        <w:rPr>
          <w:rFonts w:hint="cs"/>
          <w:rtl/>
        </w:rPr>
        <w:t>ت</w:t>
      </w:r>
      <w:r>
        <w:rPr>
          <w:rFonts w:hint="cs"/>
          <w:rtl/>
        </w:rPr>
        <w:t>قي</w:t>
      </w:r>
      <w:r w:rsidR="009971E1">
        <w:rPr>
          <w:rFonts w:hint="cs"/>
          <w:rtl/>
        </w:rPr>
        <w:t>ي</w:t>
      </w:r>
      <w:r>
        <w:rPr>
          <w:rFonts w:hint="cs"/>
          <w:rtl/>
        </w:rPr>
        <w:t xml:space="preserve">د </w:t>
      </w:r>
      <w:r w:rsidR="009971E1">
        <w:rPr>
          <w:rFonts w:hint="cs"/>
          <w:rtl/>
        </w:rPr>
        <w:t>ل</w:t>
      </w:r>
      <w:r>
        <w:rPr>
          <w:rFonts w:hint="cs"/>
          <w:rtl/>
        </w:rPr>
        <w:t>هذا النطاق النافذ</w:t>
      </w:r>
      <w:r w:rsidR="00264491">
        <w:rPr>
          <w:rFonts w:hint="cs"/>
          <w:rtl/>
        </w:rPr>
        <w:t xml:space="preserve"> في طرف متعاقد معيّن أو أكثر. وتحديد إذا ما كان </w:t>
      </w:r>
      <w:r w:rsidR="009971E1">
        <w:rPr>
          <w:rFonts w:hint="cs"/>
          <w:rtl/>
        </w:rPr>
        <w:t>الإنقاص</w:t>
      </w:r>
      <w:r w:rsidR="00264491">
        <w:rPr>
          <w:rFonts w:hint="cs"/>
          <w:rtl/>
        </w:rPr>
        <w:t xml:space="preserve"> </w:t>
      </w:r>
      <w:r w:rsidR="009971E1">
        <w:rPr>
          <w:rFonts w:hint="cs"/>
          <w:rtl/>
        </w:rPr>
        <w:t>يدخل</w:t>
      </w:r>
      <w:r w:rsidR="00264491">
        <w:rPr>
          <w:rFonts w:hint="cs"/>
          <w:rtl/>
        </w:rPr>
        <w:t xml:space="preserve"> في نطاق ا</w:t>
      </w:r>
      <w:r w:rsidR="00264491" w:rsidRPr="00264491">
        <w:rPr>
          <w:rtl/>
        </w:rPr>
        <w:t>لقائمة الأساسية للتسجيل الدولي</w:t>
      </w:r>
      <w:r w:rsidR="00264491">
        <w:rPr>
          <w:rFonts w:hint="cs"/>
          <w:rtl/>
        </w:rPr>
        <w:t xml:space="preserve"> هو قرار </w:t>
      </w:r>
      <w:r w:rsidR="007F23E2">
        <w:rPr>
          <w:rFonts w:hint="cs"/>
          <w:rtl/>
        </w:rPr>
        <w:t>حول</w:t>
      </w:r>
      <w:r w:rsidR="00264491">
        <w:rPr>
          <w:rFonts w:hint="cs"/>
          <w:rtl/>
        </w:rPr>
        <w:t xml:space="preserve"> نطاق </w:t>
      </w:r>
      <w:r w:rsidR="009971E1">
        <w:rPr>
          <w:rFonts w:hint="cs"/>
          <w:rtl/>
        </w:rPr>
        <w:t>ال</w:t>
      </w:r>
      <w:r w:rsidR="00264491">
        <w:rPr>
          <w:rFonts w:hint="cs"/>
          <w:rtl/>
        </w:rPr>
        <w:t xml:space="preserve">حماية </w:t>
      </w:r>
      <w:r w:rsidR="009971E1">
        <w:rPr>
          <w:rFonts w:hint="cs"/>
          <w:rtl/>
        </w:rPr>
        <w:t>ل</w:t>
      </w:r>
      <w:r w:rsidR="00264491">
        <w:rPr>
          <w:rFonts w:hint="cs"/>
          <w:rtl/>
        </w:rPr>
        <w:t>لعلامة.</w:t>
      </w:r>
    </w:p>
    <w:p w:rsidR="00264491" w:rsidRPr="009F4162" w:rsidRDefault="007D0CE8" w:rsidP="009971E1">
      <w:pPr>
        <w:pStyle w:val="NumberedParaAR"/>
        <w:keepNext/>
        <w:numPr>
          <w:ilvl w:val="0"/>
          <w:numId w:val="0"/>
        </w:numPr>
        <w:rPr>
          <w:b/>
          <w:bCs/>
          <w:sz w:val="40"/>
          <w:szCs w:val="40"/>
        </w:rPr>
      </w:pPr>
      <w:r w:rsidRPr="009F4162">
        <w:rPr>
          <w:rFonts w:hint="cs"/>
          <w:b/>
          <w:bCs/>
          <w:sz w:val="40"/>
          <w:szCs w:val="40"/>
          <w:rtl/>
        </w:rPr>
        <w:t>الإنقاص</w:t>
      </w:r>
      <w:r w:rsidR="00264491" w:rsidRPr="009F4162">
        <w:rPr>
          <w:rFonts w:hint="cs"/>
          <w:b/>
          <w:bCs/>
          <w:sz w:val="40"/>
          <w:szCs w:val="40"/>
          <w:rtl/>
        </w:rPr>
        <w:t xml:space="preserve"> في نظام مدريد</w:t>
      </w:r>
    </w:p>
    <w:p w:rsidR="00264491" w:rsidRDefault="00264491" w:rsidP="009971E1">
      <w:pPr>
        <w:pStyle w:val="NumberedParaAR"/>
      </w:pPr>
      <w:r>
        <w:rPr>
          <w:rFonts w:hint="cs"/>
          <w:rtl/>
        </w:rPr>
        <w:t xml:space="preserve">يجوز إجراء </w:t>
      </w:r>
      <w:r w:rsidR="009971E1">
        <w:rPr>
          <w:rFonts w:hint="cs"/>
          <w:rtl/>
        </w:rPr>
        <w:t>الإنقاصات</w:t>
      </w:r>
      <w:r>
        <w:rPr>
          <w:rFonts w:hint="cs"/>
          <w:rtl/>
        </w:rPr>
        <w:t xml:space="preserve"> بثلاث طرق</w:t>
      </w:r>
      <w:r w:rsidR="009971E1">
        <w:rPr>
          <w:rFonts w:hint="cs"/>
          <w:rtl/>
        </w:rPr>
        <w:t>، إما</w:t>
      </w:r>
      <w:r>
        <w:rPr>
          <w:rFonts w:hint="cs"/>
          <w:rtl/>
        </w:rPr>
        <w:t xml:space="preserve"> ف</w:t>
      </w:r>
      <w:r w:rsidRPr="00264491">
        <w:rPr>
          <w:rtl/>
        </w:rPr>
        <w:t xml:space="preserve">ي طلب دولي أو </w:t>
      </w:r>
      <w:r>
        <w:rPr>
          <w:rFonts w:hint="cs"/>
          <w:rtl/>
        </w:rPr>
        <w:t xml:space="preserve">في </w:t>
      </w:r>
      <w:r w:rsidRPr="00264491">
        <w:rPr>
          <w:rtl/>
        </w:rPr>
        <w:t xml:space="preserve">تعيين لاحق أو </w:t>
      </w:r>
      <w:r>
        <w:rPr>
          <w:rFonts w:hint="cs"/>
          <w:rtl/>
        </w:rPr>
        <w:t xml:space="preserve">كالتماس </w:t>
      </w:r>
      <w:r w:rsidRPr="00264491">
        <w:rPr>
          <w:rtl/>
        </w:rPr>
        <w:t xml:space="preserve">تدوين </w:t>
      </w:r>
      <w:r w:rsidR="009971E1">
        <w:rPr>
          <w:rFonts w:hint="cs"/>
          <w:rtl/>
        </w:rPr>
        <w:t>الإنقاص</w:t>
      </w:r>
      <w:r>
        <w:rPr>
          <w:rFonts w:hint="cs"/>
          <w:rtl/>
        </w:rPr>
        <w:t xml:space="preserve"> كتغيير </w:t>
      </w:r>
      <w:r w:rsidR="009971E1">
        <w:rPr>
          <w:rFonts w:hint="cs"/>
          <w:rtl/>
        </w:rPr>
        <w:t>لتسجيل</w:t>
      </w:r>
      <w:r>
        <w:rPr>
          <w:rFonts w:hint="cs"/>
          <w:rtl/>
        </w:rPr>
        <w:t xml:space="preserve"> </w:t>
      </w:r>
      <w:r w:rsidR="009971E1">
        <w:rPr>
          <w:rFonts w:hint="cs"/>
          <w:rtl/>
        </w:rPr>
        <w:t>دولي ما</w:t>
      </w:r>
      <w:r>
        <w:rPr>
          <w:rFonts w:hint="cs"/>
          <w:rtl/>
        </w:rPr>
        <w:t>.</w:t>
      </w:r>
    </w:p>
    <w:p w:rsidR="00264491" w:rsidRDefault="00264491" w:rsidP="007B743A">
      <w:pPr>
        <w:pStyle w:val="NumberedParaAR"/>
      </w:pPr>
      <w:r>
        <w:rPr>
          <w:rFonts w:hint="cs"/>
          <w:rtl/>
        </w:rPr>
        <w:lastRenderedPageBreak/>
        <w:t xml:space="preserve">ويجوز أن يستخدم المودع أو صاحب التسجيل </w:t>
      </w:r>
      <w:r w:rsidR="009971E1">
        <w:rPr>
          <w:rFonts w:hint="cs"/>
          <w:rtl/>
        </w:rPr>
        <w:t>الإنقاصات</w:t>
      </w:r>
      <w:r>
        <w:rPr>
          <w:rFonts w:hint="cs"/>
          <w:rtl/>
        </w:rPr>
        <w:t xml:space="preserve"> </w:t>
      </w:r>
      <w:r w:rsidR="007B743A">
        <w:rPr>
          <w:rFonts w:hint="cs"/>
          <w:rtl/>
        </w:rPr>
        <w:t>ل</w:t>
      </w:r>
      <w:r w:rsidR="009971E1">
        <w:rPr>
          <w:rFonts w:hint="cs"/>
          <w:rtl/>
        </w:rPr>
        <w:t>عكس</w:t>
      </w:r>
      <w:r>
        <w:rPr>
          <w:rFonts w:hint="cs"/>
          <w:rtl/>
        </w:rPr>
        <w:t xml:space="preserve"> </w:t>
      </w:r>
      <w:r w:rsidR="007A15B6">
        <w:rPr>
          <w:rFonts w:hint="cs"/>
          <w:rtl/>
        </w:rPr>
        <w:t xml:space="preserve">استراتيجيات التصدير لأطراف متعاقدة محددة أو لخفض كلفة تجديد التسجيل الدولي أو لتلافي رفض مؤقت </w:t>
      </w:r>
      <w:r w:rsidR="007B743A">
        <w:rPr>
          <w:rFonts w:hint="cs"/>
          <w:rtl/>
        </w:rPr>
        <w:t>معرب عنه</w:t>
      </w:r>
      <w:r w:rsidR="007A15B6">
        <w:rPr>
          <w:rFonts w:hint="cs"/>
          <w:rtl/>
        </w:rPr>
        <w:t xml:space="preserve"> أو محتمل أو </w:t>
      </w:r>
      <w:r w:rsidR="007B743A">
        <w:rPr>
          <w:rFonts w:hint="cs"/>
          <w:rtl/>
        </w:rPr>
        <w:t>التغلب عليه</w:t>
      </w:r>
      <w:r w:rsidR="007A15B6">
        <w:rPr>
          <w:rFonts w:hint="cs"/>
          <w:rtl/>
        </w:rPr>
        <w:t xml:space="preserve">. ولذا، تصاغ </w:t>
      </w:r>
      <w:r w:rsidR="007B743A">
        <w:rPr>
          <w:rFonts w:hint="cs"/>
          <w:rtl/>
        </w:rPr>
        <w:t>الإنقاصات</w:t>
      </w:r>
      <w:r w:rsidR="007A15B6">
        <w:rPr>
          <w:rFonts w:hint="cs"/>
          <w:rtl/>
        </w:rPr>
        <w:t xml:space="preserve"> </w:t>
      </w:r>
      <w:r w:rsidR="007B743A">
        <w:rPr>
          <w:rFonts w:hint="cs"/>
          <w:rtl/>
        </w:rPr>
        <w:t>مع وضع</w:t>
      </w:r>
      <w:r w:rsidR="007A15B6">
        <w:rPr>
          <w:rFonts w:hint="cs"/>
          <w:rtl/>
        </w:rPr>
        <w:t xml:space="preserve"> أطراف متعاقدة محددة للغاية</w:t>
      </w:r>
      <w:r w:rsidR="007B743A">
        <w:rPr>
          <w:rFonts w:hint="cs"/>
          <w:rtl/>
        </w:rPr>
        <w:t xml:space="preserve"> في الاعتبار</w:t>
      </w:r>
      <w:r w:rsidR="007A15B6">
        <w:rPr>
          <w:rFonts w:hint="cs"/>
          <w:rtl/>
        </w:rPr>
        <w:t>.</w:t>
      </w:r>
    </w:p>
    <w:p w:rsidR="007A15B6" w:rsidRDefault="007A15B6" w:rsidP="00893815">
      <w:pPr>
        <w:pStyle w:val="NumberedParaAR"/>
      </w:pPr>
      <w:r>
        <w:rPr>
          <w:rFonts w:hint="cs"/>
          <w:rtl/>
        </w:rPr>
        <w:t xml:space="preserve">ولا يترتب على تدوين </w:t>
      </w:r>
      <w:r w:rsidR="007B743A">
        <w:rPr>
          <w:rFonts w:hint="cs"/>
          <w:rtl/>
        </w:rPr>
        <w:t>إنقاص</w:t>
      </w:r>
      <w:r>
        <w:rPr>
          <w:rFonts w:hint="cs"/>
          <w:rtl/>
        </w:rPr>
        <w:t xml:space="preserve"> </w:t>
      </w:r>
      <w:r w:rsidR="007B743A">
        <w:rPr>
          <w:rFonts w:hint="cs"/>
          <w:rtl/>
        </w:rPr>
        <w:t>إزالةُ</w:t>
      </w:r>
      <w:r w:rsidR="008C3331">
        <w:rPr>
          <w:rFonts w:hint="cs"/>
          <w:rtl/>
        </w:rPr>
        <w:t xml:space="preserve"> </w:t>
      </w:r>
      <w:r>
        <w:rPr>
          <w:rFonts w:hint="cs"/>
          <w:rtl/>
        </w:rPr>
        <w:t xml:space="preserve">السلع والخدمات </w:t>
      </w:r>
      <w:r w:rsidR="0003463F">
        <w:rPr>
          <w:rFonts w:hint="cs"/>
          <w:rtl/>
        </w:rPr>
        <w:t>المعنية من التسجيل الدولي</w:t>
      </w:r>
      <w:r w:rsidR="00893815">
        <w:rPr>
          <w:rFonts w:hint="cs"/>
          <w:rtl/>
        </w:rPr>
        <w:t>،</w:t>
      </w:r>
      <w:r w:rsidR="0003463F">
        <w:rPr>
          <w:rFonts w:hint="cs"/>
          <w:rtl/>
        </w:rPr>
        <w:t xml:space="preserve"> كما هو مدون في السجل الدولي. بل </w:t>
      </w:r>
      <w:r w:rsidR="00893815">
        <w:rPr>
          <w:rFonts w:hint="cs"/>
          <w:rtl/>
        </w:rPr>
        <w:t>ينحصر أثر ذلك في أن التسجيل الدولي لا</w:t>
      </w:r>
      <w:r w:rsidR="0003463F">
        <w:rPr>
          <w:rFonts w:hint="cs"/>
          <w:rtl/>
        </w:rPr>
        <w:t xml:space="preserve"> يعد </w:t>
      </w:r>
      <w:r w:rsidR="007B743A">
        <w:rPr>
          <w:rFonts w:hint="cs"/>
          <w:rtl/>
        </w:rPr>
        <w:t>ممتدا إلى</w:t>
      </w:r>
      <w:r w:rsidR="0003463F">
        <w:rPr>
          <w:rFonts w:hint="cs"/>
          <w:rtl/>
        </w:rPr>
        <w:t xml:space="preserve"> السلع والخدمات المتضمنة في </w:t>
      </w:r>
      <w:r w:rsidR="007B743A">
        <w:rPr>
          <w:rFonts w:hint="cs"/>
          <w:rtl/>
        </w:rPr>
        <w:t>الإنقاص</w:t>
      </w:r>
      <w:r w:rsidR="0003463F">
        <w:rPr>
          <w:rFonts w:hint="cs"/>
          <w:rtl/>
        </w:rPr>
        <w:t xml:space="preserve"> في الأطراف المتعاقدة المعنية.</w:t>
      </w:r>
    </w:p>
    <w:p w:rsidR="0003463F" w:rsidRPr="001C185F" w:rsidRDefault="00893815" w:rsidP="00893815">
      <w:pPr>
        <w:pStyle w:val="NumberedParaAR"/>
      </w:pPr>
      <w:r>
        <w:rPr>
          <w:rFonts w:hint="cs"/>
          <w:rtl/>
        </w:rPr>
        <w:t>و</w:t>
      </w:r>
      <w:r w:rsidR="008C3331">
        <w:rPr>
          <w:rFonts w:hint="cs"/>
          <w:rtl/>
        </w:rPr>
        <w:t xml:space="preserve">حتى </w:t>
      </w:r>
      <w:r w:rsidR="005C6BF8">
        <w:rPr>
          <w:rFonts w:hint="cs"/>
          <w:rtl/>
        </w:rPr>
        <w:t xml:space="preserve">في حال </w:t>
      </w:r>
      <w:r w:rsidR="008C3331">
        <w:rPr>
          <w:rFonts w:hint="cs"/>
          <w:rtl/>
        </w:rPr>
        <w:t xml:space="preserve">تدوين </w:t>
      </w:r>
      <w:r>
        <w:rPr>
          <w:rFonts w:hint="cs"/>
          <w:rtl/>
        </w:rPr>
        <w:t>إنقاص</w:t>
      </w:r>
      <w:r w:rsidR="008C3331">
        <w:rPr>
          <w:rFonts w:hint="cs"/>
          <w:rtl/>
        </w:rPr>
        <w:t xml:space="preserve"> في السجل الدولي </w:t>
      </w:r>
      <w:r>
        <w:rPr>
          <w:rFonts w:hint="cs"/>
          <w:rtl/>
        </w:rPr>
        <w:t xml:space="preserve">وفي حال </w:t>
      </w:r>
      <w:r w:rsidR="008C3331">
        <w:rPr>
          <w:rFonts w:hint="cs"/>
          <w:rtl/>
        </w:rPr>
        <w:t xml:space="preserve">لم تعد العلامة محمية فيما يتعلق بالسلع والخدمات المتضمنة في </w:t>
      </w:r>
      <w:r>
        <w:rPr>
          <w:rFonts w:hint="cs"/>
          <w:rtl/>
        </w:rPr>
        <w:t>الإنقاص</w:t>
      </w:r>
      <w:r w:rsidR="008C3331">
        <w:rPr>
          <w:rFonts w:hint="cs"/>
          <w:rtl/>
        </w:rPr>
        <w:t xml:space="preserve"> في طرف متعاقد أو أكثر، يجوز أن تصبح هذه السلع والخدمات لاحقا محل تعيين لاحق.</w:t>
      </w:r>
    </w:p>
    <w:p w:rsidR="00566F79" w:rsidRDefault="008C3331" w:rsidP="007F23E2">
      <w:pPr>
        <w:pStyle w:val="NumberedParaAR"/>
      </w:pPr>
      <w:r>
        <w:rPr>
          <w:rFonts w:hint="cs"/>
          <w:rtl/>
          <w:lang w:bidi="ar"/>
        </w:rPr>
        <w:t xml:space="preserve">ولصياغة تقييد، يجوز </w:t>
      </w:r>
      <w:r w:rsidR="005D576A">
        <w:rPr>
          <w:rFonts w:hint="cs"/>
          <w:rtl/>
          <w:lang w:bidi="ar"/>
        </w:rPr>
        <w:t>لصاحب</w:t>
      </w:r>
      <w:r w:rsidR="0095518D">
        <w:rPr>
          <w:rFonts w:hint="cs"/>
          <w:rtl/>
          <w:lang w:bidi="ar"/>
        </w:rPr>
        <w:t xml:space="preserve"> التسجيل أن يحذف أ</w:t>
      </w:r>
      <w:r w:rsidR="005D576A">
        <w:rPr>
          <w:rFonts w:hint="cs"/>
          <w:rtl/>
          <w:lang w:bidi="ar"/>
        </w:rPr>
        <w:t>و يستبعد صنف</w:t>
      </w:r>
      <w:r w:rsidR="0095518D">
        <w:rPr>
          <w:rFonts w:hint="cs"/>
          <w:rtl/>
          <w:lang w:bidi="ar"/>
        </w:rPr>
        <w:t>ا</w:t>
      </w:r>
      <w:r w:rsidR="005D576A">
        <w:rPr>
          <w:rFonts w:hint="cs"/>
          <w:rtl/>
          <w:lang w:bidi="ar"/>
        </w:rPr>
        <w:t xml:space="preserve"> أو أكثر </w:t>
      </w:r>
      <w:r w:rsidR="005D576A" w:rsidRPr="00253FBA">
        <w:rPr>
          <w:rFonts w:hint="cs"/>
          <w:rtl/>
          <w:lang w:bidi="ar"/>
        </w:rPr>
        <w:t>أو مؤشرات محددة بشأن</w:t>
      </w:r>
      <w:r w:rsidR="005D576A">
        <w:rPr>
          <w:rFonts w:hint="cs"/>
          <w:rtl/>
          <w:lang w:bidi="ar"/>
        </w:rPr>
        <w:t xml:space="preserve"> السلع والخدمات. كما يجوز له أن يستعيض عن</w:t>
      </w:r>
      <w:r w:rsidR="0032626F">
        <w:rPr>
          <w:rFonts w:hint="cs"/>
          <w:rtl/>
          <w:lang w:bidi="ar"/>
        </w:rPr>
        <w:t xml:space="preserve"> مؤشر أو أكثر بمؤشرات أخرى</w:t>
      </w:r>
      <w:r w:rsidR="005E54AA">
        <w:rPr>
          <w:rFonts w:hint="cs"/>
          <w:rtl/>
          <w:lang w:bidi="ar"/>
        </w:rPr>
        <w:t xml:space="preserve"> باستخدام مع يعرف باسم </w:t>
      </w:r>
      <w:r w:rsidR="005E54AA" w:rsidRPr="0032626F">
        <w:rPr>
          <w:rFonts w:hint="cs"/>
          <w:rtl/>
          <w:lang w:bidi="ar"/>
        </w:rPr>
        <w:t>"التعبيرات الحرة"</w:t>
      </w:r>
      <w:r w:rsidR="005E54AA">
        <w:rPr>
          <w:rFonts w:hint="cs"/>
          <w:rtl/>
          <w:lang w:bidi="ar"/>
        </w:rPr>
        <w:t xml:space="preserve"> </w:t>
      </w:r>
      <w:r w:rsidR="0032626F">
        <w:rPr>
          <w:rFonts w:hint="cs"/>
          <w:rtl/>
          <w:lang w:bidi="ar"/>
        </w:rPr>
        <w:t>و</w:t>
      </w:r>
      <w:r w:rsidR="007F23E2">
        <w:rPr>
          <w:rFonts w:hint="cs"/>
          <w:rtl/>
          <w:lang w:bidi="ar"/>
        </w:rPr>
        <w:t xml:space="preserve">هي </w:t>
      </w:r>
      <w:r w:rsidR="00193B7B">
        <w:rPr>
          <w:rFonts w:hint="cs"/>
          <w:rtl/>
          <w:lang w:bidi="ar"/>
        </w:rPr>
        <w:t xml:space="preserve">تعني المؤشرات غير المتضمنة في التسجيل الدولي ولا في القائمة الأبجدية للتصنيف الدولي للسلع والخدمات لأغراض تسجيل العلامات (تصنيف نيس). وباستخدام </w:t>
      </w:r>
      <w:r w:rsidR="00193B7B" w:rsidRPr="0032626F">
        <w:rPr>
          <w:rFonts w:hint="cs"/>
          <w:rtl/>
          <w:lang w:bidi="ar"/>
        </w:rPr>
        <w:t xml:space="preserve">هذه التعبيرات الحرة، </w:t>
      </w:r>
      <w:r w:rsidR="00613D7C" w:rsidRPr="0032626F">
        <w:rPr>
          <w:rFonts w:hint="cs"/>
          <w:rtl/>
          <w:lang w:bidi="ar"/>
        </w:rPr>
        <w:t>يجوز</w:t>
      </w:r>
      <w:r w:rsidR="00613D7C">
        <w:rPr>
          <w:rFonts w:hint="cs"/>
          <w:rtl/>
          <w:lang w:bidi="ar"/>
        </w:rPr>
        <w:t xml:space="preserve"> لصاحب التسجيل أن يكييف </w:t>
      </w:r>
      <w:r w:rsidR="001D5667">
        <w:rPr>
          <w:rFonts w:hint="cs"/>
          <w:rtl/>
          <w:lang w:bidi="ar"/>
        </w:rPr>
        <w:t xml:space="preserve">قوائم السلع والخدمات </w:t>
      </w:r>
      <w:r w:rsidR="0032626F">
        <w:rPr>
          <w:rFonts w:hint="cs"/>
          <w:rtl/>
          <w:lang w:bidi="ar"/>
        </w:rPr>
        <w:t>حسب ا</w:t>
      </w:r>
      <w:r w:rsidR="001D5667">
        <w:rPr>
          <w:rFonts w:hint="cs"/>
          <w:rtl/>
          <w:lang w:bidi="ar"/>
        </w:rPr>
        <w:t>لأطراف المعنية</w:t>
      </w:r>
      <w:r w:rsidR="0095518D" w:rsidRPr="0095518D">
        <w:rPr>
          <w:rFonts w:hint="cs"/>
          <w:rtl/>
          <w:lang w:bidi="ar"/>
        </w:rPr>
        <w:t xml:space="preserve"> </w:t>
      </w:r>
      <w:r w:rsidR="0095518D">
        <w:rPr>
          <w:rFonts w:hint="cs"/>
          <w:rtl/>
          <w:lang w:bidi="ar"/>
        </w:rPr>
        <w:t>المختلفة</w:t>
      </w:r>
      <w:r w:rsidR="0010623F">
        <w:rPr>
          <w:rFonts w:hint="cs"/>
          <w:rtl/>
          <w:lang w:bidi="ar"/>
        </w:rPr>
        <w:t xml:space="preserve">، </w:t>
      </w:r>
      <w:r w:rsidR="0032626F">
        <w:rPr>
          <w:rFonts w:hint="cs"/>
          <w:rtl/>
          <w:lang w:bidi="ar"/>
        </w:rPr>
        <w:t>وهي</w:t>
      </w:r>
      <w:r w:rsidR="0003647B">
        <w:rPr>
          <w:rFonts w:hint="cs"/>
          <w:rtl/>
          <w:lang w:bidi="ar"/>
        </w:rPr>
        <w:t xml:space="preserve"> من الأمور</w:t>
      </w:r>
      <w:r w:rsidR="0010623F">
        <w:rPr>
          <w:rFonts w:hint="cs"/>
          <w:rtl/>
          <w:lang w:bidi="ar"/>
        </w:rPr>
        <w:t xml:space="preserve"> </w:t>
      </w:r>
      <w:r w:rsidR="0003647B">
        <w:rPr>
          <w:rFonts w:hint="cs"/>
          <w:rtl/>
          <w:lang w:bidi="ar"/>
        </w:rPr>
        <w:t>ال</w:t>
      </w:r>
      <w:r w:rsidR="0010623F">
        <w:rPr>
          <w:rFonts w:hint="cs"/>
          <w:rtl/>
          <w:lang w:bidi="ar"/>
        </w:rPr>
        <w:t>مفيد</w:t>
      </w:r>
      <w:r w:rsidR="0003647B">
        <w:rPr>
          <w:rFonts w:hint="cs"/>
          <w:rtl/>
          <w:lang w:bidi="ar"/>
        </w:rPr>
        <w:t>ة</w:t>
      </w:r>
      <w:r w:rsidR="0010623F">
        <w:rPr>
          <w:rFonts w:hint="cs"/>
          <w:rtl/>
          <w:lang w:bidi="ar"/>
        </w:rPr>
        <w:t xml:space="preserve"> </w:t>
      </w:r>
      <w:r w:rsidR="007F23E2">
        <w:rPr>
          <w:rFonts w:hint="cs"/>
          <w:rtl/>
          <w:lang w:bidi="ar"/>
        </w:rPr>
        <w:t>لاسيما</w:t>
      </w:r>
      <w:r w:rsidR="0010623F">
        <w:rPr>
          <w:rFonts w:hint="cs"/>
          <w:rtl/>
          <w:lang w:bidi="ar"/>
        </w:rPr>
        <w:t xml:space="preserve"> </w:t>
      </w:r>
      <w:r w:rsidR="0003647B">
        <w:rPr>
          <w:rFonts w:hint="cs"/>
          <w:rtl/>
          <w:lang w:bidi="ar"/>
        </w:rPr>
        <w:t>لمن ي</w:t>
      </w:r>
      <w:r w:rsidR="0095518D">
        <w:rPr>
          <w:rFonts w:hint="cs"/>
          <w:rtl/>
          <w:lang w:bidi="ar"/>
        </w:rPr>
        <w:t>ُ</w:t>
      </w:r>
      <w:r w:rsidR="0003647B">
        <w:rPr>
          <w:rFonts w:hint="cs"/>
          <w:rtl/>
          <w:lang w:bidi="ar"/>
        </w:rPr>
        <w:t xml:space="preserve">عرفون </w:t>
      </w:r>
      <w:r w:rsidR="0032626F">
        <w:rPr>
          <w:rFonts w:hint="cs"/>
          <w:rtl/>
          <w:lang w:bidi="ar"/>
        </w:rPr>
        <w:t>بتحريهم</w:t>
      </w:r>
      <w:r w:rsidR="0003647B">
        <w:rPr>
          <w:rFonts w:hint="cs"/>
          <w:rtl/>
          <w:lang w:bidi="ar"/>
        </w:rPr>
        <w:t xml:space="preserve"> درجة عالية من التحديد. وعليه، </w:t>
      </w:r>
      <w:r w:rsidR="0032626F">
        <w:rPr>
          <w:rFonts w:hint="cs"/>
          <w:rtl/>
          <w:lang w:bidi="ar"/>
        </w:rPr>
        <w:t>تجسد</w:t>
      </w:r>
      <w:r w:rsidR="0003647B" w:rsidRPr="0032626F">
        <w:rPr>
          <w:rFonts w:hint="cs"/>
          <w:rtl/>
          <w:lang w:bidi="ar"/>
        </w:rPr>
        <w:t xml:space="preserve"> التعبيرات</w:t>
      </w:r>
      <w:r w:rsidR="0032626F">
        <w:rPr>
          <w:rFonts w:hint="cs"/>
          <w:rtl/>
          <w:lang w:bidi="ar"/>
        </w:rPr>
        <w:t>ُ</w:t>
      </w:r>
      <w:r w:rsidR="0003647B" w:rsidRPr="0032626F">
        <w:rPr>
          <w:rFonts w:hint="cs"/>
          <w:rtl/>
          <w:lang w:bidi="ar"/>
        </w:rPr>
        <w:t xml:space="preserve"> الحرة</w:t>
      </w:r>
      <w:r w:rsidR="0003647B">
        <w:rPr>
          <w:rFonts w:hint="cs"/>
          <w:rtl/>
          <w:lang w:bidi="ar"/>
        </w:rPr>
        <w:t xml:space="preserve"> </w:t>
      </w:r>
      <w:r w:rsidR="0095518D">
        <w:rPr>
          <w:rFonts w:hint="cs"/>
          <w:rtl/>
          <w:lang w:bidi="ar"/>
        </w:rPr>
        <w:t>مرونة</w:t>
      </w:r>
      <w:r w:rsidR="007F23E2">
        <w:rPr>
          <w:rFonts w:hint="cs"/>
          <w:rtl/>
          <w:lang w:bidi="ar"/>
        </w:rPr>
        <w:t>ً</w:t>
      </w:r>
      <w:r w:rsidR="0095518D">
        <w:rPr>
          <w:rFonts w:hint="cs"/>
          <w:rtl/>
          <w:lang w:bidi="ar"/>
        </w:rPr>
        <w:t xml:space="preserve"> </w:t>
      </w:r>
      <w:r w:rsidR="0032626F">
        <w:rPr>
          <w:rFonts w:hint="cs"/>
          <w:rtl/>
          <w:lang w:bidi="ar"/>
        </w:rPr>
        <w:t>مؤاتية</w:t>
      </w:r>
      <w:r w:rsidR="007F23E2">
        <w:rPr>
          <w:rFonts w:hint="cs"/>
          <w:rtl/>
          <w:lang w:bidi="ar"/>
        </w:rPr>
        <w:t xml:space="preserve"> لمستخدمي نظام مدريد</w:t>
      </w:r>
      <w:r w:rsidR="0095518D">
        <w:rPr>
          <w:rFonts w:hint="cs"/>
          <w:rtl/>
          <w:lang w:bidi="ar"/>
        </w:rPr>
        <w:t xml:space="preserve"> تيسر لهم استيفاء متطلبات الأطر القانونية الجد متنوعة لأطرافها المتعاقدة.</w:t>
      </w:r>
    </w:p>
    <w:p w:rsidR="0095518D" w:rsidRDefault="007F23E2" w:rsidP="007F23E2">
      <w:pPr>
        <w:pStyle w:val="NumberedParaAR"/>
      </w:pPr>
      <w:r>
        <w:rPr>
          <w:rFonts w:hint="cs"/>
          <w:rtl/>
          <w:lang w:bidi="ar"/>
        </w:rPr>
        <w:t>و</w:t>
      </w:r>
      <w:r w:rsidR="00387E00">
        <w:rPr>
          <w:rFonts w:hint="cs"/>
          <w:rtl/>
          <w:lang w:bidi="ar"/>
        </w:rPr>
        <w:t xml:space="preserve">تختلف </w:t>
      </w:r>
      <w:r w:rsidR="00387E00" w:rsidRPr="0032626F">
        <w:rPr>
          <w:rFonts w:hint="cs"/>
          <w:rtl/>
          <w:lang w:bidi="ar"/>
        </w:rPr>
        <w:t>طرق التعبير عن إنقاص ولكنها</w:t>
      </w:r>
      <w:r w:rsidR="00387E00">
        <w:rPr>
          <w:rFonts w:hint="cs"/>
          <w:rtl/>
          <w:lang w:bidi="ar"/>
        </w:rPr>
        <w:t xml:space="preserve"> تشترك في مبدأ واحد هو أن الشروط </w:t>
      </w:r>
      <w:r w:rsidR="0032626F">
        <w:rPr>
          <w:rFonts w:hint="cs"/>
          <w:rtl/>
          <w:lang w:bidi="ar"/>
        </w:rPr>
        <w:t>المعبر عنها</w:t>
      </w:r>
      <w:r w:rsidR="00387E00">
        <w:rPr>
          <w:rFonts w:hint="cs"/>
          <w:rtl/>
          <w:lang w:bidi="ar"/>
        </w:rPr>
        <w:t xml:space="preserve"> في الإنقاص </w:t>
      </w:r>
      <w:r w:rsidR="0032626F">
        <w:rPr>
          <w:rFonts w:hint="cs"/>
          <w:rtl/>
          <w:lang w:bidi="ar"/>
        </w:rPr>
        <w:t>يجب</w:t>
      </w:r>
      <w:r w:rsidR="00387E00">
        <w:rPr>
          <w:rFonts w:hint="cs"/>
          <w:rtl/>
          <w:lang w:bidi="ar"/>
        </w:rPr>
        <w:t xml:space="preserve"> أن تكون أضيق نطاقا من القائمة الأساسية للسلع والخدمات في التسجيل الدولي.</w:t>
      </w:r>
    </w:p>
    <w:p w:rsidR="00387E00" w:rsidRDefault="0032626F" w:rsidP="007F23E2">
      <w:pPr>
        <w:pStyle w:val="NumberedParaAR"/>
      </w:pPr>
      <w:r>
        <w:rPr>
          <w:rFonts w:hint="cs"/>
          <w:rtl/>
        </w:rPr>
        <w:t>و</w:t>
      </w:r>
      <w:r w:rsidR="00387E00">
        <w:rPr>
          <w:rFonts w:hint="cs"/>
          <w:rtl/>
        </w:rPr>
        <w:t xml:space="preserve">لا يمكن </w:t>
      </w:r>
      <w:r>
        <w:rPr>
          <w:rFonts w:hint="cs"/>
          <w:rtl/>
        </w:rPr>
        <w:t>تمديد</w:t>
      </w:r>
      <w:r w:rsidR="001604C8">
        <w:rPr>
          <w:rFonts w:hint="cs"/>
          <w:rtl/>
        </w:rPr>
        <w:t xml:space="preserve"> قائمة السلع</w:t>
      </w:r>
      <w:r w:rsidR="007F23E2">
        <w:rPr>
          <w:rFonts w:hint="cs"/>
          <w:rtl/>
        </w:rPr>
        <w:t xml:space="preserve"> والخدمات للتسجيلات الدولية. وإذا</w:t>
      </w:r>
      <w:r w:rsidR="001604C8">
        <w:rPr>
          <w:rFonts w:hint="cs"/>
          <w:rtl/>
        </w:rPr>
        <w:t xml:space="preserve"> </w:t>
      </w:r>
      <w:r w:rsidR="004E727F">
        <w:rPr>
          <w:rFonts w:hint="cs"/>
          <w:rtl/>
        </w:rPr>
        <w:t>أراد</w:t>
      </w:r>
      <w:r w:rsidR="001604C8">
        <w:rPr>
          <w:rFonts w:hint="cs"/>
          <w:rtl/>
        </w:rPr>
        <w:t xml:space="preserve"> صاحب التسجيل الدولي حماية علامته بالنسبة لسلع وخدمات إضاف</w:t>
      </w:r>
      <w:r w:rsidR="004E727F">
        <w:rPr>
          <w:rFonts w:hint="cs"/>
          <w:rtl/>
        </w:rPr>
        <w:t>ي</w:t>
      </w:r>
      <w:r w:rsidR="001604C8">
        <w:rPr>
          <w:rFonts w:hint="cs"/>
          <w:rtl/>
        </w:rPr>
        <w:t xml:space="preserve">ة، </w:t>
      </w:r>
      <w:r w:rsidR="004E727F">
        <w:rPr>
          <w:rFonts w:hint="cs"/>
          <w:rtl/>
        </w:rPr>
        <w:t>وجب</w:t>
      </w:r>
      <w:r w:rsidR="001604C8">
        <w:rPr>
          <w:rFonts w:hint="cs"/>
          <w:rtl/>
        </w:rPr>
        <w:t xml:space="preserve"> عليه </w:t>
      </w:r>
      <w:r w:rsidR="004E727F">
        <w:rPr>
          <w:rFonts w:hint="cs"/>
          <w:rtl/>
        </w:rPr>
        <w:t>إيداع</w:t>
      </w:r>
      <w:r w:rsidR="001604C8">
        <w:rPr>
          <w:rFonts w:hint="cs"/>
          <w:rtl/>
        </w:rPr>
        <w:t xml:space="preserve"> طلب</w:t>
      </w:r>
      <w:r w:rsidR="004E727F">
        <w:rPr>
          <w:rFonts w:hint="cs"/>
          <w:rtl/>
        </w:rPr>
        <w:t xml:space="preserve"> دولي جديد</w:t>
      </w:r>
      <w:r w:rsidR="001604C8">
        <w:rPr>
          <w:rFonts w:hint="cs"/>
          <w:rtl/>
        </w:rPr>
        <w:t xml:space="preserve">. ويسري ذلك أيضا حتى وإن كانت السلع والخدمات متضمنة في الطلب الأساسي أو التسجيل الأساسي </w:t>
      </w:r>
      <w:r w:rsidR="004E727F" w:rsidRPr="004E727F">
        <w:rPr>
          <w:rFonts w:hint="cs"/>
          <w:rtl/>
        </w:rPr>
        <w:t>و</w:t>
      </w:r>
      <w:r w:rsidR="001604C8" w:rsidRPr="004E727F">
        <w:rPr>
          <w:rFonts w:hint="cs"/>
          <w:rtl/>
        </w:rPr>
        <w:t xml:space="preserve">كان </w:t>
      </w:r>
      <w:r w:rsidR="001604C8" w:rsidRPr="004E727F">
        <w:rPr>
          <w:rFonts w:hint="cs"/>
          <w:i/>
          <w:iCs/>
          <w:rtl/>
        </w:rPr>
        <w:t>يمكن</w:t>
      </w:r>
      <w:r w:rsidR="001604C8" w:rsidRPr="004E727F">
        <w:rPr>
          <w:rFonts w:hint="cs"/>
          <w:rtl/>
        </w:rPr>
        <w:t xml:space="preserve"> للمودع أن </w:t>
      </w:r>
      <w:r w:rsidR="004E727F">
        <w:rPr>
          <w:rFonts w:hint="cs"/>
          <w:rtl/>
        </w:rPr>
        <w:t>يدرجها</w:t>
      </w:r>
      <w:r w:rsidR="001604C8">
        <w:rPr>
          <w:rFonts w:hint="cs"/>
          <w:rtl/>
        </w:rPr>
        <w:t xml:space="preserve"> في </w:t>
      </w:r>
      <w:r w:rsidR="004E727F">
        <w:rPr>
          <w:rFonts w:hint="cs"/>
          <w:rtl/>
        </w:rPr>
        <w:t>الطلب</w:t>
      </w:r>
      <w:r w:rsidR="001604C8">
        <w:rPr>
          <w:rFonts w:hint="cs"/>
          <w:rtl/>
        </w:rPr>
        <w:t xml:space="preserve"> الدولي واختار ألا يفعل.</w:t>
      </w:r>
    </w:p>
    <w:p w:rsidR="001604C8" w:rsidRDefault="004E727F" w:rsidP="007F23E2">
      <w:pPr>
        <w:pStyle w:val="NumberedParaAR"/>
      </w:pPr>
      <w:r>
        <w:rPr>
          <w:rFonts w:hint="cs"/>
          <w:rtl/>
        </w:rPr>
        <w:t>ومع ذلك، قد يترتب</w:t>
      </w:r>
      <w:r w:rsidR="001604C8">
        <w:rPr>
          <w:rFonts w:hint="cs"/>
          <w:rtl/>
        </w:rPr>
        <w:t xml:space="preserve"> </w:t>
      </w:r>
      <w:r>
        <w:rPr>
          <w:rFonts w:hint="cs"/>
          <w:rtl/>
        </w:rPr>
        <w:t xml:space="preserve">على </w:t>
      </w:r>
      <w:r w:rsidR="001604C8">
        <w:rPr>
          <w:rFonts w:hint="cs"/>
          <w:rtl/>
        </w:rPr>
        <w:t>الإنقاص</w:t>
      </w:r>
      <w:r>
        <w:rPr>
          <w:rFonts w:hint="cs"/>
          <w:rtl/>
        </w:rPr>
        <w:t>ات</w:t>
      </w:r>
      <w:r w:rsidR="001604C8">
        <w:rPr>
          <w:rFonts w:hint="cs"/>
          <w:rtl/>
        </w:rPr>
        <w:t xml:space="preserve"> توسيع</w:t>
      </w:r>
      <w:r>
        <w:rPr>
          <w:rFonts w:hint="cs"/>
          <w:rtl/>
        </w:rPr>
        <w:t>ٌ</w:t>
      </w:r>
      <w:r w:rsidR="001604C8">
        <w:rPr>
          <w:rFonts w:hint="cs"/>
          <w:rtl/>
        </w:rPr>
        <w:t xml:space="preserve"> قائمة السلع والخدمات</w:t>
      </w:r>
      <w:r w:rsidR="007F23E2" w:rsidRPr="007F23E2">
        <w:rPr>
          <w:rFonts w:hint="cs"/>
          <w:rtl/>
        </w:rPr>
        <w:t xml:space="preserve"> </w:t>
      </w:r>
      <w:r w:rsidR="007F23E2">
        <w:rPr>
          <w:rFonts w:hint="cs"/>
          <w:rtl/>
        </w:rPr>
        <w:t>أو تمديدها</w:t>
      </w:r>
      <w:r w:rsidR="001604C8">
        <w:rPr>
          <w:rFonts w:hint="cs"/>
          <w:rtl/>
        </w:rPr>
        <w:t xml:space="preserve">. وقد يحدث ذلك مثلا في حال تضمن الإنقاص تعبيرات حرة </w:t>
      </w:r>
      <w:r w:rsidR="00041FCD">
        <w:rPr>
          <w:rFonts w:hint="cs"/>
          <w:rtl/>
        </w:rPr>
        <w:t xml:space="preserve">أو استعيض عن المؤشرات بأخرى. وعليه يجوز لإدارة الفحص المختصة أن تبدي اعتراضا على الإنقاص. ويترتب </w:t>
      </w:r>
      <w:r w:rsidR="00D723A4">
        <w:rPr>
          <w:rFonts w:hint="cs"/>
          <w:rtl/>
        </w:rPr>
        <w:t>علي ذلك</w:t>
      </w:r>
      <w:r w:rsidR="00041FCD">
        <w:rPr>
          <w:rFonts w:hint="cs"/>
          <w:rtl/>
        </w:rPr>
        <w:t xml:space="preserve"> الحاجة إلى فحص الإنقاصات لتحديد إذا </w:t>
      </w:r>
      <w:r w:rsidR="00663D33">
        <w:rPr>
          <w:rFonts w:hint="cs"/>
          <w:rtl/>
        </w:rPr>
        <w:t xml:space="preserve">ما </w:t>
      </w:r>
      <w:r w:rsidR="00041FCD">
        <w:rPr>
          <w:rFonts w:hint="cs"/>
          <w:rtl/>
        </w:rPr>
        <w:t xml:space="preserve">كانت </w:t>
      </w:r>
      <w:r w:rsidR="00D723A4">
        <w:rPr>
          <w:rFonts w:hint="cs"/>
          <w:rtl/>
        </w:rPr>
        <w:t>تدخل</w:t>
      </w:r>
      <w:r w:rsidR="00041FCD">
        <w:rPr>
          <w:rFonts w:hint="cs"/>
          <w:rtl/>
        </w:rPr>
        <w:t xml:space="preserve"> في نطاق القائمة الأساسية لل</w:t>
      </w:r>
      <w:r w:rsidR="00D723A4">
        <w:rPr>
          <w:rFonts w:hint="cs"/>
          <w:rtl/>
        </w:rPr>
        <w:t>سلع والخدمات في التسجيل الدولي.</w:t>
      </w:r>
    </w:p>
    <w:p w:rsidR="007D0CE8" w:rsidRPr="009F4162" w:rsidRDefault="007D0CE8" w:rsidP="00A50027">
      <w:pPr>
        <w:pStyle w:val="NumberedParaAR"/>
        <w:keepNext/>
        <w:numPr>
          <w:ilvl w:val="0"/>
          <w:numId w:val="0"/>
        </w:numPr>
        <w:rPr>
          <w:sz w:val="40"/>
          <w:szCs w:val="40"/>
          <w:rtl/>
        </w:rPr>
      </w:pPr>
      <w:r w:rsidRPr="009F4162">
        <w:rPr>
          <w:rFonts w:hint="cs"/>
          <w:sz w:val="40"/>
          <w:szCs w:val="40"/>
          <w:rtl/>
        </w:rPr>
        <w:t>الإنقاص</w:t>
      </w:r>
      <w:r w:rsidR="00D723A4" w:rsidRPr="009F4162">
        <w:rPr>
          <w:rFonts w:hint="cs"/>
          <w:sz w:val="40"/>
          <w:szCs w:val="40"/>
          <w:rtl/>
        </w:rPr>
        <w:t>ات</w:t>
      </w:r>
      <w:r w:rsidRPr="009F4162">
        <w:rPr>
          <w:rFonts w:hint="cs"/>
          <w:sz w:val="40"/>
          <w:szCs w:val="40"/>
          <w:rtl/>
        </w:rPr>
        <w:t xml:space="preserve"> في الطلبات الدولية</w:t>
      </w:r>
    </w:p>
    <w:p w:rsidR="007D0CE8" w:rsidRDefault="004454D4" w:rsidP="00663D33">
      <w:pPr>
        <w:pStyle w:val="NumberedParaAR"/>
      </w:pPr>
      <w:r>
        <w:rPr>
          <w:rFonts w:hint="cs"/>
          <w:rtl/>
        </w:rPr>
        <w:t xml:space="preserve">يجوز للمودع أن </w:t>
      </w:r>
      <w:r w:rsidR="00663D33">
        <w:rPr>
          <w:rFonts w:hint="cs"/>
          <w:rtl/>
        </w:rPr>
        <w:t>يدرج</w:t>
      </w:r>
      <w:r>
        <w:rPr>
          <w:rFonts w:hint="cs"/>
          <w:rtl/>
        </w:rPr>
        <w:t xml:space="preserve"> إنقاصا في الطلب الدولي</w:t>
      </w:r>
      <w:r w:rsidRPr="00663D33">
        <w:rPr>
          <w:rFonts w:hint="cs"/>
          <w:rtl/>
        </w:rPr>
        <w:t xml:space="preserve">. </w:t>
      </w:r>
      <w:r w:rsidR="002A7C2A" w:rsidRPr="00663D33">
        <w:rPr>
          <w:rFonts w:hint="cs"/>
          <w:rtl/>
        </w:rPr>
        <w:t>وتنص القاعدة</w:t>
      </w:r>
      <w:r w:rsidR="002A7C2A">
        <w:rPr>
          <w:rFonts w:hint="cs"/>
          <w:rtl/>
        </w:rPr>
        <w:t xml:space="preserve"> 9(4)(أ)"13" من </w:t>
      </w:r>
      <w:r w:rsidR="002A7C2A" w:rsidRPr="002A7C2A">
        <w:rPr>
          <w:rtl/>
        </w:rPr>
        <w:t>اللائحة التنفيذية المشتركة بين اتفاق وبروتوكول مدريد بشأن الت</w:t>
      </w:r>
      <w:r w:rsidR="002A7C2A">
        <w:rPr>
          <w:rtl/>
        </w:rPr>
        <w:t>سجيل الدولي للعلامات (</w:t>
      </w:r>
      <w:r w:rsidR="00663D33">
        <w:rPr>
          <w:rFonts w:hint="cs"/>
          <w:rtl/>
        </w:rPr>
        <w:t>المشار</w:t>
      </w:r>
      <w:r w:rsidR="002A7C2A">
        <w:rPr>
          <w:rtl/>
        </w:rPr>
        <w:t xml:space="preserve"> إل</w:t>
      </w:r>
      <w:r w:rsidR="002A7C2A">
        <w:rPr>
          <w:rFonts w:hint="cs"/>
          <w:rtl/>
        </w:rPr>
        <w:t xml:space="preserve">يها </w:t>
      </w:r>
      <w:r w:rsidR="002A7C2A" w:rsidRPr="002A7C2A">
        <w:rPr>
          <w:rtl/>
        </w:rPr>
        <w:t xml:space="preserve">فيما يلي </w:t>
      </w:r>
      <w:r w:rsidR="00663D33">
        <w:rPr>
          <w:rFonts w:hint="cs"/>
          <w:rtl/>
        </w:rPr>
        <w:t>بعبارة</w:t>
      </w:r>
      <w:r w:rsidR="002A7C2A" w:rsidRPr="002A7C2A">
        <w:rPr>
          <w:rtl/>
        </w:rPr>
        <w:t xml:space="preserve"> "اللائحة التنفيذية المشتركة" و"الاتفاق" و"البروتوكول")</w:t>
      </w:r>
      <w:r w:rsidR="002A7C2A">
        <w:rPr>
          <w:rFonts w:hint="cs"/>
          <w:rtl/>
        </w:rPr>
        <w:t xml:space="preserve"> على أنه يتعين أن يتضمن الطلب الدولي أو </w:t>
      </w:r>
      <w:r w:rsidR="00663D33">
        <w:rPr>
          <w:rFonts w:hint="cs"/>
          <w:rtl/>
        </w:rPr>
        <w:t>يبين</w:t>
      </w:r>
      <w:r w:rsidR="002A7C2A">
        <w:rPr>
          <w:rFonts w:hint="cs"/>
          <w:rtl/>
        </w:rPr>
        <w:t xml:space="preserve"> "</w:t>
      </w:r>
      <w:r w:rsidR="002A7C2A" w:rsidRPr="002A7C2A">
        <w:rPr>
          <w:rtl/>
        </w:rPr>
        <w:t>أسماء السلع والخدمات التي يطلب لها التسجيل الدولي للعلامة، على أن تجمع وفقاً للأصناف المناسبة للتصنيف الدولي للسلع والخدمات، وتكون كل مجموعة مسبوقة برقم الصنف ومقدمة حسب ترتيب أصناف هذا التصنيف. ويجب بيان السلع والخدمات بكلمات دقيقة، وبالأحرى بالكلمات الواردة في القائمة الأبجدية للتصنيف المذكور. ويجوز أن يتضمن الطلب الدولي حصراً لقائمة السلع والخدمات بالنسبة إلى واحد أو أكثر من الأطراف المتعاقدة المعيّنة. ويجوز أن يكون الحصر مختلفاً بالنسبة إلى كل طرف متعاقد</w:t>
      </w:r>
      <w:r w:rsidR="002A7C2A">
        <w:rPr>
          <w:rFonts w:hint="cs"/>
          <w:rtl/>
        </w:rPr>
        <w:t xml:space="preserve"> </w:t>
      </w:r>
      <w:r w:rsidR="002A7C2A">
        <w:rPr>
          <w:rtl/>
        </w:rPr>
        <w:t>[</w:t>
      </w:r>
      <w:r w:rsidR="002A7C2A">
        <w:rPr>
          <w:rFonts w:hint="cs"/>
          <w:rtl/>
        </w:rPr>
        <w:t>...</w:t>
      </w:r>
      <w:r w:rsidR="002A7C2A">
        <w:rPr>
          <w:rtl/>
        </w:rPr>
        <w:t>]</w:t>
      </w:r>
      <w:r w:rsidR="0071527B">
        <w:rPr>
          <w:rFonts w:hint="cs"/>
          <w:rtl/>
        </w:rPr>
        <w:t>.</w:t>
      </w:r>
      <w:r w:rsidR="002A7C2A">
        <w:rPr>
          <w:rFonts w:hint="cs"/>
          <w:rtl/>
        </w:rPr>
        <w:t xml:space="preserve">" </w:t>
      </w:r>
      <w:r w:rsidR="00A318DC">
        <w:rPr>
          <w:rFonts w:hint="cs"/>
          <w:rtl/>
        </w:rPr>
        <w:t>ويجب تقديم الطلب الدولي، الذي يجوز أن يتضمن إنقاصا، إلى المكتب الدولي عن طريق مكتب المنشأ.</w:t>
      </w:r>
    </w:p>
    <w:p w:rsidR="00A318DC" w:rsidRPr="009F4162" w:rsidRDefault="00A318DC" w:rsidP="00A50027">
      <w:pPr>
        <w:pStyle w:val="NumberedParaAR"/>
        <w:keepNext/>
        <w:numPr>
          <w:ilvl w:val="0"/>
          <w:numId w:val="0"/>
        </w:numPr>
        <w:rPr>
          <w:sz w:val="40"/>
          <w:szCs w:val="40"/>
        </w:rPr>
      </w:pPr>
      <w:r w:rsidRPr="009F4162">
        <w:rPr>
          <w:rFonts w:hint="cs"/>
          <w:sz w:val="40"/>
          <w:szCs w:val="40"/>
          <w:rtl/>
        </w:rPr>
        <w:lastRenderedPageBreak/>
        <w:t>الإنقاص</w:t>
      </w:r>
      <w:r w:rsidR="003E1B2B" w:rsidRPr="009F4162">
        <w:rPr>
          <w:rFonts w:hint="cs"/>
          <w:sz w:val="40"/>
          <w:szCs w:val="40"/>
          <w:rtl/>
        </w:rPr>
        <w:t>ات</w:t>
      </w:r>
      <w:r w:rsidRPr="009F4162">
        <w:rPr>
          <w:rFonts w:hint="cs"/>
          <w:sz w:val="40"/>
          <w:szCs w:val="40"/>
          <w:rtl/>
        </w:rPr>
        <w:t xml:space="preserve"> في التعيينات اللاحقة</w:t>
      </w:r>
    </w:p>
    <w:p w:rsidR="00A318DC" w:rsidRPr="00904BAC" w:rsidRDefault="0040797C" w:rsidP="007410E7">
      <w:pPr>
        <w:pStyle w:val="NumberedParaAR"/>
      </w:pPr>
      <w:r>
        <w:rPr>
          <w:rFonts w:hint="cs"/>
          <w:rtl/>
        </w:rPr>
        <w:t>تتناول القاعدة 24(3)(أ)"4" من اللائحة التنفيذية المشتركة التعيينات اللاحقة وتنص تحديدا على أنه "يجب أن يتضمن التعيين اللاحق أو يبين، شرط مراعاة الفقرة 7(ب)</w:t>
      </w:r>
      <w:r w:rsidRPr="0040797C">
        <w:rPr>
          <w:rtl/>
        </w:rPr>
        <w:t xml:space="preserve"> [...]</w:t>
      </w:r>
      <w:r>
        <w:rPr>
          <w:rFonts w:hint="cs"/>
          <w:rtl/>
        </w:rPr>
        <w:t xml:space="preserve">، </w:t>
      </w:r>
      <w:r w:rsidRPr="0040797C">
        <w:rPr>
          <w:rtl/>
        </w:rPr>
        <w:t>كل السلع والخدمات أو البعض منها، إذا كان التعيين اللاحق يتعلق بكل السلع والخدمات الوارد ذكرها في التسجيل الدولي المعني، أو بالبعض منها</w:t>
      </w:r>
      <w:r>
        <w:rPr>
          <w:rFonts w:hint="cs"/>
          <w:rtl/>
        </w:rPr>
        <w:t xml:space="preserve"> </w:t>
      </w:r>
      <w:r w:rsidRPr="0040797C">
        <w:rPr>
          <w:rtl/>
        </w:rPr>
        <w:t>[...]</w:t>
      </w:r>
      <w:r w:rsidR="00754C70">
        <w:rPr>
          <w:rFonts w:hint="cs"/>
          <w:rtl/>
        </w:rPr>
        <w:t>."</w:t>
      </w:r>
      <w:r w:rsidR="007410E7">
        <w:rPr>
          <w:rFonts w:hint="cs"/>
          <w:rtl/>
        </w:rPr>
        <w:t xml:space="preserve"> و</w:t>
      </w:r>
      <w:r w:rsidR="00CA2116" w:rsidRPr="004B3DB4">
        <w:rPr>
          <w:rFonts w:hint="cs"/>
          <w:rtl/>
        </w:rPr>
        <w:t>إمكانية أن يتضمن التعيين اللاحق جزءا فقط من السلع والخدمات، كما هو مبين في التسجيل الدولي</w:t>
      </w:r>
      <w:r w:rsidR="00CA2116" w:rsidRPr="00904BAC">
        <w:rPr>
          <w:rFonts w:hint="cs"/>
          <w:rtl/>
        </w:rPr>
        <w:t xml:space="preserve">، </w:t>
      </w:r>
      <w:r w:rsidR="007410E7">
        <w:rPr>
          <w:rFonts w:hint="cs"/>
          <w:rtl/>
        </w:rPr>
        <w:t>تعد</w:t>
      </w:r>
      <w:r w:rsidR="007410E7" w:rsidRPr="004B3DB4">
        <w:rPr>
          <w:rFonts w:hint="cs"/>
          <w:rtl/>
        </w:rPr>
        <w:t xml:space="preserve"> </w:t>
      </w:r>
      <w:r w:rsidR="00CA2116" w:rsidRPr="00904BAC">
        <w:rPr>
          <w:rFonts w:hint="cs"/>
          <w:rtl/>
        </w:rPr>
        <w:t>إنقاص</w:t>
      </w:r>
      <w:r w:rsidR="007410E7">
        <w:rPr>
          <w:rFonts w:hint="cs"/>
          <w:rtl/>
        </w:rPr>
        <w:t>ا</w:t>
      </w:r>
      <w:r w:rsidR="00CA2116" w:rsidRPr="00904BAC">
        <w:rPr>
          <w:rFonts w:hint="cs"/>
          <w:rtl/>
        </w:rPr>
        <w:t>.</w:t>
      </w:r>
    </w:p>
    <w:p w:rsidR="00CA2116" w:rsidRDefault="00CA2116" w:rsidP="003C040E">
      <w:pPr>
        <w:pStyle w:val="NumberedParaAR"/>
      </w:pPr>
      <w:r>
        <w:rPr>
          <w:rFonts w:hint="cs"/>
          <w:rtl/>
        </w:rPr>
        <w:t xml:space="preserve">يجوز لصاحب التسجيل أن يدرج إنقاصا في تعيين لاحق باستخدام الاستمارة الرسمية، </w:t>
      </w:r>
      <w:r w:rsidR="009B2765">
        <w:rPr>
          <w:rFonts w:hint="cs"/>
          <w:rtl/>
        </w:rPr>
        <w:t>و</w:t>
      </w:r>
      <w:r>
        <w:rPr>
          <w:rFonts w:hint="cs"/>
          <w:rtl/>
        </w:rPr>
        <w:t>تقديمها مباشرة إلى المكتب الدولي أو عن طري</w:t>
      </w:r>
      <w:r w:rsidR="009B2765">
        <w:rPr>
          <w:rFonts w:hint="cs"/>
          <w:rtl/>
        </w:rPr>
        <w:t xml:space="preserve">ق مكتب الطرف المتعاقد </w:t>
      </w:r>
      <w:r w:rsidR="003C040E">
        <w:rPr>
          <w:rFonts w:hint="cs"/>
          <w:rtl/>
        </w:rPr>
        <w:t xml:space="preserve">الذي ينتمي إليه </w:t>
      </w:r>
      <w:r w:rsidR="009B2765">
        <w:rPr>
          <w:rFonts w:hint="cs"/>
          <w:rtl/>
        </w:rPr>
        <w:t>صاحب الت</w:t>
      </w:r>
      <w:r>
        <w:rPr>
          <w:rFonts w:hint="cs"/>
          <w:rtl/>
        </w:rPr>
        <w:t>س</w:t>
      </w:r>
      <w:r w:rsidR="009B2765">
        <w:rPr>
          <w:rFonts w:hint="cs"/>
          <w:rtl/>
        </w:rPr>
        <w:t>ج</w:t>
      </w:r>
      <w:r>
        <w:rPr>
          <w:rFonts w:hint="cs"/>
          <w:rtl/>
        </w:rPr>
        <w:t>يل. كما لصحاب التسجيل خيار إدراج إنقاص في تعيين لاحق باستخدام الاستمارة الإلكترونية (</w:t>
      </w:r>
      <w:r w:rsidRPr="009B2765">
        <w:rPr>
          <w:rFonts w:hint="cs"/>
          <w:rtl/>
        </w:rPr>
        <w:t>التعيين اللاحق الإلكتروني)،</w:t>
      </w:r>
      <w:r>
        <w:rPr>
          <w:rFonts w:hint="cs"/>
          <w:rtl/>
        </w:rPr>
        <w:t xml:space="preserve"> وفيه تلك الحالة تقدم الاستمارة مباشرة إلى المكتب الدولي.</w:t>
      </w:r>
    </w:p>
    <w:p w:rsidR="00CA2116" w:rsidRPr="009F4162" w:rsidRDefault="00CA2116" w:rsidP="00A50027">
      <w:pPr>
        <w:pStyle w:val="NumberedParaAR"/>
        <w:keepNext/>
        <w:numPr>
          <w:ilvl w:val="0"/>
          <w:numId w:val="0"/>
        </w:numPr>
        <w:rPr>
          <w:sz w:val="40"/>
          <w:szCs w:val="40"/>
          <w:rtl/>
        </w:rPr>
      </w:pPr>
      <w:r w:rsidRPr="009F4162">
        <w:rPr>
          <w:rFonts w:hint="cs"/>
          <w:sz w:val="40"/>
          <w:szCs w:val="40"/>
          <w:rtl/>
        </w:rPr>
        <w:t>الإنقاص الملتمس كتغيير في التسجيل الدولي (بناء على القاعدة 25)</w:t>
      </w:r>
    </w:p>
    <w:p w:rsidR="00CA2116" w:rsidRDefault="00FB6C14" w:rsidP="003C040E">
      <w:pPr>
        <w:pStyle w:val="NumberedParaAR"/>
      </w:pPr>
      <w:r>
        <w:rPr>
          <w:rFonts w:hint="cs"/>
          <w:rtl/>
        </w:rPr>
        <w:t>أما الخي</w:t>
      </w:r>
      <w:r w:rsidR="009B2765">
        <w:rPr>
          <w:rFonts w:hint="cs"/>
          <w:rtl/>
        </w:rPr>
        <w:t>ار الثالث والأخير فهو التماس تد</w:t>
      </w:r>
      <w:r>
        <w:rPr>
          <w:rFonts w:hint="cs"/>
          <w:rtl/>
        </w:rPr>
        <w:t>و</w:t>
      </w:r>
      <w:r w:rsidR="009B2765">
        <w:rPr>
          <w:rFonts w:hint="cs"/>
          <w:rtl/>
        </w:rPr>
        <w:t>ي</w:t>
      </w:r>
      <w:r>
        <w:rPr>
          <w:rFonts w:hint="cs"/>
          <w:rtl/>
        </w:rPr>
        <w:t xml:space="preserve">ن إنقاص كتغيير في التسجيل الدولي بناء على القاعدة 25 من اللائحة التنفيذية المشتركة. ويمكن لصاحب التسجيل أن يلتمس هذا التدوين مباشرة من المكتب الدولي أو عن طريق مكتب الطرف </w:t>
      </w:r>
      <w:r w:rsidR="003C040E">
        <w:rPr>
          <w:rFonts w:hint="cs"/>
          <w:rtl/>
        </w:rPr>
        <w:t>المتعاقد الذي ينتمي إليه صاحب التسجيل</w:t>
      </w:r>
      <w:r>
        <w:rPr>
          <w:rFonts w:hint="cs"/>
          <w:rtl/>
        </w:rPr>
        <w:t xml:space="preserve">. </w:t>
      </w:r>
      <w:r w:rsidR="009B2765">
        <w:rPr>
          <w:rFonts w:hint="cs"/>
          <w:rtl/>
        </w:rPr>
        <w:t>وستضاف</w:t>
      </w:r>
      <w:r>
        <w:rPr>
          <w:rFonts w:hint="cs"/>
          <w:rtl/>
        </w:rPr>
        <w:t xml:space="preserve"> استمارة إلكترونية لتقديم هذا الالتماس</w:t>
      </w:r>
      <w:r w:rsidR="009B2765" w:rsidRPr="009B2765">
        <w:rPr>
          <w:rFonts w:hint="cs"/>
          <w:rtl/>
        </w:rPr>
        <w:t xml:space="preserve"> </w:t>
      </w:r>
      <w:r w:rsidR="009B2765">
        <w:rPr>
          <w:rFonts w:hint="cs"/>
          <w:rtl/>
        </w:rPr>
        <w:t>في المستقبل</w:t>
      </w:r>
      <w:r>
        <w:rPr>
          <w:rFonts w:hint="cs"/>
          <w:rtl/>
        </w:rPr>
        <w:t>.</w:t>
      </w:r>
    </w:p>
    <w:p w:rsidR="00FB6C14" w:rsidRDefault="00FB6C14" w:rsidP="009B2765">
      <w:pPr>
        <w:pStyle w:val="NumberedParaAR"/>
      </w:pPr>
      <w:r>
        <w:rPr>
          <w:rFonts w:hint="cs"/>
          <w:rtl/>
        </w:rPr>
        <w:t xml:space="preserve">وعقب تدوين الإنقاص في السجل الدولي، سيخطر المكتب الدولي الأطراف المتعاقدة المعينة </w:t>
      </w:r>
      <w:r w:rsidR="00735D84">
        <w:rPr>
          <w:rFonts w:hint="cs"/>
          <w:rtl/>
        </w:rPr>
        <w:t>التي يمسها</w:t>
      </w:r>
      <w:r>
        <w:rPr>
          <w:rFonts w:hint="cs"/>
          <w:rtl/>
        </w:rPr>
        <w:t xml:space="preserve"> الإنقاص.</w:t>
      </w:r>
      <w:r w:rsidR="00735D84">
        <w:rPr>
          <w:rFonts w:hint="cs"/>
          <w:rtl/>
        </w:rPr>
        <w:t xml:space="preserve"> وبناء على القاعدة 27(5) من </w:t>
      </w:r>
      <w:r w:rsidR="00735D84" w:rsidRPr="00735D84">
        <w:rPr>
          <w:rtl/>
        </w:rPr>
        <w:t>اللائحة التنفيذية المشتركة</w:t>
      </w:r>
      <w:r w:rsidR="00735D84">
        <w:rPr>
          <w:rFonts w:hint="cs"/>
          <w:rtl/>
        </w:rPr>
        <w:t xml:space="preserve">، يجوز لمكتب </w:t>
      </w:r>
      <w:r w:rsidR="007410E7">
        <w:rPr>
          <w:rFonts w:hint="cs"/>
          <w:rtl/>
        </w:rPr>
        <w:t>ال</w:t>
      </w:r>
      <w:r w:rsidR="00735D84">
        <w:rPr>
          <w:rFonts w:hint="cs"/>
          <w:rtl/>
        </w:rPr>
        <w:t xml:space="preserve">طرف </w:t>
      </w:r>
      <w:r w:rsidR="007410E7">
        <w:rPr>
          <w:rFonts w:hint="cs"/>
          <w:rtl/>
        </w:rPr>
        <w:t>ال</w:t>
      </w:r>
      <w:r w:rsidR="00735D84">
        <w:rPr>
          <w:rFonts w:hint="cs"/>
          <w:rtl/>
        </w:rPr>
        <w:t xml:space="preserve">متعاقد </w:t>
      </w:r>
      <w:r w:rsidR="007410E7">
        <w:rPr>
          <w:rFonts w:hint="cs"/>
          <w:rtl/>
        </w:rPr>
        <w:t>ال</w:t>
      </w:r>
      <w:r w:rsidR="00735D84">
        <w:rPr>
          <w:rFonts w:hint="cs"/>
          <w:rtl/>
        </w:rPr>
        <w:t xml:space="preserve">معين الذي أُخطر بهذا التدوين أن يعلن أن الإنقاص </w:t>
      </w:r>
      <w:r w:rsidR="009B2765">
        <w:rPr>
          <w:rFonts w:hint="cs"/>
          <w:rtl/>
        </w:rPr>
        <w:t xml:space="preserve">لا يكون له </w:t>
      </w:r>
      <w:r w:rsidR="009B2765" w:rsidRPr="009B2765">
        <w:rPr>
          <w:rFonts w:hint="cs"/>
          <w:rtl/>
        </w:rPr>
        <w:t>أثر</w:t>
      </w:r>
      <w:r w:rsidR="00735D84" w:rsidRPr="009B2765">
        <w:rPr>
          <w:rFonts w:hint="cs"/>
          <w:rtl/>
        </w:rPr>
        <w:t xml:space="preserve"> في </w:t>
      </w:r>
      <w:r w:rsidR="009B2765" w:rsidRPr="009B2765">
        <w:rPr>
          <w:rFonts w:hint="cs"/>
          <w:rtl/>
        </w:rPr>
        <w:t>أراضيه</w:t>
      </w:r>
      <w:r w:rsidR="00735D84">
        <w:rPr>
          <w:rFonts w:hint="cs"/>
          <w:rtl/>
        </w:rPr>
        <w:t>. ويجب إرسال هذا الإعلان إلى المكتب الدولي قبل انقضاء 18 شهرا من تاريخ إرسال الإخطار بالإنقاص إلى المكتب المعني.</w:t>
      </w:r>
    </w:p>
    <w:p w:rsidR="00735D84" w:rsidRDefault="00735D84" w:rsidP="00276788">
      <w:pPr>
        <w:pStyle w:val="NumberedParaAR"/>
      </w:pPr>
      <w:r>
        <w:rPr>
          <w:rFonts w:hint="cs"/>
          <w:rtl/>
        </w:rPr>
        <w:t xml:space="preserve">ويجب أن يبين المكتب في إعلانه </w:t>
      </w:r>
      <w:r w:rsidR="009B2765">
        <w:rPr>
          <w:rFonts w:hint="cs"/>
          <w:rtl/>
        </w:rPr>
        <w:t>ال</w:t>
      </w:r>
      <w:r>
        <w:rPr>
          <w:rFonts w:hint="cs"/>
          <w:rtl/>
        </w:rPr>
        <w:t xml:space="preserve">أسباب </w:t>
      </w:r>
      <w:r w:rsidR="009B2765">
        <w:rPr>
          <w:rFonts w:hint="cs"/>
          <w:rtl/>
        </w:rPr>
        <w:t>النافية لأي أثر ل</w:t>
      </w:r>
      <w:r>
        <w:rPr>
          <w:rFonts w:hint="cs"/>
          <w:rtl/>
        </w:rPr>
        <w:t xml:space="preserve">لإنقاص، وأن ينص على الأحكام الأساسية المعنية </w:t>
      </w:r>
      <w:r w:rsidR="009B2765">
        <w:rPr>
          <w:rFonts w:hint="cs"/>
          <w:rtl/>
        </w:rPr>
        <w:t>من</w:t>
      </w:r>
      <w:r>
        <w:rPr>
          <w:rFonts w:hint="cs"/>
          <w:rtl/>
        </w:rPr>
        <w:t xml:space="preserve"> القانون و</w:t>
      </w:r>
      <w:r w:rsidR="009B2765">
        <w:rPr>
          <w:rFonts w:hint="cs"/>
          <w:rtl/>
        </w:rPr>
        <w:t xml:space="preserve">إمكانية إعادة </w:t>
      </w:r>
      <w:r>
        <w:rPr>
          <w:rFonts w:hint="cs"/>
          <w:rtl/>
        </w:rPr>
        <w:t xml:space="preserve">فحص </w:t>
      </w:r>
      <w:r w:rsidR="009B2765">
        <w:rPr>
          <w:rFonts w:hint="cs"/>
          <w:rtl/>
        </w:rPr>
        <w:t xml:space="preserve">هذا الإعلان </w:t>
      </w:r>
      <w:r>
        <w:rPr>
          <w:rFonts w:hint="cs"/>
          <w:rtl/>
        </w:rPr>
        <w:t xml:space="preserve">أو </w:t>
      </w:r>
      <w:r w:rsidR="009B2765">
        <w:rPr>
          <w:rFonts w:hint="cs"/>
          <w:rtl/>
        </w:rPr>
        <w:t>ال</w:t>
      </w:r>
      <w:r>
        <w:rPr>
          <w:rFonts w:hint="cs"/>
          <w:rtl/>
        </w:rPr>
        <w:t>طعن</w:t>
      </w:r>
      <w:r w:rsidR="009B2765">
        <w:rPr>
          <w:rFonts w:hint="cs"/>
          <w:rtl/>
        </w:rPr>
        <w:t xml:space="preserve"> فيه</w:t>
      </w:r>
      <w:r>
        <w:rPr>
          <w:rFonts w:hint="cs"/>
          <w:rtl/>
        </w:rPr>
        <w:t xml:space="preserve">. وفي حال كان الإعلان لا يمس </w:t>
      </w:r>
      <w:r w:rsidR="009B2765">
        <w:rPr>
          <w:rFonts w:hint="cs"/>
          <w:rtl/>
        </w:rPr>
        <w:t>كل</w:t>
      </w:r>
      <w:r>
        <w:rPr>
          <w:rFonts w:hint="cs"/>
          <w:rtl/>
        </w:rPr>
        <w:t xml:space="preserve"> السلع والخدمات، يجب على المكتب أن يبين تلك التي يمسها </w:t>
      </w:r>
      <w:r w:rsidR="00276788">
        <w:rPr>
          <w:rFonts w:hint="cs"/>
          <w:rtl/>
        </w:rPr>
        <w:t>الإعلان</w:t>
      </w:r>
      <w:r>
        <w:rPr>
          <w:rFonts w:hint="cs"/>
          <w:rtl/>
        </w:rPr>
        <w:t xml:space="preserve"> أو تلك التي لا يمسها الإعلان. وعند تلقي هذا الإعلان، سيخطر المكتب الدولي صاحب التسجيل</w:t>
      </w:r>
      <w:r w:rsidR="00276788">
        <w:rPr>
          <w:rFonts w:hint="cs"/>
          <w:rtl/>
        </w:rPr>
        <w:t>،</w:t>
      </w:r>
      <w:r>
        <w:rPr>
          <w:rFonts w:hint="cs"/>
          <w:rtl/>
        </w:rPr>
        <w:t xml:space="preserve"> وإن </w:t>
      </w:r>
      <w:r w:rsidR="00276788">
        <w:rPr>
          <w:rFonts w:hint="cs"/>
          <w:rtl/>
        </w:rPr>
        <w:t>كان</w:t>
      </w:r>
      <w:r w:rsidR="002F292F">
        <w:rPr>
          <w:rFonts w:hint="cs"/>
          <w:rtl/>
        </w:rPr>
        <w:t xml:space="preserve"> </w:t>
      </w:r>
      <w:r>
        <w:rPr>
          <w:rFonts w:hint="cs"/>
          <w:rtl/>
        </w:rPr>
        <w:t xml:space="preserve">الالتماس </w:t>
      </w:r>
      <w:r w:rsidR="00276788">
        <w:rPr>
          <w:rFonts w:hint="cs"/>
          <w:rtl/>
        </w:rPr>
        <w:t xml:space="preserve">قدّم </w:t>
      </w:r>
      <w:r>
        <w:rPr>
          <w:rFonts w:hint="cs"/>
          <w:rtl/>
        </w:rPr>
        <w:t xml:space="preserve">عن طريق مكتب، </w:t>
      </w:r>
      <w:r w:rsidR="00276788">
        <w:rPr>
          <w:rFonts w:hint="cs"/>
          <w:rtl/>
        </w:rPr>
        <w:t>سيخب</w:t>
      </w:r>
      <w:r w:rsidR="002F292F">
        <w:rPr>
          <w:rFonts w:hint="cs"/>
          <w:rtl/>
        </w:rPr>
        <w:t>ر</w:t>
      </w:r>
      <w:r>
        <w:rPr>
          <w:rFonts w:hint="cs"/>
          <w:rtl/>
        </w:rPr>
        <w:t xml:space="preserve"> هذا المكتب.</w:t>
      </w:r>
    </w:p>
    <w:p w:rsidR="00735D84" w:rsidRDefault="00276788" w:rsidP="002F292F">
      <w:pPr>
        <w:pStyle w:val="NumberedParaAR"/>
      </w:pPr>
      <w:r>
        <w:rPr>
          <w:rFonts w:hint="cs"/>
          <w:rtl/>
        </w:rPr>
        <w:t>و</w:t>
      </w:r>
      <w:r w:rsidR="00663DD9">
        <w:rPr>
          <w:rFonts w:hint="cs"/>
          <w:rtl/>
        </w:rPr>
        <w:t xml:space="preserve">أضيف الإجراء المنصوص عليه في القاعدة 27(5) لأن </w:t>
      </w:r>
      <w:r w:rsidR="00604D70">
        <w:rPr>
          <w:rFonts w:hint="cs"/>
          <w:rtl/>
        </w:rPr>
        <w:t xml:space="preserve">مكاتب الأطراف المتعاقدة المعينة </w:t>
      </w:r>
      <w:r w:rsidR="002F292F">
        <w:rPr>
          <w:rFonts w:hint="cs"/>
          <w:rtl/>
        </w:rPr>
        <w:t>كانت قد أخبرت</w:t>
      </w:r>
      <w:r w:rsidR="00604D70">
        <w:rPr>
          <w:rFonts w:hint="cs"/>
          <w:rtl/>
        </w:rPr>
        <w:t xml:space="preserve"> المكتب الدولي أن قوائم السلع والخدمات الناجمة عن الإنقاص</w:t>
      </w:r>
      <w:r w:rsidR="002F292F">
        <w:rPr>
          <w:rFonts w:hint="cs"/>
          <w:rtl/>
        </w:rPr>
        <w:t>ات يمكن في رأيها أن ت</w:t>
      </w:r>
      <w:r w:rsidR="00604D70">
        <w:rPr>
          <w:rFonts w:hint="cs"/>
          <w:rtl/>
        </w:rPr>
        <w:t xml:space="preserve">كون أوسع نطاقا </w:t>
      </w:r>
      <w:r w:rsidR="002F292F">
        <w:rPr>
          <w:rFonts w:hint="cs"/>
          <w:rtl/>
        </w:rPr>
        <w:t>من</w:t>
      </w:r>
      <w:r w:rsidR="00604D70">
        <w:rPr>
          <w:rFonts w:hint="cs"/>
          <w:rtl/>
        </w:rPr>
        <w:t xml:space="preserve"> القائمة الأصلية ولكن ما من آلية تسمح للمكاتب </w:t>
      </w:r>
      <w:r w:rsidR="002F292F" w:rsidRPr="002F292F">
        <w:rPr>
          <w:rFonts w:hint="cs"/>
          <w:rtl/>
        </w:rPr>
        <w:t>يتطبيق</w:t>
      </w:r>
      <w:r w:rsidR="00604D70" w:rsidRPr="002F292F">
        <w:rPr>
          <w:rFonts w:hint="cs"/>
          <w:rtl/>
        </w:rPr>
        <w:t xml:space="preserve"> اعتراضاتها</w:t>
      </w:r>
      <w:r w:rsidR="00604D70">
        <w:rPr>
          <w:rFonts w:hint="cs"/>
          <w:rtl/>
        </w:rPr>
        <w:t>.</w:t>
      </w:r>
    </w:p>
    <w:p w:rsidR="00604D70" w:rsidRPr="001C185F" w:rsidRDefault="00276788" w:rsidP="00604D70">
      <w:pPr>
        <w:pStyle w:val="NumberedParaAR"/>
      </w:pPr>
      <w:r>
        <w:rPr>
          <w:rFonts w:hint="cs"/>
          <w:rtl/>
        </w:rPr>
        <w:t>و</w:t>
      </w:r>
      <w:r w:rsidR="00604D70">
        <w:rPr>
          <w:rFonts w:hint="cs"/>
          <w:rtl/>
        </w:rPr>
        <w:t>ما من إجراء مم</w:t>
      </w:r>
      <w:r>
        <w:rPr>
          <w:rFonts w:hint="cs"/>
          <w:rtl/>
        </w:rPr>
        <w:t>اث</w:t>
      </w:r>
      <w:r w:rsidR="00604D70">
        <w:rPr>
          <w:rFonts w:hint="cs"/>
          <w:rtl/>
        </w:rPr>
        <w:t>ل في اللائحة التنفيذية المشتركة للإنقاص</w:t>
      </w:r>
      <w:r w:rsidR="002F292F">
        <w:rPr>
          <w:rFonts w:hint="cs"/>
          <w:rtl/>
        </w:rPr>
        <w:t>ات</w:t>
      </w:r>
      <w:r w:rsidR="00604D70">
        <w:rPr>
          <w:rFonts w:hint="cs"/>
          <w:rtl/>
        </w:rPr>
        <w:t xml:space="preserve"> </w:t>
      </w:r>
      <w:r w:rsidR="002F292F">
        <w:rPr>
          <w:rFonts w:hint="cs"/>
          <w:rtl/>
        </w:rPr>
        <w:t>ال</w:t>
      </w:r>
      <w:r w:rsidR="00604D70">
        <w:rPr>
          <w:rFonts w:hint="cs"/>
          <w:rtl/>
        </w:rPr>
        <w:t>مفعل</w:t>
      </w:r>
      <w:r w:rsidR="002F292F">
        <w:rPr>
          <w:rFonts w:hint="cs"/>
          <w:rtl/>
        </w:rPr>
        <w:t>ة</w:t>
      </w:r>
      <w:r w:rsidR="00604D70">
        <w:rPr>
          <w:rFonts w:hint="cs"/>
          <w:rtl/>
        </w:rPr>
        <w:t xml:space="preserve"> في الطلبات الدولية أو في التعيينات اللاحقة.</w:t>
      </w:r>
    </w:p>
    <w:p w:rsidR="007B1450" w:rsidRPr="009F4162" w:rsidRDefault="00992465" w:rsidP="00A50027">
      <w:pPr>
        <w:pStyle w:val="NumberedParaAR"/>
        <w:keepNext/>
        <w:numPr>
          <w:ilvl w:val="0"/>
          <w:numId w:val="0"/>
        </w:numPr>
        <w:rPr>
          <w:b/>
          <w:bCs/>
          <w:sz w:val="40"/>
          <w:szCs w:val="40"/>
        </w:rPr>
      </w:pPr>
      <w:r w:rsidRPr="009F4162">
        <w:rPr>
          <w:rFonts w:hint="cs"/>
          <w:b/>
          <w:bCs/>
          <w:sz w:val="40"/>
          <w:szCs w:val="40"/>
          <w:rtl/>
          <w:lang w:bidi="ar"/>
        </w:rPr>
        <w:t>فحص الإنقاص</w:t>
      </w:r>
      <w:r w:rsidR="00E40C77" w:rsidRPr="009F4162">
        <w:rPr>
          <w:rFonts w:hint="cs"/>
          <w:b/>
          <w:bCs/>
          <w:sz w:val="40"/>
          <w:szCs w:val="40"/>
          <w:rtl/>
          <w:lang w:bidi="ar"/>
        </w:rPr>
        <w:t>ات</w:t>
      </w:r>
      <w:r w:rsidRPr="009F4162">
        <w:rPr>
          <w:rFonts w:hint="cs"/>
          <w:b/>
          <w:bCs/>
          <w:sz w:val="40"/>
          <w:szCs w:val="40"/>
          <w:rtl/>
          <w:lang w:bidi="ar"/>
        </w:rPr>
        <w:t xml:space="preserve"> في الإطار القانوني لنظام مدريد</w:t>
      </w:r>
    </w:p>
    <w:p w:rsidR="000F1CB4" w:rsidRDefault="00992465" w:rsidP="00DB2B86">
      <w:pPr>
        <w:pStyle w:val="NumberedParaAR"/>
      </w:pPr>
      <w:r>
        <w:rPr>
          <w:rFonts w:hint="cs"/>
          <w:rtl/>
          <w:lang w:bidi="ar"/>
        </w:rPr>
        <w:t>لابد من فحص الإنقاص</w:t>
      </w:r>
      <w:r w:rsidR="00E40C77">
        <w:rPr>
          <w:rFonts w:hint="cs"/>
          <w:rtl/>
          <w:lang w:bidi="ar"/>
        </w:rPr>
        <w:t>ات</w:t>
      </w:r>
      <w:r>
        <w:rPr>
          <w:rFonts w:hint="cs"/>
          <w:rtl/>
          <w:lang w:bidi="ar"/>
        </w:rPr>
        <w:t xml:space="preserve"> لتحديد </w:t>
      </w:r>
      <w:r w:rsidR="00693BA2">
        <w:rPr>
          <w:rFonts w:hint="cs"/>
          <w:rtl/>
          <w:lang w:bidi="ar"/>
        </w:rPr>
        <w:t xml:space="preserve">ما إذا كانت تدخل </w:t>
      </w:r>
      <w:r>
        <w:rPr>
          <w:rFonts w:hint="cs"/>
          <w:rtl/>
          <w:lang w:bidi="ar"/>
        </w:rPr>
        <w:t xml:space="preserve">في القائمة الأساسية للسلع والخدمات </w:t>
      </w:r>
      <w:r w:rsidR="00693BA2">
        <w:rPr>
          <w:rFonts w:hint="cs"/>
          <w:rtl/>
          <w:lang w:bidi="ar"/>
        </w:rPr>
        <w:t>ل</w:t>
      </w:r>
      <w:r>
        <w:rPr>
          <w:rFonts w:hint="cs"/>
          <w:rtl/>
          <w:lang w:bidi="ar"/>
        </w:rPr>
        <w:t>لتسجيل الدولي. و</w:t>
      </w:r>
      <w:r w:rsidR="00D0145A">
        <w:rPr>
          <w:rFonts w:hint="cs"/>
          <w:rtl/>
          <w:lang w:bidi="ar"/>
        </w:rPr>
        <w:t>قد يكون فحص الإنقاص</w:t>
      </w:r>
      <w:r w:rsidR="00693BA2">
        <w:rPr>
          <w:rFonts w:hint="cs"/>
          <w:rtl/>
          <w:lang w:bidi="ar"/>
        </w:rPr>
        <w:t>ات</w:t>
      </w:r>
      <w:r w:rsidR="00D0145A">
        <w:rPr>
          <w:rFonts w:hint="cs"/>
          <w:rtl/>
          <w:lang w:bidi="ar"/>
        </w:rPr>
        <w:t xml:space="preserve"> </w:t>
      </w:r>
      <w:r w:rsidR="00693BA2">
        <w:rPr>
          <w:rFonts w:hint="cs"/>
          <w:rtl/>
          <w:lang w:bidi="ar"/>
        </w:rPr>
        <w:t>ممارسة</w:t>
      </w:r>
      <w:r w:rsidR="00D0145A">
        <w:rPr>
          <w:rFonts w:hint="cs"/>
          <w:rtl/>
          <w:lang w:bidi="ar"/>
        </w:rPr>
        <w:t xml:space="preserve"> واضح</w:t>
      </w:r>
      <w:r w:rsidR="00693BA2">
        <w:rPr>
          <w:rFonts w:hint="cs"/>
          <w:rtl/>
          <w:lang w:bidi="ar"/>
        </w:rPr>
        <w:t>ة</w:t>
      </w:r>
      <w:r w:rsidR="00D0145A">
        <w:rPr>
          <w:rFonts w:hint="cs"/>
          <w:rtl/>
          <w:lang w:bidi="ar"/>
        </w:rPr>
        <w:t xml:space="preserve"> وبسيط</w:t>
      </w:r>
      <w:r w:rsidR="00693BA2">
        <w:rPr>
          <w:rFonts w:hint="cs"/>
          <w:rtl/>
          <w:lang w:bidi="ar"/>
        </w:rPr>
        <w:t>ة</w:t>
      </w:r>
      <w:r w:rsidR="00D0145A">
        <w:rPr>
          <w:rFonts w:hint="cs"/>
          <w:rtl/>
          <w:lang w:bidi="ar"/>
        </w:rPr>
        <w:t xml:space="preserve"> </w:t>
      </w:r>
      <w:r w:rsidR="00693BA2">
        <w:rPr>
          <w:rFonts w:hint="cs"/>
          <w:rtl/>
          <w:lang w:bidi="ar"/>
        </w:rPr>
        <w:t>وفيه يشكل</w:t>
      </w:r>
      <w:r w:rsidR="00D0145A">
        <w:rPr>
          <w:rFonts w:hint="cs"/>
          <w:rtl/>
          <w:lang w:bidi="ar"/>
        </w:rPr>
        <w:t xml:space="preserve"> الإنقاص </w:t>
      </w:r>
      <w:r w:rsidR="00693BA2">
        <w:rPr>
          <w:rFonts w:hint="cs"/>
          <w:rtl/>
          <w:lang w:bidi="ar"/>
        </w:rPr>
        <w:t xml:space="preserve">مجرد </w:t>
      </w:r>
      <w:r w:rsidR="00D0145A">
        <w:rPr>
          <w:rFonts w:hint="cs"/>
          <w:rtl/>
          <w:lang w:bidi="ar"/>
        </w:rPr>
        <w:t xml:space="preserve">استبعاد </w:t>
      </w:r>
      <w:r w:rsidR="00DB2B86">
        <w:rPr>
          <w:rFonts w:hint="cs"/>
          <w:rtl/>
          <w:lang w:bidi="ar"/>
        </w:rPr>
        <w:t>ال</w:t>
      </w:r>
      <w:r w:rsidR="00D0145A">
        <w:rPr>
          <w:rFonts w:hint="cs"/>
          <w:rtl/>
          <w:lang w:bidi="ar"/>
        </w:rPr>
        <w:t xml:space="preserve">أصناف أو </w:t>
      </w:r>
      <w:r w:rsidR="00DB2B86">
        <w:rPr>
          <w:rFonts w:hint="cs"/>
          <w:rtl/>
          <w:lang w:bidi="ar"/>
        </w:rPr>
        <w:t>ال</w:t>
      </w:r>
      <w:r w:rsidR="00D0145A">
        <w:rPr>
          <w:rFonts w:hint="cs"/>
          <w:rtl/>
          <w:lang w:bidi="ar"/>
        </w:rPr>
        <w:t xml:space="preserve">مؤشرات </w:t>
      </w:r>
      <w:r w:rsidR="00DB2B86">
        <w:rPr>
          <w:rFonts w:hint="cs"/>
          <w:rtl/>
          <w:lang w:bidi="ar"/>
        </w:rPr>
        <w:t>ال</w:t>
      </w:r>
      <w:r w:rsidR="00D0145A">
        <w:rPr>
          <w:rFonts w:hint="cs"/>
          <w:rtl/>
          <w:lang w:bidi="ar"/>
        </w:rPr>
        <w:t xml:space="preserve">محددة، مع أنه </w:t>
      </w:r>
      <w:r w:rsidR="00693BA2">
        <w:rPr>
          <w:rFonts w:hint="cs"/>
          <w:rtl/>
          <w:lang w:bidi="ar"/>
        </w:rPr>
        <w:t>قد</w:t>
      </w:r>
      <w:r w:rsidR="00D0145A">
        <w:rPr>
          <w:rFonts w:hint="cs"/>
          <w:rtl/>
          <w:lang w:bidi="ar"/>
        </w:rPr>
        <w:t xml:space="preserve"> </w:t>
      </w:r>
      <w:r w:rsidR="00DB2B86">
        <w:rPr>
          <w:rFonts w:hint="cs"/>
          <w:rtl/>
          <w:lang w:bidi="ar"/>
        </w:rPr>
        <w:t>يؤثر بشدة</w:t>
      </w:r>
      <w:r w:rsidR="00D0145A">
        <w:rPr>
          <w:rFonts w:hint="cs"/>
          <w:rtl/>
          <w:lang w:bidi="ar"/>
        </w:rPr>
        <w:t xml:space="preserve"> </w:t>
      </w:r>
      <w:r w:rsidR="00DB2B86">
        <w:rPr>
          <w:rFonts w:hint="cs"/>
          <w:rtl/>
          <w:lang w:bidi="ar"/>
        </w:rPr>
        <w:t xml:space="preserve">في عبء </w:t>
      </w:r>
      <w:r w:rsidR="00D0145A">
        <w:rPr>
          <w:rFonts w:hint="cs"/>
          <w:rtl/>
          <w:lang w:bidi="ar"/>
        </w:rPr>
        <w:t xml:space="preserve">عمل الإدارة التي تفحص الإنقاص. أما في حال التعبير عن الإنقاص </w:t>
      </w:r>
      <w:r w:rsidR="00DB2B86">
        <w:rPr>
          <w:rFonts w:hint="cs"/>
          <w:rtl/>
          <w:lang w:bidi="ar"/>
        </w:rPr>
        <w:t>من خلال الاستعاضة</w:t>
      </w:r>
      <w:r w:rsidR="00D0145A">
        <w:rPr>
          <w:rFonts w:hint="cs"/>
          <w:rtl/>
          <w:lang w:bidi="ar"/>
        </w:rPr>
        <w:t xml:space="preserve"> </w:t>
      </w:r>
      <w:r w:rsidR="00DB2B86">
        <w:rPr>
          <w:rFonts w:hint="cs"/>
          <w:rtl/>
          <w:lang w:bidi="ar"/>
        </w:rPr>
        <w:t xml:space="preserve">عن </w:t>
      </w:r>
      <w:r w:rsidR="00D0145A">
        <w:rPr>
          <w:rFonts w:hint="cs"/>
          <w:rtl/>
          <w:lang w:bidi="ar"/>
        </w:rPr>
        <w:t>مؤشرات محددة بأخرى كاستخدام التعبيرات الحرة مثلا، قد يصبح الفحص أكثر تعقيدا.</w:t>
      </w:r>
    </w:p>
    <w:p w:rsidR="00D0145A" w:rsidRPr="009F4162" w:rsidRDefault="00D0145A" w:rsidP="00A50027">
      <w:pPr>
        <w:pStyle w:val="NumberedParaAR"/>
        <w:keepNext/>
        <w:numPr>
          <w:ilvl w:val="0"/>
          <w:numId w:val="0"/>
        </w:numPr>
        <w:rPr>
          <w:sz w:val="40"/>
          <w:szCs w:val="40"/>
        </w:rPr>
      </w:pPr>
      <w:r w:rsidRPr="009F4162">
        <w:rPr>
          <w:rFonts w:hint="cs"/>
          <w:sz w:val="40"/>
          <w:szCs w:val="40"/>
          <w:rtl/>
        </w:rPr>
        <w:lastRenderedPageBreak/>
        <w:t>فحص الإنقاص</w:t>
      </w:r>
      <w:r w:rsidR="004F6803" w:rsidRPr="009F4162">
        <w:rPr>
          <w:rFonts w:hint="cs"/>
          <w:sz w:val="40"/>
          <w:szCs w:val="40"/>
          <w:rtl/>
        </w:rPr>
        <w:t>ات</w:t>
      </w:r>
      <w:r w:rsidRPr="009F4162">
        <w:rPr>
          <w:rFonts w:hint="cs"/>
          <w:sz w:val="40"/>
          <w:szCs w:val="40"/>
          <w:rtl/>
        </w:rPr>
        <w:t xml:space="preserve"> المقدم</w:t>
      </w:r>
      <w:r w:rsidR="004F6803" w:rsidRPr="009F4162">
        <w:rPr>
          <w:rFonts w:hint="cs"/>
          <w:sz w:val="40"/>
          <w:szCs w:val="40"/>
          <w:rtl/>
        </w:rPr>
        <w:t>ة</w:t>
      </w:r>
      <w:r w:rsidRPr="009F4162">
        <w:rPr>
          <w:rFonts w:hint="cs"/>
          <w:sz w:val="40"/>
          <w:szCs w:val="40"/>
          <w:rtl/>
        </w:rPr>
        <w:t xml:space="preserve"> في الطلبات الدولية</w:t>
      </w:r>
    </w:p>
    <w:p w:rsidR="00D0145A" w:rsidRDefault="005435E3" w:rsidP="004F6803">
      <w:pPr>
        <w:pStyle w:val="NumberedParaAR"/>
      </w:pPr>
      <w:r>
        <w:rPr>
          <w:rFonts w:hint="cs"/>
          <w:rtl/>
        </w:rPr>
        <w:t>لا يتضمن الإطار القانوني الحالي لنظام مدريد أي أحكام صريحة عن فحص الإنقاص</w:t>
      </w:r>
      <w:r w:rsidR="004F6803">
        <w:rPr>
          <w:rFonts w:hint="cs"/>
          <w:rtl/>
        </w:rPr>
        <w:t>ات</w:t>
      </w:r>
      <w:r>
        <w:rPr>
          <w:rFonts w:hint="cs"/>
          <w:rtl/>
        </w:rPr>
        <w:t xml:space="preserve"> في الطلبات الدولية. وتشير القاعدة 9(4)(أ)"13" إلى تضمين الإنقاص في الطلبات الدولية. وتنص القاعدة 9(5)(د)"6" </w:t>
      </w:r>
      <w:r w:rsidR="007A4189">
        <w:rPr>
          <w:rFonts w:hint="cs"/>
          <w:rtl/>
        </w:rPr>
        <w:t>عند تعريف شهادة مكتب الأصل</w:t>
      </w:r>
      <w:r w:rsidR="004F6803">
        <w:rPr>
          <w:rFonts w:hint="cs"/>
          <w:rtl/>
        </w:rPr>
        <w:t>،</w:t>
      </w:r>
      <w:r w:rsidR="007A4189">
        <w:rPr>
          <w:rFonts w:hint="cs"/>
          <w:rtl/>
        </w:rPr>
        <w:t xml:space="preserve"> على أن ينبغي على المكتب أن </w:t>
      </w:r>
      <w:r w:rsidR="009244CE">
        <w:rPr>
          <w:rFonts w:hint="cs"/>
          <w:rtl/>
        </w:rPr>
        <w:t>يشهد</w:t>
      </w:r>
      <w:r w:rsidR="005E36C1">
        <w:rPr>
          <w:rFonts w:hint="cs"/>
          <w:rtl/>
        </w:rPr>
        <w:t xml:space="preserve"> على</w:t>
      </w:r>
      <w:r w:rsidR="007A4189">
        <w:rPr>
          <w:rFonts w:hint="cs"/>
          <w:rtl/>
        </w:rPr>
        <w:t xml:space="preserve"> </w:t>
      </w:r>
      <w:r w:rsidR="005E36C1">
        <w:rPr>
          <w:rFonts w:hint="cs"/>
          <w:rtl/>
        </w:rPr>
        <w:t>"</w:t>
      </w:r>
      <w:r w:rsidR="005E36C1" w:rsidRPr="005E36C1">
        <w:rPr>
          <w:rtl/>
        </w:rPr>
        <w:t>أن السلع والخدمات المبينة في الطلب الدولي تشملها قائمة السلع والخدمات الواردة في الطلب الأساسي أو التسجيل الأساسي، حسب الحال</w:t>
      </w:r>
      <w:r w:rsidR="005E36C1">
        <w:rPr>
          <w:rFonts w:hint="cs"/>
          <w:rtl/>
        </w:rPr>
        <w:t xml:space="preserve">." </w:t>
      </w:r>
      <w:r w:rsidR="004F6803">
        <w:rPr>
          <w:rFonts w:hint="cs"/>
          <w:rtl/>
        </w:rPr>
        <w:t>وتطابق</w:t>
      </w:r>
      <w:r w:rsidR="005E36C1">
        <w:rPr>
          <w:rFonts w:hint="cs"/>
          <w:rtl/>
        </w:rPr>
        <w:t xml:space="preserve"> هذه الصياغة العامة </w:t>
      </w:r>
      <w:r w:rsidR="005F2556">
        <w:rPr>
          <w:rFonts w:hint="cs"/>
          <w:rtl/>
        </w:rPr>
        <w:t>المادة 3(1) م</w:t>
      </w:r>
      <w:r w:rsidR="004F6803">
        <w:rPr>
          <w:rFonts w:hint="cs"/>
          <w:rtl/>
        </w:rPr>
        <w:t>ن</w:t>
      </w:r>
      <w:r w:rsidR="005F2556">
        <w:rPr>
          <w:rFonts w:hint="cs"/>
          <w:rtl/>
        </w:rPr>
        <w:t xml:space="preserve"> ا</w:t>
      </w:r>
      <w:r w:rsidR="004F6803">
        <w:rPr>
          <w:rFonts w:hint="cs"/>
          <w:rtl/>
        </w:rPr>
        <w:t>لبروتوكول الذي ي</w:t>
      </w:r>
      <w:r w:rsidR="005F2556">
        <w:rPr>
          <w:rFonts w:hint="cs"/>
          <w:rtl/>
        </w:rPr>
        <w:t xml:space="preserve">نص على </w:t>
      </w:r>
      <w:r w:rsidR="009244CE">
        <w:rPr>
          <w:rFonts w:hint="cs"/>
          <w:rtl/>
        </w:rPr>
        <w:t>أنه "</w:t>
      </w:r>
      <w:r w:rsidR="009244CE">
        <w:rPr>
          <w:rtl/>
        </w:rPr>
        <w:t>[</w:t>
      </w:r>
      <w:r w:rsidR="009244CE">
        <w:rPr>
          <w:rFonts w:hint="cs"/>
          <w:rtl/>
        </w:rPr>
        <w:t>...</w:t>
      </w:r>
      <w:r w:rsidR="009244CE">
        <w:rPr>
          <w:rtl/>
        </w:rPr>
        <w:t>]</w:t>
      </w:r>
      <w:r w:rsidR="009244CE">
        <w:rPr>
          <w:rFonts w:hint="cs"/>
          <w:rtl/>
        </w:rPr>
        <w:t xml:space="preserve"> </w:t>
      </w:r>
      <w:r w:rsidR="009244CE" w:rsidRPr="009244CE">
        <w:rPr>
          <w:rtl/>
        </w:rPr>
        <w:t>على مكتب المنشأ أن يشهد أن البيانات الواردة في الطلب الدولي تطابق البيانات الواردة وقت الشهادة في الطلب الأساسي أو في التسجيل الأساسي حسب الحال</w:t>
      </w:r>
      <w:r w:rsidR="009244CE">
        <w:rPr>
          <w:rFonts w:hint="cs"/>
          <w:rtl/>
        </w:rPr>
        <w:t>."</w:t>
      </w:r>
    </w:p>
    <w:p w:rsidR="009244CE" w:rsidRDefault="009244CE" w:rsidP="00D16C90">
      <w:pPr>
        <w:pStyle w:val="NumberedParaAR"/>
      </w:pPr>
      <w:r>
        <w:rPr>
          <w:rFonts w:hint="cs"/>
          <w:rtl/>
        </w:rPr>
        <w:t xml:space="preserve">ويلاحظ أن القاعدة 8 من </w:t>
      </w:r>
      <w:r w:rsidRPr="004F6803">
        <w:rPr>
          <w:rFonts w:hint="cs"/>
          <w:rtl/>
        </w:rPr>
        <w:t>اللائحة التنفيذية للاتفاق</w:t>
      </w:r>
      <w:r>
        <w:rPr>
          <w:rFonts w:hint="cs"/>
          <w:rtl/>
        </w:rPr>
        <w:t xml:space="preserve"> لم </w:t>
      </w:r>
      <w:r w:rsidR="004F6803">
        <w:rPr>
          <w:rFonts w:hint="cs"/>
          <w:rtl/>
        </w:rPr>
        <w:t xml:space="preserve">تتوخَ </w:t>
      </w:r>
      <w:r>
        <w:rPr>
          <w:rFonts w:hint="cs"/>
          <w:rtl/>
        </w:rPr>
        <w:t>تضمين إنقاص</w:t>
      </w:r>
      <w:r w:rsidR="007F3897">
        <w:rPr>
          <w:rFonts w:hint="cs"/>
          <w:rtl/>
        </w:rPr>
        <w:t>ات</w:t>
      </w:r>
      <w:r>
        <w:rPr>
          <w:rFonts w:hint="cs"/>
          <w:rtl/>
        </w:rPr>
        <w:t xml:space="preserve"> في الطلبات الدولية، ومن ثم لم يعكس الطلب الدولي هذه </w:t>
      </w:r>
      <w:r w:rsidR="007F3897">
        <w:rPr>
          <w:rFonts w:hint="cs"/>
          <w:rtl/>
        </w:rPr>
        <w:t>الإمكانية</w:t>
      </w:r>
      <w:r>
        <w:rPr>
          <w:rFonts w:hint="cs"/>
          <w:rtl/>
        </w:rPr>
        <w:t>. ولم يرد هذا الخيار إلا في القاعدة 9</w:t>
      </w:r>
      <w:r w:rsidR="007F3897">
        <w:rPr>
          <w:rFonts w:hint="cs"/>
          <w:rtl/>
        </w:rPr>
        <w:t>(</w:t>
      </w:r>
      <w:r>
        <w:rPr>
          <w:rFonts w:hint="cs"/>
          <w:rtl/>
        </w:rPr>
        <w:t xml:space="preserve">4)(أ)"13" من اللائحة التنفيذية المشتركة </w:t>
      </w:r>
      <w:r w:rsidR="007F3897">
        <w:rPr>
          <w:rFonts w:hint="cs"/>
          <w:rtl/>
        </w:rPr>
        <w:t>الذي أسفر</w:t>
      </w:r>
      <w:r>
        <w:rPr>
          <w:rFonts w:hint="cs"/>
          <w:rtl/>
        </w:rPr>
        <w:t xml:space="preserve"> عن تعديل في استمارات الطلبات الدولية في عام 2001. وقبل ذلك، كان من شأن أي إنقاص أن </w:t>
      </w:r>
      <w:r w:rsidR="00D16C90">
        <w:rPr>
          <w:rFonts w:hint="cs"/>
          <w:rtl/>
        </w:rPr>
        <w:t>يفع</w:t>
      </w:r>
      <w:r w:rsidR="00276788">
        <w:rPr>
          <w:rFonts w:hint="cs"/>
          <w:rtl/>
        </w:rPr>
        <w:t>ّ</w:t>
      </w:r>
      <w:r w:rsidR="00D16C90">
        <w:rPr>
          <w:rFonts w:hint="cs"/>
          <w:rtl/>
        </w:rPr>
        <w:t>ل على نحو منفصل</w:t>
      </w:r>
      <w:r>
        <w:rPr>
          <w:rFonts w:hint="cs"/>
          <w:rtl/>
        </w:rPr>
        <w:t>، مع أنه كان يمكن نشره مع شهادة التسجيل الدولي.</w:t>
      </w:r>
    </w:p>
    <w:p w:rsidR="009244CE" w:rsidRDefault="009244CE" w:rsidP="00276788">
      <w:pPr>
        <w:pStyle w:val="NumberedParaAR"/>
      </w:pPr>
      <w:r>
        <w:rPr>
          <w:rFonts w:hint="cs"/>
          <w:rtl/>
        </w:rPr>
        <w:t xml:space="preserve">وعليه، لا يمكن اعتبار أن </w:t>
      </w:r>
      <w:r w:rsidR="00980788">
        <w:rPr>
          <w:rFonts w:hint="cs"/>
          <w:rtl/>
        </w:rPr>
        <w:t>وظيفة</w:t>
      </w:r>
      <w:r>
        <w:rPr>
          <w:rFonts w:hint="cs"/>
          <w:rtl/>
        </w:rPr>
        <w:t xml:space="preserve"> الشهادة </w:t>
      </w:r>
      <w:r w:rsidR="007F1F37">
        <w:rPr>
          <w:rFonts w:hint="cs"/>
          <w:rtl/>
        </w:rPr>
        <w:t>تضمنت فحص الإنقاص</w:t>
      </w:r>
      <w:r w:rsidR="00980788">
        <w:rPr>
          <w:rFonts w:hint="cs"/>
          <w:rtl/>
        </w:rPr>
        <w:t>ات</w:t>
      </w:r>
      <w:r w:rsidR="00276788" w:rsidRPr="00276788">
        <w:rPr>
          <w:rFonts w:hint="cs"/>
          <w:rtl/>
        </w:rPr>
        <w:t xml:space="preserve"> </w:t>
      </w:r>
      <w:r w:rsidR="00276788">
        <w:rPr>
          <w:rFonts w:hint="cs"/>
          <w:rtl/>
        </w:rPr>
        <w:t>في الأصل</w:t>
      </w:r>
      <w:r w:rsidR="003E6C64">
        <w:rPr>
          <w:rFonts w:hint="cs"/>
          <w:rtl/>
        </w:rPr>
        <w:t>.</w:t>
      </w:r>
      <w:r w:rsidR="007F1F37">
        <w:rPr>
          <w:rFonts w:hint="cs"/>
          <w:rtl/>
        </w:rPr>
        <w:t xml:space="preserve"> </w:t>
      </w:r>
      <w:r w:rsidR="003E6C64">
        <w:rPr>
          <w:rFonts w:hint="cs"/>
          <w:rtl/>
        </w:rPr>
        <w:t>ومع ذلك</w:t>
      </w:r>
      <w:r w:rsidR="007F1F37">
        <w:rPr>
          <w:rFonts w:hint="cs"/>
          <w:rtl/>
        </w:rPr>
        <w:t xml:space="preserve">، تختلف الممارسات في المكاتب </w:t>
      </w:r>
      <w:r w:rsidR="007B00EB">
        <w:rPr>
          <w:rFonts w:hint="cs"/>
          <w:rtl/>
        </w:rPr>
        <w:t>التي هي</w:t>
      </w:r>
      <w:r w:rsidR="007F1F37">
        <w:rPr>
          <w:rFonts w:hint="cs"/>
          <w:rtl/>
        </w:rPr>
        <w:t xml:space="preserve"> مكاتب منشأ، فلا يفحص بعضها الإنقاص</w:t>
      </w:r>
      <w:r w:rsidR="007B00EB">
        <w:rPr>
          <w:rFonts w:hint="cs"/>
          <w:rtl/>
        </w:rPr>
        <w:t>ات</w:t>
      </w:r>
      <w:r w:rsidR="007F1F37">
        <w:rPr>
          <w:rFonts w:hint="cs"/>
          <w:rtl/>
        </w:rPr>
        <w:t xml:space="preserve"> </w:t>
      </w:r>
      <w:r w:rsidR="007B00EB">
        <w:rPr>
          <w:rFonts w:hint="cs"/>
          <w:rtl/>
        </w:rPr>
        <w:t xml:space="preserve">في الطلبات الدولية </w:t>
      </w:r>
      <w:r w:rsidR="007F1F37">
        <w:rPr>
          <w:rFonts w:hint="cs"/>
          <w:rtl/>
        </w:rPr>
        <w:t>بينما يفحص</w:t>
      </w:r>
      <w:r w:rsidR="00276788">
        <w:rPr>
          <w:rFonts w:hint="cs"/>
          <w:rtl/>
        </w:rPr>
        <w:t>ها</w:t>
      </w:r>
      <w:r w:rsidR="007F1F37">
        <w:rPr>
          <w:rFonts w:hint="cs"/>
          <w:rtl/>
        </w:rPr>
        <w:t xml:space="preserve"> البعض الآخر.</w:t>
      </w:r>
    </w:p>
    <w:p w:rsidR="007F1F37" w:rsidRDefault="00276788" w:rsidP="00B73153">
      <w:pPr>
        <w:pStyle w:val="NumberedParaAR"/>
      </w:pPr>
      <w:r>
        <w:rPr>
          <w:rFonts w:hint="cs"/>
          <w:rtl/>
        </w:rPr>
        <w:t>و</w:t>
      </w:r>
      <w:r w:rsidR="007F1F37">
        <w:rPr>
          <w:rFonts w:hint="cs"/>
          <w:rtl/>
        </w:rPr>
        <w:t>تعهد اللائحة التنفيدية المشتركة إلى المكتب الدولي بمراقبة الطلب الدولي. وترد محتويات هذه الوظيفة في ا</w:t>
      </w:r>
      <w:r w:rsidR="00B73153">
        <w:rPr>
          <w:rFonts w:hint="cs"/>
          <w:rtl/>
        </w:rPr>
        <w:t>لقواعد 11 و 12 و 13. وفيها</w:t>
      </w:r>
      <w:r w:rsidR="007F1F37">
        <w:rPr>
          <w:rFonts w:hint="cs"/>
          <w:rtl/>
        </w:rPr>
        <w:t xml:space="preserve">، </w:t>
      </w:r>
      <w:r w:rsidR="00B73153">
        <w:rPr>
          <w:rFonts w:hint="cs"/>
          <w:rtl/>
        </w:rPr>
        <w:t>تتناول القاعدة</w:t>
      </w:r>
      <w:r w:rsidR="007F1F37">
        <w:rPr>
          <w:rFonts w:hint="cs"/>
          <w:rtl/>
        </w:rPr>
        <w:t xml:space="preserve"> 12 المخالفات المتعلقة بتصنيف السلع والخدمات </w:t>
      </w:r>
      <w:r w:rsidR="00B73153">
        <w:rPr>
          <w:rFonts w:hint="cs"/>
          <w:rtl/>
        </w:rPr>
        <w:t>والقاعدة 13 بيان</w:t>
      </w:r>
      <w:r w:rsidR="007F1F37">
        <w:rPr>
          <w:rFonts w:hint="cs"/>
          <w:rtl/>
        </w:rPr>
        <w:t xml:space="preserve"> السلع والخدمات. وتنص القاعدة12(1)(أ) على أنه يتعين على المكتب الدولي أن يتأكد من استيفاء المتطلبات بناء على القاعدة 9(4)(أ)"13"، مع أن الحكم لا يشير إلا إلى مسائل التصنيف.</w:t>
      </w:r>
    </w:p>
    <w:p w:rsidR="007F1F37" w:rsidRDefault="007F1F37" w:rsidP="004E3CFF">
      <w:pPr>
        <w:pStyle w:val="NumberedParaAR"/>
      </w:pPr>
      <w:r>
        <w:rPr>
          <w:rFonts w:hint="cs"/>
          <w:rtl/>
        </w:rPr>
        <w:t xml:space="preserve">وحقيقة، </w:t>
      </w:r>
      <w:r w:rsidR="004E3CFF">
        <w:rPr>
          <w:rFonts w:hint="cs"/>
          <w:rtl/>
        </w:rPr>
        <w:t xml:space="preserve">تنبع </w:t>
      </w:r>
      <w:r>
        <w:rPr>
          <w:rFonts w:hint="cs"/>
          <w:rtl/>
        </w:rPr>
        <w:t xml:space="preserve">القاعدة 12(1)(أ) </w:t>
      </w:r>
      <w:r w:rsidR="004E3CFF">
        <w:rPr>
          <w:rFonts w:hint="cs"/>
          <w:rtl/>
        </w:rPr>
        <w:t>من المادتي</w:t>
      </w:r>
      <w:r>
        <w:rPr>
          <w:rFonts w:hint="cs"/>
          <w:rtl/>
        </w:rPr>
        <w:t>ن 3(2) من الاتفاق والبروتوكول. وينص هذا الحكمان المتطابقان على أنه "</w:t>
      </w:r>
      <w:r w:rsidR="006524E2" w:rsidRPr="006524E2">
        <w:rPr>
          <w:rtl/>
        </w:rPr>
        <w:t>على المودع أن يذكر السلع أو الخدمات التي يطالب بحماية علامتها، وأن يبين أيضا إن أمكن الصنف أو الأصناف المقابلة لها تبعاً للتصنيف المعد بموجب اتفاق نيس بشأن التصنيف الدولي للسلع والخدمات لأغراض تسجيل العلامات</w:t>
      </w:r>
      <w:r w:rsidR="006524E2">
        <w:rPr>
          <w:rFonts w:hint="cs"/>
          <w:rtl/>
        </w:rPr>
        <w:t xml:space="preserve">. </w:t>
      </w:r>
      <w:r w:rsidR="006524E2" w:rsidRPr="006524E2">
        <w:rPr>
          <w:rtl/>
        </w:rPr>
        <w:t>وإذا لم يذكر المودع ذلك، تعين على المكتب الدولي أن يرتب السلع أو الخدمات في الأصناف</w:t>
      </w:r>
      <w:r w:rsidR="006524E2">
        <w:rPr>
          <w:rFonts w:hint="cs"/>
          <w:rtl/>
        </w:rPr>
        <w:t xml:space="preserve"> المقابلة في التصنيف المذكور. </w:t>
      </w:r>
      <w:r w:rsidR="00DF0AE3" w:rsidRPr="00DF0AE3">
        <w:rPr>
          <w:rtl/>
        </w:rPr>
        <w:t>ويخضع بيان الأصناف الذي يقدمه مودع الطلب لمراقبة المكتب الدولي الذي يباشر تلك المراقبة بالاشتراك مع مكتب المنشأ. وفي حال الخلاف بين مكتب المنشأ والمكتب الدولي، يرجح رأي المكتب الأخير.</w:t>
      </w:r>
      <w:r w:rsidR="003E16CC">
        <w:rPr>
          <w:rFonts w:hint="cs"/>
          <w:rtl/>
        </w:rPr>
        <w:t>"</w:t>
      </w:r>
      <w:r w:rsidR="008011FA">
        <w:rPr>
          <w:rFonts w:hint="cs"/>
          <w:rtl/>
        </w:rPr>
        <w:t xml:space="preserve"> </w:t>
      </w:r>
      <w:r w:rsidR="007B0C6A">
        <w:rPr>
          <w:rFonts w:hint="cs"/>
          <w:rtl/>
        </w:rPr>
        <w:t xml:space="preserve">ومرة أخرى، </w:t>
      </w:r>
      <w:r w:rsidR="004E3CFF">
        <w:rPr>
          <w:rFonts w:hint="cs"/>
          <w:rtl/>
        </w:rPr>
        <w:t xml:space="preserve">حددت المعاهدات </w:t>
      </w:r>
      <w:r w:rsidR="00696788">
        <w:rPr>
          <w:rFonts w:hint="cs"/>
          <w:rtl/>
        </w:rPr>
        <w:t>وظائف ال</w:t>
      </w:r>
      <w:r w:rsidR="004E3CFF">
        <w:rPr>
          <w:rFonts w:hint="cs"/>
          <w:rtl/>
        </w:rPr>
        <w:t>م</w:t>
      </w:r>
      <w:r w:rsidR="00696788">
        <w:rPr>
          <w:rFonts w:hint="cs"/>
          <w:rtl/>
        </w:rPr>
        <w:t xml:space="preserve">رقابة للمكتب الدولي ومكتب المنشأ بوضوح </w:t>
      </w:r>
      <w:r w:rsidR="004E3CFF">
        <w:rPr>
          <w:rFonts w:hint="cs"/>
          <w:rtl/>
        </w:rPr>
        <w:t>و</w:t>
      </w:r>
      <w:r w:rsidR="008D40C8">
        <w:rPr>
          <w:rFonts w:hint="cs"/>
          <w:rtl/>
        </w:rPr>
        <w:t>قصر</w:t>
      </w:r>
      <w:r w:rsidR="004E3CFF">
        <w:rPr>
          <w:rFonts w:hint="cs"/>
          <w:rtl/>
        </w:rPr>
        <w:t>ت</w:t>
      </w:r>
      <w:r w:rsidR="008D40C8">
        <w:rPr>
          <w:rFonts w:hint="cs"/>
          <w:rtl/>
        </w:rPr>
        <w:t xml:space="preserve">هما على التأكد من صحة </w:t>
      </w:r>
      <w:r w:rsidR="004E3CFF">
        <w:rPr>
          <w:rFonts w:hint="cs"/>
          <w:rtl/>
        </w:rPr>
        <w:t>بيان</w:t>
      </w:r>
      <w:r w:rsidR="008D40C8">
        <w:rPr>
          <w:rFonts w:hint="cs"/>
          <w:rtl/>
        </w:rPr>
        <w:t xml:space="preserve"> </w:t>
      </w:r>
      <w:r w:rsidR="004E3CFF">
        <w:rPr>
          <w:rFonts w:hint="cs"/>
          <w:rtl/>
        </w:rPr>
        <w:t xml:space="preserve">السلع والخدمات </w:t>
      </w:r>
      <w:r w:rsidR="008D40C8">
        <w:rPr>
          <w:rFonts w:hint="cs"/>
          <w:rtl/>
        </w:rPr>
        <w:t>وتصنيف</w:t>
      </w:r>
      <w:r w:rsidR="004E3CFF">
        <w:rPr>
          <w:rFonts w:hint="cs"/>
          <w:rtl/>
        </w:rPr>
        <w:t>ها</w:t>
      </w:r>
      <w:r w:rsidR="008D40C8">
        <w:rPr>
          <w:rFonts w:hint="cs"/>
          <w:rtl/>
        </w:rPr>
        <w:t>.</w:t>
      </w:r>
    </w:p>
    <w:p w:rsidR="008D40C8" w:rsidRDefault="00624944" w:rsidP="00276788">
      <w:pPr>
        <w:pStyle w:val="NumberedParaAR"/>
      </w:pPr>
      <w:r>
        <w:rPr>
          <w:rFonts w:hint="cs"/>
          <w:rtl/>
        </w:rPr>
        <w:t>وم</w:t>
      </w:r>
      <w:r w:rsidR="008D40C8">
        <w:rPr>
          <w:rFonts w:hint="cs"/>
          <w:rtl/>
        </w:rPr>
        <w:t xml:space="preserve">ما سبق </w:t>
      </w:r>
      <w:r>
        <w:rPr>
          <w:rFonts w:hint="cs"/>
          <w:rtl/>
        </w:rPr>
        <w:t>يُستخل</w:t>
      </w:r>
      <w:r w:rsidR="008D40C8">
        <w:rPr>
          <w:rFonts w:hint="cs"/>
          <w:rtl/>
        </w:rPr>
        <w:t>ص أن الإطار القانوني لنظام مدريد لا ينص صراحة على من الذي ينبغي عليه أن يفحص الإنقاص</w:t>
      </w:r>
      <w:r>
        <w:rPr>
          <w:rFonts w:hint="cs"/>
          <w:rtl/>
        </w:rPr>
        <w:t>ات</w:t>
      </w:r>
      <w:r w:rsidR="008D40C8">
        <w:rPr>
          <w:rFonts w:hint="cs"/>
          <w:rtl/>
        </w:rPr>
        <w:t xml:space="preserve"> في الطلبات الدولية. ولا تتضمن </w:t>
      </w:r>
      <w:r w:rsidR="00276788">
        <w:rPr>
          <w:rFonts w:hint="cs"/>
          <w:rtl/>
        </w:rPr>
        <w:t>وظيفة</w:t>
      </w:r>
      <w:r w:rsidR="008D40C8">
        <w:rPr>
          <w:rFonts w:hint="cs"/>
          <w:rtl/>
        </w:rPr>
        <w:t xml:space="preserve"> الشهادة</w:t>
      </w:r>
      <w:r>
        <w:rPr>
          <w:rFonts w:hint="cs"/>
          <w:rtl/>
        </w:rPr>
        <w:t xml:space="preserve"> لمكتب المنشأ فحص الإنقاصات</w:t>
      </w:r>
      <w:r w:rsidRPr="00624944">
        <w:rPr>
          <w:rFonts w:hint="cs"/>
          <w:rtl/>
        </w:rPr>
        <w:t xml:space="preserve"> </w:t>
      </w:r>
      <w:r>
        <w:rPr>
          <w:rFonts w:hint="cs"/>
          <w:rtl/>
        </w:rPr>
        <w:t>بوضوح، ولا و</w:t>
      </w:r>
      <w:r w:rsidR="008D40C8">
        <w:rPr>
          <w:rFonts w:hint="cs"/>
          <w:rtl/>
        </w:rPr>
        <w:t xml:space="preserve">لاية </w:t>
      </w:r>
      <w:r>
        <w:rPr>
          <w:rFonts w:hint="cs"/>
          <w:rtl/>
        </w:rPr>
        <w:t>ال</w:t>
      </w:r>
      <w:r w:rsidR="008D40C8">
        <w:rPr>
          <w:rFonts w:hint="cs"/>
          <w:rtl/>
        </w:rPr>
        <w:t xml:space="preserve">مراقبة </w:t>
      </w:r>
      <w:r>
        <w:rPr>
          <w:rFonts w:hint="cs"/>
          <w:rtl/>
        </w:rPr>
        <w:t>ل</w:t>
      </w:r>
      <w:r w:rsidR="008D40C8">
        <w:rPr>
          <w:rFonts w:hint="cs"/>
          <w:rtl/>
        </w:rPr>
        <w:t>لمكتب الدولي.</w:t>
      </w:r>
    </w:p>
    <w:p w:rsidR="008D40C8" w:rsidRPr="009F4162" w:rsidRDefault="008D40C8" w:rsidP="00A50027">
      <w:pPr>
        <w:pStyle w:val="NumberedParaAR"/>
        <w:keepNext/>
        <w:numPr>
          <w:ilvl w:val="0"/>
          <w:numId w:val="0"/>
        </w:numPr>
        <w:rPr>
          <w:sz w:val="40"/>
          <w:szCs w:val="40"/>
          <w:rtl/>
        </w:rPr>
      </w:pPr>
      <w:r w:rsidRPr="009F4162">
        <w:rPr>
          <w:rFonts w:hint="cs"/>
          <w:sz w:val="40"/>
          <w:szCs w:val="40"/>
          <w:rtl/>
        </w:rPr>
        <w:t>فحص الإنقاص</w:t>
      </w:r>
      <w:r w:rsidR="00624944" w:rsidRPr="009F4162">
        <w:rPr>
          <w:rFonts w:hint="cs"/>
          <w:sz w:val="40"/>
          <w:szCs w:val="40"/>
          <w:rtl/>
        </w:rPr>
        <w:t>ات</w:t>
      </w:r>
      <w:r w:rsidRPr="009F4162">
        <w:rPr>
          <w:rFonts w:hint="cs"/>
          <w:sz w:val="40"/>
          <w:szCs w:val="40"/>
          <w:rtl/>
        </w:rPr>
        <w:t xml:space="preserve"> المقدم</w:t>
      </w:r>
      <w:r w:rsidR="00624944" w:rsidRPr="009F4162">
        <w:rPr>
          <w:rFonts w:hint="cs"/>
          <w:sz w:val="40"/>
          <w:szCs w:val="40"/>
          <w:rtl/>
        </w:rPr>
        <w:t>ة</w:t>
      </w:r>
      <w:r w:rsidRPr="009F4162">
        <w:rPr>
          <w:rFonts w:hint="cs"/>
          <w:sz w:val="40"/>
          <w:szCs w:val="40"/>
          <w:rtl/>
        </w:rPr>
        <w:t xml:space="preserve"> في التعيينات اللاحقة</w:t>
      </w:r>
    </w:p>
    <w:p w:rsidR="007F1F37" w:rsidRDefault="00052C44" w:rsidP="00276788">
      <w:pPr>
        <w:pStyle w:val="NumberedParaAR"/>
      </w:pPr>
      <w:r>
        <w:rPr>
          <w:rFonts w:hint="cs"/>
          <w:rtl/>
        </w:rPr>
        <w:t>يعكس تحليل فحص الإنقاص</w:t>
      </w:r>
      <w:r w:rsidR="00624944">
        <w:rPr>
          <w:rFonts w:hint="cs"/>
          <w:rtl/>
        </w:rPr>
        <w:t>ات</w:t>
      </w:r>
      <w:r>
        <w:rPr>
          <w:rFonts w:hint="cs"/>
          <w:rtl/>
        </w:rPr>
        <w:t xml:space="preserve"> في التعيينات اللاحقة</w:t>
      </w:r>
      <w:r w:rsidR="00624944">
        <w:rPr>
          <w:rFonts w:hint="cs"/>
          <w:rtl/>
        </w:rPr>
        <w:t>،</w:t>
      </w:r>
      <w:r>
        <w:rPr>
          <w:rFonts w:hint="cs"/>
          <w:rtl/>
        </w:rPr>
        <w:t xml:space="preserve"> الإنقاص</w:t>
      </w:r>
      <w:r w:rsidR="00624944">
        <w:rPr>
          <w:rFonts w:hint="cs"/>
          <w:rtl/>
        </w:rPr>
        <w:t>اتِ</w:t>
      </w:r>
      <w:r>
        <w:rPr>
          <w:rFonts w:hint="cs"/>
          <w:rtl/>
        </w:rPr>
        <w:t xml:space="preserve"> في الطلبات الدولية </w:t>
      </w:r>
      <w:r w:rsidR="00624944">
        <w:rPr>
          <w:rFonts w:hint="cs"/>
          <w:rtl/>
        </w:rPr>
        <w:t>الوارد وصفها</w:t>
      </w:r>
      <w:r>
        <w:rPr>
          <w:rFonts w:hint="cs"/>
          <w:rtl/>
        </w:rPr>
        <w:t xml:space="preserve"> أعلاه. </w:t>
      </w:r>
      <w:r w:rsidR="00624944">
        <w:rPr>
          <w:rFonts w:hint="cs"/>
          <w:rtl/>
        </w:rPr>
        <w:t>و</w:t>
      </w:r>
      <w:r>
        <w:rPr>
          <w:rFonts w:hint="cs"/>
          <w:rtl/>
        </w:rPr>
        <w:t xml:space="preserve">تكلف القاعدة 24(5) من اللائحة التنفيذية المشتركة </w:t>
      </w:r>
      <w:r w:rsidR="00624944">
        <w:rPr>
          <w:rFonts w:hint="cs"/>
          <w:rtl/>
        </w:rPr>
        <w:t xml:space="preserve">عامة </w:t>
      </w:r>
      <w:r>
        <w:rPr>
          <w:rFonts w:hint="cs"/>
          <w:rtl/>
        </w:rPr>
        <w:t xml:space="preserve">المكتب الدولي بفحص استيفاء "الشروط المطلوبة" والإشارة إلى المخالفات </w:t>
      </w:r>
      <w:r w:rsidR="00276788">
        <w:rPr>
          <w:rFonts w:hint="cs"/>
          <w:rtl/>
        </w:rPr>
        <w:t>حسب الحال</w:t>
      </w:r>
      <w:r>
        <w:rPr>
          <w:rFonts w:hint="cs"/>
          <w:rtl/>
        </w:rPr>
        <w:t>.</w:t>
      </w:r>
    </w:p>
    <w:p w:rsidR="00052C44" w:rsidRDefault="00052C44" w:rsidP="00131650">
      <w:pPr>
        <w:pStyle w:val="NumberedParaAR"/>
      </w:pPr>
      <w:r>
        <w:rPr>
          <w:rFonts w:hint="cs"/>
          <w:rtl/>
        </w:rPr>
        <w:lastRenderedPageBreak/>
        <w:t xml:space="preserve">ولا ترد إجابة صريحة عمّن ينبغي </w:t>
      </w:r>
      <w:r w:rsidR="00131650">
        <w:rPr>
          <w:rFonts w:hint="cs"/>
          <w:rtl/>
        </w:rPr>
        <w:t>عليه</w:t>
      </w:r>
      <w:r>
        <w:rPr>
          <w:rFonts w:hint="cs"/>
          <w:rtl/>
        </w:rPr>
        <w:t xml:space="preserve"> أن يفحص الإنقاص</w:t>
      </w:r>
      <w:r w:rsidR="00131650">
        <w:rPr>
          <w:rFonts w:hint="cs"/>
          <w:rtl/>
        </w:rPr>
        <w:t>ات</w:t>
      </w:r>
      <w:r>
        <w:rPr>
          <w:rFonts w:hint="cs"/>
          <w:rtl/>
        </w:rPr>
        <w:t xml:space="preserve"> في التعيينات اللاحقة، مع أنه في هذه الحالة، المرشحون المحتملون لإجراء الفحص هم المكتب الدولي أو مكاتب الأطراف المعاقدة المعينة أو المكتب في الطرف المتعاقد </w:t>
      </w:r>
      <w:r w:rsidR="00131650">
        <w:rPr>
          <w:rFonts w:hint="cs"/>
          <w:rtl/>
        </w:rPr>
        <w:t xml:space="preserve">الذي ينتمي إليه </w:t>
      </w:r>
      <w:r>
        <w:rPr>
          <w:rFonts w:hint="cs"/>
          <w:rtl/>
        </w:rPr>
        <w:t>صاحب التسجيل، إن قدم ذلك المكتب التعيين اللاحق.</w:t>
      </w:r>
    </w:p>
    <w:p w:rsidR="00052C44" w:rsidRPr="009F4162" w:rsidRDefault="00052C44" w:rsidP="00A50027">
      <w:pPr>
        <w:pStyle w:val="NumberedParaAR"/>
        <w:keepNext/>
        <w:numPr>
          <w:ilvl w:val="0"/>
          <w:numId w:val="0"/>
        </w:numPr>
        <w:rPr>
          <w:sz w:val="40"/>
          <w:szCs w:val="40"/>
        </w:rPr>
      </w:pPr>
      <w:r w:rsidRPr="009F4162">
        <w:rPr>
          <w:rFonts w:hint="cs"/>
          <w:sz w:val="40"/>
          <w:szCs w:val="40"/>
          <w:rtl/>
        </w:rPr>
        <w:t>فحص الإنقاص</w:t>
      </w:r>
      <w:r w:rsidR="00131650" w:rsidRPr="009F4162">
        <w:rPr>
          <w:rFonts w:hint="cs"/>
          <w:sz w:val="40"/>
          <w:szCs w:val="40"/>
          <w:rtl/>
        </w:rPr>
        <w:t>ات</w:t>
      </w:r>
      <w:r w:rsidRPr="009F4162">
        <w:rPr>
          <w:rFonts w:hint="cs"/>
          <w:sz w:val="40"/>
          <w:szCs w:val="40"/>
          <w:rtl/>
        </w:rPr>
        <w:t xml:space="preserve"> </w:t>
      </w:r>
      <w:r w:rsidR="00131650" w:rsidRPr="009F4162">
        <w:rPr>
          <w:rFonts w:hint="cs"/>
          <w:sz w:val="40"/>
          <w:szCs w:val="40"/>
          <w:rtl/>
        </w:rPr>
        <w:t>المقدمة وفقا ل</w:t>
      </w:r>
      <w:r w:rsidRPr="009F4162">
        <w:rPr>
          <w:rFonts w:hint="cs"/>
          <w:sz w:val="40"/>
          <w:szCs w:val="40"/>
          <w:rtl/>
        </w:rPr>
        <w:t>لقاعدة 25</w:t>
      </w:r>
    </w:p>
    <w:p w:rsidR="00052C44" w:rsidRDefault="00671415" w:rsidP="00A871FC">
      <w:pPr>
        <w:pStyle w:val="NumberedParaAR"/>
      </w:pPr>
      <w:r>
        <w:rPr>
          <w:rFonts w:hint="cs"/>
          <w:rtl/>
        </w:rPr>
        <w:t xml:space="preserve">تضيف القاعدة 25 </w:t>
      </w:r>
      <w:r w:rsidR="00A871FC">
        <w:rPr>
          <w:rFonts w:hint="cs"/>
          <w:rtl/>
        </w:rPr>
        <w:t>إجراءً ي</w:t>
      </w:r>
      <w:r>
        <w:rPr>
          <w:rFonts w:hint="cs"/>
          <w:rtl/>
        </w:rPr>
        <w:t>سمح لمكاتب الأطراف المتعاقدة المعينة ب</w:t>
      </w:r>
      <w:r w:rsidR="00A871FC">
        <w:rPr>
          <w:rFonts w:hint="cs"/>
          <w:rtl/>
        </w:rPr>
        <w:t>ال</w:t>
      </w:r>
      <w:r>
        <w:rPr>
          <w:rFonts w:hint="cs"/>
          <w:rtl/>
        </w:rPr>
        <w:t xml:space="preserve">فحص </w:t>
      </w:r>
      <w:r w:rsidR="00A871FC">
        <w:rPr>
          <w:rFonts w:hint="cs"/>
          <w:rtl/>
        </w:rPr>
        <w:t>والإعلان، حسب الحال، أن الإنقاصات المتعلقة بها</w:t>
      </w:r>
      <w:r>
        <w:rPr>
          <w:rFonts w:hint="cs"/>
          <w:rtl/>
        </w:rPr>
        <w:t xml:space="preserve"> </w:t>
      </w:r>
      <w:r w:rsidR="00A871FC">
        <w:rPr>
          <w:rFonts w:hint="cs"/>
          <w:rtl/>
        </w:rPr>
        <w:t>لا أثر لها</w:t>
      </w:r>
      <w:r>
        <w:rPr>
          <w:rFonts w:hint="cs"/>
          <w:rtl/>
        </w:rPr>
        <w:t>.</w:t>
      </w:r>
    </w:p>
    <w:p w:rsidR="00671415" w:rsidRDefault="00671415" w:rsidP="00276788">
      <w:pPr>
        <w:pStyle w:val="NumberedParaAR"/>
      </w:pPr>
      <w:r>
        <w:rPr>
          <w:rFonts w:hint="cs"/>
          <w:rtl/>
        </w:rPr>
        <w:t xml:space="preserve">كما تسلط القاعدة 27 الضوء على السياق القانوني للفحص </w:t>
      </w:r>
      <w:r w:rsidR="00A871FC">
        <w:rPr>
          <w:rFonts w:hint="cs"/>
          <w:rtl/>
        </w:rPr>
        <w:t>في</w:t>
      </w:r>
      <w:r>
        <w:rPr>
          <w:rFonts w:hint="cs"/>
          <w:rtl/>
        </w:rPr>
        <w:t xml:space="preserve"> مكاتب الأطراف المتعاقدة المعينة. وتنص الفقرة 5(ب) على أن</w:t>
      </w:r>
      <w:r w:rsidR="00335960">
        <w:rPr>
          <w:rFonts w:hint="cs"/>
          <w:rtl/>
        </w:rPr>
        <w:t xml:space="preserve">ه </w:t>
      </w:r>
      <w:r>
        <w:rPr>
          <w:rFonts w:hint="cs"/>
          <w:rtl/>
        </w:rPr>
        <w:t>"</w:t>
      </w:r>
      <w:r w:rsidRPr="00671415">
        <w:rPr>
          <w:rtl/>
        </w:rPr>
        <w:t xml:space="preserve"> يجب أن يبيّن في الإعلان </w:t>
      </w:r>
      <w:r>
        <w:rPr>
          <w:rtl/>
        </w:rPr>
        <w:t>[</w:t>
      </w:r>
      <w:r>
        <w:rPr>
          <w:rFonts w:hint="cs"/>
          <w:rtl/>
        </w:rPr>
        <w:t>...</w:t>
      </w:r>
      <w:r>
        <w:rPr>
          <w:rtl/>
        </w:rPr>
        <w:t>]</w:t>
      </w:r>
      <w:r>
        <w:rPr>
          <w:rFonts w:hint="cs"/>
          <w:rtl/>
        </w:rPr>
        <w:t xml:space="preserve"> "1" </w:t>
      </w:r>
      <w:r w:rsidRPr="00671415">
        <w:rPr>
          <w:rtl/>
        </w:rPr>
        <w:t>الأسباب النافية لأي أثر يترتب على الإنقاص</w:t>
      </w:r>
      <w:r w:rsidR="00A33507">
        <w:rPr>
          <w:rFonts w:hint="cs"/>
          <w:rtl/>
        </w:rPr>
        <w:t xml:space="preserve">، "2" </w:t>
      </w:r>
      <w:r w:rsidR="00A33507" w:rsidRPr="00A33507">
        <w:rPr>
          <w:rtl/>
        </w:rPr>
        <w:t>إذا لم يكن الإعلان يمس كل السلع والخدمات التي يتعلق بها الإنقاص، السلع والخدمات التي يمسها الإعلان أو السلع والخدمات التي لا يمسها الإعلان</w:t>
      </w:r>
      <w:r w:rsidR="003A3EE3">
        <w:rPr>
          <w:rFonts w:hint="cs"/>
          <w:rtl/>
        </w:rPr>
        <w:t xml:space="preserve">، و"3" </w:t>
      </w:r>
      <w:r w:rsidR="003A3EE3" w:rsidRPr="003A3EE3">
        <w:rPr>
          <w:rtl/>
        </w:rPr>
        <w:t>الأحكام الأساسية المعنية من القانون</w:t>
      </w:r>
      <w:r w:rsidR="003A3EE3">
        <w:rPr>
          <w:rFonts w:hint="cs"/>
          <w:rtl/>
        </w:rPr>
        <w:t xml:space="preserve"> و</w:t>
      </w:r>
      <w:r w:rsidR="003A3EE3" w:rsidRPr="003A3EE3">
        <w:rPr>
          <w:rtl/>
        </w:rPr>
        <w:t xml:space="preserve"> إمكانية إعادة فحص هذا الإعلان أو الطعن فيه</w:t>
      </w:r>
      <w:r w:rsidR="003A3EE3">
        <w:rPr>
          <w:rFonts w:hint="cs"/>
          <w:rtl/>
        </w:rPr>
        <w:t>."</w:t>
      </w:r>
      <w:r w:rsidR="00276788">
        <w:rPr>
          <w:rFonts w:hint="cs"/>
          <w:rtl/>
        </w:rPr>
        <w:t xml:space="preserve"> </w:t>
      </w:r>
      <w:r w:rsidR="003A3EE3">
        <w:rPr>
          <w:rFonts w:hint="cs"/>
          <w:rtl/>
        </w:rPr>
        <w:t xml:space="preserve">لذا، على هذه المكاتب أن تفحص </w:t>
      </w:r>
      <w:r w:rsidR="00BE497A">
        <w:rPr>
          <w:rFonts w:hint="cs"/>
          <w:rtl/>
        </w:rPr>
        <w:t>الإنقاص</w:t>
      </w:r>
      <w:r w:rsidR="00335960">
        <w:rPr>
          <w:rFonts w:hint="cs"/>
          <w:rtl/>
        </w:rPr>
        <w:t>ات</w:t>
      </w:r>
      <w:r w:rsidR="00BE497A">
        <w:rPr>
          <w:rFonts w:hint="cs"/>
          <w:rtl/>
        </w:rPr>
        <w:t xml:space="preserve"> </w:t>
      </w:r>
      <w:r w:rsidR="00335960">
        <w:rPr>
          <w:rFonts w:hint="cs"/>
          <w:rtl/>
        </w:rPr>
        <w:t>لتمتثل</w:t>
      </w:r>
      <w:r w:rsidR="00BE497A">
        <w:rPr>
          <w:rFonts w:hint="cs"/>
          <w:rtl/>
        </w:rPr>
        <w:t xml:space="preserve"> </w:t>
      </w:r>
      <w:r w:rsidR="00335960">
        <w:rPr>
          <w:rFonts w:hint="cs"/>
          <w:rtl/>
        </w:rPr>
        <w:t>ل</w:t>
      </w:r>
      <w:r w:rsidR="00BE497A">
        <w:rPr>
          <w:rFonts w:hint="cs"/>
          <w:rtl/>
        </w:rPr>
        <w:t xml:space="preserve">إطرها القانونية. وتشبه هذه المقاربة تلك المقترحة للرفض المؤقت، التي </w:t>
      </w:r>
      <w:r w:rsidR="002333E7">
        <w:rPr>
          <w:rFonts w:hint="cs"/>
          <w:rtl/>
        </w:rPr>
        <w:t xml:space="preserve">تعهد </w:t>
      </w:r>
      <w:r w:rsidR="00335960">
        <w:rPr>
          <w:rFonts w:hint="cs"/>
          <w:rtl/>
        </w:rPr>
        <w:t xml:space="preserve">أيضا </w:t>
      </w:r>
      <w:r w:rsidR="001C35CE">
        <w:rPr>
          <w:rFonts w:hint="cs"/>
          <w:rtl/>
        </w:rPr>
        <w:t xml:space="preserve">بدور الفاحص لمكتب </w:t>
      </w:r>
      <w:r w:rsidR="00335960">
        <w:rPr>
          <w:rFonts w:hint="cs"/>
          <w:rtl/>
        </w:rPr>
        <w:t>الطرف المتعاقد المعين</w:t>
      </w:r>
      <w:r w:rsidR="00BF5DEC">
        <w:rPr>
          <w:rFonts w:hint="cs"/>
          <w:rtl/>
        </w:rPr>
        <w:t xml:space="preserve">، وتنص القاعدة 17(2)"4" </w:t>
      </w:r>
      <w:r w:rsidR="00A127AD">
        <w:rPr>
          <w:rFonts w:hint="cs"/>
          <w:rtl/>
        </w:rPr>
        <w:t>على أن الإخطار برفض مؤقت يجب أن يتضمن أو يوضح "</w:t>
      </w:r>
      <w:r w:rsidR="00A127AD" w:rsidRPr="00A127AD">
        <w:rPr>
          <w:rtl/>
        </w:rPr>
        <w:t>كل الأسباب التي يستند إليها الرفض المؤقت، مصحوبة بالإشارة إلى الأحكام الأساسية المعنية من القانون</w:t>
      </w:r>
      <w:r w:rsidR="00A127AD">
        <w:rPr>
          <w:rFonts w:hint="cs"/>
          <w:rtl/>
        </w:rPr>
        <w:t xml:space="preserve"> </w:t>
      </w:r>
      <w:r w:rsidR="00A127AD">
        <w:rPr>
          <w:rtl/>
        </w:rPr>
        <w:t>[</w:t>
      </w:r>
      <w:r w:rsidR="00A127AD">
        <w:rPr>
          <w:rFonts w:hint="cs"/>
          <w:rtl/>
        </w:rPr>
        <w:t>...</w:t>
      </w:r>
      <w:r w:rsidR="00A127AD">
        <w:rPr>
          <w:rtl/>
        </w:rPr>
        <w:t>]</w:t>
      </w:r>
      <w:r w:rsidR="00A127AD">
        <w:rPr>
          <w:rFonts w:hint="cs"/>
          <w:rtl/>
        </w:rPr>
        <w:t>."</w:t>
      </w:r>
    </w:p>
    <w:p w:rsidR="00A127AD" w:rsidRDefault="00335960" w:rsidP="00A127AD">
      <w:pPr>
        <w:pStyle w:val="NumberedParaAR"/>
      </w:pPr>
      <w:r>
        <w:rPr>
          <w:rFonts w:hint="cs"/>
          <w:rtl/>
        </w:rPr>
        <w:t xml:space="preserve">وعلى </w:t>
      </w:r>
      <w:r w:rsidR="008D0FEF">
        <w:rPr>
          <w:rFonts w:hint="cs"/>
          <w:rtl/>
        </w:rPr>
        <w:t>عكس فحص الإنقاص</w:t>
      </w:r>
      <w:r>
        <w:rPr>
          <w:rFonts w:hint="cs"/>
          <w:rtl/>
        </w:rPr>
        <w:t>ات</w:t>
      </w:r>
      <w:r w:rsidR="008D0FEF">
        <w:rPr>
          <w:rFonts w:hint="cs"/>
          <w:rtl/>
        </w:rPr>
        <w:t xml:space="preserve"> في الطلبات الدولية والتعيينات اللاحقة، يوضح تحليل الإطار </w:t>
      </w:r>
      <w:r w:rsidR="00316168">
        <w:rPr>
          <w:rFonts w:hint="cs"/>
          <w:rtl/>
        </w:rPr>
        <w:t>القانوني لنظام مدريد أنه ينبغي أن تفحص مكاتب الأط</w:t>
      </w:r>
      <w:r w:rsidR="008D0FEF">
        <w:rPr>
          <w:rFonts w:hint="cs"/>
          <w:rtl/>
        </w:rPr>
        <w:t>راف المتعاقدة المعينة المعنية الإنقاص</w:t>
      </w:r>
      <w:r>
        <w:rPr>
          <w:rFonts w:hint="cs"/>
          <w:rtl/>
        </w:rPr>
        <w:t>ات</w:t>
      </w:r>
      <w:r w:rsidR="008D0FEF">
        <w:rPr>
          <w:rFonts w:hint="cs"/>
          <w:rtl/>
        </w:rPr>
        <w:t xml:space="preserve"> الملتمس</w:t>
      </w:r>
      <w:r>
        <w:rPr>
          <w:rFonts w:hint="cs"/>
          <w:rtl/>
        </w:rPr>
        <w:t>ة</w:t>
      </w:r>
      <w:r w:rsidR="008D0FEF">
        <w:rPr>
          <w:rFonts w:hint="cs"/>
          <w:rtl/>
        </w:rPr>
        <w:t xml:space="preserve"> كتدوين تغيير وفقا للقاعدة 25.</w:t>
      </w:r>
    </w:p>
    <w:p w:rsidR="008D0FEF" w:rsidRDefault="008C1036" w:rsidP="0067074B">
      <w:pPr>
        <w:pStyle w:val="NumberedParaAR"/>
      </w:pPr>
      <w:r>
        <w:rPr>
          <w:rFonts w:hint="cs"/>
          <w:rtl/>
        </w:rPr>
        <w:t xml:space="preserve">وفي هذا الحالة تحديدا، ينبغي </w:t>
      </w:r>
      <w:r w:rsidR="0067074B">
        <w:rPr>
          <w:rFonts w:hint="cs"/>
          <w:rtl/>
        </w:rPr>
        <w:t>أن يتأكد ا</w:t>
      </w:r>
      <w:r w:rsidR="00335960">
        <w:rPr>
          <w:rFonts w:hint="cs"/>
          <w:rtl/>
        </w:rPr>
        <w:t>لمكتب أن</w:t>
      </w:r>
      <w:r>
        <w:rPr>
          <w:rFonts w:hint="cs"/>
          <w:rtl/>
        </w:rPr>
        <w:t xml:space="preserve"> الإنقاص </w:t>
      </w:r>
      <w:r w:rsidR="00335960">
        <w:rPr>
          <w:rFonts w:hint="cs"/>
          <w:rtl/>
        </w:rPr>
        <w:t>يتفق ليس مع ا</w:t>
      </w:r>
      <w:r>
        <w:rPr>
          <w:rFonts w:hint="cs"/>
          <w:rtl/>
        </w:rPr>
        <w:t xml:space="preserve">لقائمة الأساسية </w:t>
      </w:r>
      <w:r w:rsidR="00335960">
        <w:rPr>
          <w:rFonts w:hint="cs"/>
          <w:rtl/>
        </w:rPr>
        <w:t xml:space="preserve">فحسب بل مع </w:t>
      </w:r>
      <w:r>
        <w:rPr>
          <w:rFonts w:hint="cs"/>
          <w:rtl/>
        </w:rPr>
        <w:t xml:space="preserve">قائمة السلع والخدمات </w:t>
      </w:r>
      <w:r w:rsidR="0067074B">
        <w:rPr>
          <w:rFonts w:hint="cs"/>
          <w:rtl/>
        </w:rPr>
        <w:t xml:space="preserve">أيضا </w:t>
      </w:r>
      <w:r>
        <w:rPr>
          <w:rFonts w:hint="cs"/>
          <w:rtl/>
        </w:rPr>
        <w:t>التي يظل الطرف المتعاقد معيينا لها والتي منحت الحماية لها أو عدلت.</w:t>
      </w:r>
    </w:p>
    <w:p w:rsidR="008C1036" w:rsidRDefault="00FB5D39" w:rsidP="0067074B">
      <w:pPr>
        <w:pStyle w:val="NumberedParaAR"/>
      </w:pPr>
      <w:r>
        <w:rPr>
          <w:rFonts w:hint="cs"/>
          <w:rtl/>
        </w:rPr>
        <w:t xml:space="preserve">وترد الإجابة </w:t>
      </w:r>
      <w:r w:rsidR="0067074B">
        <w:rPr>
          <w:rFonts w:hint="cs"/>
          <w:rtl/>
        </w:rPr>
        <w:t xml:space="preserve">الوافية </w:t>
      </w:r>
      <w:r>
        <w:rPr>
          <w:rFonts w:hint="cs"/>
          <w:rtl/>
        </w:rPr>
        <w:t xml:space="preserve">على سؤال منح </w:t>
      </w:r>
      <w:r w:rsidR="0067074B">
        <w:rPr>
          <w:rFonts w:hint="cs"/>
          <w:rtl/>
        </w:rPr>
        <w:t>الكفاءة بالنسبة</w:t>
      </w:r>
      <w:r>
        <w:rPr>
          <w:rFonts w:hint="cs"/>
          <w:rtl/>
        </w:rPr>
        <w:t xml:space="preserve"> </w:t>
      </w:r>
      <w:r w:rsidR="0067074B">
        <w:rPr>
          <w:rFonts w:hint="cs"/>
          <w:rtl/>
        </w:rPr>
        <w:t>ل</w:t>
      </w:r>
      <w:r>
        <w:rPr>
          <w:rFonts w:hint="cs"/>
          <w:rtl/>
        </w:rPr>
        <w:t>فحص</w:t>
      </w:r>
      <w:r w:rsidR="00316168">
        <w:rPr>
          <w:rFonts w:hint="cs"/>
          <w:rtl/>
        </w:rPr>
        <w:t xml:space="preserve"> الإنقاص</w:t>
      </w:r>
      <w:r w:rsidR="0067074B">
        <w:rPr>
          <w:rFonts w:hint="cs"/>
          <w:rtl/>
        </w:rPr>
        <w:t>ات</w:t>
      </w:r>
      <w:r w:rsidR="00316168">
        <w:rPr>
          <w:rFonts w:hint="cs"/>
          <w:rtl/>
        </w:rPr>
        <w:t xml:space="preserve"> الملتمسة كتد</w:t>
      </w:r>
      <w:r>
        <w:rPr>
          <w:rFonts w:hint="cs"/>
          <w:rtl/>
        </w:rPr>
        <w:t>و</w:t>
      </w:r>
      <w:r w:rsidR="00316168">
        <w:rPr>
          <w:rFonts w:hint="cs"/>
          <w:rtl/>
        </w:rPr>
        <w:t>ي</w:t>
      </w:r>
      <w:r>
        <w:rPr>
          <w:rFonts w:hint="cs"/>
          <w:rtl/>
        </w:rPr>
        <w:t>ن تغيير</w:t>
      </w:r>
      <w:r w:rsidR="0067074B">
        <w:rPr>
          <w:rFonts w:hint="cs"/>
          <w:rtl/>
        </w:rPr>
        <w:t>،</w:t>
      </w:r>
      <w:r>
        <w:rPr>
          <w:rFonts w:hint="cs"/>
          <w:rtl/>
        </w:rPr>
        <w:t xml:space="preserve"> وفقا للقاعدة 25</w:t>
      </w:r>
      <w:r w:rsidR="0067074B">
        <w:rPr>
          <w:rFonts w:hint="cs"/>
          <w:rtl/>
        </w:rPr>
        <w:t>،</w:t>
      </w:r>
      <w:r>
        <w:rPr>
          <w:rFonts w:hint="cs"/>
          <w:rtl/>
        </w:rPr>
        <w:t xml:space="preserve"> في الإطار القانوني لنظام مدريد. غير أن نفس السؤال بالنسبة للإنقاص</w:t>
      </w:r>
      <w:r w:rsidR="0067074B">
        <w:rPr>
          <w:rFonts w:hint="cs"/>
          <w:rtl/>
        </w:rPr>
        <w:t>ات</w:t>
      </w:r>
      <w:r>
        <w:rPr>
          <w:rFonts w:hint="cs"/>
          <w:rtl/>
        </w:rPr>
        <w:t xml:space="preserve"> في الطلبات الدولية والتعيينات اللاحقة يتطلب </w:t>
      </w:r>
      <w:r w:rsidR="0067074B">
        <w:rPr>
          <w:rFonts w:hint="cs"/>
          <w:rtl/>
        </w:rPr>
        <w:t>المزيد من التحليل</w:t>
      </w:r>
      <w:r>
        <w:rPr>
          <w:rFonts w:hint="cs"/>
          <w:rtl/>
        </w:rPr>
        <w:t>.</w:t>
      </w:r>
    </w:p>
    <w:p w:rsidR="00FB5D39" w:rsidRPr="009F4162" w:rsidRDefault="00D877A5" w:rsidP="00A50027">
      <w:pPr>
        <w:pStyle w:val="NumberedParaAR"/>
        <w:keepNext/>
        <w:numPr>
          <w:ilvl w:val="0"/>
          <w:numId w:val="0"/>
        </w:numPr>
        <w:rPr>
          <w:sz w:val="40"/>
          <w:szCs w:val="40"/>
        </w:rPr>
      </w:pPr>
      <w:r w:rsidRPr="009F4162">
        <w:rPr>
          <w:rFonts w:hint="cs"/>
          <w:b/>
          <w:bCs/>
          <w:sz w:val="40"/>
          <w:szCs w:val="40"/>
          <w:rtl/>
        </w:rPr>
        <w:t>إدارة</w:t>
      </w:r>
      <w:r w:rsidR="00FB5D39" w:rsidRPr="009F4162">
        <w:rPr>
          <w:rFonts w:hint="cs"/>
          <w:b/>
          <w:bCs/>
          <w:sz w:val="40"/>
          <w:szCs w:val="40"/>
          <w:rtl/>
        </w:rPr>
        <w:t xml:space="preserve"> فحص الإنقاص</w:t>
      </w:r>
      <w:r w:rsidR="0067074B" w:rsidRPr="009F4162">
        <w:rPr>
          <w:rFonts w:hint="cs"/>
          <w:b/>
          <w:bCs/>
          <w:sz w:val="40"/>
          <w:szCs w:val="40"/>
          <w:rtl/>
        </w:rPr>
        <w:t>ات</w:t>
      </w:r>
    </w:p>
    <w:p w:rsidR="00FB5D39" w:rsidRDefault="00316168" w:rsidP="0067074B">
      <w:pPr>
        <w:pStyle w:val="NumberedParaAR"/>
      </w:pPr>
      <w:r>
        <w:rPr>
          <w:rFonts w:hint="cs"/>
          <w:rtl/>
        </w:rPr>
        <w:t>فحص الإنقاص</w:t>
      </w:r>
      <w:r w:rsidR="0067074B">
        <w:rPr>
          <w:rFonts w:hint="cs"/>
          <w:rtl/>
        </w:rPr>
        <w:t>ات</w:t>
      </w:r>
      <w:r>
        <w:rPr>
          <w:rFonts w:hint="cs"/>
          <w:rtl/>
        </w:rPr>
        <w:t xml:space="preserve"> واضح </w:t>
      </w:r>
      <w:r w:rsidR="0067074B">
        <w:rPr>
          <w:rFonts w:hint="cs"/>
          <w:rtl/>
        </w:rPr>
        <w:t xml:space="preserve">جلي </w:t>
      </w:r>
      <w:r>
        <w:rPr>
          <w:rFonts w:hint="cs"/>
          <w:rtl/>
        </w:rPr>
        <w:t>من حيث</w:t>
      </w:r>
      <w:r w:rsidR="00D55497">
        <w:rPr>
          <w:rFonts w:hint="cs"/>
          <w:rtl/>
        </w:rPr>
        <w:t xml:space="preserve"> المفهوم. فهو يتمثل "ببساطة" في تحديد ما إذا كان الإنقاص في نطاق القائمة الأساسية للسلع والخدمات للتسجيل الدولي</w:t>
      </w:r>
      <w:r w:rsidR="00276788">
        <w:rPr>
          <w:rFonts w:hint="cs"/>
          <w:rtl/>
        </w:rPr>
        <w:t xml:space="preserve"> أم لا. غير أن هذا</w:t>
      </w:r>
      <w:r w:rsidR="00D55497">
        <w:rPr>
          <w:rFonts w:hint="cs"/>
          <w:rtl/>
        </w:rPr>
        <w:t xml:space="preserve"> التحديد يتطلب معرفة </w:t>
      </w:r>
      <w:r w:rsidR="0067074B">
        <w:rPr>
          <w:rFonts w:hint="cs"/>
          <w:rtl/>
        </w:rPr>
        <w:t>وافية</w:t>
      </w:r>
      <w:r w:rsidR="00D55497">
        <w:rPr>
          <w:rFonts w:hint="cs"/>
          <w:rtl/>
        </w:rPr>
        <w:t xml:space="preserve"> </w:t>
      </w:r>
      <w:r w:rsidR="0067074B">
        <w:rPr>
          <w:rFonts w:hint="cs"/>
          <w:rtl/>
        </w:rPr>
        <w:t>ب</w:t>
      </w:r>
      <w:r w:rsidR="00D55497">
        <w:rPr>
          <w:rFonts w:hint="cs"/>
          <w:rtl/>
        </w:rPr>
        <w:t>تصنيف السلع والخدمات وقدرة على تأويل معنى الاس</w:t>
      </w:r>
      <w:r w:rsidR="0067074B">
        <w:rPr>
          <w:rFonts w:hint="cs"/>
          <w:rtl/>
        </w:rPr>
        <w:t>ت</w:t>
      </w:r>
      <w:r w:rsidR="00D55497">
        <w:rPr>
          <w:rFonts w:hint="cs"/>
          <w:rtl/>
        </w:rPr>
        <w:t>خدام المتزايد للتعابير الحرة.</w:t>
      </w:r>
    </w:p>
    <w:p w:rsidR="00D55497" w:rsidRDefault="0067074B" w:rsidP="0067074B">
      <w:pPr>
        <w:pStyle w:val="NumberedParaAR"/>
      </w:pPr>
      <w:r>
        <w:rPr>
          <w:rFonts w:hint="cs"/>
          <w:rtl/>
        </w:rPr>
        <w:t>وتتعلق</w:t>
      </w:r>
      <w:r w:rsidR="00D55497">
        <w:rPr>
          <w:rFonts w:hint="cs"/>
          <w:rtl/>
        </w:rPr>
        <w:t xml:space="preserve"> القضية المركزية في فحص الإنقاص </w:t>
      </w:r>
      <w:r>
        <w:rPr>
          <w:rFonts w:hint="cs"/>
          <w:rtl/>
        </w:rPr>
        <w:t>ب</w:t>
      </w:r>
      <w:r w:rsidR="00D55497">
        <w:rPr>
          <w:rFonts w:hint="cs"/>
          <w:rtl/>
        </w:rPr>
        <w:t>نطاق الحماية، وهي مسألة يحيلها</w:t>
      </w:r>
      <w:r>
        <w:rPr>
          <w:rFonts w:hint="cs"/>
          <w:rtl/>
        </w:rPr>
        <w:t xml:space="preserve"> نظام مدريد إلى مكاتب الأط</w:t>
      </w:r>
      <w:r w:rsidR="00D55497">
        <w:rPr>
          <w:rFonts w:hint="cs"/>
          <w:rtl/>
        </w:rPr>
        <w:t>ر</w:t>
      </w:r>
      <w:r>
        <w:rPr>
          <w:rFonts w:hint="cs"/>
          <w:rtl/>
        </w:rPr>
        <w:t>ا</w:t>
      </w:r>
      <w:r w:rsidR="00D55497">
        <w:rPr>
          <w:rFonts w:hint="cs"/>
          <w:rtl/>
        </w:rPr>
        <w:t xml:space="preserve">ف المتعاقدة المعنية. أي أنه يجب على إدارة الفحص أن تحدد ما إذا كان الإنقاص </w:t>
      </w:r>
      <w:r>
        <w:rPr>
          <w:rFonts w:hint="cs"/>
          <w:rtl/>
        </w:rPr>
        <w:t>يندرج</w:t>
      </w:r>
      <w:r w:rsidR="00D55497">
        <w:rPr>
          <w:rFonts w:hint="cs"/>
          <w:rtl/>
        </w:rPr>
        <w:t xml:space="preserve"> في القائمة الأسا</w:t>
      </w:r>
      <w:r w:rsidR="00FC5F94">
        <w:rPr>
          <w:rFonts w:hint="cs"/>
          <w:rtl/>
        </w:rPr>
        <w:t>سية للتسجيل الدولي كما هو مُأوّ</w:t>
      </w:r>
      <w:r w:rsidR="00D55497">
        <w:rPr>
          <w:rFonts w:hint="cs"/>
          <w:rtl/>
        </w:rPr>
        <w:t xml:space="preserve">ل في الطرف المتعاقد المعين المعني. وفضلا عن ذلك، في حال إجراء إنقاص بعد منح الحماية، ينبغي أن </w:t>
      </w:r>
      <w:r>
        <w:rPr>
          <w:rFonts w:hint="cs"/>
          <w:rtl/>
        </w:rPr>
        <w:t>يدخل</w:t>
      </w:r>
      <w:r w:rsidR="00D55497">
        <w:rPr>
          <w:rFonts w:hint="cs"/>
          <w:rtl/>
        </w:rPr>
        <w:t xml:space="preserve"> هذا الإنقاص في نطاق الحماية الممنوحة في الطرف المتعاقد المعني.</w:t>
      </w:r>
    </w:p>
    <w:p w:rsidR="00D55497" w:rsidRDefault="00984E73" w:rsidP="00132E1C">
      <w:pPr>
        <w:pStyle w:val="NumberedParaAR"/>
      </w:pPr>
      <w:r>
        <w:rPr>
          <w:rFonts w:hint="cs"/>
          <w:rtl/>
        </w:rPr>
        <w:t>ولا يمكن إلا</w:t>
      </w:r>
      <w:r w:rsidR="0067074B">
        <w:rPr>
          <w:rFonts w:hint="cs"/>
          <w:rtl/>
        </w:rPr>
        <w:t xml:space="preserve"> لإدارات الأطراف المتعاقدة المع</w:t>
      </w:r>
      <w:r>
        <w:rPr>
          <w:rFonts w:hint="cs"/>
          <w:rtl/>
        </w:rPr>
        <w:t>ي</w:t>
      </w:r>
      <w:r w:rsidR="0067074B">
        <w:rPr>
          <w:rFonts w:hint="cs"/>
          <w:rtl/>
        </w:rPr>
        <w:t>ن</w:t>
      </w:r>
      <w:r>
        <w:rPr>
          <w:rFonts w:hint="cs"/>
          <w:rtl/>
        </w:rPr>
        <w:t xml:space="preserve">ة أن تتخذ قرارات بشأن نطاق </w:t>
      </w:r>
      <w:r w:rsidR="00A41BF8">
        <w:rPr>
          <w:rFonts w:hint="cs"/>
          <w:rtl/>
        </w:rPr>
        <w:t xml:space="preserve">الحماية </w:t>
      </w:r>
      <w:r w:rsidR="00132E1C">
        <w:rPr>
          <w:rFonts w:hint="cs"/>
          <w:rtl/>
        </w:rPr>
        <w:t>التي لها أثر</w:t>
      </w:r>
      <w:r w:rsidR="00A41BF8">
        <w:rPr>
          <w:rFonts w:hint="cs"/>
          <w:rtl/>
        </w:rPr>
        <w:t xml:space="preserve"> </w:t>
      </w:r>
      <w:r w:rsidR="00132E1C">
        <w:rPr>
          <w:rFonts w:hint="cs"/>
          <w:rtl/>
        </w:rPr>
        <w:t>على أراضيها</w:t>
      </w:r>
      <w:r w:rsidR="00A41BF8">
        <w:rPr>
          <w:rFonts w:hint="cs"/>
          <w:rtl/>
        </w:rPr>
        <w:t xml:space="preserve"> ومنها مثلا الرفض المؤقت وبيانات منح الحماية والقرارات أو </w:t>
      </w:r>
      <w:r w:rsidR="00132E1C">
        <w:rPr>
          <w:rFonts w:hint="cs"/>
          <w:rtl/>
        </w:rPr>
        <w:t>الإعلانات</w:t>
      </w:r>
      <w:r w:rsidR="00A41BF8">
        <w:rPr>
          <w:rFonts w:hint="cs"/>
          <w:rtl/>
        </w:rPr>
        <w:t xml:space="preserve"> </w:t>
      </w:r>
      <w:r w:rsidR="00132E1C">
        <w:rPr>
          <w:rFonts w:hint="cs"/>
          <w:rtl/>
        </w:rPr>
        <w:t>الأخرى</w:t>
      </w:r>
      <w:r w:rsidR="00A41BF8">
        <w:rPr>
          <w:rFonts w:hint="cs"/>
          <w:rtl/>
        </w:rPr>
        <w:t xml:space="preserve"> بشأن الإنقاص</w:t>
      </w:r>
      <w:r w:rsidR="00132E1C">
        <w:rPr>
          <w:rFonts w:hint="cs"/>
          <w:rtl/>
        </w:rPr>
        <w:t>ات</w:t>
      </w:r>
      <w:r w:rsidR="00A41BF8">
        <w:rPr>
          <w:rFonts w:hint="cs"/>
          <w:rtl/>
        </w:rPr>
        <w:t xml:space="preserve"> وفقا للقاعدة 27(5). ولذا الأطراف المتعاقدة المعينة المعنية هي الإدارات المختصة الوحيدة التي </w:t>
      </w:r>
      <w:r w:rsidR="00132E1C">
        <w:rPr>
          <w:rFonts w:hint="cs"/>
          <w:rtl/>
        </w:rPr>
        <w:t>لها</w:t>
      </w:r>
      <w:r w:rsidR="00A41BF8">
        <w:rPr>
          <w:rFonts w:hint="cs"/>
          <w:rtl/>
        </w:rPr>
        <w:t xml:space="preserve"> </w:t>
      </w:r>
      <w:r w:rsidR="00132E1C">
        <w:rPr>
          <w:rFonts w:hint="cs"/>
          <w:rtl/>
        </w:rPr>
        <w:t>أن ت</w:t>
      </w:r>
      <w:r w:rsidR="00A41BF8">
        <w:rPr>
          <w:rFonts w:hint="cs"/>
          <w:rtl/>
        </w:rPr>
        <w:t xml:space="preserve">فحص </w:t>
      </w:r>
      <w:r w:rsidR="00132E1C">
        <w:rPr>
          <w:rFonts w:hint="cs"/>
          <w:rtl/>
        </w:rPr>
        <w:t>كل</w:t>
      </w:r>
      <w:r w:rsidR="00A41BF8">
        <w:rPr>
          <w:rFonts w:hint="cs"/>
          <w:rtl/>
        </w:rPr>
        <w:t xml:space="preserve"> الإنقاص</w:t>
      </w:r>
      <w:r w:rsidR="00132E1C">
        <w:rPr>
          <w:rFonts w:hint="cs"/>
          <w:rtl/>
        </w:rPr>
        <w:t>ات وأن تحدد</w:t>
      </w:r>
      <w:r w:rsidR="00A41BF8">
        <w:rPr>
          <w:rFonts w:hint="cs"/>
          <w:rtl/>
        </w:rPr>
        <w:t xml:space="preserve"> من ثم نطاق الحماية في </w:t>
      </w:r>
      <w:r w:rsidR="00132E1C">
        <w:rPr>
          <w:rFonts w:hint="cs"/>
          <w:rtl/>
        </w:rPr>
        <w:t>أراضيها</w:t>
      </w:r>
      <w:r w:rsidR="00A41BF8">
        <w:rPr>
          <w:rFonts w:hint="cs"/>
          <w:rtl/>
        </w:rPr>
        <w:t>.</w:t>
      </w:r>
    </w:p>
    <w:p w:rsidR="00A41BF8" w:rsidRDefault="00132E1C" w:rsidP="00132E1C">
      <w:pPr>
        <w:pStyle w:val="NumberedParaAR"/>
      </w:pPr>
      <w:r>
        <w:rPr>
          <w:rFonts w:hint="cs"/>
          <w:rtl/>
        </w:rPr>
        <w:lastRenderedPageBreak/>
        <w:t>وت</w:t>
      </w:r>
      <w:r w:rsidR="00A41BF8">
        <w:rPr>
          <w:rFonts w:hint="cs"/>
          <w:rtl/>
        </w:rPr>
        <w:t>شبه الإنقاص</w:t>
      </w:r>
      <w:r>
        <w:rPr>
          <w:rFonts w:hint="cs"/>
          <w:rtl/>
        </w:rPr>
        <w:t>ات</w:t>
      </w:r>
      <w:r w:rsidR="00A41BF8">
        <w:rPr>
          <w:rFonts w:hint="cs"/>
          <w:rtl/>
        </w:rPr>
        <w:t xml:space="preserve"> في الط</w:t>
      </w:r>
      <w:r>
        <w:rPr>
          <w:rFonts w:hint="cs"/>
          <w:rtl/>
        </w:rPr>
        <w:t xml:space="preserve">لبات الدولية والتعيينات اللاحقة، </w:t>
      </w:r>
      <w:r w:rsidR="00A41BF8">
        <w:rPr>
          <w:rFonts w:hint="cs"/>
          <w:rtl/>
        </w:rPr>
        <w:t>الإنقاص</w:t>
      </w:r>
      <w:r>
        <w:rPr>
          <w:rFonts w:hint="cs"/>
          <w:rtl/>
        </w:rPr>
        <w:t>اتِ</w:t>
      </w:r>
      <w:r w:rsidR="00A41BF8">
        <w:rPr>
          <w:rFonts w:hint="cs"/>
          <w:rtl/>
        </w:rPr>
        <w:t xml:space="preserve"> وفقا للقاعدة 25 لأنها هي الأخرى تتضمن تقييدا</w:t>
      </w:r>
      <w:r>
        <w:rPr>
          <w:rFonts w:hint="cs"/>
          <w:rtl/>
        </w:rPr>
        <w:t>ت</w:t>
      </w:r>
      <w:r w:rsidR="00A41BF8">
        <w:rPr>
          <w:rFonts w:hint="cs"/>
          <w:rtl/>
        </w:rPr>
        <w:t xml:space="preserve"> على نطاق الحماية في الأطراف المتع</w:t>
      </w:r>
      <w:r>
        <w:rPr>
          <w:rFonts w:hint="cs"/>
          <w:rtl/>
        </w:rPr>
        <w:t>اقدة المعينة. ولذا، نظرا لطبيعتهما</w:t>
      </w:r>
      <w:r w:rsidR="00A41BF8">
        <w:rPr>
          <w:rFonts w:hint="cs"/>
          <w:rtl/>
        </w:rPr>
        <w:t xml:space="preserve"> الم</w:t>
      </w:r>
      <w:r>
        <w:rPr>
          <w:rFonts w:hint="cs"/>
          <w:rtl/>
        </w:rPr>
        <w:t>ت</w:t>
      </w:r>
      <w:r w:rsidR="00A41BF8">
        <w:rPr>
          <w:rFonts w:hint="cs"/>
          <w:rtl/>
        </w:rPr>
        <w:t>م</w:t>
      </w:r>
      <w:r>
        <w:rPr>
          <w:rFonts w:hint="cs"/>
          <w:rtl/>
        </w:rPr>
        <w:t>اث</w:t>
      </w:r>
      <w:r w:rsidR="00A41BF8">
        <w:rPr>
          <w:rFonts w:hint="cs"/>
          <w:rtl/>
        </w:rPr>
        <w:t>لة، ينبغي أن تتلقى كل الإنقاص</w:t>
      </w:r>
      <w:r>
        <w:rPr>
          <w:rFonts w:hint="cs"/>
          <w:rtl/>
        </w:rPr>
        <w:t>ات نفس المعاملة</w:t>
      </w:r>
      <w:r w:rsidR="00A41BF8">
        <w:rPr>
          <w:rFonts w:hint="cs"/>
          <w:rtl/>
        </w:rPr>
        <w:t xml:space="preserve"> </w:t>
      </w:r>
      <w:r>
        <w:rPr>
          <w:rFonts w:hint="cs"/>
          <w:rtl/>
        </w:rPr>
        <w:t>كال</w:t>
      </w:r>
      <w:r w:rsidR="00A41BF8">
        <w:rPr>
          <w:rFonts w:hint="cs"/>
          <w:rtl/>
        </w:rPr>
        <w:t xml:space="preserve">فحص </w:t>
      </w:r>
      <w:r>
        <w:rPr>
          <w:rFonts w:hint="cs"/>
          <w:rtl/>
        </w:rPr>
        <w:t xml:space="preserve">في </w:t>
      </w:r>
      <w:r w:rsidR="00A41BF8">
        <w:rPr>
          <w:rFonts w:hint="cs"/>
          <w:rtl/>
        </w:rPr>
        <w:t>مكاتب الأطراف المتعاقدة المعينة.</w:t>
      </w:r>
    </w:p>
    <w:p w:rsidR="00A41BF8" w:rsidRDefault="00132E1C" w:rsidP="00FC5F94">
      <w:pPr>
        <w:pStyle w:val="NumberedParaAR"/>
      </w:pPr>
      <w:r>
        <w:rPr>
          <w:rFonts w:hint="cs"/>
          <w:rtl/>
        </w:rPr>
        <w:t xml:space="preserve">وتناصر </w:t>
      </w:r>
      <w:r w:rsidR="00FC5F94">
        <w:rPr>
          <w:rFonts w:hint="cs"/>
          <w:rtl/>
        </w:rPr>
        <w:t xml:space="preserve">هذا المنطقَ </w:t>
      </w:r>
      <w:r>
        <w:rPr>
          <w:rFonts w:hint="cs"/>
          <w:rtl/>
        </w:rPr>
        <w:t>اللغة</w:t>
      </w:r>
      <w:r w:rsidR="00FC5F94">
        <w:rPr>
          <w:rFonts w:hint="cs"/>
          <w:rtl/>
        </w:rPr>
        <w:t>ُ</w:t>
      </w:r>
      <w:r>
        <w:rPr>
          <w:rFonts w:hint="cs"/>
          <w:rtl/>
        </w:rPr>
        <w:t xml:space="preserve"> الم</w:t>
      </w:r>
      <w:r w:rsidR="00A41BF8">
        <w:rPr>
          <w:rFonts w:hint="cs"/>
          <w:rtl/>
        </w:rPr>
        <w:t>س</w:t>
      </w:r>
      <w:r>
        <w:rPr>
          <w:rFonts w:hint="cs"/>
          <w:rtl/>
        </w:rPr>
        <w:t>ت</w:t>
      </w:r>
      <w:r w:rsidR="00A41BF8">
        <w:rPr>
          <w:rFonts w:hint="cs"/>
          <w:rtl/>
        </w:rPr>
        <w:t>خدمة في القواعد 9(4)(أ)"13" و </w:t>
      </w:r>
      <w:r>
        <w:rPr>
          <w:rFonts w:hint="cs"/>
          <w:rtl/>
        </w:rPr>
        <w:t>24</w:t>
      </w:r>
      <w:r w:rsidR="00A41BF8">
        <w:rPr>
          <w:rFonts w:hint="cs"/>
          <w:rtl/>
        </w:rPr>
        <w:t>(3)(أ)"3" و "4"، التي تسمح للمستخدمين بتفعيل إنقاصات مختلفة وتمس على نحو مختلف</w:t>
      </w:r>
      <w:r>
        <w:rPr>
          <w:rFonts w:hint="cs"/>
          <w:rtl/>
        </w:rPr>
        <w:t xml:space="preserve"> نطاق الحماية بالنسبة لمختلف الأ</w:t>
      </w:r>
      <w:r w:rsidR="00FC5F94">
        <w:rPr>
          <w:rFonts w:hint="cs"/>
          <w:rtl/>
        </w:rPr>
        <w:t>طراف المتعاقدة المعينة</w:t>
      </w:r>
      <w:r w:rsidR="00A41BF8">
        <w:rPr>
          <w:rFonts w:hint="cs"/>
          <w:rtl/>
        </w:rPr>
        <w:t>.</w:t>
      </w:r>
    </w:p>
    <w:p w:rsidR="00A41BF8" w:rsidRDefault="00132E1C" w:rsidP="00132E1C">
      <w:pPr>
        <w:pStyle w:val="NumberedParaAR"/>
      </w:pPr>
      <w:r>
        <w:rPr>
          <w:rFonts w:hint="cs"/>
          <w:rtl/>
        </w:rPr>
        <w:t>ويمكن أن ت</w:t>
      </w:r>
      <w:r w:rsidR="00E84534">
        <w:rPr>
          <w:rFonts w:hint="cs"/>
          <w:rtl/>
        </w:rPr>
        <w:t xml:space="preserve">سفر </w:t>
      </w:r>
      <w:r>
        <w:rPr>
          <w:rFonts w:hint="cs"/>
          <w:rtl/>
        </w:rPr>
        <w:t>مطالبة</w:t>
      </w:r>
      <w:r w:rsidR="00E84534">
        <w:rPr>
          <w:rFonts w:hint="cs"/>
          <w:rtl/>
        </w:rPr>
        <w:t xml:space="preserve"> </w:t>
      </w:r>
      <w:r w:rsidR="00874094">
        <w:rPr>
          <w:rFonts w:hint="cs"/>
          <w:rtl/>
        </w:rPr>
        <w:t xml:space="preserve">إدارة أخرى غير مكتب الطرف المتعاقد المعين المعني </w:t>
      </w:r>
      <w:r>
        <w:rPr>
          <w:rFonts w:hint="cs"/>
          <w:rtl/>
        </w:rPr>
        <w:t>ب</w:t>
      </w:r>
      <w:r w:rsidR="00874094">
        <w:rPr>
          <w:rFonts w:hint="cs"/>
          <w:rtl/>
        </w:rPr>
        <w:t>فحص الإنقاص</w:t>
      </w:r>
      <w:r>
        <w:rPr>
          <w:rFonts w:hint="cs"/>
          <w:rtl/>
        </w:rPr>
        <w:t>ات</w:t>
      </w:r>
      <w:r w:rsidR="00874094">
        <w:rPr>
          <w:rFonts w:hint="cs"/>
          <w:rtl/>
        </w:rPr>
        <w:t xml:space="preserve">، عن </w:t>
      </w:r>
      <w:r>
        <w:rPr>
          <w:rFonts w:hint="cs"/>
          <w:rtl/>
        </w:rPr>
        <w:t>قرارات تتعارض</w:t>
      </w:r>
      <w:r w:rsidR="00874094">
        <w:rPr>
          <w:rFonts w:hint="cs"/>
          <w:rtl/>
        </w:rPr>
        <w:t xml:space="preserve"> مع تأويل </w:t>
      </w:r>
      <w:r>
        <w:rPr>
          <w:rFonts w:hint="cs"/>
          <w:rtl/>
        </w:rPr>
        <w:t>هذا المكتب ل</w:t>
      </w:r>
      <w:r w:rsidR="00874094">
        <w:rPr>
          <w:rFonts w:hint="cs"/>
          <w:rtl/>
        </w:rPr>
        <w:t>لنطاق.</w:t>
      </w:r>
    </w:p>
    <w:p w:rsidR="00874094" w:rsidRDefault="00874094" w:rsidP="00FC5F94">
      <w:pPr>
        <w:pStyle w:val="NumberedParaAR"/>
      </w:pPr>
      <w:r>
        <w:rPr>
          <w:rFonts w:hint="cs"/>
          <w:rtl/>
        </w:rPr>
        <w:t>ولتوض</w:t>
      </w:r>
      <w:r w:rsidR="00E75376">
        <w:rPr>
          <w:rFonts w:hint="cs"/>
          <w:rtl/>
        </w:rPr>
        <w:t>ي</w:t>
      </w:r>
      <w:r>
        <w:rPr>
          <w:rFonts w:hint="cs"/>
          <w:rtl/>
        </w:rPr>
        <w:t xml:space="preserve">ح هذه النقطة، يمكننا أن نتصور </w:t>
      </w:r>
      <w:r w:rsidR="00E75376">
        <w:rPr>
          <w:rFonts w:hint="cs"/>
          <w:rtl/>
        </w:rPr>
        <w:t xml:space="preserve">أن </w:t>
      </w:r>
      <w:r>
        <w:rPr>
          <w:rFonts w:hint="cs"/>
          <w:rtl/>
        </w:rPr>
        <w:t xml:space="preserve">تسجيل دولي </w:t>
      </w:r>
      <w:r w:rsidR="00FC5F94">
        <w:rPr>
          <w:rFonts w:hint="cs"/>
          <w:rtl/>
        </w:rPr>
        <w:t xml:space="preserve">ما </w:t>
      </w:r>
      <w:r>
        <w:rPr>
          <w:rFonts w:hint="cs"/>
          <w:rtl/>
        </w:rPr>
        <w:t xml:space="preserve">يدرج عنوان </w:t>
      </w:r>
      <w:r w:rsidR="00E75376">
        <w:rPr>
          <w:rFonts w:hint="cs"/>
          <w:rtl/>
        </w:rPr>
        <w:t>صنف</w:t>
      </w:r>
      <w:r>
        <w:rPr>
          <w:rFonts w:hint="cs"/>
          <w:rtl/>
        </w:rPr>
        <w:t xml:space="preserve"> </w:t>
      </w:r>
      <w:r w:rsidR="00E75376">
        <w:rPr>
          <w:rFonts w:hint="cs"/>
          <w:rtl/>
        </w:rPr>
        <w:t xml:space="preserve">في </w:t>
      </w:r>
      <w:r>
        <w:rPr>
          <w:rFonts w:hint="cs"/>
          <w:rtl/>
        </w:rPr>
        <w:t>تصنيف نيس. وبينما قد يقبل مكتب المنشأ ومك</w:t>
      </w:r>
      <w:r w:rsidR="00E75376">
        <w:rPr>
          <w:rFonts w:hint="cs"/>
          <w:rtl/>
        </w:rPr>
        <w:t>اتب الأطراف المتعاقدة المعينة عناوين الأصناف في تصنيف نيس</w:t>
      </w:r>
      <w:r>
        <w:rPr>
          <w:rFonts w:hint="cs"/>
          <w:rtl/>
        </w:rPr>
        <w:t xml:space="preserve">، قد يختلف تأويلها تماما </w:t>
      </w:r>
      <w:r w:rsidR="00E75376">
        <w:rPr>
          <w:rFonts w:hint="cs"/>
          <w:rtl/>
        </w:rPr>
        <w:t>بشأن</w:t>
      </w:r>
      <w:r>
        <w:rPr>
          <w:rFonts w:hint="cs"/>
          <w:rtl/>
        </w:rPr>
        <w:t xml:space="preserve"> نطاقها. فقد يعتبر مكتب المنشأ مثلا أن عنوان </w:t>
      </w:r>
      <w:r w:rsidR="00E75376">
        <w:rPr>
          <w:rFonts w:hint="cs"/>
          <w:rtl/>
        </w:rPr>
        <w:t>الصنف</w:t>
      </w:r>
      <w:r>
        <w:rPr>
          <w:rFonts w:hint="cs"/>
          <w:rtl/>
        </w:rPr>
        <w:t xml:space="preserve"> يحمي </w:t>
      </w:r>
      <w:r w:rsidR="00E75376">
        <w:rPr>
          <w:rFonts w:hint="cs"/>
          <w:rtl/>
        </w:rPr>
        <w:t>كل</w:t>
      </w:r>
      <w:r>
        <w:rPr>
          <w:rFonts w:hint="cs"/>
          <w:rtl/>
        </w:rPr>
        <w:t xml:space="preserve"> السلع </w:t>
      </w:r>
      <w:r w:rsidR="00256F0D">
        <w:rPr>
          <w:rFonts w:hint="cs"/>
          <w:rtl/>
        </w:rPr>
        <w:t>أ</w:t>
      </w:r>
      <w:r>
        <w:rPr>
          <w:rFonts w:hint="cs"/>
          <w:rtl/>
        </w:rPr>
        <w:t>و</w:t>
      </w:r>
      <w:r w:rsidR="00256F0D">
        <w:rPr>
          <w:rFonts w:hint="cs"/>
          <w:rtl/>
        </w:rPr>
        <w:t xml:space="preserve"> </w:t>
      </w:r>
      <w:r>
        <w:rPr>
          <w:rFonts w:hint="cs"/>
          <w:rtl/>
        </w:rPr>
        <w:t>الخدمات</w:t>
      </w:r>
      <w:r w:rsidR="00256F0D">
        <w:rPr>
          <w:rFonts w:hint="cs"/>
          <w:rtl/>
        </w:rPr>
        <w:t xml:space="preserve"> في القائمة</w:t>
      </w:r>
      <w:r w:rsidR="00E75376">
        <w:rPr>
          <w:rFonts w:hint="cs"/>
          <w:rtl/>
        </w:rPr>
        <w:t xml:space="preserve"> الأبجدية لهذا</w:t>
      </w:r>
      <w:r w:rsidR="00256F0D">
        <w:rPr>
          <w:rFonts w:hint="cs"/>
          <w:rtl/>
        </w:rPr>
        <w:t xml:space="preserve"> </w:t>
      </w:r>
      <w:r w:rsidR="00E75376">
        <w:rPr>
          <w:rFonts w:hint="cs"/>
          <w:rtl/>
        </w:rPr>
        <w:t>الصنف</w:t>
      </w:r>
      <w:r w:rsidR="00256F0D">
        <w:rPr>
          <w:rFonts w:hint="cs"/>
          <w:rtl/>
        </w:rPr>
        <w:t xml:space="preserve"> مما سيفضي إلى قبول المكتب بإنقاص يدرج أي من هذه السلع أو الخدمات</w:t>
      </w:r>
      <w:r w:rsidR="00FC5F94">
        <w:rPr>
          <w:rFonts w:hint="cs"/>
          <w:rtl/>
        </w:rPr>
        <w:t>،</w:t>
      </w:r>
      <w:r w:rsidR="00256F0D">
        <w:rPr>
          <w:rFonts w:hint="cs"/>
          <w:rtl/>
        </w:rPr>
        <w:t xml:space="preserve"> وقد لا ي</w:t>
      </w:r>
      <w:r w:rsidR="00E75376">
        <w:rPr>
          <w:rFonts w:hint="cs"/>
          <w:rtl/>
        </w:rPr>
        <w:t>ُ</w:t>
      </w:r>
      <w:r w:rsidR="00256F0D">
        <w:rPr>
          <w:rFonts w:hint="cs"/>
          <w:rtl/>
        </w:rPr>
        <w:t xml:space="preserve">قبل هذا الإنقاص في مكتب معين يعتبر أن عناوين </w:t>
      </w:r>
      <w:r w:rsidR="00E75376">
        <w:rPr>
          <w:rFonts w:hint="cs"/>
          <w:rtl/>
        </w:rPr>
        <w:t>الأصناف</w:t>
      </w:r>
      <w:r w:rsidR="00256F0D">
        <w:rPr>
          <w:rFonts w:hint="cs"/>
          <w:rtl/>
        </w:rPr>
        <w:t xml:space="preserve"> لا تحمي سوى السلع أو الخدمات</w:t>
      </w:r>
      <w:r w:rsidR="004E750E">
        <w:rPr>
          <w:rFonts w:hint="cs"/>
          <w:rtl/>
        </w:rPr>
        <w:t xml:space="preserve"> المتضمنة حاليا بالمعنى الحرفي لتلك </w:t>
      </w:r>
      <w:r w:rsidR="00E75376">
        <w:rPr>
          <w:rFonts w:hint="cs"/>
          <w:rtl/>
        </w:rPr>
        <w:t>الشروط</w:t>
      </w:r>
      <w:r w:rsidR="004E750E">
        <w:rPr>
          <w:rFonts w:hint="cs"/>
          <w:rtl/>
        </w:rPr>
        <w:t>.</w:t>
      </w:r>
    </w:p>
    <w:p w:rsidR="005F0DA0" w:rsidRPr="009F4162" w:rsidRDefault="005F0DA0" w:rsidP="00A50027">
      <w:pPr>
        <w:pStyle w:val="NumberedParaAR"/>
        <w:keepNext/>
        <w:numPr>
          <w:ilvl w:val="0"/>
          <w:numId w:val="0"/>
        </w:numPr>
        <w:rPr>
          <w:sz w:val="40"/>
          <w:szCs w:val="40"/>
          <w:rtl/>
          <w:lang w:bidi="ar-EG"/>
        </w:rPr>
      </w:pPr>
      <w:r w:rsidRPr="009F4162">
        <w:rPr>
          <w:rFonts w:hint="cs"/>
          <w:sz w:val="40"/>
          <w:szCs w:val="40"/>
          <w:rtl/>
          <w:lang w:bidi="ar-EG"/>
        </w:rPr>
        <w:t xml:space="preserve">إمكانية فحص </w:t>
      </w:r>
      <w:r w:rsidR="00672079" w:rsidRPr="009F4162">
        <w:rPr>
          <w:rFonts w:hint="cs"/>
          <w:sz w:val="40"/>
          <w:szCs w:val="40"/>
          <w:rtl/>
          <w:lang w:bidi="ar-EG"/>
        </w:rPr>
        <w:t>الإنقاص</w:t>
      </w:r>
      <w:r w:rsidR="009176E0" w:rsidRPr="009F4162">
        <w:rPr>
          <w:rFonts w:hint="cs"/>
          <w:sz w:val="40"/>
          <w:szCs w:val="40"/>
          <w:rtl/>
          <w:lang w:bidi="ar-EG"/>
        </w:rPr>
        <w:t>ات</w:t>
      </w:r>
      <w:r w:rsidR="00672079" w:rsidRPr="009F4162">
        <w:rPr>
          <w:rFonts w:hint="cs"/>
          <w:sz w:val="40"/>
          <w:szCs w:val="40"/>
          <w:rtl/>
          <w:lang w:bidi="ar-EG"/>
        </w:rPr>
        <w:t xml:space="preserve"> في مكتب المنشأ</w:t>
      </w:r>
      <w:r w:rsidR="009176E0" w:rsidRPr="009F4162">
        <w:rPr>
          <w:rFonts w:hint="cs"/>
          <w:sz w:val="40"/>
          <w:szCs w:val="40"/>
          <w:rtl/>
          <w:lang w:bidi="ar-EG"/>
        </w:rPr>
        <w:t xml:space="preserve"> أو مكتب الطرف المتعاقد التابع له </w:t>
      </w:r>
      <w:r w:rsidRPr="009F4162">
        <w:rPr>
          <w:rFonts w:hint="cs"/>
          <w:sz w:val="40"/>
          <w:szCs w:val="40"/>
          <w:rtl/>
          <w:lang w:bidi="ar-EG"/>
        </w:rPr>
        <w:t>صاحب التسجيل</w:t>
      </w:r>
    </w:p>
    <w:p w:rsidR="00F35CF2" w:rsidRPr="00E75376" w:rsidRDefault="00F35CF2" w:rsidP="00A50027">
      <w:pPr>
        <w:pStyle w:val="NumberedParaAR"/>
        <w:keepNext/>
        <w:numPr>
          <w:ilvl w:val="0"/>
          <w:numId w:val="0"/>
        </w:numPr>
        <w:rPr>
          <w:u w:val="single"/>
          <w:rtl/>
          <w:lang w:bidi="ar-EG"/>
        </w:rPr>
      </w:pPr>
      <w:r w:rsidRPr="00E75376">
        <w:rPr>
          <w:rFonts w:hint="cs"/>
          <w:u w:val="single"/>
          <w:rtl/>
          <w:lang w:bidi="ar-EG"/>
        </w:rPr>
        <w:t>فحص الإنقاص</w:t>
      </w:r>
      <w:r w:rsidR="001F3EA8">
        <w:rPr>
          <w:rFonts w:hint="cs"/>
          <w:u w:val="single"/>
          <w:rtl/>
          <w:lang w:bidi="ar-EG"/>
        </w:rPr>
        <w:t>ات</w:t>
      </w:r>
      <w:r w:rsidRPr="00E75376">
        <w:rPr>
          <w:rFonts w:hint="cs"/>
          <w:u w:val="single"/>
          <w:rtl/>
          <w:lang w:bidi="ar-EG"/>
        </w:rPr>
        <w:t xml:space="preserve"> </w:t>
      </w:r>
      <w:r w:rsidR="005F0DA0" w:rsidRPr="00E75376">
        <w:rPr>
          <w:rFonts w:hint="cs"/>
          <w:u w:val="single"/>
          <w:rtl/>
          <w:lang w:bidi="ar-EG"/>
        </w:rPr>
        <w:t>في الطلبات الدولية في</w:t>
      </w:r>
      <w:r w:rsidRPr="00E75376">
        <w:rPr>
          <w:rFonts w:hint="cs"/>
          <w:u w:val="single"/>
          <w:rtl/>
          <w:lang w:bidi="ar-EG"/>
        </w:rPr>
        <w:t xml:space="preserve"> مكتب المنشأ</w:t>
      </w:r>
    </w:p>
    <w:p w:rsidR="004E750E" w:rsidRDefault="00F35CF2" w:rsidP="002F20EC">
      <w:pPr>
        <w:pStyle w:val="NumberedParaAR"/>
      </w:pPr>
      <w:r>
        <w:rPr>
          <w:rFonts w:hint="cs"/>
          <w:rtl/>
        </w:rPr>
        <w:t xml:space="preserve">ومن شأن </w:t>
      </w:r>
      <w:r w:rsidR="00F94038">
        <w:rPr>
          <w:rFonts w:hint="cs"/>
          <w:rtl/>
        </w:rPr>
        <w:t xml:space="preserve">مطالبة </w:t>
      </w:r>
      <w:r>
        <w:rPr>
          <w:rFonts w:hint="cs"/>
          <w:rtl/>
        </w:rPr>
        <w:t xml:space="preserve">مكاتب المنشأ </w:t>
      </w:r>
      <w:r w:rsidR="00F94038">
        <w:rPr>
          <w:rFonts w:hint="cs"/>
          <w:rtl/>
        </w:rPr>
        <w:t>ب</w:t>
      </w:r>
      <w:r>
        <w:rPr>
          <w:rFonts w:hint="cs"/>
          <w:rtl/>
        </w:rPr>
        <w:t>فحص الإنقاص</w:t>
      </w:r>
      <w:r w:rsidR="001F3EA8">
        <w:rPr>
          <w:rFonts w:hint="cs"/>
          <w:rtl/>
        </w:rPr>
        <w:t>ات</w:t>
      </w:r>
      <w:r>
        <w:rPr>
          <w:rFonts w:hint="cs"/>
          <w:rtl/>
        </w:rPr>
        <w:t xml:space="preserve"> في الطلب</w:t>
      </w:r>
      <w:r w:rsidR="00F94038">
        <w:rPr>
          <w:rFonts w:hint="cs"/>
          <w:rtl/>
        </w:rPr>
        <w:t xml:space="preserve">ات الدولية أن يحدث مفارقة </w:t>
      </w:r>
      <w:r w:rsidR="002F20EC">
        <w:rPr>
          <w:rFonts w:hint="cs"/>
          <w:rtl/>
        </w:rPr>
        <w:t>و</w:t>
      </w:r>
      <w:r w:rsidR="00F94038">
        <w:rPr>
          <w:rFonts w:hint="cs"/>
          <w:rtl/>
        </w:rPr>
        <w:t xml:space="preserve">هي </w:t>
      </w:r>
      <w:r w:rsidR="002F20EC">
        <w:rPr>
          <w:rFonts w:hint="cs"/>
          <w:rtl/>
        </w:rPr>
        <w:t xml:space="preserve">أن </w:t>
      </w:r>
      <w:r w:rsidR="001F3EA8">
        <w:rPr>
          <w:rFonts w:hint="cs"/>
          <w:rtl/>
        </w:rPr>
        <w:t>الإنقاصات ستفحص ويق</w:t>
      </w:r>
      <w:r w:rsidR="002F20EC">
        <w:rPr>
          <w:rFonts w:hint="cs"/>
          <w:rtl/>
        </w:rPr>
        <w:t>ر</w:t>
      </w:r>
      <w:r w:rsidR="001F3EA8">
        <w:rPr>
          <w:rFonts w:hint="cs"/>
          <w:rtl/>
        </w:rPr>
        <w:t>ر مصيرها حسب</w:t>
      </w:r>
      <w:r>
        <w:rPr>
          <w:rFonts w:hint="cs"/>
          <w:rtl/>
        </w:rPr>
        <w:t xml:space="preserve"> ولايات قضائية </w:t>
      </w:r>
      <w:r w:rsidR="001F3EA8">
        <w:rPr>
          <w:rFonts w:hint="cs"/>
          <w:rtl/>
        </w:rPr>
        <w:t>مختلفة</w:t>
      </w:r>
      <w:r w:rsidR="00F94038">
        <w:rPr>
          <w:rFonts w:hint="cs"/>
          <w:rtl/>
        </w:rPr>
        <w:t xml:space="preserve"> </w:t>
      </w:r>
      <w:r w:rsidR="002F20EC">
        <w:rPr>
          <w:rFonts w:hint="cs"/>
          <w:rtl/>
        </w:rPr>
        <w:t xml:space="preserve">وسترتكز فقط على طريقة </w:t>
      </w:r>
      <w:r w:rsidR="00F94038">
        <w:rPr>
          <w:rFonts w:hint="cs"/>
          <w:rtl/>
        </w:rPr>
        <w:t>عرض الإنقاص. أما الإنقاص</w:t>
      </w:r>
      <w:r w:rsidR="001F3EA8">
        <w:rPr>
          <w:rFonts w:hint="cs"/>
          <w:rtl/>
        </w:rPr>
        <w:t>ات</w:t>
      </w:r>
      <w:r w:rsidR="00F94038">
        <w:rPr>
          <w:rFonts w:hint="cs"/>
          <w:rtl/>
        </w:rPr>
        <w:t xml:space="preserve"> المقدم</w:t>
      </w:r>
      <w:r w:rsidR="001F3EA8">
        <w:rPr>
          <w:rFonts w:hint="cs"/>
          <w:rtl/>
        </w:rPr>
        <w:t>ة</w:t>
      </w:r>
      <w:r w:rsidR="00F94038">
        <w:rPr>
          <w:rFonts w:hint="cs"/>
          <w:rtl/>
        </w:rPr>
        <w:t xml:space="preserve"> في الطلب الدولي فسيفحصه</w:t>
      </w:r>
      <w:r w:rsidR="002F20EC">
        <w:rPr>
          <w:rFonts w:hint="cs"/>
          <w:rtl/>
        </w:rPr>
        <w:t>ا</w:t>
      </w:r>
      <w:r w:rsidR="00F94038">
        <w:rPr>
          <w:rFonts w:hint="cs"/>
          <w:rtl/>
        </w:rPr>
        <w:t xml:space="preserve"> مكتب المنشأ </w:t>
      </w:r>
      <w:r w:rsidR="005F0DA0">
        <w:rPr>
          <w:rFonts w:hint="cs"/>
          <w:rtl/>
        </w:rPr>
        <w:t>ويقرر مصيره</w:t>
      </w:r>
      <w:r w:rsidR="002F20EC">
        <w:rPr>
          <w:rFonts w:hint="cs"/>
          <w:rtl/>
        </w:rPr>
        <w:t>ا</w:t>
      </w:r>
      <w:r w:rsidR="005F0DA0">
        <w:rPr>
          <w:rFonts w:hint="cs"/>
          <w:rtl/>
        </w:rPr>
        <w:t xml:space="preserve">، وأما الالتماسات مثل تدوين تغيير </w:t>
      </w:r>
      <w:r w:rsidR="002F20EC">
        <w:rPr>
          <w:rFonts w:hint="cs"/>
          <w:rtl/>
        </w:rPr>
        <w:t>فسيفحصها</w:t>
      </w:r>
      <w:r w:rsidR="005F0DA0">
        <w:rPr>
          <w:rFonts w:hint="cs"/>
          <w:rtl/>
        </w:rPr>
        <w:t xml:space="preserve"> مكتب الطرف المتعاقد المعين.</w:t>
      </w:r>
    </w:p>
    <w:p w:rsidR="005F0DA0" w:rsidRDefault="005F0DA0" w:rsidP="00FC5F94">
      <w:pPr>
        <w:pStyle w:val="NumberedParaAR"/>
      </w:pPr>
      <w:r>
        <w:rPr>
          <w:rFonts w:hint="cs"/>
          <w:rtl/>
        </w:rPr>
        <w:t>في حال أجرت مكاتب المنشأ فحص الإنقاص</w:t>
      </w:r>
      <w:r w:rsidR="002F20EC">
        <w:rPr>
          <w:rFonts w:hint="cs"/>
          <w:rtl/>
        </w:rPr>
        <w:t>ات</w:t>
      </w:r>
      <w:r>
        <w:rPr>
          <w:rFonts w:hint="cs"/>
          <w:rtl/>
        </w:rPr>
        <w:t xml:space="preserve"> في الطلبات الدولية، </w:t>
      </w:r>
      <w:r w:rsidRPr="002F20EC">
        <w:rPr>
          <w:rFonts w:hint="cs"/>
          <w:rtl/>
        </w:rPr>
        <w:t xml:space="preserve">لابد من </w:t>
      </w:r>
      <w:r w:rsidR="00FC5F94">
        <w:rPr>
          <w:rFonts w:hint="cs"/>
          <w:rtl/>
        </w:rPr>
        <w:t>النظر</w:t>
      </w:r>
      <w:r w:rsidR="00120F2E" w:rsidRPr="002F20EC">
        <w:rPr>
          <w:rFonts w:hint="cs"/>
          <w:rtl/>
        </w:rPr>
        <w:t xml:space="preserve"> في</w:t>
      </w:r>
      <w:r>
        <w:rPr>
          <w:rFonts w:hint="cs"/>
          <w:rtl/>
        </w:rPr>
        <w:t xml:space="preserve"> إخطار مكاتب الأطراف المتعاقدة المعينة بنتيجة الفحص، غالبا وفقا للقاعدة 14(1) من اللائحة التنفيذية المشتركة. وفي هذه الحالة، من شأن قرارات مكت</w:t>
      </w:r>
      <w:r w:rsidR="00120F2E">
        <w:rPr>
          <w:rFonts w:hint="cs"/>
          <w:rtl/>
        </w:rPr>
        <w:t>ب</w:t>
      </w:r>
      <w:r>
        <w:rPr>
          <w:rFonts w:hint="cs"/>
          <w:rtl/>
        </w:rPr>
        <w:t xml:space="preserve"> المنشأ أن </w:t>
      </w:r>
      <w:r w:rsidR="003C040E" w:rsidRPr="003C040E">
        <w:rPr>
          <w:rFonts w:hint="cs"/>
          <w:rtl/>
        </w:rPr>
        <w:t>تؤثر</w:t>
      </w:r>
      <w:r w:rsidR="00097400" w:rsidRPr="003C040E">
        <w:rPr>
          <w:rFonts w:hint="cs"/>
          <w:rtl/>
        </w:rPr>
        <w:t xml:space="preserve"> </w:t>
      </w:r>
      <w:r w:rsidRPr="00097400">
        <w:rPr>
          <w:rFonts w:hint="cs"/>
          <w:rtl/>
        </w:rPr>
        <w:t xml:space="preserve">مباشرة </w:t>
      </w:r>
      <w:r w:rsidR="003C040E">
        <w:rPr>
          <w:rFonts w:hint="cs"/>
          <w:rtl/>
        </w:rPr>
        <w:t xml:space="preserve">على </w:t>
      </w:r>
      <w:r w:rsidR="00120F2E" w:rsidRPr="00097400">
        <w:rPr>
          <w:rFonts w:hint="cs"/>
          <w:rtl/>
        </w:rPr>
        <w:t>ن</w:t>
      </w:r>
      <w:r w:rsidRPr="00097400">
        <w:rPr>
          <w:rFonts w:hint="cs"/>
          <w:rtl/>
        </w:rPr>
        <w:t>طاق</w:t>
      </w:r>
      <w:r>
        <w:rPr>
          <w:rFonts w:hint="cs"/>
          <w:rtl/>
        </w:rPr>
        <w:t xml:space="preserve"> الحماية في الأطراف المتعاقدة المعينة.</w:t>
      </w:r>
    </w:p>
    <w:p w:rsidR="005F0DA0" w:rsidRDefault="00120F2E" w:rsidP="00097400">
      <w:pPr>
        <w:pStyle w:val="NumberedParaAR"/>
      </w:pPr>
      <w:r>
        <w:rPr>
          <w:rFonts w:hint="cs"/>
          <w:rtl/>
        </w:rPr>
        <w:t>وفحص الإنقاص</w:t>
      </w:r>
      <w:r w:rsidR="00097400">
        <w:rPr>
          <w:rFonts w:hint="cs"/>
          <w:rtl/>
        </w:rPr>
        <w:t>ات</w:t>
      </w:r>
      <w:r>
        <w:rPr>
          <w:rFonts w:hint="cs"/>
          <w:rtl/>
        </w:rPr>
        <w:t xml:space="preserve"> في الطلبات الدولية موضوع جوهري ولايبدو أن</w:t>
      </w:r>
      <w:r w:rsidR="00097400">
        <w:rPr>
          <w:rFonts w:hint="cs"/>
          <w:rtl/>
        </w:rPr>
        <w:t>ه</w:t>
      </w:r>
      <w:r>
        <w:rPr>
          <w:rFonts w:hint="cs"/>
          <w:rtl/>
        </w:rPr>
        <w:t xml:space="preserve"> </w:t>
      </w:r>
      <w:r w:rsidR="00097400">
        <w:rPr>
          <w:rFonts w:hint="cs"/>
          <w:rtl/>
        </w:rPr>
        <w:t>يدخل</w:t>
      </w:r>
      <w:r>
        <w:rPr>
          <w:rFonts w:hint="cs"/>
          <w:rtl/>
        </w:rPr>
        <w:t xml:space="preserve"> في نطاق وظيفة الشهادات. وتنص المادة 3(1) من البروتوكول على أن</w:t>
      </w:r>
      <w:r w:rsidRPr="00120F2E">
        <w:rPr>
          <w:rtl/>
        </w:rPr>
        <w:t xml:space="preserve"> مكتب المنشأ </w:t>
      </w:r>
      <w:r>
        <w:rPr>
          <w:rFonts w:hint="cs"/>
          <w:rtl/>
        </w:rPr>
        <w:t xml:space="preserve">عليه </w:t>
      </w:r>
      <w:r w:rsidRPr="00120F2E">
        <w:rPr>
          <w:rtl/>
        </w:rPr>
        <w:t xml:space="preserve">أن يشهد أن البيانات الواردة في الطلب الدولي </w:t>
      </w:r>
      <w:r w:rsidRPr="00120F2E">
        <w:rPr>
          <w:i/>
          <w:iCs/>
          <w:rtl/>
        </w:rPr>
        <w:t>تطابق</w:t>
      </w:r>
      <w:r w:rsidRPr="00120F2E">
        <w:rPr>
          <w:rtl/>
        </w:rPr>
        <w:t xml:space="preserve"> البيانات الواردة وقت الشهادة في الطلب الأساسي أو في التسجيل الأساسي حسب الحال. </w:t>
      </w:r>
      <w:r>
        <w:rPr>
          <w:rFonts w:hint="cs"/>
          <w:rtl/>
        </w:rPr>
        <w:t xml:space="preserve">ويوحي </w:t>
      </w:r>
      <w:r w:rsidRPr="00097400">
        <w:rPr>
          <w:rFonts w:hint="cs"/>
          <w:rtl/>
        </w:rPr>
        <w:t>مفهوم</w:t>
      </w:r>
      <w:r>
        <w:rPr>
          <w:rFonts w:hint="cs"/>
          <w:rtl/>
        </w:rPr>
        <w:t xml:space="preserve"> التطابق بأن مكتب المنشأ يتأكد من وجود </w:t>
      </w:r>
      <w:r w:rsidR="00097400">
        <w:rPr>
          <w:rFonts w:hint="cs"/>
          <w:rtl/>
        </w:rPr>
        <w:t>علاقة</w:t>
      </w:r>
      <w:r>
        <w:rPr>
          <w:rFonts w:hint="cs"/>
          <w:rtl/>
        </w:rPr>
        <w:t xml:space="preserve"> بين </w:t>
      </w:r>
      <w:r w:rsidRPr="0073076B">
        <w:rPr>
          <w:rFonts w:hint="cs"/>
          <w:rtl/>
        </w:rPr>
        <w:t>البيانات ذات الشهادة في كل</w:t>
      </w:r>
      <w:r>
        <w:rPr>
          <w:rFonts w:hint="cs"/>
          <w:rtl/>
        </w:rPr>
        <w:t xml:space="preserve"> م</w:t>
      </w:r>
      <w:r w:rsidR="00097400">
        <w:rPr>
          <w:rFonts w:hint="cs"/>
          <w:rtl/>
        </w:rPr>
        <w:t>ن الطلب الدولي والعلامة الأساسية</w:t>
      </w:r>
      <w:r>
        <w:rPr>
          <w:rFonts w:hint="cs"/>
          <w:rtl/>
        </w:rPr>
        <w:t>، ولا يوحي بأنه ينبغي على المكتب أن يجري فحصا م</w:t>
      </w:r>
      <w:r w:rsidR="00097400">
        <w:rPr>
          <w:rFonts w:hint="cs"/>
          <w:rtl/>
        </w:rPr>
        <w:t>ت</w:t>
      </w:r>
      <w:r>
        <w:rPr>
          <w:rFonts w:hint="cs"/>
          <w:rtl/>
        </w:rPr>
        <w:t xml:space="preserve">عمقا للطلب الدولي مثل أن يبت فيما إذا كان الإنقاصُ فعلا إنقاصا أم أنه تمديد </w:t>
      </w:r>
      <w:r w:rsidR="00097400">
        <w:rPr>
          <w:rFonts w:hint="cs"/>
          <w:rtl/>
        </w:rPr>
        <w:t>بال</w:t>
      </w:r>
      <w:r>
        <w:rPr>
          <w:rFonts w:hint="cs"/>
          <w:rtl/>
        </w:rPr>
        <w:t>مقارنة بالقائمة الأساسية.</w:t>
      </w:r>
    </w:p>
    <w:p w:rsidR="00120F2E" w:rsidRPr="007C39E6" w:rsidRDefault="00120F2E" w:rsidP="007C39E6">
      <w:pPr>
        <w:pStyle w:val="NumberedParaAR"/>
      </w:pPr>
      <w:r>
        <w:rPr>
          <w:rFonts w:hint="cs"/>
          <w:rtl/>
        </w:rPr>
        <w:t xml:space="preserve">ومن </w:t>
      </w:r>
      <w:r w:rsidR="00097400">
        <w:rPr>
          <w:rFonts w:hint="cs"/>
          <w:rtl/>
        </w:rPr>
        <w:t>الواضح</w:t>
      </w:r>
      <w:r>
        <w:rPr>
          <w:rFonts w:hint="cs"/>
          <w:rtl/>
        </w:rPr>
        <w:t xml:space="preserve"> </w:t>
      </w:r>
      <w:r w:rsidR="00097400">
        <w:rPr>
          <w:rFonts w:hint="cs"/>
          <w:rtl/>
        </w:rPr>
        <w:t>أنه ما من</w:t>
      </w:r>
      <w:r>
        <w:rPr>
          <w:rFonts w:hint="cs"/>
          <w:rtl/>
        </w:rPr>
        <w:t xml:space="preserve"> توافق</w:t>
      </w:r>
      <w:r w:rsidR="00097400">
        <w:rPr>
          <w:rFonts w:hint="cs"/>
          <w:rtl/>
        </w:rPr>
        <w:t xml:space="preserve"> في</w:t>
      </w:r>
      <w:r>
        <w:rPr>
          <w:rFonts w:hint="cs"/>
          <w:rtl/>
        </w:rPr>
        <w:t xml:space="preserve"> آراء </w:t>
      </w:r>
      <w:r w:rsidR="00097400">
        <w:rPr>
          <w:rFonts w:hint="cs"/>
          <w:rtl/>
        </w:rPr>
        <w:t>مكاتب الأ</w:t>
      </w:r>
      <w:r>
        <w:rPr>
          <w:rFonts w:hint="cs"/>
          <w:rtl/>
        </w:rPr>
        <w:t>طراف المتعاقدة منذ الدورات السابقة للفريق العامل عما إذا كانت الشهادة تتضمن فحص الإنقاص</w:t>
      </w:r>
      <w:r w:rsidR="007C39E6">
        <w:rPr>
          <w:rFonts w:hint="cs"/>
          <w:rtl/>
        </w:rPr>
        <w:t>ات</w:t>
      </w:r>
      <w:r>
        <w:rPr>
          <w:rFonts w:hint="cs"/>
          <w:rtl/>
        </w:rPr>
        <w:t xml:space="preserve">. كما يبدو أنه ما من دعم </w:t>
      </w:r>
      <w:r w:rsidR="007C39E6">
        <w:rPr>
          <w:rFonts w:hint="cs"/>
          <w:rtl/>
        </w:rPr>
        <w:t>حاسم</w:t>
      </w:r>
      <w:r>
        <w:rPr>
          <w:rFonts w:hint="cs"/>
          <w:rtl/>
        </w:rPr>
        <w:t xml:space="preserve"> </w:t>
      </w:r>
      <w:r w:rsidR="007C39E6">
        <w:rPr>
          <w:rFonts w:hint="cs"/>
          <w:rtl/>
        </w:rPr>
        <w:t>في</w:t>
      </w:r>
      <w:r>
        <w:rPr>
          <w:rFonts w:hint="cs"/>
          <w:rtl/>
        </w:rPr>
        <w:t xml:space="preserve"> الإطار القانوني لنظام مدريد يخلص إلى أن </w:t>
      </w:r>
      <w:r w:rsidRPr="007C39E6">
        <w:rPr>
          <w:rFonts w:hint="cs"/>
          <w:rtl/>
        </w:rPr>
        <w:t>الأمر ينبغي أن يكون هكذا.</w:t>
      </w:r>
    </w:p>
    <w:p w:rsidR="00120F2E" w:rsidRDefault="00120F2E" w:rsidP="00FC5F94">
      <w:pPr>
        <w:pStyle w:val="NumberedParaAR"/>
      </w:pPr>
      <w:r>
        <w:rPr>
          <w:rFonts w:hint="cs"/>
          <w:rtl/>
        </w:rPr>
        <w:t>ولابد أيضا من التفك</w:t>
      </w:r>
      <w:r w:rsidR="00714F89">
        <w:rPr>
          <w:rFonts w:hint="cs"/>
          <w:rtl/>
        </w:rPr>
        <w:t>ي</w:t>
      </w:r>
      <w:r>
        <w:rPr>
          <w:rFonts w:hint="cs"/>
          <w:rtl/>
        </w:rPr>
        <w:t>ر بعناية في التداعيات الأخرى قبل المطالبة بأن تجري مكاتب</w:t>
      </w:r>
      <w:r w:rsidR="00714F89">
        <w:rPr>
          <w:rFonts w:hint="cs"/>
          <w:rtl/>
        </w:rPr>
        <w:t xml:space="preserve"> </w:t>
      </w:r>
      <w:r>
        <w:rPr>
          <w:rFonts w:hint="cs"/>
          <w:rtl/>
        </w:rPr>
        <w:t>المنشأ فحص الإنقاص</w:t>
      </w:r>
      <w:r w:rsidR="00714F89">
        <w:rPr>
          <w:rFonts w:hint="cs"/>
          <w:rtl/>
        </w:rPr>
        <w:t>ات</w:t>
      </w:r>
      <w:r>
        <w:rPr>
          <w:rFonts w:hint="cs"/>
          <w:rtl/>
        </w:rPr>
        <w:t xml:space="preserve"> في الطلبات الدولية. فمثلا، </w:t>
      </w:r>
      <w:r w:rsidR="0063186D">
        <w:rPr>
          <w:rFonts w:hint="cs"/>
          <w:rtl/>
        </w:rPr>
        <w:t>من شأن مهلة</w:t>
      </w:r>
      <w:r>
        <w:rPr>
          <w:rFonts w:hint="cs"/>
          <w:rtl/>
        </w:rPr>
        <w:t xml:space="preserve"> الشهرين </w:t>
      </w:r>
      <w:r w:rsidR="00714F89">
        <w:rPr>
          <w:rFonts w:hint="cs"/>
          <w:rtl/>
        </w:rPr>
        <w:t>لمعالجة الطلبات الدولية في</w:t>
      </w:r>
      <w:r w:rsidR="0063186D">
        <w:rPr>
          <w:rFonts w:hint="cs"/>
          <w:rtl/>
        </w:rPr>
        <w:t xml:space="preserve"> </w:t>
      </w:r>
      <w:r w:rsidR="00714F89">
        <w:rPr>
          <w:rFonts w:hint="cs"/>
          <w:rtl/>
        </w:rPr>
        <w:t xml:space="preserve">تلك </w:t>
      </w:r>
      <w:r w:rsidR="0063186D">
        <w:rPr>
          <w:rFonts w:hint="cs"/>
          <w:rtl/>
        </w:rPr>
        <w:t xml:space="preserve">المكاتب أن تشكل عقبة </w:t>
      </w:r>
      <w:r w:rsidR="00714F89">
        <w:rPr>
          <w:rFonts w:hint="cs"/>
          <w:rtl/>
        </w:rPr>
        <w:t>ضخمة</w:t>
      </w:r>
      <w:r w:rsidR="0063186D">
        <w:rPr>
          <w:rFonts w:hint="cs"/>
          <w:rtl/>
        </w:rPr>
        <w:t xml:space="preserve"> إذ ينبغي فتح حوار معقد بين المكتب والمودع. وهذا من شأنه أن يضيف إلى </w:t>
      </w:r>
      <w:r w:rsidR="00714F89">
        <w:rPr>
          <w:rFonts w:hint="cs"/>
          <w:rtl/>
        </w:rPr>
        <w:t>أعباء</w:t>
      </w:r>
      <w:r w:rsidR="0063186D">
        <w:rPr>
          <w:rFonts w:hint="cs"/>
          <w:rtl/>
        </w:rPr>
        <w:t xml:space="preserve"> المكاتب التي لا تجري </w:t>
      </w:r>
      <w:r w:rsidR="00714F89">
        <w:rPr>
          <w:rFonts w:hint="cs"/>
          <w:rtl/>
        </w:rPr>
        <w:t xml:space="preserve">حاليا </w:t>
      </w:r>
      <w:r w:rsidR="0063186D">
        <w:rPr>
          <w:rFonts w:hint="cs"/>
          <w:rtl/>
        </w:rPr>
        <w:t xml:space="preserve">هذا الفحص. كما </w:t>
      </w:r>
      <w:r w:rsidR="00714F89">
        <w:rPr>
          <w:rFonts w:hint="cs"/>
          <w:rtl/>
        </w:rPr>
        <w:t xml:space="preserve">قد </w:t>
      </w:r>
      <w:r w:rsidR="0063186D">
        <w:rPr>
          <w:rFonts w:hint="cs"/>
          <w:rtl/>
        </w:rPr>
        <w:t xml:space="preserve">يتزايد </w:t>
      </w:r>
      <w:r w:rsidR="0063186D">
        <w:rPr>
          <w:rFonts w:hint="cs"/>
          <w:rtl/>
        </w:rPr>
        <w:lastRenderedPageBreak/>
        <w:t xml:space="preserve">خطر </w:t>
      </w:r>
      <w:r w:rsidR="00714F89">
        <w:rPr>
          <w:rFonts w:hint="cs"/>
          <w:rtl/>
        </w:rPr>
        <w:t>عجز</w:t>
      </w:r>
      <w:r w:rsidR="0063186D">
        <w:rPr>
          <w:rFonts w:hint="cs"/>
          <w:rtl/>
        </w:rPr>
        <w:t xml:space="preserve"> المكاتب عن </w:t>
      </w:r>
      <w:r w:rsidR="00714F89">
        <w:rPr>
          <w:rFonts w:hint="cs"/>
          <w:rtl/>
        </w:rPr>
        <w:t>استيفاء</w:t>
      </w:r>
      <w:r w:rsidR="0063186D">
        <w:rPr>
          <w:rFonts w:hint="cs"/>
          <w:rtl/>
        </w:rPr>
        <w:t xml:space="preserve"> مهلة الشهرين لتقديم الطلبات الدولية، مما سيؤثر بدوره في تواريخ التسجيلات الدولية </w:t>
      </w:r>
      <w:r w:rsidR="00FC5F94">
        <w:rPr>
          <w:rFonts w:hint="cs"/>
          <w:rtl/>
        </w:rPr>
        <w:t>وقد يسفر ذلك</w:t>
      </w:r>
      <w:r w:rsidR="00714F89">
        <w:rPr>
          <w:rFonts w:hint="cs"/>
          <w:rtl/>
        </w:rPr>
        <w:t xml:space="preserve"> </w:t>
      </w:r>
      <w:r w:rsidR="00FC5F94">
        <w:rPr>
          <w:rFonts w:hint="cs"/>
          <w:rtl/>
        </w:rPr>
        <w:t>عن الإضرار ب</w:t>
      </w:r>
      <w:r w:rsidR="00962AC7">
        <w:rPr>
          <w:rFonts w:hint="cs"/>
          <w:rtl/>
        </w:rPr>
        <w:t>المودعين</w:t>
      </w:r>
      <w:r w:rsidR="0063186D">
        <w:rPr>
          <w:rFonts w:hint="cs"/>
          <w:rtl/>
        </w:rPr>
        <w:t>.</w:t>
      </w:r>
    </w:p>
    <w:p w:rsidR="0063186D" w:rsidRDefault="0063186D" w:rsidP="0063186D">
      <w:pPr>
        <w:pStyle w:val="NumberedParaAR"/>
      </w:pPr>
      <w:r>
        <w:rPr>
          <w:rFonts w:hint="cs"/>
          <w:rtl/>
        </w:rPr>
        <w:t>وبالنظر إلى المناقشة حول ما إذا يمكن اعتبار فحص الإنقاص</w:t>
      </w:r>
      <w:r w:rsidR="00714F89">
        <w:rPr>
          <w:rFonts w:hint="cs"/>
          <w:rtl/>
        </w:rPr>
        <w:t>ات</w:t>
      </w:r>
      <w:r>
        <w:rPr>
          <w:rFonts w:hint="cs"/>
          <w:rtl/>
        </w:rPr>
        <w:t xml:space="preserve"> كجزء من وظيفة الشهادة، من شأن فحص مكتب المنشأ للإنقاص أن يسفر عن القضايا التالية أيضا:</w:t>
      </w:r>
    </w:p>
    <w:p w:rsidR="0063186D" w:rsidRDefault="00714F89" w:rsidP="00714F89">
      <w:pPr>
        <w:pStyle w:val="NumberedParaAR"/>
        <w:numPr>
          <w:ilvl w:val="0"/>
          <w:numId w:val="0"/>
        </w:numPr>
        <w:ind w:left="1078"/>
        <w:rPr>
          <w:rtl/>
        </w:rPr>
      </w:pPr>
      <w:r>
        <w:rPr>
          <w:rFonts w:hint="cs"/>
          <w:rtl/>
        </w:rPr>
        <w:t>(أ)</w:t>
      </w:r>
      <w:r>
        <w:rPr>
          <w:rFonts w:hint="cs"/>
          <w:rtl/>
        </w:rPr>
        <w:tab/>
        <w:t>من شأن مكتب المنشأ أن يفحص الإنقاص للتأك</w:t>
      </w:r>
      <w:r w:rsidR="0063186D">
        <w:rPr>
          <w:rFonts w:hint="cs"/>
          <w:rtl/>
        </w:rPr>
        <w:t xml:space="preserve">د من </w:t>
      </w:r>
      <w:r>
        <w:rPr>
          <w:rFonts w:hint="cs"/>
          <w:rtl/>
        </w:rPr>
        <w:t>اتفاقه</w:t>
      </w:r>
      <w:r w:rsidR="0063186D">
        <w:rPr>
          <w:rFonts w:hint="cs"/>
          <w:rtl/>
        </w:rPr>
        <w:t xml:space="preserve"> مع القائمة الأساسية للطلب الدولي دون مراقبة من المكتب الدولي.</w:t>
      </w:r>
    </w:p>
    <w:p w:rsidR="0063186D" w:rsidRDefault="0063186D" w:rsidP="0063186D">
      <w:pPr>
        <w:pStyle w:val="NumberedParaAR"/>
        <w:numPr>
          <w:ilvl w:val="0"/>
          <w:numId w:val="0"/>
        </w:numPr>
        <w:ind w:left="1078"/>
        <w:rPr>
          <w:rtl/>
        </w:rPr>
      </w:pPr>
      <w:r>
        <w:rPr>
          <w:rFonts w:hint="cs"/>
          <w:rtl/>
        </w:rPr>
        <w:t>(ب)</w:t>
      </w:r>
      <w:r>
        <w:rPr>
          <w:rFonts w:hint="cs"/>
          <w:rtl/>
        </w:rPr>
        <w:tab/>
        <w:t>لابد أن تقبل جميع الأطراف المتعاقدة المعينة القانون وممارسات التصنيف المتبعة في مكتب المنشأ. ولن تعرض آراء مكتب المنشأ لمراقبة المكتب الدولي ولترجيح رأيه.</w:t>
      </w:r>
    </w:p>
    <w:p w:rsidR="0063186D" w:rsidRDefault="0063186D" w:rsidP="00FC5F94">
      <w:pPr>
        <w:pStyle w:val="NumberedParaAR"/>
        <w:numPr>
          <w:ilvl w:val="0"/>
          <w:numId w:val="0"/>
        </w:numPr>
        <w:ind w:left="1078"/>
        <w:rPr>
          <w:rtl/>
        </w:rPr>
      </w:pPr>
      <w:r>
        <w:rPr>
          <w:rFonts w:hint="cs"/>
          <w:rtl/>
        </w:rPr>
        <w:t>(ج)</w:t>
      </w:r>
      <w:r>
        <w:rPr>
          <w:rFonts w:hint="cs"/>
          <w:rtl/>
        </w:rPr>
        <w:tab/>
        <w:t xml:space="preserve">سيزداد عبء العمل </w:t>
      </w:r>
      <w:r w:rsidR="00FC5F94">
        <w:rPr>
          <w:rFonts w:hint="cs"/>
          <w:rtl/>
        </w:rPr>
        <w:t xml:space="preserve">زيادة مطردة </w:t>
      </w:r>
      <w:r>
        <w:rPr>
          <w:rFonts w:hint="cs"/>
          <w:rtl/>
        </w:rPr>
        <w:t>في مكاتب المنشأ التي لا تفحص حاليا الإنقاص</w:t>
      </w:r>
      <w:r w:rsidR="00714F89">
        <w:rPr>
          <w:rFonts w:hint="cs"/>
          <w:rtl/>
        </w:rPr>
        <w:t>ات</w:t>
      </w:r>
      <w:r>
        <w:rPr>
          <w:rFonts w:hint="cs"/>
          <w:rtl/>
        </w:rPr>
        <w:t>.</w:t>
      </w:r>
    </w:p>
    <w:p w:rsidR="00BE71CB" w:rsidRDefault="0063186D" w:rsidP="00162381">
      <w:pPr>
        <w:pStyle w:val="NumberedParaAR"/>
        <w:numPr>
          <w:ilvl w:val="0"/>
          <w:numId w:val="0"/>
        </w:numPr>
        <w:ind w:left="1078"/>
        <w:rPr>
          <w:rtl/>
        </w:rPr>
      </w:pPr>
      <w:r>
        <w:rPr>
          <w:rFonts w:hint="cs"/>
          <w:rtl/>
        </w:rPr>
        <w:t>(د)</w:t>
      </w:r>
      <w:r>
        <w:rPr>
          <w:rFonts w:hint="cs"/>
          <w:rtl/>
        </w:rPr>
        <w:tab/>
        <w:t>قد لا يتمكن المودعون من صياغة إنقاص</w:t>
      </w:r>
      <w:r w:rsidR="00714F89">
        <w:rPr>
          <w:rFonts w:hint="cs"/>
          <w:rtl/>
        </w:rPr>
        <w:t>ات</w:t>
      </w:r>
      <w:r>
        <w:rPr>
          <w:rFonts w:hint="cs"/>
          <w:rtl/>
        </w:rPr>
        <w:t xml:space="preserve"> </w:t>
      </w:r>
      <w:r w:rsidR="00714F89">
        <w:rPr>
          <w:rFonts w:hint="cs"/>
          <w:rtl/>
        </w:rPr>
        <w:t>ب</w:t>
      </w:r>
      <w:r>
        <w:rPr>
          <w:rFonts w:hint="cs"/>
          <w:rtl/>
        </w:rPr>
        <w:t xml:space="preserve">مارسة الفحص في </w:t>
      </w:r>
      <w:r w:rsidR="00BE71CB">
        <w:rPr>
          <w:rFonts w:hint="cs"/>
          <w:rtl/>
        </w:rPr>
        <w:t xml:space="preserve">طرف </w:t>
      </w:r>
      <w:r>
        <w:rPr>
          <w:rFonts w:hint="cs"/>
          <w:rtl/>
        </w:rPr>
        <w:t xml:space="preserve">متعاقد معني </w:t>
      </w:r>
      <w:r w:rsidR="00162381">
        <w:rPr>
          <w:rFonts w:hint="cs"/>
          <w:rtl/>
        </w:rPr>
        <w:t>محدد</w:t>
      </w:r>
      <w:r w:rsidR="00127723">
        <w:rPr>
          <w:rFonts w:hint="cs"/>
          <w:rtl/>
        </w:rPr>
        <w:t>،</w:t>
      </w:r>
      <w:r w:rsidR="00714F89">
        <w:rPr>
          <w:rFonts w:hint="cs"/>
          <w:rtl/>
        </w:rPr>
        <w:t xml:space="preserve"> </w:t>
      </w:r>
      <w:r w:rsidR="00127723">
        <w:rPr>
          <w:rFonts w:hint="cs"/>
          <w:rtl/>
        </w:rPr>
        <w:t>عندما لا</w:t>
      </w:r>
      <w:r w:rsidR="00BE71CB">
        <w:rPr>
          <w:rFonts w:hint="cs"/>
          <w:rtl/>
        </w:rPr>
        <w:t xml:space="preserve"> تطابق هذه الممارسة تلك التي يطبقها مكتب المنشأ. وبالعكس، لابد وأن </w:t>
      </w:r>
      <w:r w:rsidR="00127723">
        <w:rPr>
          <w:rFonts w:hint="cs"/>
          <w:rtl/>
        </w:rPr>
        <w:t>يكونوا على دراية</w:t>
      </w:r>
      <w:r w:rsidR="00BE71CB">
        <w:rPr>
          <w:rFonts w:hint="cs"/>
          <w:rtl/>
        </w:rPr>
        <w:t xml:space="preserve"> </w:t>
      </w:r>
      <w:r w:rsidR="00127723">
        <w:rPr>
          <w:rFonts w:hint="cs"/>
          <w:rtl/>
        </w:rPr>
        <w:t>با</w:t>
      </w:r>
      <w:r w:rsidR="00BE71CB">
        <w:rPr>
          <w:rFonts w:hint="cs"/>
          <w:rtl/>
        </w:rPr>
        <w:t>لممارسات المتبعة في مكاتب المنشأ.</w:t>
      </w:r>
    </w:p>
    <w:p w:rsidR="00BE71CB" w:rsidRDefault="00BE71CB" w:rsidP="00162381">
      <w:pPr>
        <w:pStyle w:val="NumberedParaAR"/>
        <w:numPr>
          <w:ilvl w:val="0"/>
          <w:numId w:val="0"/>
        </w:numPr>
        <w:ind w:left="1078"/>
        <w:rPr>
          <w:rtl/>
        </w:rPr>
      </w:pPr>
      <w:r>
        <w:rPr>
          <w:rFonts w:hint="cs"/>
          <w:rtl/>
        </w:rPr>
        <w:t>(ه)</w:t>
      </w:r>
      <w:r>
        <w:rPr>
          <w:rFonts w:hint="cs"/>
          <w:rtl/>
        </w:rPr>
        <w:tab/>
        <w:t xml:space="preserve">قد </w:t>
      </w:r>
      <w:r w:rsidR="00127723">
        <w:rPr>
          <w:rFonts w:hint="cs"/>
          <w:rtl/>
        </w:rPr>
        <w:t>يجري</w:t>
      </w:r>
      <w:r>
        <w:rPr>
          <w:rFonts w:hint="cs"/>
          <w:rtl/>
        </w:rPr>
        <w:t xml:space="preserve"> </w:t>
      </w:r>
      <w:r w:rsidR="00127723">
        <w:rPr>
          <w:rFonts w:hint="cs"/>
          <w:rtl/>
        </w:rPr>
        <w:t>البحث عن المكتب الأنسب</w:t>
      </w:r>
      <w:r>
        <w:rPr>
          <w:rFonts w:hint="cs"/>
          <w:rtl/>
        </w:rPr>
        <w:t xml:space="preserve"> وقد يفضي ذلك إلى </w:t>
      </w:r>
      <w:r w:rsidR="00127723">
        <w:rPr>
          <w:rFonts w:hint="cs"/>
          <w:rtl/>
        </w:rPr>
        <w:t>زيادة عبء العمل</w:t>
      </w:r>
      <w:r>
        <w:rPr>
          <w:rFonts w:hint="cs"/>
          <w:rtl/>
        </w:rPr>
        <w:t xml:space="preserve"> </w:t>
      </w:r>
      <w:r w:rsidR="00162381">
        <w:rPr>
          <w:rFonts w:hint="cs"/>
          <w:rtl/>
        </w:rPr>
        <w:t xml:space="preserve">زيادة هائلة </w:t>
      </w:r>
      <w:r w:rsidR="00127723">
        <w:rPr>
          <w:rFonts w:hint="cs"/>
          <w:rtl/>
        </w:rPr>
        <w:t xml:space="preserve">في </w:t>
      </w:r>
      <w:r>
        <w:rPr>
          <w:rFonts w:hint="cs"/>
          <w:rtl/>
        </w:rPr>
        <w:t>مكاتب المنشأ الأكثر تساهلا في إجراءات الفحص.</w:t>
      </w:r>
    </w:p>
    <w:p w:rsidR="00BE71CB" w:rsidRDefault="00BE71CB" w:rsidP="000425B8">
      <w:pPr>
        <w:pStyle w:val="NumberedParaAR"/>
        <w:numPr>
          <w:ilvl w:val="0"/>
          <w:numId w:val="0"/>
        </w:numPr>
        <w:ind w:left="1078"/>
        <w:rPr>
          <w:rtl/>
        </w:rPr>
      </w:pPr>
      <w:r>
        <w:rPr>
          <w:rFonts w:hint="cs"/>
          <w:rtl/>
        </w:rPr>
        <w:t>(و)</w:t>
      </w:r>
      <w:r>
        <w:rPr>
          <w:rFonts w:hint="cs"/>
          <w:rtl/>
        </w:rPr>
        <w:tab/>
      </w:r>
      <w:r w:rsidR="00127723">
        <w:rPr>
          <w:rFonts w:hint="cs"/>
          <w:rtl/>
        </w:rPr>
        <w:t>سيلزم</w:t>
      </w:r>
      <w:r>
        <w:rPr>
          <w:rFonts w:hint="cs"/>
          <w:rtl/>
        </w:rPr>
        <w:t xml:space="preserve"> إنشاء نظم مختلفة </w:t>
      </w:r>
      <w:r w:rsidR="007678CA">
        <w:rPr>
          <w:rFonts w:hint="cs"/>
          <w:rtl/>
        </w:rPr>
        <w:t>في الإطار القانوني لنظام مدريد</w:t>
      </w:r>
      <w:r w:rsidR="00722EFF">
        <w:rPr>
          <w:rFonts w:hint="cs"/>
          <w:rtl/>
        </w:rPr>
        <w:t xml:space="preserve"> للإنقاص</w:t>
      </w:r>
      <w:r w:rsidR="00127723">
        <w:rPr>
          <w:rFonts w:hint="cs"/>
          <w:rtl/>
        </w:rPr>
        <w:t>ات</w:t>
      </w:r>
      <w:r w:rsidR="00722EFF">
        <w:rPr>
          <w:rFonts w:hint="cs"/>
          <w:rtl/>
        </w:rPr>
        <w:t xml:space="preserve"> ف</w:t>
      </w:r>
      <w:r w:rsidR="007678CA">
        <w:rPr>
          <w:rFonts w:hint="cs"/>
          <w:rtl/>
        </w:rPr>
        <w:t>ي</w:t>
      </w:r>
      <w:r w:rsidR="00722EFF">
        <w:rPr>
          <w:rFonts w:hint="cs"/>
          <w:rtl/>
        </w:rPr>
        <w:t xml:space="preserve"> </w:t>
      </w:r>
      <w:r w:rsidR="007678CA">
        <w:rPr>
          <w:rFonts w:hint="cs"/>
          <w:rtl/>
        </w:rPr>
        <w:t>الطلبات الدولية والإنقاص</w:t>
      </w:r>
      <w:r w:rsidR="00127723">
        <w:rPr>
          <w:rFonts w:hint="cs"/>
          <w:rtl/>
        </w:rPr>
        <w:t>ات</w:t>
      </w:r>
      <w:r w:rsidR="007678CA">
        <w:rPr>
          <w:rFonts w:hint="cs"/>
          <w:rtl/>
        </w:rPr>
        <w:t xml:space="preserve"> الملتمس</w:t>
      </w:r>
      <w:r w:rsidR="00127723">
        <w:rPr>
          <w:rFonts w:hint="cs"/>
          <w:rtl/>
        </w:rPr>
        <w:t>ة</w:t>
      </w:r>
      <w:r w:rsidR="007678CA">
        <w:rPr>
          <w:rFonts w:hint="cs"/>
          <w:rtl/>
        </w:rPr>
        <w:t xml:space="preserve"> كتدوين تغيير، بينما </w:t>
      </w:r>
      <w:r w:rsidR="000425B8">
        <w:rPr>
          <w:rFonts w:hint="cs"/>
          <w:rtl/>
        </w:rPr>
        <w:t>الهدف من هذين النوعي</w:t>
      </w:r>
      <w:r w:rsidR="007678CA">
        <w:rPr>
          <w:rFonts w:hint="cs"/>
          <w:rtl/>
        </w:rPr>
        <w:t>ن من الإنقاص</w:t>
      </w:r>
      <w:r w:rsidR="00127723">
        <w:rPr>
          <w:rFonts w:hint="cs"/>
          <w:rtl/>
        </w:rPr>
        <w:t>ات</w:t>
      </w:r>
      <w:r w:rsidR="007678CA">
        <w:rPr>
          <w:rFonts w:hint="cs"/>
          <w:rtl/>
        </w:rPr>
        <w:t xml:space="preserve"> </w:t>
      </w:r>
      <w:r w:rsidR="000425B8">
        <w:rPr>
          <w:rFonts w:hint="cs"/>
          <w:rtl/>
        </w:rPr>
        <w:t>هو</w:t>
      </w:r>
      <w:r w:rsidR="00127723">
        <w:rPr>
          <w:rFonts w:hint="cs"/>
          <w:rtl/>
        </w:rPr>
        <w:t xml:space="preserve"> إحداث </w:t>
      </w:r>
      <w:r w:rsidR="007678CA">
        <w:rPr>
          <w:rFonts w:hint="cs"/>
          <w:rtl/>
        </w:rPr>
        <w:t xml:space="preserve">الآثار </w:t>
      </w:r>
      <w:r w:rsidR="00127723">
        <w:rPr>
          <w:rFonts w:hint="cs"/>
          <w:rtl/>
        </w:rPr>
        <w:t xml:space="preserve">نفسها </w:t>
      </w:r>
      <w:r w:rsidR="007678CA">
        <w:rPr>
          <w:rFonts w:hint="cs"/>
          <w:rtl/>
        </w:rPr>
        <w:t>لدى المكاتب المعينة.</w:t>
      </w:r>
    </w:p>
    <w:p w:rsidR="007678CA" w:rsidRPr="000425B8" w:rsidRDefault="004F66DA" w:rsidP="00A50027">
      <w:pPr>
        <w:pStyle w:val="NumberedParaAR"/>
        <w:keepNext/>
        <w:numPr>
          <w:ilvl w:val="0"/>
          <w:numId w:val="0"/>
        </w:numPr>
        <w:ind w:left="-2"/>
        <w:rPr>
          <w:u w:val="single"/>
          <w:rtl/>
        </w:rPr>
      </w:pPr>
      <w:r w:rsidRPr="000425B8">
        <w:rPr>
          <w:rFonts w:hint="cs"/>
          <w:u w:val="single"/>
          <w:rtl/>
        </w:rPr>
        <w:t>الإنقاص</w:t>
      </w:r>
      <w:r w:rsidR="000425B8">
        <w:rPr>
          <w:rFonts w:hint="cs"/>
          <w:u w:val="single"/>
          <w:rtl/>
        </w:rPr>
        <w:t>ات</w:t>
      </w:r>
      <w:r w:rsidRPr="000425B8">
        <w:rPr>
          <w:rFonts w:hint="cs"/>
          <w:u w:val="single"/>
          <w:rtl/>
        </w:rPr>
        <w:t xml:space="preserve"> في التعيينات اللاحقة </w:t>
      </w:r>
      <w:r w:rsidR="000425B8">
        <w:rPr>
          <w:rFonts w:hint="cs"/>
          <w:u w:val="single"/>
          <w:rtl/>
        </w:rPr>
        <w:t>في</w:t>
      </w:r>
      <w:r w:rsidRPr="000425B8">
        <w:rPr>
          <w:rFonts w:hint="cs"/>
          <w:u w:val="single"/>
          <w:rtl/>
        </w:rPr>
        <w:t xml:space="preserve"> مكتب</w:t>
      </w:r>
      <w:r w:rsidR="000425B8">
        <w:rPr>
          <w:rFonts w:hint="cs"/>
          <w:u w:val="single"/>
          <w:rtl/>
        </w:rPr>
        <w:t xml:space="preserve"> المنشأ أو مكتب الطرف المتعاقد الذي ينتمي إليه </w:t>
      </w:r>
      <w:r w:rsidRPr="000425B8">
        <w:rPr>
          <w:rFonts w:hint="cs"/>
          <w:u w:val="single"/>
          <w:rtl/>
        </w:rPr>
        <w:t>صاحب التسجيل</w:t>
      </w:r>
    </w:p>
    <w:p w:rsidR="0063186D" w:rsidRDefault="00A707D2" w:rsidP="000425B8">
      <w:pPr>
        <w:pStyle w:val="NumberedParaAR"/>
      </w:pPr>
      <w:r>
        <w:rPr>
          <w:rFonts w:hint="cs"/>
          <w:rtl/>
        </w:rPr>
        <w:t xml:space="preserve">من </w:t>
      </w:r>
      <w:r w:rsidR="00722EFF">
        <w:rPr>
          <w:rFonts w:hint="cs"/>
          <w:rtl/>
        </w:rPr>
        <w:t xml:space="preserve">شأن المناقشة </w:t>
      </w:r>
      <w:r>
        <w:rPr>
          <w:rFonts w:hint="cs"/>
          <w:rtl/>
        </w:rPr>
        <w:t>حول الإنقاص</w:t>
      </w:r>
      <w:r w:rsidR="000425B8">
        <w:rPr>
          <w:rFonts w:hint="cs"/>
          <w:rtl/>
        </w:rPr>
        <w:t>ات</w:t>
      </w:r>
      <w:r>
        <w:rPr>
          <w:rFonts w:hint="cs"/>
          <w:rtl/>
        </w:rPr>
        <w:t xml:space="preserve"> في الطلبات الدولية أن تنطبق أيضا على </w:t>
      </w:r>
      <w:r w:rsidR="006E2032">
        <w:rPr>
          <w:rFonts w:hint="cs"/>
          <w:rtl/>
        </w:rPr>
        <w:t>الإنقاص</w:t>
      </w:r>
      <w:r w:rsidR="000425B8">
        <w:rPr>
          <w:rFonts w:hint="cs"/>
          <w:rtl/>
        </w:rPr>
        <w:t>ات</w:t>
      </w:r>
      <w:r w:rsidR="006E2032">
        <w:rPr>
          <w:rFonts w:hint="cs"/>
          <w:rtl/>
        </w:rPr>
        <w:t xml:space="preserve"> في التعيينات اللاحقة. </w:t>
      </w:r>
      <w:r w:rsidR="001F6C71">
        <w:rPr>
          <w:rFonts w:hint="cs"/>
          <w:rtl/>
        </w:rPr>
        <w:t xml:space="preserve">وفي حال </w:t>
      </w:r>
      <w:r w:rsidR="00354661">
        <w:rPr>
          <w:rFonts w:hint="cs"/>
          <w:rtl/>
        </w:rPr>
        <w:t xml:space="preserve">أجري مكتب المنشأ هذا الفحص، </w:t>
      </w:r>
      <w:r w:rsidR="000425B8">
        <w:rPr>
          <w:rFonts w:hint="cs"/>
          <w:rtl/>
        </w:rPr>
        <w:t>ست</w:t>
      </w:r>
      <w:r w:rsidR="0047129A">
        <w:rPr>
          <w:rFonts w:hint="cs"/>
          <w:rtl/>
        </w:rPr>
        <w:t xml:space="preserve">صبح </w:t>
      </w:r>
      <w:r w:rsidR="002A5C8C">
        <w:rPr>
          <w:rFonts w:hint="cs"/>
          <w:rtl/>
        </w:rPr>
        <w:t xml:space="preserve">هذه </w:t>
      </w:r>
      <w:r w:rsidR="0047129A">
        <w:rPr>
          <w:rFonts w:hint="cs"/>
          <w:rtl/>
        </w:rPr>
        <w:t xml:space="preserve">وظيفة جديدة لم </w:t>
      </w:r>
      <w:r w:rsidR="000425B8">
        <w:rPr>
          <w:rFonts w:hint="cs"/>
          <w:rtl/>
        </w:rPr>
        <w:t>ينص عليها</w:t>
      </w:r>
      <w:r w:rsidR="002A5C8C">
        <w:rPr>
          <w:rFonts w:hint="cs"/>
          <w:rtl/>
        </w:rPr>
        <w:t xml:space="preserve"> الإطار القانوني لنظام مدريد </w:t>
      </w:r>
      <w:r w:rsidR="0047129A">
        <w:rPr>
          <w:rFonts w:hint="cs"/>
          <w:rtl/>
        </w:rPr>
        <w:t xml:space="preserve">من شأنها أن تتطلب </w:t>
      </w:r>
      <w:r w:rsidR="002A5C8C">
        <w:rPr>
          <w:rFonts w:hint="cs"/>
          <w:rtl/>
        </w:rPr>
        <w:t xml:space="preserve">إجراء </w:t>
      </w:r>
      <w:r w:rsidR="0047129A">
        <w:rPr>
          <w:rFonts w:hint="cs"/>
          <w:rtl/>
        </w:rPr>
        <w:t>تعديل</w:t>
      </w:r>
      <w:r w:rsidR="000425B8">
        <w:rPr>
          <w:rFonts w:hint="cs"/>
          <w:rtl/>
        </w:rPr>
        <w:t>ات</w:t>
      </w:r>
      <w:r w:rsidR="0047129A">
        <w:rPr>
          <w:rFonts w:hint="cs"/>
          <w:rtl/>
        </w:rPr>
        <w:t xml:space="preserve"> في اللائحة التنفيذية المشتركة.</w:t>
      </w:r>
    </w:p>
    <w:p w:rsidR="0047129A" w:rsidRDefault="0047129A" w:rsidP="00393ADB">
      <w:pPr>
        <w:pStyle w:val="NumberedParaAR"/>
      </w:pPr>
      <w:r>
        <w:rPr>
          <w:rFonts w:hint="cs"/>
          <w:rtl/>
        </w:rPr>
        <w:t xml:space="preserve">وفي ظل الإطار القانوني الحالي، يقرر صاحب التسجيل أن يقدم تعيين لاحق إما مباشرة </w:t>
      </w:r>
      <w:r w:rsidR="00393ADB">
        <w:rPr>
          <w:rFonts w:hint="cs"/>
          <w:rtl/>
        </w:rPr>
        <w:t>إلى</w:t>
      </w:r>
      <w:r>
        <w:rPr>
          <w:rFonts w:hint="cs"/>
          <w:rtl/>
        </w:rPr>
        <w:t xml:space="preserve"> المكتب الدولي أو عن طريق مكتب المنشأ أو عن طريق مكتب الطرف المتعاقد</w:t>
      </w:r>
      <w:r w:rsidR="00393ADB">
        <w:rPr>
          <w:rFonts w:hint="cs"/>
          <w:rtl/>
        </w:rPr>
        <w:t xml:space="preserve"> الذي ينتمي إليه </w:t>
      </w:r>
      <w:r>
        <w:rPr>
          <w:rFonts w:hint="cs"/>
          <w:rtl/>
        </w:rPr>
        <w:t>صاحب التسجيل. وتقدم معظم التعيينات اللاحقة مباشرة إلى المكتب الدولي، ويقدم عدد لابأس منها إلكترونيا.</w:t>
      </w:r>
    </w:p>
    <w:p w:rsidR="0047129A" w:rsidRDefault="0047129A" w:rsidP="002A5C8C">
      <w:pPr>
        <w:pStyle w:val="NumberedParaAR"/>
      </w:pPr>
      <w:r>
        <w:rPr>
          <w:rFonts w:hint="cs"/>
          <w:rtl/>
        </w:rPr>
        <w:t xml:space="preserve">وسيزداد التعقيد في </w:t>
      </w:r>
      <w:r w:rsidR="00393ADB">
        <w:rPr>
          <w:rFonts w:hint="cs"/>
          <w:rtl/>
        </w:rPr>
        <w:t>إطار هذه</w:t>
      </w:r>
      <w:r>
        <w:rPr>
          <w:rFonts w:hint="cs"/>
          <w:rtl/>
        </w:rPr>
        <w:t xml:space="preserve"> المقاربة في الحالات التي ل</w:t>
      </w:r>
      <w:r w:rsidR="00393ADB">
        <w:rPr>
          <w:rFonts w:hint="cs"/>
          <w:rtl/>
        </w:rPr>
        <w:t xml:space="preserve">ا يعد فيها مكتب الطرف المتعاقد الذي ينتمي إليه </w:t>
      </w:r>
      <w:r>
        <w:rPr>
          <w:rFonts w:hint="cs"/>
          <w:rtl/>
        </w:rPr>
        <w:t>صاحب التسجيل هو مكتب المنشأ</w:t>
      </w:r>
      <w:r w:rsidR="00393ADB">
        <w:rPr>
          <w:rFonts w:hint="cs"/>
          <w:rtl/>
        </w:rPr>
        <w:t>، عقب تد</w:t>
      </w:r>
      <w:r>
        <w:rPr>
          <w:rFonts w:hint="cs"/>
          <w:rtl/>
        </w:rPr>
        <w:t>و</w:t>
      </w:r>
      <w:r w:rsidR="00393ADB">
        <w:rPr>
          <w:rFonts w:hint="cs"/>
          <w:rtl/>
        </w:rPr>
        <w:t>ي</w:t>
      </w:r>
      <w:r>
        <w:rPr>
          <w:rFonts w:hint="cs"/>
          <w:rtl/>
        </w:rPr>
        <w:t xml:space="preserve">ن تغيير في الملكية. وفي تلك الحالات، سيطلب من مكتب الطرف المتعاقد </w:t>
      </w:r>
      <w:r w:rsidR="00D0756C">
        <w:rPr>
          <w:rFonts w:hint="cs"/>
          <w:rtl/>
        </w:rPr>
        <w:t xml:space="preserve">الذي ينتمي إليه صاحب </w:t>
      </w:r>
      <w:r>
        <w:rPr>
          <w:rFonts w:hint="cs"/>
          <w:rtl/>
        </w:rPr>
        <w:t xml:space="preserve">التسجيل أن يفحص الإنقاص </w:t>
      </w:r>
      <w:r w:rsidR="002A5C8C">
        <w:rPr>
          <w:rFonts w:hint="cs"/>
          <w:rtl/>
        </w:rPr>
        <w:t xml:space="preserve">مقابل </w:t>
      </w:r>
      <w:r>
        <w:rPr>
          <w:rFonts w:hint="cs"/>
          <w:rtl/>
        </w:rPr>
        <w:t xml:space="preserve">قائمة أساسية شهد عليها مكتب آخر وهو مكتب المنشأ ربما عقب ممارسات </w:t>
      </w:r>
      <w:r w:rsidR="00D0756C">
        <w:rPr>
          <w:rFonts w:hint="cs"/>
          <w:rtl/>
        </w:rPr>
        <w:t>متباينة</w:t>
      </w:r>
      <w:r>
        <w:rPr>
          <w:rFonts w:hint="cs"/>
          <w:rtl/>
        </w:rPr>
        <w:t>.</w:t>
      </w:r>
    </w:p>
    <w:p w:rsidR="0047129A" w:rsidRDefault="0047129A" w:rsidP="00D0756C">
      <w:pPr>
        <w:pStyle w:val="NumberedParaAR"/>
      </w:pPr>
      <w:r>
        <w:rPr>
          <w:rFonts w:hint="cs"/>
          <w:rtl/>
        </w:rPr>
        <w:t xml:space="preserve">وقد يتطلب </w:t>
      </w:r>
      <w:r w:rsidR="00D0756C">
        <w:rPr>
          <w:rFonts w:hint="cs"/>
          <w:rtl/>
        </w:rPr>
        <w:t>النص على</w:t>
      </w:r>
      <w:r>
        <w:rPr>
          <w:rFonts w:hint="cs"/>
          <w:rtl/>
        </w:rPr>
        <w:t xml:space="preserve"> </w:t>
      </w:r>
      <w:r w:rsidR="00D0756C">
        <w:rPr>
          <w:rFonts w:hint="cs"/>
          <w:rtl/>
        </w:rPr>
        <w:t xml:space="preserve">فحص </w:t>
      </w:r>
      <w:r>
        <w:rPr>
          <w:rFonts w:hint="cs"/>
          <w:rtl/>
        </w:rPr>
        <w:t>الإنقاص</w:t>
      </w:r>
      <w:r w:rsidR="00D0756C">
        <w:rPr>
          <w:rFonts w:hint="cs"/>
          <w:rtl/>
        </w:rPr>
        <w:t>ات</w:t>
      </w:r>
      <w:r>
        <w:rPr>
          <w:rFonts w:hint="cs"/>
          <w:rtl/>
        </w:rPr>
        <w:t xml:space="preserve"> في التعيينات اللاحقة </w:t>
      </w:r>
      <w:r w:rsidR="00D0756C">
        <w:rPr>
          <w:rFonts w:hint="cs"/>
          <w:rtl/>
        </w:rPr>
        <w:t xml:space="preserve">في مكتب الطرف المتعاقد الذي ينتمي إليه صاحب التسجيل </w:t>
      </w:r>
      <w:r>
        <w:rPr>
          <w:rFonts w:hint="cs"/>
          <w:rtl/>
        </w:rPr>
        <w:t xml:space="preserve">من صاحب التسجيل أن يقدم التعيين اللاحق من خلال ذلك المكتب أو كبديل، أن يخطر المكتبُ الدولي المكتبَ وينتظر قراره بشأن </w:t>
      </w:r>
      <w:r w:rsidR="00D0756C">
        <w:rPr>
          <w:rFonts w:hint="cs"/>
          <w:rtl/>
        </w:rPr>
        <w:t>ذلك</w:t>
      </w:r>
      <w:r>
        <w:rPr>
          <w:rFonts w:hint="cs"/>
          <w:rtl/>
        </w:rPr>
        <w:t xml:space="preserve"> الإنقاص.</w:t>
      </w:r>
    </w:p>
    <w:p w:rsidR="0047129A" w:rsidRPr="009F4162" w:rsidRDefault="0047129A" w:rsidP="00A50027">
      <w:pPr>
        <w:pStyle w:val="NumberedParaAR"/>
        <w:keepNext/>
        <w:numPr>
          <w:ilvl w:val="0"/>
          <w:numId w:val="0"/>
        </w:numPr>
        <w:rPr>
          <w:sz w:val="40"/>
          <w:szCs w:val="40"/>
        </w:rPr>
      </w:pPr>
      <w:r w:rsidRPr="009F4162">
        <w:rPr>
          <w:rFonts w:hint="cs"/>
          <w:sz w:val="40"/>
          <w:szCs w:val="40"/>
          <w:rtl/>
        </w:rPr>
        <w:lastRenderedPageBreak/>
        <w:t>إمكانية فحص الإنقاص</w:t>
      </w:r>
      <w:r w:rsidR="00D0756C" w:rsidRPr="009F4162">
        <w:rPr>
          <w:rFonts w:hint="cs"/>
          <w:sz w:val="40"/>
          <w:szCs w:val="40"/>
          <w:rtl/>
        </w:rPr>
        <w:t>ات</w:t>
      </w:r>
      <w:r w:rsidRPr="009F4162">
        <w:rPr>
          <w:rFonts w:hint="cs"/>
          <w:sz w:val="40"/>
          <w:szCs w:val="40"/>
          <w:rtl/>
        </w:rPr>
        <w:t xml:space="preserve"> في المكتب الدولي</w:t>
      </w:r>
    </w:p>
    <w:p w:rsidR="00BE22D7" w:rsidRDefault="00484FD9" w:rsidP="002A5C8C">
      <w:pPr>
        <w:pStyle w:val="NumberedParaAR"/>
      </w:pPr>
      <w:r>
        <w:rPr>
          <w:rFonts w:hint="cs"/>
          <w:rtl/>
        </w:rPr>
        <w:t xml:space="preserve">في حال </w:t>
      </w:r>
      <w:r w:rsidR="00711A84">
        <w:rPr>
          <w:rFonts w:hint="cs"/>
          <w:rtl/>
        </w:rPr>
        <w:t>كان على</w:t>
      </w:r>
      <w:r>
        <w:rPr>
          <w:rFonts w:hint="cs"/>
          <w:rtl/>
        </w:rPr>
        <w:t xml:space="preserve"> المكتب الدولي </w:t>
      </w:r>
      <w:r w:rsidR="00711A84">
        <w:rPr>
          <w:rFonts w:hint="cs"/>
          <w:rtl/>
        </w:rPr>
        <w:t xml:space="preserve">أن يفحص </w:t>
      </w:r>
      <w:r>
        <w:rPr>
          <w:rFonts w:hint="cs"/>
          <w:rtl/>
        </w:rPr>
        <w:t>الإنقاص</w:t>
      </w:r>
      <w:r w:rsidR="00711A84">
        <w:rPr>
          <w:rFonts w:hint="cs"/>
          <w:rtl/>
        </w:rPr>
        <w:t>ات</w:t>
      </w:r>
      <w:r>
        <w:rPr>
          <w:rFonts w:hint="cs"/>
          <w:rtl/>
        </w:rPr>
        <w:t xml:space="preserve"> ليحدد ما إذا كانت تندرج في القائمة الأساسية للتسجيل الدولي، </w:t>
      </w:r>
      <w:r w:rsidR="00711A84">
        <w:rPr>
          <w:rFonts w:hint="cs"/>
          <w:rtl/>
        </w:rPr>
        <w:t>لزم ضخ</w:t>
      </w:r>
      <w:r>
        <w:rPr>
          <w:rFonts w:hint="cs"/>
          <w:rtl/>
        </w:rPr>
        <w:t xml:space="preserve"> استثمارات </w:t>
      </w:r>
      <w:r w:rsidR="00711A84">
        <w:rPr>
          <w:rFonts w:hint="cs"/>
          <w:rtl/>
        </w:rPr>
        <w:t>هائلة</w:t>
      </w:r>
      <w:r>
        <w:rPr>
          <w:rFonts w:hint="cs"/>
          <w:rtl/>
        </w:rPr>
        <w:t xml:space="preserve"> لتغطية تعيين </w:t>
      </w:r>
      <w:r w:rsidR="00711A84">
        <w:rPr>
          <w:rFonts w:hint="cs"/>
          <w:rtl/>
        </w:rPr>
        <w:t>الموظفين</w:t>
      </w:r>
      <w:r>
        <w:rPr>
          <w:rFonts w:hint="cs"/>
          <w:rtl/>
        </w:rPr>
        <w:t xml:space="preserve"> وتقديم التدريب المناسب. كما </w:t>
      </w:r>
      <w:r w:rsidR="00C025FC">
        <w:rPr>
          <w:rFonts w:hint="cs"/>
          <w:rtl/>
        </w:rPr>
        <w:t>سيلزم</w:t>
      </w:r>
      <w:r>
        <w:rPr>
          <w:rFonts w:hint="cs"/>
          <w:rtl/>
        </w:rPr>
        <w:t xml:space="preserve"> </w:t>
      </w:r>
      <w:r w:rsidR="00C025FC">
        <w:rPr>
          <w:rFonts w:hint="cs"/>
          <w:rtl/>
        </w:rPr>
        <w:t>إدارة ال</w:t>
      </w:r>
      <w:r>
        <w:rPr>
          <w:rFonts w:hint="cs"/>
          <w:rtl/>
        </w:rPr>
        <w:t xml:space="preserve">تغيير وتغيير </w:t>
      </w:r>
      <w:r w:rsidR="00C025FC">
        <w:rPr>
          <w:rFonts w:hint="cs"/>
          <w:rtl/>
        </w:rPr>
        <w:t>ا</w:t>
      </w:r>
      <w:r>
        <w:rPr>
          <w:rFonts w:hint="cs"/>
          <w:rtl/>
        </w:rPr>
        <w:t xml:space="preserve">لإطار القانوني </w:t>
      </w:r>
      <w:r w:rsidR="002A5C8C">
        <w:rPr>
          <w:rFonts w:hint="cs"/>
          <w:rtl/>
        </w:rPr>
        <w:t>لتوخي</w:t>
      </w:r>
      <w:r>
        <w:rPr>
          <w:rFonts w:hint="cs"/>
          <w:rtl/>
        </w:rPr>
        <w:t xml:space="preserve"> الوضوح المطلوب بالنسبة لكفاءات المكتب الدولي وواجباته.</w:t>
      </w:r>
    </w:p>
    <w:p w:rsidR="00484FD9" w:rsidRPr="00B12163" w:rsidRDefault="00484FD9" w:rsidP="00B12163">
      <w:pPr>
        <w:pStyle w:val="NumberedParaAR"/>
      </w:pPr>
      <w:r w:rsidRPr="00B12163">
        <w:rPr>
          <w:rFonts w:hint="cs"/>
          <w:rtl/>
        </w:rPr>
        <w:t xml:space="preserve">ومن الأسباب </w:t>
      </w:r>
      <w:r w:rsidR="00C025FC" w:rsidRPr="00B12163">
        <w:rPr>
          <w:rFonts w:hint="cs"/>
          <w:rtl/>
        </w:rPr>
        <w:t>الإضافية</w:t>
      </w:r>
      <w:r w:rsidRPr="00B12163">
        <w:rPr>
          <w:rFonts w:hint="cs"/>
          <w:rtl/>
        </w:rPr>
        <w:t xml:space="preserve"> </w:t>
      </w:r>
      <w:r w:rsidR="00B12163">
        <w:rPr>
          <w:rFonts w:hint="cs"/>
          <w:rtl/>
        </w:rPr>
        <w:t>المناهضة</w:t>
      </w:r>
      <w:r w:rsidRPr="00B12163">
        <w:rPr>
          <w:rFonts w:hint="cs"/>
          <w:rtl/>
        </w:rPr>
        <w:t xml:space="preserve"> </w:t>
      </w:r>
      <w:r w:rsidR="00B12163">
        <w:rPr>
          <w:rFonts w:hint="cs"/>
          <w:rtl/>
        </w:rPr>
        <w:t>ل</w:t>
      </w:r>
      <w:r w:rsidRPr="00B12163">
        <w:rPr>
          <w:rFonts w:hint="cs"/>
          <w:rtl/>
        </w:rPr>
        <w:t xml:space="preserve">فحص </w:t>
      </w:r>
      <w:r w:rsidR="00C025FC" w:rsidRPr="00B12163">
        <w:rPr>
          <w:rFonts w:hint="cs"/>
          <w:rtl/>
        </w:rPr>
        <w:t>ا</w:t>
      </w:r>
      <w:r w:rsidRPr="00B12163">
        <w:rPr>
          <w:rFonts w:hint="cs"/>
          <w:rtl/>
        </w:rPr>
        <w:t>لإنقاص</w:t>
      </w:r>
      <w:r w:rsidR="00C025FC" w:rsidRPr="00B12163">
        <w:rPr>
          <w:rFonts w:hint="cs"/>
          <w:rtl/>
        </w:rPr>
        <w:t>ات في</w:t>
      </w:r>
      <w:r w:rsidRPr="00B12163">
        <w:rPr>
          <w:rFonts w:hint="cs"/>
          <w:rtl/>
        </w:rPr>
        <w:t xml:space="preserve"> </w:t>
      </w:r>
      <w:r w:rsidR="00C025FC" w:rsidRPr="00B12163">
        <w:rPr>
          <w:rFonts w:hint="cs"/>
          <w:rtl/>
        </w:rPr>
        <w:t xml:space="preserve">المكتب الدولي </w:t>
      </w:r>
      <w:r w:rsidR="00B12163">
        <w:rPr>
          <w:rFonts w:hint="cs"/>
          <w:rtl/>
        </w:rPr>
        <w:t>هو</w:t>
      </w:r>
      <w:r w:rsidRPr="00B12163">
        <w:rPr>
          <w:rFonts w:hint="cs"/>
          <w:rtl/>
        </w:rPr>
        <w:t xml:space="preserve"> غياب آلية </w:t>
      </w:r>
      <w:r w:rsidR="00B12163">
        <w:rPr>
          <w:rFonts w:hint="cs"/>
          <w:rtl/>
        </w:rPr>
        <w:t>ل</w:t>
      </w:r>
      <w:r w:rsidR="009E7CB1" w:rsidRPr="00B12163">
        <w:rPr>
          <w:rFonts w:hint="cs"/>
          <w:rtl/>
        </w:rPr>
        <w:t>ل</w:t>
      </w:r>
      <w:r w:rsidRPr="00B12163">
        <w:rPr>
          <w:rFonts w:hint="cs"/>
          <w:rtl/>
        </w:rPr>
        <w:t xml:space="preserve">طعن </w:t>
      </w:r>
      <w:r w:rsidR="009E7CB1" w:rsidRPr="00B12163">
        <w:rPr>
          <w:rFonts w:hint="cs"/>
          <w:rtl/>
        </w:rPr>
        <w:t>في</w:t>
      </w:r>
      <w:r w:rsidRPr="00B12163">
        <w:rPr>
          <w:rFonts w:hint="cs"/>
          <w:rtl/>
        </w:rPr>
        <w:t xml:space="preserve"> قراراته. وإذا </w:t>
      </w:r>
      <w:r w:rsidR="009E7CB1" w:rsidRPr="00B12163">
        <w:rPr>
          <w:rFonts w:hint="cs"/>
          <w:rtl/>
        </w:rPr>
        <w:t>كان</w:t>
      </w:r>
      <w:r w:rsidRPr="00B12163">
        <w:rPr>
          <w:rFonts w:hint="cs"/>
          <w:rtl/>
        </w:rPr>
        <w:t xml:space="preserve"> على المكتب الدولي أن يفحص الإنقاص</w:t>
      </w:r>
      <w:r w:rsidR="009E7CB1" w:rsidRPr="00B12163">
        <w:rPr>
          <w:rFonts w:hint="cs"/>
          <w:rtl/>
        </w:rPr>
        <w:t>ات</w:t>
      </w:r>
      <w:r w:rsidRPr="00B12163">
        <w:rPr>
          <w:rFonts w:hint="cs"/>
          <w:rtl/>
        </w:rPr>
        <w:t xml:space="preserve"> في الطلبات والتعيينات اللاحقة، ف</w:t>
      </w:r>
      <w:r w:rsidR="00B12163">
        <w:rPr>
          <w:rFonts w:hint="cs"/>
          <w:rtl/>
        </w:rPr>
        <w:t>من شأن قراراته ألا تكون محل طعن</w:t>
      </w:r>
      <w:r w:rsidRPr="00B12163">
        <w:rPr>
          <w:rFonts w:hint="cs"/>
          <w:rtl/>
        </w:rPr>
        <w:t xml:space="preserve"> مما سينشئ نظام قانوني مختلف </w:t>
      </w:r>
      <w:r w:rsidR="00B12163">
        <w:rPr>
          <w:rFonts w:hint="cs"/>
          <w:rtl/>
        </w:rPr>
        <w:t>مقارنة</w:t>
      </w:r>
      <w:r w:rsidRPr="00B12163">
        <w:rPr>
          <w:rFonts w:hint="cs"/>
          <w:rtl/>
        </w:rPr>
        <w:t xml:space="preserve"> </w:t>
      </w:r>
      <w:r w:rsidR="00B12163">
        <w:rPr>
          <w:rFonts w:hint="cs"/>
          <w:rtl/>
        </w:rPr>
        <w:t>ب</w:t>
      </w:r>
      <w:r w:rsidRPr="00B12163">
        <w:rPr>
          <w:rFonts w:hint="cs"/>
          <w:rtl/>
        </w:rPr>
        <w:t>القرارات بشأن الإنقاص</w:t>
      </w:r>
      <w:r w:rsidR="009E7CB1" w:rsidRPr="00B12163">
        <w:rPr>
          <w:rFonts w:hint="cs"/>
          <w:rtl/>
        </w:rPr>
        <w:t>ات</w:t>
      </w:r>
      <w:r w:rsidRPr="00B12163">
        <w:rPr>
          <w:rFonts w:hint="cs"/>
          <w:rtl/>
        </w:rPr>
        <w:t xml:space="preserve"> </w:t>
      </w:r>
      <w:r w:rsidR="00B12163">
        <w:rPr>
          <w:rFonts w:hint="cs"/>
          <w:rtl/>
        </w:rPr>
        <w:t xml:space="preserve">المتخذة </w:t>
      </w:r>
      <w:r w:rsidRPr="00B12163">
        <w:rPr>
          <w:rFonts w:hint="cs"/>
          <w:rtl/>
        </w:rPr>
        <w:t xml:space="preserve">وفقا للقاعدة 25، أو </w:t>
      </w:r>
      <w:r w:rsidR="009E7CB1" w:rsidRPr="00B12163">
        <w:rPr>
          <w:rFonts w:hint="cs"/>
          <w:rtl/>
        </w:rPr>
        <w:t>سيلزم</w:t>
      </w:r>
      <w:r w:rsidRPr="00B12163">
        <w:rPr>
          <w:rFonts w:hint="cs"/>
          <w:rtl/>
        </w:rPr>
        <w:t xml:space="preserve"> إنشاء آلية ما للطعن في إطار الويبو. كما سيجوز لمكاتب ا</w:t>
      </w:r>
      <w:r w:rsidR="008545FA" w:rsidRPr="00B12163">
        <w:rPr>
          <w:rFonts w:hint="cs"/>
          <w:rtl/>
        </w:rPr>
        <w:t>لأ</w:t>
      </w:r>
      <w:r w:rsidRPr="00B12163">
        <w:rPr>
          <w:rFonts w:hint="cs"/>
          <w:rtl/>
        </w:rPr>
        <w:t xml:space="preserve">طراف المتعاقدة المعينة المطالبة بحق إعادة النظر في القرارات النهائية </w:t>
      </w:r>
      <w:r w:rsidR="00B12163">
        <w:rPr>
          <w:rFonts w:hint="cs"/>
          <w:rtl/>
        </w:rPr>
        <w:t>التي اتخذها ا</w:t>
      </w:r>
      <w:r w:rsidRPr="00B12163">
        <w:rPr>
          <w:rFonts w:hint="cs"/>
          <w:rtl/>
        </w:rPr>
        <w:t xml:space="preserve">لمكتب الدولي. وخلاصة القول، سيسفر هذا الهيكل </w:t>
      </w:r>
      <w:r w:rsidR="00B12163">
        <w:rPr>
          <w:rFonts w:hint="cs"/>
          <w:rtl/>
        </w:rPr>
        <w:t>بأكلمه</w:t>
      </w:r>
      <w:r w:rsidRPr="00B12163">
        <w:rPr>
          <w:rFonts w:hint="cs"/>
          <w:rtl/>
        </w:rPr>
        <w:t xml:space="preserve"> عن تأخير في المعالجة في حال التماس طعن والأهم أنه قد يتطلب إجراء تعديلات في قوانين الأطراف المتعاقدة.</w:t>
      </w:r>
    </w:p>
    <w:p w:rsidR="00484FD9" w:rsidRPr="009F4162" w:rsidRDefault="00484FD9" w:rsidP="00A50027">
      <w:pPr>
        <w:pStyle w:val="NumberedParaAR"/>
        <w:keepNext/>
        <w:numPr>
          <w:ilvl w:val="0"/>
          <w:numId w:val="0"/>
        </w:numPr>
        <w:rPr>
          <w:b/>
          <w:bCs/>
          <w:sz w:val="40"/>
          <w:szCs w:val="40"/>
        </w:rPr>
      </w:pPr>
      <w:r w:rsidRPr="009F4162">
        <w:rPr>
          <w:rFonts w:hint="cs"/>
          <w:b/>
          <w:bCs/>
          <w:sz w:val="40"/>
          <w:szCs w:val="40"/>
          <w:rtl/>
        </w:rPr>
        <w:t>المضي قدما</w:t>
      </w:r>
    </w:p>
    <w:p w:rsidR="00484FD9" w:rsidRDefault="009A29A8" w:rsidP="00BE66CE">
      <w:pPr>
        <w:pStyle w:val="NumberedParaAR"/>
      </w:pPr>
      <w:r>
        <w:rPr>
          <w:rFonts w:hint="cs"/>
          <w:rtl/>
        </w:rPr>
        <w:t xml:space="preserve"> </w:t>
      </w:r>
      <w:r w:rsidR="006449F1">
        <w:rPr>
          <w:rFonts w:hint="cs"/>
          <w:rtl/>
        </w:rPr>
        <w:t xml:space="preserve">أشارت المناقشات </w:t>
      </w:r>
      <w:r w:rsidR="00B12163">
        <w:rPr>
          <w:rFonts w:hint="cs"/>
          <w:rtl/>
        </w:rPr>
        <w:t xml:space="preserve">التي جرت </w:t>
      </w:r>
      <w:r w:rsidR="006449F1">
        <w:rPr>
          <w:rFonts w:hint="cs"/>
          <w:rtl/>
        </w:rPr>
        <w:t xml:space="preserve">في الدورات السابقة للفريق العامل إلى </w:t>
      </w:r>
      <w:r w:rsidR="00B12163">
        <w:rPr>
          <w:rFonts w:hint="cs"/>
          <w:rtl/>
        </w:rPr>
        <w:t xml:space="preserve">وجود درجة ما من </w:t>
      </w:r>
      <w:r w:rsidR="009A5795">
        <w:rPr>
          <w:rFonts w:hint="cs"/>
          <w:rtl/>
        </w:rPr>
        <w:t>ال</w:t>
      </w:r>
      <w:r w:rsidR="006449F1">
        <w:rPr>
          <w:rFonts w:hint="cs"/>
          <w:rtl/>
        </w:rPr>
        <w:t xml:space="preserve">اتفاق </w:t>
      </w:r>
      <w:r w:rsidR="00BE66CE">
        <w:rPr>
          <w:rFonts w:hint="cs"/>
          <w:rtl/>
        </w:rPr>
        <w:t>حول</w:t>
      </w:r>
      <w:r w:rsidR="00FD597D">
        <w:rPr>
          <w:rFonts w:hint="cs"/>
          <w:rtl/>
        </w:rPr>
        <w:t xml:space="preserve"> </w:t>
      </w:r>
      <w:r w:rsidR="006449F1">
        <w:rPr>
          <w:rFonts w:hint="cs"/>
          <w:rtl/>
        </w:rPr>
        <w:t xml:space="preserve">أنه ينبغي </w:t>
      </w:r>
      <w:r w:rsidR="00FD597D">
        <w:rPr>
          <w:rFonts w:hint="cs"/>
          <w:rtl/>
        </w:rPr>
        <w:t xml:space="preserve">على </w:t>
      </w:r>
      <w:r w:rsidR="006449F1">
        <w:rPr>
          <w:rFonts w:hint="cs"/>
          <w:rtl/>
        </w:rPr>
        <w:t xml:space="preserve">مكاتب الأطراف المتعاقدة المعينة </w:t>
      </w:r>
      <w:r w:rsidR="00FD597D">
        <w:rPr>
          <w:rFonts w:hint="cs"/>
          <w:rtl/>
        </w:rPr>
        <w:t xml:space="preserve">أن تجري </w:t>
      </w:r>
      <w:r w:rsidR="006449F1">
        <w:rPr>
          <w:rFonts w:hint="cs"/>
          <w:rtl/>
        </w:rPr>
        <w:t>فحص الإنقاص</w:t>
      </w:r>
      <w:r w:rsidR="00B12163">
        <w:rPr>
          <w:rFonts w:hint="cs"/>
          <w:rtl/>
        </w:rPr>
        <w:t>ات</w:t>
      </w:r>
      <w:r w:rsidR="006449F1">
        <w:rPr>
          <w:rFonts w:hint="cs"/>
          <w:rtl/>
        </w:rPr>
        <w:t xml:space="preserve"> </w:t>
      </w:r>
      <w:r w:rsidR="00B12163">
        <w:rPr>
          <w:rFonts w:hint="cs"/>
          <w:rtl/>
        </w:rPr>
        <w:t>التي</w:t>
      </w:r>
      <w:r w:rsidR="006449F1">
        <w:rPr>
          <w:rFonts w:hint="cs"/>
          <w:rtl/>
        </w:rPr>
        <w:t xml:space="preserve"> </w:t>
      </w:r>
      <w:r w:rsidR="00B12163">
        <w:rPr>
          <w:rFonts w:hint="cs"/>
          <w:rtl/>
        </w:rPr>
        <w:t>سيكون</w:t>
      </w:r>
      <w:r w:rsidR="006449F1">
        <w:rPr>
          <w:rFonts w:hint="cs"/>
          <w:rtl/>
        </w:rPr>
        <w:t xml:space="preserve"> </w:t>
      </w:r>
      <w:r w:rsidR="00B12163">
        <w:rPr>
          <w:rFonts w:hint="cs"/>
          <w:rtl/>
        </w:rPr>
        <w:t>ل</w:t>
      </w:r>
      <w:r w:rsidR="006449F1">
        <w:rPr>
          <w:rFonts w:hint="cs"/>
          <w:rtl/>
        </w:rPr>
        <w:t xml:space="preserve">لإنقاص </w:t>
      </w:r>
      <w:r w:rsidR="00B12163">
        <w:rPr>
          <w:rFonts w:hint="cs"/>
          <w:rtl/>
        </w:rPr>
        <w:t>أثر</w:t>
      </w:r>
      <w:r w:rsidR="006449F1">
        <w:rPr>
          <w:rFonts w:hint="cs"/>
          <w:rtl/>
        </w:rPr>
        <w:t xml:space="preserve"> </w:t>
      </w:r>
      <w:r w:rsidR="00B12163">
        <w:rPr>
          <w:rFonts w:hint="cs"/>
          <w:rtl/>
        </w:rPr>
        <w:t>فيها</w:t>
      </w:r>
      <w:r w:rsidR="00FD597D">
        <w:rPr>
          <w:rFonts w:hint="cs"/>
          <w:rtl/>
        </w:rPr>
        <w:t>،</w:t>
      </w:r>
      <w:r w:rsidR="00B12163">
        <w:rPr>
          <w:rFonts w:hint="cs"/>
          <w:rtl/>
        </w:rPr>
        <w:t xml:space="preserve"> </w:t>
      </w:r>
      <w:r w:rsidR="006449F1">
        <w:rPr>
          <w:rFonts w:hint="cs"/>
          <w:rtl/>
        </w:rPr>
        <w:t>في حال تم</w:t>
      </w:r>
      <w:r w:rsidR="00FD597D">
        <w:rPr>
          <w:rFonts w:hint="cs"/>
          <w:rtl/>
        </w:rPr>
        <w:t>ت</w:t>
      </w:r>
      <w:r w:rsidR="006449F1">
        <w:rPr>
          <w:rFonts w:hint="cs"/>
          <w:rtl/>
        </w:rPr>
        <w:t xml:space="preserve"> هذا الإنقاص</w:t>
      </w:r>
      <w:r w:rsidR="00FD597D">
        <w:rPr>
          <w:rFonts w:hint="cs"/>
          <w:rtl/>
        </w:rPr>
        <w:t>ات</w:t>
      </w:r>
      <w:r w:rsidR="006449F1">
        <w:rPr>
          <w:rFonts w:hint="cs"/>
          <w:rtl/>
        </w:rPr>
        <w:t xml:space="preserve"> في تعيينات لاحقة و/أو كتدوين تغيير طبقا للقاعدة 25.</w:t>
      </w:r>
    </w:p>
    <w:p w:rsidR="009A29A8" w:rsidRDefault="006449F1" w:rsidP="006F604D">
      <w:pPr>
        <w:pStyle w:val="NumberedParaAR"/>
      </w:pPr>
      <w:r>
        <w:rPr>
          <w:rFonts w:hint="cs"/>
          <w:rtl/>
        </w:rPr>
        <w:t xml:space="preserve">ومع ذلك، </w:t>
      </w:r>
      <w:r w:rsidR="006F604D">
        <w:rPr>
          <w:rFonts w:hint="cs"/>
          <w:rtl/>
        </w:rPr>
        <w:t>قد</w:t>
      </w:r>
      <w:r>
        <w:rPr>
          <w:rFonts w:hint="cs"/>
          <w:rtl/>
        </w:rPr>
        <w:t xml:space="preserve"> يبدو مناسب</w:t>
      </w:r>
      <w:r w:rsidR="006F604D">
        <w:rPr>
          <w:rFonts w:hint="cs"/>
          <w:rtl/>
        </w:rPr>
        <w:t>ا</w:t>
      </w:r>
      <w:r>
        <w:rPr>
          <w:rFonts w:hint="cs"/>
          <w:rtl/>
        </w:rPr>
        <w:t xml:space="preserve"> أن تفحص مكاتب الأطراف المتعاقدة المعينة جميع الإنقاصات بما فيها تلك المقدمة في الطلبات الدولية، </w:t>
      </w:r>
      <w:r w:rsidR="00FD597D">
        <w:rPr>
          <w:rFonts w:hint="cs"/>
          <w:rtl/>
        </w:rPr>
        <w:t>إذ</w:t>
      </w:r>
      <w:r>
        <w:rPr>
          <w:rFonts w:hint="cs"/>
          <w:rtl/>
        </w:rPr>
        <w:t xml:space="preserve"> </w:t>
      </w:r>
      <w:r w:rsidR="00FD597D">
        <w:rPr>
          <w:rFonts w:hint="cs"/>
          <w:rtl/>
        </w:rPr>
        <w:t xml:space="preserve">أن تلك </w:t>
      </w:r>
      <w:r>
        <w:rPr>
          <w:rFonts w:hint="cs"/>
          <w:rtl/>
        </w:rPr>
        <w:t xml:space="preserve">المكاتب هي الإدارة الوحيدة التي تحدد نطاق الحماية في الأطراف المتعاقدة المعينة. </w:t>
      </w:r>
      <w:r w:rsidR="006F604D">
        <w:rPr>
          <w:rFonts w:hint="cs"/>
          <w:rtl/>
        </w:rPr>
        <w:t>كما أنه</w:t>
      </w:r>
      <w:r>
        <w:rPr>
          <w:rFonts w:hint="cs"/>
          <w:rtl/>
        </w:rPr>
        <w:t xml:space="preserve"> </w:t>
      </w:r>
      <w:r w:rsidR="006B3DD2">
        <w:rPr>
          <w:rFonts w:hint="cs"/>
          <w:rtl/>
        </w:rPr>
        <w:t>من شأن فحص مكتب الطرف المتعاقد المعين المعني للإنقاص</w:t>
      </w:r>
      <w:r w:rsidR="00FD597D">
        <w:rPr>
          <w:rFonts w:hint="cs"/>
          <w:rtl/>
        </w:rPr>
        <w:t>ات</w:t>
      </w:r>
      <w:r w:rsidR="006B3DD2">
        <w:rPr>
          <w:rFonts w:hint="cs"/>
          <w:rtl/>
        </w:rPr>
        <w:t>، أيا كانت طريق تقديم</w:t>
      </w:r>
      <w:r w:rsidR="00FD597D">
        <w:rPr>
          <w:rFonts w:hint="cs"/>
          <w:rtl/>
        </w:rPr>
        <w:t>ها</w:t>
      </w:r>
      <w:r w:rsidR="006B3DD2">
        <w:rPr>
          <w:rFonts w:hint="cs"/>
          <w:rtl/>
        </w:rPr>
        <w:t xml:space="preserve">، أن يزيد اليقين القانوني </w:t>
      </w:r>
      <w:r w:rsidR="006F604D">
        <w:rPr>
          <w:rFonts w:hint="cs"/>
          <w:rtl/>
        </w:rPr>
        <w:t>لأن المعاملة نفسها</w:t>
      </w:r>
      <w:r w:rsidR="006B3DD2">
        <w:rPr>
          <w:rFonts w:hint="cs"/>
          <w:rtl/>
        </w:rPr>
        <w:t xml:space="preserve"> ستطبق على الإنقاصات في جميع الحالات.</w:t>
      </w:r>
    </w:p>
    <w:p w:rsidR="006B3DD2" w:rsidRPr="009F4162" w:rsidRDefault="006B3DD2" w:rsidP="006B3DD2">
      <w:pPr>
        <w:pStyle w:val="NumberedParaAR"/>
        <w:numPr>
          <w:ilvl w:val="0"/>
          <w:numId w:val="0"/>
        </w:numPr>
        <w:rPr>
          <w:sz w:val="40"/>
          <w:szCs w:val="40"/>
        </w:rPr>
      </w:pPr>
      <w:r w:rsidRPr="009F4162">
        <w:rPr>
          <w:rFonts w:hint="cs"/>
          <w:sz w:val="40"/>
          <w:szCs w:val="40"/>
          <w:rtl/>
        </w:rPr>
        <w:t>فحص جميع الإنقاصات في مكتب الطرف المتعاقد المعين</w:t>
      </w:r>
    </w:p>
    <w:p w:rsidR="006B3DD2" w:rsidRDefault="00D565DE" w:rsidP="00EE75B2">
      <w:pPr>
        <w:pStyle w:val="NumberedParaAR"/>
      </w:pPr>
      <w:r>
        <w:rPr>
          <w:rFonts w:hint="cs"/>
          <w:rtl/>
        </w:rPr>
        <w:t xml:space="preserve">في حال وافق الفريق العامل على </w:t>
      </w:r>
      <w:r w:rsidR="00FD597D">
        <w:rPr>
          <w:rFonts w:hint="cs"/>
          <w:rtl/>
        </w:rPr>
        <w:t>ال</w:t>
      </w:r>
      <w:r>
        <w:rPr>
          <w:rFonts w:hint="cs"/>
          <w:rtl/>
        </w:rPr>
        <w:t xml:space="preserve">مبدأ </w:t>
      </w:r>
      <w:r w:rsidR="00FD597D">
        <w:rPr>
          <w:rFonts w:hint="cs"/>
          <w:rtl/>
        </w:rPr>
        <w:t>القاضي ب</w:t>
      </w:r>
      <w:r w:rsidR="002D3826">
        <w:rPr>
          <w:rFonts w:hint="cs"/>
          <w:rtl/>
        </w:rPr>
        <w:t xml:space="preserve">أنه ينبغي </w:t>
      </w:r>
      <w:r w:rsidR="00D02F18">
        <w:rPr>
          <w:rFonts w:hint="cs"/>
          <w:rtl/>
        </w:rPr>
        <w:t xml:space="preserve">على </w:t>
      </w:r>
      <w:r w:rsidRPr="00D565DE">
        <w:rPr>
          <w:rtl/>
        </w:rPr>
        <w:t>مكتب الطرف المتعاقد المعين</w:t>
      </w:r>
      <w:r>
        <w:rPr>
          <w:rFonts w:hint="cs"/>
          <w:rtl/>
        </w:rPr>
        <w:t xml:space="preserve"> المعني</w:t>
      </w:r>
      <w:r w:rsidR="002D3826" w:rsidRPr="002D3826">
        <w:rPr>
          <w:rFonts w:hint="cs"/>
          <w:rtl/>
        </w:rPr>
        <w:t xml:space="preserve"> </w:t>
      </w:r>
      <w:r w:rsidR="00D02F18">
        <w:rPr>
          <w:rFonts w:hint="cs"/>
          <w:rtl/>
        </w:rPr>
        <w:t>أن يفحص جميع الإنقاصات</w:t>
      </w:r>
      <w:r>
        <w:rPr>
          <w:rFonts w:hint="cs"/>
          <w:rtl/>
        </w:rPr>
        <w:t>، سي</w:t>
      </w:r>
      <w:r w:rsidR="005C38E9">
        <w:rPr>
          <w:rFonts w:hint="cs"/>
          <w:rtl/>
        </w:rPr>
        <w:t>ست</w:t>
      </w:r>
      <w:r>
        <w:rPr>
          <w:rFonts w:hint="cs"/>
          <w:rtl/>
        </w:rPr>
        <w:t xml:space="preserve">لزم </w:t>
      </w:r>
      <w:r w:rsidR="005C38E9">
        <w:rPr>
          <w:rFonts w:hint="cs"/>
          <w:rtl/>
        </w:rPr>
        <w:t xml:space="preserve">ذلك </w:t>
      </w:r>
      <w:r w:rsidR="00FF7852">
        <w:rPr>
          <w:rFonts w:hint="cs"/>
          <w:rtl/>
        </w:rPr>
        <w:t xml:space="preserve">تدبر </w:t>
      </w:r>
      <w:r w:rsidR="008E22B4">
        <w:rPr>
          <w:rFonts w:hint="cs"/>
          <w:rtl/>
        </w:rPr>
        <w:t>اعتبارات</w:t>
      </w:r>
      <w:r>
        <w:rPr>
          <w:rFonts w:hint="cs"/>
          <w:rtl/>
        </w:rPr>
        <w:t xml:space="preserve"> إضافي</w:t>
      </w:r>
      <w:r w:rsidR="008E22B4">
        <w:rPr>
          <w:rFonts w:hint="cs"/>
          <w:rtl/>
        </w:rPr>
        <w:t>ة</w:t>
      </w:r>
      <w:r>
        <w:rPr>
          <w:rFonts w:hint="cs"/>
          <w:rtl/>
        </w:rPr>
        <w:t xml:space="preserve"> في القاعدة القانونية </w:t>
      </w:r>
      <w:r w:rsidR="008E22B4">
        <w:rPr>
          <w:rFonts w:hint="cs"/>
          <w:rtl/>
        </w:rPr>
        <w:t xml:space="preserve">اللازمة </w:t>
      </w:r>
      <w:r>
        <w:rPr>
          <w:rFonts w:hint="cs"/>
          <w:rtl/>
        </w:rPr>
        <w:t>لفحص الإنقاص</w:t>
      </w:r>
      <w:r w:rsidR="00FF7852">
        <w:rPr>
          <w:rFonts w:hint="cs"/>
          <w:rtl/>
        </w:rPr>
        <w:t>ات</w:t>
      </w:r>
      <w:r>
        <w:rPr>
          <w:rFonts w:hint="cs"/>
          <w:rtl/>
        </w:rPr>
        <w:t xml:space="preserve"> في الطلبات والتعيينات اللاحقة. كما سيستلزم التفك</w:t>
      </w:r>
      <w:r w:rsidR="00110F42">
        <w:rPr>
          <w:rFonts w:hint="cs"/>
          <w:rtl/>
        </w:rPr>
        <w:t>ي</w:t>
      </w:r>
      <w:r>
        <w:rPr>
          <w:rFonts w:hint="cs"/>
          <w:rtl/>
        </w:rPr>
        <w:t xml:space="preserve">ر في طبيعة القرار </w:t>
      </w:r>
      <w:r w:rsidR="00EE75B2">
        <w:rPr>
          <w:rFonts w:hint="cs"/>
          <w:rtl/>
        </w:rPr>
        <w:t xml:space="preserve">وآثاره على </w:t>
      </w:r>
      <w:r>
        <w:rPr>
          <w:rFonts w:hint="cs"/>
          <w:rtl/>
        </w:rPr>
        <w:t>هذ</w:t>
      </w:r>
      <w:r w:rsidR="00EE75B2">
        <w:rPr>
          <w:rFonts w:hint="cs"/>
          <w:rtl/>
        </w:rPr>
        <w:t>ه</w:t>
      </w:r>
      <w:r>
        <w:rPr>
          <w:rFonts w:hint="cs"/>
          <w:rtl/>
        </w:rPr>
        <w:t xml:space="preserve"> </w:t>
      </w:r>
      <w:r w:rsidR="00E604AF">
        <w:rPr>
          <w:rFonts w:hint="cs"/>
          <w:rtl/>
        </w:rPr>
        <w:t>التقييدات</w:t>
      </w:r>
      <w:r>
        <w:rPr>
          <w:rFonts w:hint="cs"/>
          <w:rtl/>
        </w:rPr>
        <w:t xml:space="preserve"> وطريق</w:t>
      </w:r>
      <w:r w:rsidR="00EE75B2">
        <w:rPr>
          <w:rFonts w:hint="cs"/>
          <w:rtl/>
        </w:rPr>
        <w:t>ة</w:t>
      </w:r>
      <w:r>
        <w:rPr>
          <w:rFonts w:hint="cs"/>
          <w:rtl/>
        </w:rPr>
        <w:t xml:space="preserve"> التبليغ عن </w:t>
      </w:r>
      <w:r w:rsidR="00EE75B2">
        <w:rPr>
          <w:rFonts w:hint="cs"/>
          <w:rtl/>
        </w:rPr>
        <w:t>تلك</w:t>
      </w:r>
      <w:r>
        <w:rPr>
          <w:rFonts w:hint="cs"/>
          <w:rtl/>
        </w:rPr>
        <w:t xml:space="preserve"> القرارات.</w:t>
      </w:r>
    </w:p>
    <w:p w:rsidR="00D565DE" w:rsidRDefault="00D565DE" w:rsidP="00EE75B2">
      <w:pPr>
        <w:pStyle w:val="NumberedParaAR"/>
      </w:pPr>
      <w:r>
        <w:rPr>
          <w:rFonts w:hint="cs"/>
          <w:rtl/>
        </w:rPr>
        <w:t xml:space="preserve">وبالمعني العملي، يمكن </w:t>
      </w:r>
      <w:r w:rsidR="00EE75B2">
        <w:rPr>
          <w:rFonts w:hint="cs"/>
          <w:rtl/>
        </w:rPr>
        <w:t>تصور</w:t>
      </w:r>
      <w:r>
        <w:rPr>
          <w:rFonts w:hint="cs"/>
          <w:rtl/>
        </w:rPr>
        <w:t xml:space="preserve"> ثلاثة خيارات محتملة لإمكانية تنفيذ مبدأ فحص جميع الإنقاصات في </w:t>
      </w:r>
      <w:r w:rsidRPr="00D565DE">
        <w:rPr>
          <w:rtl/>
        </w:rPr>
        <w:t>مكتب الطرف المتعاقد المعين</w:t>
      </w:r>
      <w:r w:rsidR="00EE75B2">
        <w:rPr>
          <w:rFonts w:hint="cs"/>
          <w:rtl/>
        </w:rPr>
        <w:t xml:space="preserve"> كما يلي:</w:t>
      </w:r>
    </w:p>
    <w:p w:rsidR="00D565DE" w:rsidRPr="00EE75B2" w:rsidRDefault="00D565DE" w:rsidP="00091EBE">
      <w:pPr>
        <w:pStyle w:val="NumberedParaAR"/>
        <w:keepNext/>
        <w:numPr>
          <w:ilvl w:val="0"/>
          <w:numId w:val="0"/>
        </w:numPr>
        <w:ind w:left="566"/>
        <w:rPr>
          <w:u w:val="single"/>
          <w:rtl/>
        </w:rPr>
      </w:pPr>
      <w:r w:rsidRPr="00A50027">
        <w:rPr>
          <w:rFonts w:hint="cs"/>
          <w:rtl/>
        </w:rPr>
        <w:t>(أ)</w:t>
      </w:r>
      <w:r w:rsidRPr="00A50027">
        <w:rPr>
          <w:rFonts w:hint="cs"/>
          <w:rtl/>
        </w:rPr>
        <w:tab/>
      </w:r>
      <w:r w:rsidRPr="00EE75B2">
        <w:rPr>
          <w:rFonts w:hint="cs"/>
          <w:u w:val="single"/>
          <w:rtl/>
        </w:rPr>
        <w:t>الرفض المؤقت بموجب الإطار القانوني الحالي</w:t>
      </w:r>
    </w:p>
    <w:p w:rsidR="00D565DE" w:rsidRDefault="009C6E3C" w:rsidP="00D476E0">
      <w:pPr>
        <w:pStyle w:val="NumberedParaAR"/>
        <w:numPr>
          <w:ilvl w:val="0"/>
          <w:numId w:val="0"/>
        </w:numPr>
        <w:ind w:left="-2"/>
        <w:rPr>
          <w:rtl/>
        </w:rPr>
      </w:pPr>
      <w:r>
        <w:rPr>
          <w:rFonts w:hint="cs"/>
          <w:rtl/>
        </w:rPr>
        <w:t xml:space="preserve">ارتأت بعض الأطراف المتعاقدة أن الإطار القانوني لنظام مدريد يسمح لها برفض حماية العلامة محل التسجيل الدولي </w:t>
      </w:r>
      <w:r w:rsidR="00D476E0">
        <w:rPr>
          <w:rFonts w:hint="cs"/>
          <w:rtl/>
        </w:rPr>
        <w:t xml:space="preserve">رفضا كليا أو جزئيا </w:t>
      </w:r>
      <w:r>
        <w:rPr>
          <w:rFonts w:hint="cs"/>
          <w:rtl/>
        </w:rPr>
        <w:t xml:space="preserve">على أساس أن الإنقاص المقدم في </w:t>
      </w:r>
      <w:r w:rsidR="00D476E0">
        <w:rPr>
          <w:rFonts w:hint="cs"/>
          <w:rtl/>
        </w:rPr>
        <w:t>ال</w:t>
      </w:r>
      <w:r>
        <w:rPr>
          <w:rFonts w:hint="cs"/>
          <w:rtl/>
        </w:rPr>
        <w:t xml:space="preserve">طلب </w:t>
      </w:r>
      <w:r w:rsidR="00D476E0">
        <w:rPr>
          <w:rFonts w:hint="cs"/>
          <w:rtl/>
        </w:rPr>
        <w:t>ال</w:t>
      </w:r>
      <w:r>
        <w:rPr>
          <w:rFonts w:hint="cs"/>
          <w:rtl/>
        </w:rPr>
        <w:t xml:space="preserve">دولي أو في </w:t>
      </w:r>
      <w:r w:rsidR="00D476E0">
        <w:rPr>
          <w:rFonts w:hint="cs"/>
          <w:rtl/>
        </w:rPr>
        <w:t>ال</w:t>
      </w:r>
      <w:r>
        <w:rPr>
          <w:rFonts w:hint="cs"/>
          <w:rtl/>
        </w:rPr>
        <w:t xml:space="preserve">تعيين </w:t>
      </w:r>
      <w:r w:rsidR="00D476E0">
        <w:rPr>
          <w:rFonts w:hint="cs"/>
          <w:rtl/>
        </w:rPr>
        <w:t>ال</w:t>
      </w:r>
      <w:r>
        <w:rPr>
          <w:rFonts w:hint="cs"/>
          <w:rtl/>
        </w:rPr>
        <w:t xml:space="preserve">لاحق </w:t>
      </w:r>
      <w:r w:rsidR="00D476E0">
        <w:rPr>
          <w:rFonts w:hint="cs"/>
          <w:rtl/>
        </w:rPr>
        <w:t>يُعتبر</w:t>
      </w:r>
      <w:r>
        <w:rPr>
          <w:rFonts w:hint="cs"/>
          <w:rtl/>
        </w:rPr>
        <w:t xml:space="preserve"> أن</w:t>
      </w:r>
      <w:r w:rsidR="00D476E0">
        <w:rPr>
          <w:rFonts w:hint="cs"/>
          <w:rtl/>
        </w:rPr>
        <w:t>ه</w:t>
      </w:r>
      <w:r>
        <w:rPr>
          <w:rFonts w:hint="cs"/>
          <w:rtl/>
        </w:rPr>
        <w:t xml:space="preserve"> </w:t>
      </w:r>
      <w:r w:rsidR="00D476E0">
        <w:rPr>
          <w:rFonts w:hint="cs"/>
          <w:rtl/>
        </w:rPr>
        <w:t>يتجاوز</w:t>
      </w:r>
      <w:r>
        <w:rPr>
          <w:rFonts w:hint="cs"/>
          <w:rtl/>
        </w:rPr>
        <w:t xml:space="preserve"> القائمة الأساسية للتسجيل الدولي. فمثلا، تعتبر بعض الأطراف ا</w:t>
      </w:r>
      <w:r w:rsidR="00D476E0">
        <w:rPr>
          <w:rFonts w:hint="cs"/>
          <w:rtl/>
        </w:rPr>
        <w:t>لمتعاقدة أ</w:t>
      </w:r>
      <w:r>
        <w:rPr>
          <w:rFonts w:hint="cs"/>
          <w:rtl/>
        </w:rPr>
        <w:t>ن</w:t>
      </w:r>
      <w:r w:rsidR="00D476E0">
        <w:rPr>
          <w:rFonts w:hint="cs"/>
          <w:rtl/>
        </w:rPr>
        <w:t>ه بما أن</w:t>
      </w:r>
      <w:r>
        <w:rPr>
          <w:rFonts w:hint="cs"/>
          <w:rtl/>
        </w:rPr>
        <w:t xml:space="preserve"> التسجيل الدولي له أثر الطلب المودع لدى المكتب وفقا لل</w:t>
      </w:r>
      <w:r w:rsidR="00D476E0">
        <w:rPr>
          <w:rFonts w:hint="cs"/>
          <w:rtl/>
        </w:rPr>
        <w:t>مادة 4 من البروتوكول، فلا يمكن أ</w:t>
      </w:r>
      <w:r>
        <w:rPr>
          <w:rFonts w:hint="cs"/>
          <w:rtl/>
        </w:rPr>
        <w:t>ن يسفر إنقاص قائمة السلع والخدمات في ذلك التسجيل الدولي عن تمديد قائم</w:t>
      </w:r>
      <w:r w:rsidR="00D476E0">
        <w:rPr>
          <w:rFonts w:hint="cs"/>
          <w:rtl/>
        </w:rPr>
        <w:t>ته</w:t>
      </w:r>
      <w:r>
        <w:rPr>
          <w:rFonts w:hint="cs"/>
          <w:rtl/>
        </w:rPr>
        <w:t xml:space="preserve"> الأساسية. وبالنسبة لتلك الأطراف المتعاقدة </w:t>
      </w:r>
      <w:r w:rsidR="00D476E0">
        <w:rPr>
          <w:rFonts w:hint="cs"/>
          <w:rtl/>
        </w:rPr>
        <w:t>و</w:t>
      </w:r>
      <w:r>
        <w:rPr>
          <w:rFonts w:hint="cs"/>
          <w:rtl/>
        </w:rPr>
        <w:t>بموجب القانون الم</w:t>
      </w:r>
      <w:r w:rsidR="00D476E0">
        <w:rPr>
          <w:rFonts w:hint="cs"/>
          <w:rtl/>
        </w:rPr>
        <w:t>نطبق، من شأن</w:t>
      </w:r>
      <w:r>
        <w:rPr>
          <w:rFonts w:hint="cs"/>
          <w:rtl/>
        </w:rPr>
        <w:t xml:space="preserve"> </w:t>
      </w:r>
      <w:r w:rsidR="00D476E0">
        <w:rPr>
          <w:rFonts w:hint="cs"/>
          <w:rtl/>
        </w:rPr>
        <w:t>الأمر ذاته</w:t>
      </w:r>
      <w:r>
        <w:rPr>
          <w:rFonts w:hint="cs"/>
          <w:rtl/>
        </w:rPr>
        <w:t xml:space="preserve"> </w:t>
      </w:r>
      <w:r w:rsidR="00D476E0">
        <w:rPr>
          <w:rFonts w:hint="cs"/>
          <w:rtl/>
        </w:rPr>
        <w:t xml:space="preserve">أن ينطبق </w:t>
      </w:r>
      <w:r>
        <w:rPr>
          <w:rFonts w:hint="cs"/>
          <w:rtl/>
        </w:rPr>
        <w:t>على طلب أودع لدى المكتب</w:t>
      </w:r>
      <w:r w:rsidR="00B0479A">
        <w:rPr>
          <w:rFonts w:hint="cs"/>
          <w:rtl/>
        </w:rPr>
        <w:t>، فلا يمكن لتقييد الطلب أن يسفر عن تمديد القائمة الأصلية للسلع والخدمات.</w:t>
      </w:r>
    </w:p>
    <w:p w:rsidR="00B0479A" w:rsidRPr="00091EBE" w:rsidRDefault="00B0479A" w:rsidP="00FC40EB">
      <w:pPr>
        <w:pStyle w:val="NumberedParaAR"/>
        <w:keepNext/>
        <w:numPr>
          <w:ilvl w:val="0"/>
          <w:numId w:val="0"/>
        </w:numPr>
        <w:ind w:left="567"/>
        <w:rPr>
          <w:rtl/>
        </w:rPr>
      </w:pPr>
      <w:r w:rsidRPr="00091EBE">
        <w:rPr>
          <w:rFonts w:hint="cs"/>
          <w:rtl/>
        </w:rPr>
        <w:lastRenderedPageBreak/>
        <w:t>(ب)</w:t>
      </w:r>
      <w:r w:rsidRPr="00091EBE">
        <w:rPr>
          <w:rFonts w:hint="cs"/>
          <w:rtl/>
        </w:rPr>
        <w:tab/>
      </w:r>
      <w:r w:rsidRPr="00091EBE">
        <w:rPr>
          <w:rFonts w:hint="cs"/>
          <w:u w:val="single"/>
          <w:rtl/>
        </w:rPr>
        <w:t>الرفض المؤقت طبقا لإطار</w:t>
      </w:r>
      <w:r w:rsidR="00DB7BA3" w:rsidRPr="00091EBE">
        <w:rPr>
          <w:rFonts w:hint="cs"/>
          <w:u w:val="single"/>
          <w:rtl/>
        </w:rPr>
        <w:t>ٍ</w:t>
      </w:r>
      <w:r w:rsidRPr="00091EBE">
        <w:rPr>
          <w:rFonts w:hint="cs"/>
          <w:u w:val="single"/>
          <w:rtl/>
        </w:rPr>
        <w:t xml:space="preserve"> قانوني معدل</w:t>
      </w:r>
    </w:p>
    <w:p w:rsidR="00B0479A" w:rsidRDefault="00D476E0" w:rsidP="00DB7BA3">
      <w:pPr>
        <w:pStyle w:val="NumberedParaAR"/>
        <w:numPr>
          <w:ilvl w:val="0"/>
          <w:numId w:val="0"/>
        </w:numPr>
        <w:ind w:left="-2"/>
        <w:rPr>
          <w:rtl/>
        </w:rPr>
      </w:pPr>
      <w:r>
        <w:rPr>
          <w:rFonts w:hint="cs"/>
          <w:rtl/>
        </w:rPr>
        <w:t>تعتبر</w:t>
      </w:r>
      <w:r w:rsidR="00B0479A">
        <w:rPr>
          <w:rFonts w:hint="cs"/>
          <w:rtl/>
        </w:rPr>
        <w:t xml:space="preserve"> بعض الأطراف المتعاقدة أنه وفقا للمادة 5 من البروتوكول، لن يكون في وسع المكتب أن يرفض الحماية على أساس أن </w:t>
      </w:r>
      <w:r>
        <w:rPr>
          <w:rFonts w:hint="cs"/>
          <w:rtl/>
        </w:rPr>
        <w:t>الإنقاص</w:t>
      </w:r>
      <w:r w:rsidR="00B0479A">
        <w:rPr>
          <w:rFonts w:hint="cs"/>
          <w:rtl/>
        </w:rPr>
        <w:t xml:space="preserve"> يعتبر أنه </w:t>
      </w:r>
      <w:r>
        <w:rPr>
          <w:rFonts w:hint="cs"/>
          <w:rtl/>
        </w:rPr>
        <w:t>يتجاوز</w:t>
      </w:r>
      <w:r w:rsidR="00B0479A">
        <w:rPr>
          <w:rFonts w:hint="cs"/>
          <w:rtl/>
        </w:rPr>
        <w:t xml:space="preserve"> القائمة الأساسية للتسجيل الدولي، في حال لن تنطبق هذه الأسباب بنفس الشكل على طلب أودع مباشرة لدى ذلك المكتب. وبالنسبة لهذه الأطراف المتعاقدة، سيلزم تعديل الإطار</w:t>
      </w:r>
      <w:r w:rsidR="00603FB4">
        <w:rPr>
          <w:rFonts w:hint="cs"/>
          <w:rtl/>
        </w:rPr>
        <w:t xml:space="preserve"> القانوني سواء عبر تعديل تشريعه المنطبق</w:t>
      </w:r>
      <w:r w:rsidR="00B0479A">
        <w:rPr>
          <w:rFonts w:hint="cs"/>
          <w:rtl/>
        </w:rPr>
        <w:t xml:space="preserve"> أو عبر تعديل اللائحة التنفيذية المشتركة. ويمكن لتعديل اللائحة التنفيذية المشتركة، </w:t>
      </w:r>
      <w:r w:rsidR="00603FB4">
        <w:rPr>
          <w:rFonts w:hint="cs"/>
          <w:rtl/>
        </w:rPr>
        <w:t>على الأرجح</w:t>
      </w:r>
      <w:r w:rsidR="00B0479A">
        <w:rPr>
          <w:rFonts w:hint="cs"/>
          <w:rtl/>
        </w:rPr>
        <w:t xml:space="preserve"> في القاعدة17</w:t>
      </w:r>
      <w:r w:rsidR="00603FB4">
        <w:rPr>
          <w:rFonts w:hint="cs"/>
          <w:rtl/>
        </w:rPr>
        <w:t>،</w:t>
      </w:r>
      <w:r w:rsidR="00B0479A">
        <w:rPr>
          <w:rFonts w:hint="cs"/>
          <w:rtl/>
        </w:rPr>
        <w:t xml:space="preserve"> أن </w:t>
      </w:r>
      <w:r w:rsidR="00603FB4">
        <w:rPr>
          <w:rFonts w:hint="cs"/>
          <w:rtl/>
        </w:rPr>
        <w:t>يبين</w:t>
      </w:r>
      <w:r w:rsidR="00B0479A">
        <w:rPr>
          <w:rFonts w:hint="cs"/>
          <w:rtl/>
        </w:rPr>
        <w:t xml:space="preserve"> صراحة أنه يجوز لمكتب طرف متعاقد أن</w:t>
      </w:r>
      <w:r w:rsidR="00603FB4">
        <w:rPr>
          <w:rFonts w:hint="cs"/>
          <w:rtl/>
        </w:rPr>
        <w:t xml:space="preserve"> يرفض</w:t>
      </w:r>
      <w:r w:rsidR="00B0479A">
        <w:rPr>
          <w:rFonts w:hint="cs"/>
          <w:rtl/>
        </w:rPr>
        <w:t xml:space="preserve"> </w:t>
      </w:r>
      <w:r w:rsidR="00603FB4">
        <w:rPr>
          <w:rFonts w:hint="cs"/>
          <w:rtl/>
        </w:rPr>
        <w:t>ح</w:t>
      </w:r>
      <w:bookmarkStart w:id="2" w:name="_GoBack"/>
      <w:bookmarkEnd w:id="2"/>
      <w:r w:rsidR="00603FB4">
        <w:rPr>
          <w:rFonts w:hint="cs"/>
          <w:rtl/>
        </w:rPr>
        <w:t>ماية</w:t>
      </w:r>
      <w:r w:rsidR="00B0479A">
        <w:rPr>
          <w:rFonts w:hint="cs"/>
          <w:rtl/>
        </w:rPr>
        <w:t xml:space="preserve"> علامة محل تسجيل دولي على أساس أن الإنقاص يعتبر أنه يتجاوز قائمته الأساسية. وقد يتطلب ذلك </w:t>
      </w:r>
      <w:r w:rsidR="00960D3F">
        <w:rPr>
          <w:rFonts w:hint="cs"/>
          <w:rtl/>
        </w:rPr>
        <w:t xml:space="preserve">إجراء </w:t>
      </w:r>
      <w:r w:rsidR="00B0479A">
        <w:rPr>
          <w:rFonts w:hint="cs"/>
          <w:rtl/>
        </w:rPr>
        <w:t>تعديل</w:t>
      </w:r>
      <w:r w:rsidR="00960D3F">
        <w:rPr>
          <w:rFonts w:hint="cs"/>
          <w:rtl/>
        </w:rPr>
        <w:t>ات في</w:t>
      </w:r>
      <w:r w:rsidR="00B0479A">
        <w:rPr>
          <w:rFonts w:hint="cs"/>
          <w:rtl/>
        </w:rPr>
        <w:t xml:space="preserve"> الإطار القانوني للأطراف المتعاقدة</w:t>
      </w:r>
      <w:r w:rsidR="00DB7BA3" w:rsidRPr="00DB7BA3">
        <w:rPr>
          <w:rFonts w:hint="cs"/>
          <w:rtl/>
        </w:rPr>
        <w:t xml:space="preserve"> </w:t>
      </w:r>
      <w:r w:rsidR="00DB7BA3">
        <w:rPr>
          <w:rFonts w:hint="cs"/>
          <w:rtl/>
        </w:rPr>
        <w:t>في بعض الحالات</w:t>
      </w:r>
      <w:r w:rsidR="00B0479A">
        <w:rPr>
          <w:rFonts w:hint="cs"/>
          <w:rtl/>
        </w:rPr>
        <w:t>.</w:t>
      </w:r>
    </w:p>
    <w:p w:rsidR="00B0479A" w:rsidRPr="00960D3F" w:rsidRDefault="00B0479A" w:rsidP="00FC40EB">
      <w:pPr>
        <w:pStyle w:val="NumberedParaAR"/>
        <w:keepNext/>
        <w:numPr>
          <w:ilvl w:val="0"/>
          <w:numId w:val="0"/>
        </w:numPr>
        <w:ind w:left="567"/>
        <w:rPr>
          <w:u w:val="single"/>
          <w:rtl/>
        </w:rPr>
      </w:pPr>
      <w:r w:rsidRPr="00FC40EB">
        <w:rPr>
          <w:rFonts w:hint="cs"/>
          <w:rtl/>
        </w:rPr>
        <w:t>(ج)</w:t>
      </w:r>
      <w:r w:rsidRPr="00FC40EB">
        <w:rPr>
          <w:rFonts w:hint="cs"/>
          <w:rtl/>
        </w:rPr>
        <w:tab/>
      </w:r>
      <w:r w:rsidRPr="00960D3F">
        <w:rPr>
          <w:rFonts w:hint="cs"/>
          <w:u w:val="single"/>
          <w:rtl/>
        </w:rPr>
        <w:t xml:space="preserve">الإعلان أن الإنقاص في طلب </w:t>
      </w:r>
      <w:r w:rsidR="004A2579" w:rsidRPr="00960D3F">
        <w:rPr>
          <w:rFonts w:hint="cs"/>
          <w:u w:val="single"/>
          <w:rtl/>
        </w:rPr>
        <w:t xml:space="preserve">أو </w:t>
      </w:r>
      <w:r w:rsidRPr="00960D3F">
        <w:rPr>
          <w:rFonts w:hint="cs"/>
          <w:u w:val="single"/>
          <w:rtl/>
        </w:rPr>
        <w:t>تعيين لاحق لا أثر له</w:t>
      </w:r>
    </w:p>
    <w:p w:rsidR="00B0479A" w:rsidRPr="00B0479A" w:rsidRDefault="00DB7BA3" w:rsidP="00DB7BA3">
      <w:pPr>
        <w:pStyle w:val="NumberedParaAR"/>
        <w:numPr>
          <w:ilvl w:val="0"/>
          <w:numId w:val="0"/>
        </w:numPr>
        <w:ind w:left="-2"/>
      </w:pPr>
      <w:r>
        <w:rPr>
          <w:rFonts w:hint="cs"/>
          <w:rtl/>
        </w:rPr>
        <w:t>وأخيرا</w:t>
      </w:r>
      <w:r w:rsidR="004A2579">
        <w:rPr>
          <w:rFonts w:hint="cs"/>
          <w:rtl/>
        </w:rPr>
        <w:t xml:space="preserve"> كما </w:t>
      </w:r>
      <w:r w:rsidR="00685068">
        <w:rPr>
          <w:rFonts w:hint="cs"/>
          <w:rtl/>
        </w:rPr>
        <w:t>شهدنا</w:t>
      </w:r>
      <w:r w:rsidR="004A2579">
        <w:rPr>
          <w:rFonts w:hint="cs"/>
          <w:rtl/>
        </w:rPr>
        <w:t xml:space="preserve"> سلفا، يمكن أن يعتبر الطلب الدولي أو التعيين اللاحق الذي يتضمن إنقاصا</w:t>
      </w:r>
      <w:r w:rsidR="00685068">
        <w:rPr>
          <w:rFonts w:hint="cs"/>
          <w:rtl/>
        </w:rPr>
        <w:t>،</w:t>
      </w:r>
      <w:r w:rsidR="004A2579">
        <w:rPr>
          <w:rFonts w:hint="cs"/>
          <w:rtl/>
        </w:rPr>
        <w:t xml:space="preserve"> </w:t>
      </w:r>
      <w:r w:rsidR="00BA7512">
        <w:rPr>
          <w:rFonts w:hint="cs"/>
          <w:rtl/>
        </w:rPr>
        <w:t xml:space="preserve">التماسا لتمديد </w:t>
      </w:r>
      <w:r w:rsidR="00685068">
        <w:rPr>
          <w:rFonts w:hint="cs"/>
          <w:rtl/>
        </w:rPr>
        <w:t>الحدود ال</w:t>
      </w:r>
      <w:r w:rsidR="00BA7512">
        <w:rPr>
          <w:rFonts w:hint="cs"/>
          <w:rtl/>
        </w:rPr>
        <w:t>إقليمي</w:t>
      </w:r>
      <w:r w:rsidR="00685068">
        <w:rPr>
          <w:rFonts w:hint="cs"/>
          <w:rtl/>
        </w:rPr>
        <w:t>ة</w:t>
      </w:r>
      <w:r w:rsidR="00BA7512">
        <w:rPr>
          <w:rFonts w:hint="cs"/>
          <w:rtl/>
        </w:rPr>
        <w:t xml:space="preserve"> والتماسا منفصلا لتدوين إنقاص. ولذا </w:t>
      </w:r>
      <w:r w:rsidR="00107801">
        <w:rPr>
          <w:rFonts w:hint="cs"/>
          <w:rtl/>
        </w:rPr>
        <w:t>قد يرى البعض أن الإنقاص المودع في طلب أو تعيين لاحق ينبغي أن يعالج</w:t>
      </w:r>
      <w:r w:rsidR="004A2579">
        <w:rPr>
          <w:rFonts w:hint="cs"/>
          <w:rtl/>
        </w:rPr>
        <w:t xml:space="preserve"> </w:t>
      </w:r>
      <w:r w:rsidR="00107801">
        <w:rPr>
          <w:rFonts w:hint="cs"/>
          <w:rtl/>
        </w:rPr>
        <w:t>كأي إنقاص</w:t>
      </w:r>
      <w:r w:rsidR="00685068">
        <w:rPr>
          <w:rFonts w:hint="cs"/>
          <w:rtl/>
        </w:rPr>
        <w:t xml:space="preserve"> </w:t>
      </w:r>
      <w:r w:rsidR="00000930">
        <w:rPr>
          <w:rFonts w:hint="cs"/>
          <w:rtl/>
        </w:rPr>
        <w:t>ي</w:t>
      </w:r>
      <w:r w:rsidR="00685068">
        <w:rPr>
          <w:rFonts w:hint="cs"/>
          <w:rtl/>
        </w:rPr>
        <w:t>ُ</w:t>
      </w:r>
      <w:r w:rsidR="00000930">
        <w:rPr>
          <w:rFonts w:hint="cs"/>
          <w:rtl/>
        </w:rPr>
        <w:t xml:space="preserve">لتمس كتغيير. ومن ثم، قد يستخلص أنه ينبغي </w:t>
      </w:r>
      <w:r w:rsidR="00685068">
        <w:rPr>
          <w:rFonts w:hint="cs"/>
          <w:rtl/>
        </w:rPr>
        <w:t>ل</w:t>
      </w:r>
      <w:r w:rsidR="00000930">
        <w:rPr>
          <w:rFonts w:hint="cs"/>
          <w:rtl/>
        </w:rPr>
        <w:t xml:space="preserve">جميع الإنقاصات </w:t>
      </w:r>
      <w:r w:rsidR="00685068">
        <w:rPr>
          <w:rFonts w:hint="cs"/>
          <w:rtl/>
        </w:rPr>
        <w:t xml:space="preserve">أن تكون </w:t>
      </w:r>
      <w:r w:rsidR="00000930">
        <w:rPr>
          <w:rFonts w:hint="cs"/>
          <w:rtl/>
        </w:rPr>
        <w:t xml:space="preserve">موضع قرار منفصل يتخذه المكتب المعني. وفي هذه الحالة تحديدا، سيلزم تعديل اللائحة التنفيذية المشتركة لتنص على إرسال </w:t>
      </w:r>
      <w:r>
        <w:rPr>
          <w:rFonts w:hint="cs"/>
          <w:rtl/>
        </w:rPr>
        <w:t xml:space="preserve">أن </w:t>
      </w:r>
      <w:r w:rsidR="00000930">
        <w:rPr>
          <w:rFonts w:hint="cs"/>
          <w:rtl/>
        </w:rPr>
        <w:t xml:space="preserve">إعلانات الإنقاص في </w:t>
      </w:r>
      <w:r w:rsidR="00685068">
        <w:rPr>
          <w:rFonts w:hint="cs"/>
          <w:rtl/>
        </w:rPr>
        <w:t>ال</w:t>
      </w:r>
      <w:r w:rsidR="00000930">
        <w:rPr>
          <w:rFonts w:hint="cs"/>
          <w:rtl/>
        </w:rPr>
        <w:t xml:space="preserve">طلب </w:t>
      </w:r>
      <w:r w:rsidR="00685068">
        <w:rPr>
          <w:rFonts w:hint="cs"/>
          <w:rtl/>
        </w:rPr>
        <w:t>ال</w:t>
      </w:r>
      <w:r w:rsidR="00000930">
        <w:rPr>
          <w:rFonts w:hint="cs"/>
          <w:rtl/>
        </w:rPr>
        <w:t xml:space="preserve">دولي أو </w:t>
      </w:r>
      <w:r w:rsidR="00685068">
        <w:rPr>
          <w:rFonts w:hint="cs"/>
          <w:rtl/>
        </w:rPr>
        <w:t>ال</w:t>
      </w:r>
      <w:r w:rsidR="00000930">
        <w:rPr>
          <w:rFonts w:hint="cs"/>
          <w:rtl/>
        </w:rPr>
        <w:t xml:space="preserve">تعيين </w:t>
      </w:r>
      <w:r w:rsidR="00685068">
        <w:rPr>
          <w:rFonts w:hint="cs"/>
          <w:rtl/>
        </w:rPr>
        <w:t>اللاحق</w:t>
      </w:r>
      <w:r>
        <w:rPr>
          <w:rFonts w:hint="cs"/>
          <w:rtl/>
        </w:rPr>
        <w:t xml:space="preserve"> </w:t>
      </w:r>
      <w:r w:rsidR="00685068">
        <w:rPr>
          <w:rFonts w:hint="cs"/>
          <w:rtl/>
        </w:rPr>
        <w:t>لا أثر له مثلها</w:t>
      </w:r>
      <w:r w:rsidR="00000930">
        <w:rPr>
          <w:rFonts w:hint="cs"/>
          <w:rtl/>
        </w:rPr>
        <w:t xml:space="preserve"> مثل الإعلانات التي يرسلها مكتب طرف متعاقد وفقا للقاعدة 27(5).</w:t>
      </w:r>
    </w:p>
    <w:p w:rsidR="00D565DE" w:rsidRDefault="00685068" w:rsidP="00B74D12">
      <w:pPr>
        <w:pStyle w:val="NumberedParaAR"/>
        <w:rPr>
          <w:rtl/>
        </w:rPr>
      </w:pPr>
      <w:r>
        <w:rPr>
          <w:rFonts w:hint="cs"/>
          <w:rtl/>
        </w:rPr>
        <w:t>سيستلزم</w:t>
      </w:r>
      <w:r w:rsidR="001A068A">
        <w:rPr>
          <w:rFonts w:hint="cs"/>
          <w:rtl/>
        </w:rPr>
        <w:t xml:space="preserve"> أي من الخيارات الممكنة الموصوفة في الفقرات السابقة </w:t>
      </w:r>
      <w:r>
        <w:rPr>
          <w:rFonts w:hint="cs"/>
          <w:rtl/>
        </w:rPr>
        <w:t xml:space="preserve">إجراء تحليل </w:t>
      </w:r>
      <w:r w:rsidR="007112DE">
        <w:rPr>
          <w:rFonts w:hint="cs"/>
          <w:rtl/>
        </w:rPr>
        <w:t>متعمق</w:t>
      </w:r>
      <w:r w:rsidR="001A068A">
        <w:rPr>
          <w:rFonts w:hint="cs"/>
          <w:rtl/>
        </w:rPr>
        <w:t xml:space="preserve"> عن المسائل المبينة في الفقرة </w:t>
      </w:r>
      <w:r w:rsidR="00A550F7">
        <w:rPr>
          <w:rFonts w:hint="cs"/>
          <w:rtl/>
        </w:rPr>
        <w:t>54</w:t>
      </w:r>
      <w:r w:rsidR="007112DE" w:rsidRPr="007112DE">
        <w:rPr>
          <w:rFonts w:hint="cs"/>
          <w:rtl/>
        </w:rPr>
        <w:t xml:space="preserve"> </w:t>
      </w:r>
      <w:r w:rsidR="00A550F7">
        <w:rPr>
          <w:rFonts w:hint="cs"/>
          <w:rtl/>
        </w:rPr>
        <w:t xml:space="preserve">أعلاه </w:t>
      </w:r>
      <w:r w:rsidR="007112DE">
        <w:rPr>
          <w:rFonts w:hint="cs"/>
          <w:rtl/>
        </w:rPr>
        <w:t>تحديدا</w:t>
      </w:r>
      <w:r w:rsidR="001A068A">
        <w:rPr>
          <w:rFonts w:hint="cs"/>
          <w:rtl/>
        </w:rPr>
        <w:t xml:space="preserve">. وفي حال بلوغ توافق آراء حول مفهوم أن جميع الإنقاصات </w:t>
      </w:r>
      <w:r w:rsidR="000A5CE7">
        <w:rPr>
          <w:rFonts w:hint="cs"/>
          <w:rtl/>
        </w:rPr>
        <w:t>ينبغي</w:t>
      </w:r>
      <w:r w:rsidR="001A068A">
        <w:rPr>
          <w:rFonts w:hint="cs"/>
          <w:rtl/>
        </w:rPr>
        <w:t xml:space="preserve"> أن يفحصها مكتب الطرف المعاقد المعين المعني، يمكن للمكتب الدولي أن يحلل أحد هذه الخيارات أو أكثر في وثيقة جديدة ت</w:t>
      </w:r>
      <w:r w:rsidR="000A5CE7">
        <w:rPr>
          <w:rFonts w:hint="cs"/>
          <w:rtl/>
        </w:rPr>
        <w:t>ُ</w:t>
      </w:r>
      <w:r w:rsidR="001A068A">
        <w:rPr>
          <w:rFonts w:hint="cs"/>
          <w:rtl/>
        </w:rPr>
        <w:t>ناقش في الدورة القادمة للفريق العامل.</w:t>
      </w:r>
    </w:p>
    <w:p w:rsidR="00D56832" w:rsidRPr="001C185F" w:rsidRDefault="00D90682" w:rsidP="000A5CE7">
      <w:pPr>
        <w:pStyle w:val="DecisionParaAR"/>
        <w:rPr>
          <w:lang w:bidi="ar"/>
        </w:rPr>
      </w:pPr>
      <w:r w:rsidRPr="001C185F">
        <w:rPr>
          <w:rtl/>
          <w:lang w:bidi="ar"/>
        </w:rPr>
        <w:t xml:space="preserve">‏إن الفريق </w:t>
      </w:r>
      <w:r w:rsidRPr="000A5CE7">
        <w:rPr>
          <w:rtl/>
          <w:lang w:bidi="ar"/>
        </w:rPr>
        <w:t>العامل مدعو إلى</w:t>
      </w:r>
      <w:r w:rsidR="00176664">
        <w:rPr>
          <w:rFonts w:hint="cs"/>
          <w:rtl/>
          <w:lang w:bidi="ar"/>
        </w:rPr>
        <w:t xml:space="preserve"> النظر في </w:t>
      </w:r>
      <w:r w:rsidR="000A5CE7">
        <w:rPr>
          <w:rFonts w:hint="cs"/>
          <w:rtl/>
          <w:lang w:bidi="ar"/>
        </w:rPr>
        <w:t>المسائل المبينة</w:t>
      </w:r>
      <w:r w:rsidR="00176664">
        <w:rPr>
          <w:rFonts w:hint="cs"/>
          <w:rtl/>
          <w:lang w:bidi="ar"/>
        </w:rPr>
        <w:t xml:space="preserve"> أعلاه وإلى تقديم إرشادات إلى المكتب الدولي خاصة</w:t>
      </w:r>
      <w:r w:rsidR="000A5CE7">
        <w:rPr>
          <w:rFonts w:hint="cs"/>
          <w:rtl/>
          <w:lang w:bidi="ar"/>
        </w:rPr>
        <w:t xml:space="preserve"> إذا ما كان سيفعل ما يلي</w:t>
      </w:r>
      <w:r w:rsidRPr="001C185F">
        <w:rPr>
          <w:rtl/>
          <w:lang w:bidi="ar"/>
        </w:rPr>
        <w:t>:</w:t>
      </w:r>
    </w:p>
    <w:p w:rsidR="00D90682" w:rsidRPr="001C185F" w:rsidRDefault="00D90682" w:rsidP="00FC40EB">
      <w:pPr>
        <w:pStyle w:val="DecisionParaAR"/>
        <w:numPr>
          <w:ilvl w:val="0"/>
          <w:numId w:val="0"/>
        </w:numPr>
        <w:ind w:left="6236"/>
        <w:rPr>
          <w:rtl/>
          <w:lang w:bidi="ar"/>
        </w:rPr>
      </w:pPr>
      <w:r w:rsidRPr="001C185F">
        <w:rPr>
          <w:rtl/>
          <w:lang w:bidi="ar"/>
        </w:rPr>
        <w:t>"1"</w:t>
      </w:r>
      <w:r w:rsidRPr="001C185F">
        <w:rPr>
          <w:rtl/>
          <w:lang w:bidi="ar"/>
        </w:rPr>
        <w:tab/>
      </w:r>
      <w:r w:rsidR="00176664">
        <w:rPr>
          <w:rFonts w:hint="cs"/>
          <w:rtl/>
          <w:lang w:bidi="ar"/>
        </w:rPr>
        <w:t xml:space="preserve">سيوافق على </w:t>
      </w:r>
      <w:r w:rsidR="00B74D12">
        <w:rPr>
          <w:rFonts w:hint="cs"/>
          <w:rtl/>
          <w:lang w:bidi="ar"/>
        </w:rPr>
        <w:t>ال</w:t>
      </w:r>
      <w:r w:rsidR="00176664">
        <w:rPr>
          <w:rFonts w:hint="cs"/>
          <w:rtl/>
          <w:lang w:bidi="ar"/>
        </w:rPr>
        <w:t>مبدأ القاضي بأن جميع الإنقاصات يجب أن يفحصها مكتب الطرف المتعاقد المعين المعني،</w:t>
      </w:r>
    </w:p>
    <w:p w:rsidR="00D56832" w:rsidRDefault="00D90682" w:rsidP="00FC40EB">
      <w:pPr>
        <w:pStyle w:val="DecisionParaAR"/>
        <w:numPr>
          <w:ilvl w:val="0"/>
          <w:numId w:val="0"/>
        </w:numPr>
        <w:ind w:left="6236"/>
        <w:rPr>
          <w:rtl/>
          <w:lang w:bidi="ar"/>
        </w:rPr>
      </w:pPr>
      <w:r w:rsidRPr="001C185F">
        <w:rPr>
          <w:rtl/>
          <w:lang w:bidi="ar"/>
        </w:rPr>
        <w:t>"2"</w:t>
      </w:r>
      <w:r w:rsidRPr="001C185F">
        <w:rPr>
          <w:rtl/>
          <w:lang w:bidi="ar"/>
        </w:rPr>
        <w:tab/>
      </w:r>
      <w:r w:rsidR="000A5CE7">
        <w:rPr>
          <w:rFonts w:hint="cs"/>
          <w:rtl/>
          <w:lang w:bidi="ar"/>
        </w:rPr>
        <w:t>س</w:t>
      </w:r>
      <w:r w:rsidR="00176664">
        <w:rPr>
          <w:rFonts w:hint="cs"/>
          <w:rtl/>
          <w:lang w:bidi="ar"/>
        </w:rPr>
        <w:t xml:space="preserve">يلتمس من المكتب الدولي أن </w:t>
      </w:r>
      <w:r w:rsidR="000A5CE7">
        <w:rPr>
          <w:rFonts w:hint="cs"/>
          <w:rtl/>
          <w:lang w:bidi="ar"/>
        </w:rPr>
        <w:t>يستفيض في</w:t>
      </w:r>
      <w:r w:rsidR="00176664">
        <w:rPr>
          <w:rFonts w:hint="cs"/>
          <w:rtl/>
          <w:lang w:bidi="ar"/>
        </w:rPr>
        <w:t xml:space="preserve"> أحد الخيارات أو أكثر</w:t>
      </w:r>
      <w:r w:rsidR="00B74D12">
        <w:rPr>
          <w:rFonts w:hint="cs"/>
          <w:rtl/>
          <w:lang w:bidi="ar"/>
        </w:rPr>
        <w:t>،</w:t>
      </w:r>
      <w:r w:rsidR="00176664">
        <w:rPr>
          <w:rFonts w:hint="cs"/>
          <w:rtl/>
          <w:lang w:bidi="ar"/>
        </w:rPr>
        <w:t xml:space="preserve"> الموصوفة في الفقرة </w:t>
      </w:r>
      <w:r w:rsidR="00A550F7">
        <w:rPr>
          <w:rFonts w:hint="cs"/>
          <w:rtl/>
          <w:lang w:bidi="ar"/>
        </w:rPr>
        <w:t>55</w:t>
      </w:r>
      <w:r w:rsidR="00176664">
        <w:rPr>
          <w:rFonts w:hint="cs"/>
          <w:rtl/>
          <w:lang w:bidi="ar"/>
        </w:rPr>
        <w:t xml:space="preserve"> </w:t>
      </w:r>
      <w:r w:rsidR="000A5CE7">
        <w:rPr>
          <w:rFonts w:hint="cs"/>
          <w:rtl/>
          <w:lang w:bidi="ar"/>
        </w:rPr>
        <w:t>في</w:t>
      </w:r>
      <w:r w:rsidR="00176664">
        <w:rPr>
          <w:rFonts w:hint="cs"/>
          <w:rtl/>
          <w:lang w:bidi="ar"/>
        </w:rPr>
        <w:t xml:space="preserve"> وثيقة </w:t>
      </w:r>
      <w:r w:rsidR="000A5CE7">
        <w:rPr>
          <w:rFonts w:hint="cs"/>
          <w:rtl/>
          <w:lang w:bidi="ar"/>
        </w:rPr>
        <w:t>تُناقش</w:t>
      </w:r>
      <w:r w:rsidR="00176664">
        <w:rPr>
          <w:rFonts w:hint="cs"/>
          <w:rtl/>
          <w:lang w:bidi="ar"/>
        </w:rPr>
        <w:t xml:space="preserve"> في دورته القادمة.</w:t>
      </w:r>
    </w:p>
    <w:p w:rsidR="00C66BC5" w:rsidRPr="001C185F" w:rsidRDefault="00C66BC5" w:rsidP="00985A4A">
      <w:pPr>
        <w:pStyle w:val="NormalParaAR"/>
        <w:jc w:val="center"/>
        <w:rPr>
          <w:rtl/>
        </w:rPr>
      </w:pPr>
    </w:p>
    <w:p w:rsidR="006D38B4" w:rsidRPr="00C81F23" w:rsidRDefault="005139C3" w:rsidP="00B222ED">
      <w:pPr>
        <w:pStyle w:val="EndofDocumentAR"/>
        <w:rPr>
          <w:rtl/>
          <w:lang w:bidi="ar"/>
        </w:rPr>
      </w:pPr>
      <w:r>
        <w:rPr>
          <w:rtl/>
          <w:lang w:bidi="ar"/>
        </w:rPr>
        <w:t>‏[</w:t>
      </w:r>
      <w:r w:rsidR="00B222ED">
        <w:rPr>
          <w:rFonts w:hint="cs"/>
          <w:rtl/>
          <w:lang w:bidi="ar-EG"/>
        </w:rPr>
        <w:t>نهاية الوثيق</w:t>
      </w:r>
      <w:r w:rsidR="00B222ED">
        <w:rPr>
          <w:rtl/>
          <w:lang w:bidi="ar-EG"/>
        </w:rPr>
        <w:t>]</w:t>
      </w:r>
    </w:p>
    <w:sectPr w:rsidR="006D38B4" w:rsidRPr="00C81F23" w:rsidSect="00107D68">
      <w:headerReference w:type="defaul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F89" w:rsidRDefault="00714F89">
      <w:r>
        <w:separator/>
      </w:r>
    </w:p>
  </w:endnote>
  <w:endnote w:type="continuationSeparator" w:id="0">
    <w:p w:rsidR="00714F89" w:rsidRDefault="0071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F89" w:rsidRDefault="00714F89" w:rsidP="009622BF">
      <w:pPr>
        <w:bidi/>
      </w:pPr>
      <w:bookmarkStart w:id="0" w:name="OLE_LINK1"/>
      <w:bookmarkStart w:id="1" w:name="OLE_LINK2"/>
      <w:r>
        <w:separator/>
      </w:r>
      <w:bookmarkEnd w:id="0"/>
      <w:bookmarkEnd w:id="1"/>
    </w:p>
  </w:footnote>
  <w:footnote w:type="continuationSeparator" w:id="0">
    <w:p w:rsidR="00714F89" w:rsidRDefault="00714F8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27" w:rsidRDefault="00A50027" w:rsidP="00A50027">
    <w:r w:rsidRPr="00F369E7">
      <w:t>MM/LD/WG/14/</w:t>
    </w:r>
    <w:r>
      <w:t>5</w:t>
    </w:r>
  </w:p>
  <w:p w:rsidR="00A50027" w:rsidRDefault="00A50027" w:rsidP="00A50027">
    <w:r>
      <w:fldChar w:fldCharType="begin"/>
    </w:r>
    <w:r>
      <w:instrText xml:space="preserve"> PAGE  \* MERGEFORMAT </w:instrText>
    </w:r>
    <w:r>
      <w:fldChar w:fldCharType="separate"/>
    </w:r>
    <w:r w:rsidR="00C94C91">
      <w:rPr>
        <w:noProof/>
      </w:rPr>
      <w:t>9</w:t>
    </w:r>
    <w:r>
      <w:fldChar w:fldCharType="end"/>
    </w:r>
  </w:p>
  <w:p w:rsidR="00A50027" w:rsidRDefault="00A50027" w:rsidP="00A500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7C25D9D"/>
    <w:multiLevelType w:val="hybridMultilevel"/>
    <w:tmpl w:val="6EE2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9131476"/>
    <w:multiLevelType w:val="hybridMultilevel"/>
    <w:tmpl w:val="12DE4126"/>
    <w:lvl w:ilvl="0" w:tplc="A1C2356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53084"/>
    <w:multiLevelType w:val="hybridMultilevel"/>
    <w:tmpl w:val="AB7E764C"/>
    <w:lvl w:ilvl="0" w:tplc="98EAF3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87973"/>
    <w:multiLevelType w:val="hybridMultilevel"/>
    <w:tmpl w:val="BB6A880A"/>
    <w:lvl w:ilvl="0" w:tplc="546C35B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9B1E3F"/>
    <w:multiLevelType w:val="hybridMultilevel"/>
    <w:tmpl w:val="5E9E6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E00310"/>
    <w:multiLevelType w:val="hybridMultilevel"/>
    <w:tmpl w:val="6666B2AC"/>
    <w:lvl w:ilvl="0" w:tplc="98906C8A">
      <w:start w:val="1"/>
      <w:numFmt w:val="arabicAlpha"/>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7548F9"/>
    <w:multiLevelType w:val="hybridMultilevel"/>
    <w:tmpl w:val="C218905C"/>
    <w:lvl w:ilvl="0" w:tplc="F34EC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C203175"/>
    <w:multiLevelType w:val="hybridMultilevel"/>
    <w:tmpl w:val="F8B49870"/>
    <w:lvl w:ilvl="0" w:tplc="6F604A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D7C35"/>
    <w:multiLevelType w:val="hybridMultilevel"/>
    <w:tmpl w:val="81A8A8FA"/>
    <w:lvl w:ilvl="0" w:tplc="5486F09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7AA4EA6"/>
    <w:multiLevelType w:val="hybridMultilevel"/>
    <w:tmpl w:val="14B0FB2C"/>
    <w:lvl w:ilvl="0" w:tplc="7B62E50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074AD"/>
    <w:multiLevelType w:val="hybridMultilevel"/>
    <w:tmpl w:val="AF12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663AF7"/>
    <w:multiLevelType w:val="hybridMultilevel"/>
    <w:tmpl w:val="C2CEFDCA"/>
    <w:lvl w:ilvl="0" w:tplc="7B62E50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749D002E"/>
    <w:multiLevelType w:val="hybridMultilevel"/>
    <w:tmpl w:val="FA88EB80"/>
    <w:lvl w:ilvl="0" w:tplc="2EFCEF6E">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0"/>
  </w:num>
  <w:num w:numId="3">
    <w:abstractNumId w:val="11"/>
  </w:num>
  <w:num w:numId="4">
    <w:abstractNumId w:val="28"/>
  </w:num>
  <w:num w:numId="5">
    <w:abstractNumId w:val="8"/>
  </w:num>
  <w:num w:numId="6">
    <w:abstractNumId w:val="30"/>
  </w:num>
  <w:num w:numId="7">
    <w:abstractNumId w:val="16"/>
  </w:num>
  <w:num w:numId="8">
    <w:abstractNumId w:val="27"/>
  </w:num>
  <w:num w:numId="9">
    <w:abstractNumId w:val="26"/>
  </w:num>
  <w:num w:numId="10">
    <w:abstractNumId w:val="31"/>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24"/>
  </w:num>
  <w:num w:numId="23">
    <w:abstractNumId w:val="17"/>
  </w:num>
  <w:num w:numId="24">
    <w:abstractNumId w:val="10"/>
  </w:num>
  <w:num w:numId="25">
    <w:abstractNumId w:val="22"/>
  </w:num>
  <w:num w:numId="26">
    <w:abstractNumId w:val="18"/>
  </w:num>
  <w:num w:numId="27">
    <w:abstractNumId w:val="21"/>
  </w:num>
  <w:num w:numId="28">
    <w:abstractNumId w:val="13"/>
  </w:num>
  <w:num w:numId="29">
    <w:abstractNumId w:val="15"/>
    <w:lvlOverride w:ilvl="0">
      <w:startOverride w:val="1"/>
    </w:lvlOverride>
  </w:num>
  <w:num w:numId="30">
    <w:abstractNumId w:val="29"/>
  </w:num>
  <w:num w:numId="31">
    <w:abstractNumId w:val="14"/>
  </w:num>
  <w:num w:numId="32">
    <w:abstractNumId w:val="2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2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AA"/>
    <w:rsid w:val="0000093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63F"/>
    <w:rsid w:val="00035CE8"/>
    <w:rsid w:val="00036041"/>
    <w:rsid w:val="0003647B"/>
    <w:rsid w:val="00037390"/>
    <w:rsid w:val="00040637"/>
    <w:rsid w:val="00040688"/>
    <w:rsid w:val="0004070F"/>
    <w:rsid w:val="0004115B"/>
    <w:rsid w:val="00041650"/>
    <w:rsid w:val="00041FCD"/>
    <w:rsid w:val="000425B8"/>
    <w:rsid w:val="00042F2D"/>
    <w:rsid w:val="000432B2"/>
    <w:rsid w:val="000432CF"/>
    <w:rsid w:val="000438A8"/>
    <w:rsid w:val="00044AC0"/>
    <w:rsid w:val="00045B68"/>
    <w:rsid w:val="00045E69"/>
    <w:rsid w:val="0004699C"/>
    <w:rsid w:val="00046EDC"/>
    <w:rsid w:val="00047497"/>
    <w:rsid w:val="000500C9"/>
    <w:rsid w:val="0005014C"/>
    <w:rsid w:val="000508E2"/>
    <w:rsid w:val="00050A69"/>
    <w:rsid w:val="00050C55"/>
    <w:rsid w:val="00050F28"/>
    <w:rsid w:val="00052C44"/>
    <w:rsid w:val="00053836"/>
    <w:rsid w:val="00054659"/>
    <w:rsid w:val="00055A54"/>
    <w:rsid w:val="00055FA2"/>
    <w:rsid w:val="0005628D"/>
    <w:rsid w:val="000571DD"/>
    <w:rsid w:val="00061FF5"/>
    <w:rsid w:val="00062502"/>
    <w:rsid w:val="00063C91"/>
    <w:rsid w:val="000640E7"/>
    <w:rsid w:val="00066DC7"/>
    <w:rsid w:val="0006794A"/>
    <w:rsid w:val="00067F31"/>
    <w:rsid w:val="0007110A"/>
    <w:rsid w:val="00071138"/>
    <w:rsid w:val="000717BF"/>
    <w:rsid w:val="00073402"/>
    <w:rsid w:val="00075745"/>
    <w:rsid w:val="00075A04"/>
    <w:rsid w:val="00075D39"/>
    <w:rsid w:val="000760C3"/>
    <w:rsid w:val="000763A4"/>
    <w:rsid w:val="00076901"/>
    <w:rsid w:val="0008237C"/>
    <w:rsid w:val="00082865"/>
    <w:rsid w:val="000833C3"/>
    <w:rsid w:val="0008421F"/>
    <w:rsid w:val="0008451C"/>
    <w:rsid w:val="00085A0B"/>
    <w:rsid w:val="000863B7"/>
    <w:rsid w:val="00087DB6"/>
    <w:rsid w:val="00090139"/>
    <w:rsid w:val="0009024C"/>
    <w:rsid w:val="00090ADD"/>
    <w:rsid w:val="000913C0"/>
    <w:rsid w:val="00091EBE"/>
    <w:rsid w:val="00091F52"/>
    <w:rsid w:val="00092302"/>
    <w:rsid w:val="00092982"/>
    <w:rsid w:val="00092DD6"/>
    <w:rsid w:val="00094C85"/>
    <w:rsid w:val="00094D7E"/>
    <w:rsid w:val="0009517B"/>
    <w:rsid w:val="00095AE2"/>
    <w:rsid w:val="000962DF"/>
    <w:rsid w:val="0009661E"/>
    <w:rsid w:val="00097400"/>
    <w:rsid w:val="000A12BC"/>
    <w:rsid w:val="000A1306"/>
    <w:rsid w:val="000A1521"/>
    <w:rsid w:val="000A2FC1"/>
    <w:rsid w:val="000A3A57"/>
    <w:rsid w:val="000A5408"/>
    <w:rsid w:val="000A5CE7"/>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EF2"/>
    <w:rsid w:val="000E591F"/>
    <w:rsid w:val="000E5A23"/>
    <w:rsid w:val="000E6045"/>
    <w:rsid w:val="000E7872"/>
    <w:rsid w:val="000F053B"/>
    <w:rsid w:val="000F0772"/>
    <w:rsid w:val="000F0BE5"/>
    <w:rsid w:val="000F0F0D"/>
    <w:rsid w:val="000F1B52"/>
    <w:rsid w:val="000F1C70"/>
    <w:rsid w:val="000F1CB4"/>
    <w:rsid w:val="000F1EAA"/>
    <w:rsid w:val="000F30D5"/>
    <w:rsid w:val="000F33C5"/>
    <w:rsid w:val="000F3ACF"/>
    <w:rsid w:val="000F49FA"/>
    <w:rsid w:val="000F5035"/>
    <w:rsid w:val="000F58C4"/>
    <w:rsid w:val="000F5E56"/>
    <w:rsid w:val="000F70F9"/>
    <w:rsid w:val="000F7D88"/>
    <w:rsid w:val="001007AB"/>
    <w:rsid w:val="00100F97"/>
    <w:rsid w:val="001012E0"/>
    <w:rsid w:val="001016F2"/>
    <w:rsid w:val="001024C1"/>
    <w:rsid w:val="0010385D"/>
    <w:rsid w:val="001042E0"/>
    <w:rsid w:val="00104C51"/>
    <w:rsid w:val="0010597B"/>
    <w:rsid w:val="0010623F"/>
    <w:rsid w:val="00107801"/>
    <w:rsid w:val="00107D68"/>
    <w:rsid w:val="00110107"/>
    <w:rsid w:val="00110531"/>
    <w:rsid w:val="00110794"/>
    <w:rsid w:val="00110F42"/>
    <w:rsid w:val="00112524"/>
    <w:rsid w:val="00113769"/>
    <w:rsid w:val="00114141"/>
    <w:rsid w:val="00114827"/>
    <w:rsid w:val="00115266"/>
    <w:rsid w:val="001154FB"/>
    <w:rsid w:val="00115B51"/>
    <w:rsid w:val="001171EF"/>
    <w:rsid w:val="001173C5"/>
    <w:rsid w:val="00120C6C"/>
    <w:rsid w:val="00120F2E"/>
    <w:rsid w:val="00121092"/>
    <w:rsid w:val="00121AA0"/>
    <w:rsid w:val="00121FE6"/>
    <w:rsid w:val="00123F16"/>
    <w:rsid w:val="0012403C"/>
    <w:rsid w:val="0012405D"/>
    <w:rsid w:val="001252B1"/>
    <w:rsid w:val="00126897"/>
    <w:rsid w:val="0012696D"/>
    <w:rsid w:val="00127723"/>
    <w:rsid w:val="00130FC9"/>
    <w:rsid w:val="001310EE"/>
    <w:rsid w:val="00131650"/>
    <w:rsid w:val="0013191A"/>
    <w:rsid w:val="00131E8F"/>
    <w:rsid w:val="00132E1C"/>
    <w:rsid w:val="00135C24"/>
    <w:rsid w:val="00136389"/>
    <w:rsid w:val="00136A1A"/>
    <w:rsid w:val="00136A96"/>
    <w:rsid w:val="001376B6"/>
    <w:rsid w:val="00140A35"/>
    <w:rsid w:val="00142F4D"/>
    <w:rsid w:val="00143428"/>
    <w:rsid w:val="0014412C"/>
    <w:rsid w:val="00144713"/>
    <w:rsid w:val="00144CC3"/>
    <w:rsid w:val="001451F5"/>
    <w:rsid w:val="0015009D"/>
    <w:rsid w:val="001519FB"/>
    <w:rsid w:val="00151B18"/>
    <w:rsid w:val="00151BF2"/>
    <w:rsid w:val="00151C68"/>
    <w:rsid w:val="001520DD"/>
    <w:rsid w:val="00152374"/>
    <w:rsid w:val="0015250C"/>
    <w:rsid w:val="00153A62"/>
    <w:rsid w:val="00153CD7"/>
    <w:rsid w:val="00154023"/>
    <w:rsid w:val="001550DF"/>
    <w:rsid w:val="00155CEA"/>
    <w:rsid w:val="00156153"/>
    <w:rsid w:val="001563D9"/>
    <w:rsid w:val="00156428"/>
    <w:rsid w:val="001568F4"/>
    <w:rsid w:val="001572CE"/>
    <w:rsid w:val="001603F7"/>
    <w:rsid w:val="001604C8"/>
    <w:rsid w:val="00160C95"/>
    <w:rsid w:val="00162381"/>
    <w:rsid w:val="00162777"/>
    <w:rsid w:val="0016337E"/>
    <w:rsid w:val="00164691"/>
    <w:rsid w:val="00164BD2"/>
    <w:rsid w:val="00165AC3"/>
    <w:rsid w:val="001665F3"/>
    <w:rsid w:val="001667B6"/>
    <w:rsid w:val="001668D4"/>
    <w:rsid w:val="00166A09"/>
    <w:rsid w:val="00167264"/>
    <w:rsid w:val="00167809"/>
    <w:rsid w:val="00167F30"/>
    <w:rsid w:val="00171844"/>
    <w:rsid w:val="0017385A"/>
    <w:rsid w:val="00174110"/>
    <w:rsid w:val="00175448"/>
    <w:rsid w:val="001757AF"/>
    <w:rsid w:val="00175825"/>
    <w:rsid w:val="00176664"/>
    <w:rsid w:val="0017666F"/>
    <w:rsid w:val="00176D64"/>
    <w:rsid w:val="00176E2C"/>
    <w:rsid w:val="00177DBF"/>
    <w:rsid w:val="00182417"/>
    <w:rsid w:val="0018242F"/>
    <w:rsid w:val="0018414E"/>
    <w:rsid w:val="001847DF"/>
    <w:rsid w:val="00185718"/>
    <w:rsid w:val="001857AF"/>
    <w:rsid w:val="00185BBE"/>
    <w:rsid w:val="00186606"/>
    <w:rsid w:val="00190B6D"/>
    <w:rsid w:val="00191E75"/>
    <w:rsid w:val="00192022"/>
    <w:rsid w:val="0019301D"/>
    <w:rsid w:val="00193408"/>
    <w:rsid w:val="00193B7B"/>
    <w:rsid w:val="0019454F"/>
    <w:rsid w:val="00194719"/>
    <w:rsid w:val="00194774"/>
    <w:rsid w:val="00195CE0"/>
    <w:rsid w:val="001A0659"/>
    <w:rsid w:val="001A068A"/>
    <w:rsid w:val="001A098F"/>
    <w:rsid w:val="001A10CB"/>
    <w:rsid w:val="001A110B"/>
    <w:rsid w:val="001A149A"/>
    <w:rsid w:val="001A2AB7"/>
    <w:rsid w:val="001A4A9C"/>
    <w:rsid w:val="001A6B88"/>
    <w:rsid w:val="001A6C33"/>
    <w:rsid w:val="001A6E68"/>
    <w:rsid w:val="001A77CE"/>
    <w:rsid w:val="001B3131"/>
    <w:rsid w:val="001B4B2F"/>
    <w:rsid w:val="001B7C00"/>
    <w:rsid w:val="001C09D2"/>
    <w:rsid w:val="001C1620"/>
    <w:rsid w:val="001C185F"/>
    <w:rsid w:val="001C18B2"/>
    <w:rsid w:val="001C1994"/>
    <w:rsid w:val="001C2933"/>
    <w:rsid w:val="001C35CE"/>
    <w:rsid w:val="001C5C14"/>
    <w:rsid w:val="001C5EEE"/>
    <w:rsid w:val="001C6A73"/>
    <w:rsid w:val="001C73C2"/>
    <w:rsid w:val="001D0474"/>
    <w:rsid w:val="001D141D"/>
    <w:rsid w:val="001D1EBD"/>
    <w:rsid w:val="001D2184"/>
    <w:rsid w:val="001D24F3"/>
    <w:rsid w:val="001D2678"/>
    <w:rsid w:val="001D2BEF"/>
    <w:rsid w:val="001D2DC4"/>
    <w:rsid w:val="001D5667"/>
    <w:rsid w:val="001D6A48"/>
    <w:rsid w:val="001E1043"/>
    <w:rsid w:val="001E10E1"/>
    <w:rsid w:val="001E175F"/>
    <w:rsid w:val="001E19F7"/>
    <w:rsid w:val="001E2669"/>
    <w:rsid w:val="001E3FB9"/>
    <w:rsid w:val="001E4083"/>
    <w:rsid w:val="001E5588"/>
    <w:rsid w:val="001E56CB"/>
    <w:rsid w:val="001E56FC"/>
    <w:rsid w:val="001E582D"/>
    <w:rsid w:val="001E6318"/>
    <w:rsid w:val="001E7C1F"/>
    <w:rsid w:val="001F0AD5"/>
    <w:rsid w:val="001F0C0A"/>
    <w:rsid w:val="001F1509"/>
    <w:rsid w:val="001F18E7"/>
    <w:rsid w:val="001F1E40"/>
    <w:rsid w:val="001F2514"/>
    <w:rsid w:val="001F3A75"/>
    <w:rsid w:val="001F3A9D"/>
    <w:rsid w:val="001F3EA8"/>
    <w:rsid w:val="001F3FDB"/>
    <w:rsid w:val="001F6545"/>
    <w:rsid w:val="001F66B5"/>
    <w:rsid w:val="001F6C71"/>
    <w:rsid w:val="001F6F36"/>
    <w:rsid w:val="001F76FD"/>
    <w:rsid w:val="002004C0"/>
    <w:rsid w:val="002012F2"/>
    <w:rsid w:val="002014D7"/>
    <w:rsid w:val="00202F07"/>
    <w:rsid w:val="00203030"/>
    <w:rsid w:val="00203D45"/>
    <w:rsid w:val="00205495"/>
    <w:rsid w:val="002061DE"/>
    <w:rsid w:val="002065E2"/>
    <w:rsid w:val="0020688B"/>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A51"/>
    <w:rsid w:val="00230D5F"/>
    <w:rsid w:val="00231BE3"/>
    <w:rsid w:val="00232C51"/>
    <w:rsid w:val="002333E7"/>
    <w:rsid w:val="00233414"/>
    <w:rsid w:val="00233D69"/>
    <w:rsid w:val="00234E82"/>
    <w:rsid w:val="00235C9D"/>
    <w:rsid w:val="00240823"/>
    <w:rsid w:val="002412D4"/>
    <w:rsid w:val="0024220D"/>
    <w:rsid w:val="00242BD3"/>
    <w:rsid w:val="00242C02"/>
    <w:rsid w:val="00243155"/>
    <w:rsid w:val="00246E87"/>
    <w:rsid w:val="00247783"/>
    <w:rsid w:val="0025172C"/>
    <w:rsid w:val="00252C70"/>
    <w:rsid w:val="00252CF8"/>
    <w:rsid w:val="00252E2E"/>
    <w:rsid w:val="00253210"/>
    <w:rsid w:val="0025353E"/>
    <w:rsid w:val="00253DE1"/>
    <w:rsid w:val="00253FBA"/>
    <w:rsid w:val="0025425F"/>
    <w:rsid w:val="00254468"/>
    <w:rsid w:val="00254DE4"/>
    <w:rsid w:val="002559DA"/>
    <w:rsid w:val="00256955"/>
    <w:rsid w:val="00256F0D"/>
    <w:rsid w:val="0026071A"/>
    <w:rsid w:val="00261A97"/>
    <w:rsid w:val="00261B27"/>
    <w:rsid w:val="00262B5A"/>
    <w:rsid w:val="00264491"/>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8A0"/>
    <w:rsid w:val="00275A2D"/>
    <w:rsid w:val="0027655E"/>
    <w:rsid w:val="00276788"/>
    <w:rsid w:val="002772A5"/>
    <w:rsid w:val="002806F8"/>
    <w:rsid w:val="002810B5"/>
    <w:rsid w:val="00281F4F"/>
    <w:rsid w:val="00284165"/>
    <w:rsid w:val="00286744"/>
    <w:rsid w:val="002909B9"/>
    <w:rsid w:val="00292CEE"/>
    <w:rsid w:val="00292D22"/>
    <w:rsid w:val="0029470D"/>
    <w:rsid w:val="002950E9"/>
    <w:rsid w:val="00297B80"/>
    <w:rsid w:val="002A076C"/>
    <w:rsid w:val="002A1059"/>
    <w:rsid w:val="002A3C9D"/>
    <w:rsid w:val="002A5403"/>
    <w:rsid w:val="002A5C8C"/>
    <w:rsid w:val="002A6C9F"/>
    <w:rsid w:val="002A77F3"/>
    <w:rsid w:val="002A7C2A"/>
    <w:rsid w:val="002B0CB3"/>
    <w:rsid w:val="002B14F0"/>
    <w:rsid w:val="002B1F0F"/>
    <w:rsid w:val="002B53D3"/>
    <w:rsid w:val="002B6202"/>
    <w:rsid w:val="002C014C"/>
    <w:rsid w:val="002C060C"/>
    <w:rsid w:val="002C0BA6"/>
    <w:rsid w:val="002C12A7"/>
    <w:rsid w:val="002C2B6F"/>
    <w:rsid w:val="002C3007"/>
    <w:rsid w:val="002C314F"/>
    <w:rsid w:val="002C4AD1"/>
    <w:rsid w:val="002C7D29"/>
    <w:rsid w:val="002D0298"/>
    <w:rsid w:val="002D1662"/>
    <w:rsid w:val="002D1DE5"/>
    <w:rsid w:val="002D3506"/>
    <w:rsid w:val="002D3670"/>
    <w:rsid w:val="002D3826"/>
    <w:rsid w:val="002D4807"/>
    <w:rsid w:val="002D5DDC"/>
    <w:rsid w:val="002D5F16"/>
    <w:rsid w:val="002D612E"/>
    <w:rsid w:val="002D62F1"/>
    <w:rsid w:val="002D6FD8"/>
    <w:rsid w:val="002D727B"/>
    <w:rsid w:val="002D7EAD"/>
    <w:rsid w:val="002E1169"/>
    <w:rsid w:val="002E1218"/>
    <w:rsid w:val="002E28F3"/>
    <w:rsid w:val="002E7615"/>
    <w:rsid w:val="002E7A2A"/>
    <w:rsid w:val="002E7F16"/>
    <w:rsid w:val="002F1425"/>
    <w:rsid w:val="002F20EC"/>
    <w:rsid w:val="002F292F"/>
    <w:rsid w:val="002F2EC8"/>
    <w:rsid w:val="002F4CE2"/>
    <w:rsid w:val="002F5F6A"/>
    <w:rsid w:val="002F60A4"/>
    <w:rsid w:val="002F6B0C"/>
    <w:rsid w:val="002F77FC"/>
    <w:rsid w:val="003004A6"/>
    <w:rsid w:val="0030129C"/>
    <w:rsid w:val="003013E2"/>
    <w:rsid w:val="00301FCE"/>
    <w:rsid w:val="00301FE4"/>
    <w:rsid w:val="00303E3A"/>
    <w:rsid w:val="00305417"/>
    <w:rsid w:val="00306127"/>
    <w:rsid w:val="0030641B"/>
    <w:rsid w:val="003067C8"/>
    <w:rsid w:val="00311453"/>
    <w:rsid w:val="003114C9"/>
    <w:rsid w:val="0031229D"/>
    <w:rsid w:val="00314E12"/>
    <w:rsid w:val="00316168"/>
    <w:rsid w:val="003166A5"/>
    <w:rsid w:val="00316C8C"/>
    <w:rsid w:val="003174C2"/>
    <w:rsid w:val="00317CE4"/>
    <w:rsid w:val="00320DF4"/>
    <w:rsid w:val="003219A9"/>
    <w:rsid w:val="00321B00"/>
    <w:rsid w:val="00321C54"/>
    <w:rsid w:val="00321DCD"/>
    <w:rsid w:val="0032261F"/>
    <w:rsid w:val="003237A2"/>
    <w:rsid w:val="00324729"/>
    <w:rsid w:val="00324C95"/>
    <w:rsid w:val="003251D3"/>
    <w:rsid w:val="00325C8B"/>
    <w:rsid w:val="0032626F"/>
    <w:rsid w:val="00327011"/>
    <w:rsid w:val="00327A1A"/>
    <w:rsid w:val="00334127"/>
    <w:rsid w:val="00335960"/>
    <w:rsid w:val="00335CA6"/>
    <w:rsid w:val="003365F0"/>
    <w:rsid w:val="00336C50"/>
    <w:rsid w:val="00337388"/>
    <w:rsid w:val="0034007D"/>
    <w:rsid w:val="003433E5"/>
    <w:rsid w:val="00344082"/>
    <w:rsid w:val="0034582C"/>
    <w:rsid w:val="00345916"/>
    <w:rsid w:val="00345CAC"/>
    <w:rsid w:val="0034789E"/>
    <w:rsid w:val="00347B42"/>
    <w:rsid w:val="003501DA"/>
    <w:rsid w:val="003503E2"/>
    <w:rsid w:val="00351DC1"/>
    <w:rsid w:val="003534EE"/>
    <w:rsid w:val="00354661"/>
    <w:rsid w:val="003600A2"/>
    <w:rsid w:val="003612D8"/>
    <w:rsid w:val="003637B6"/>
    <w:rsid w:val="00363F89"/>
    <w:rsid w:val="00363FB0"/>
    <w:rsid w:val="003646D6"/>
    <w:rsid w:val="00364FC6"/>
    <w:rsid w:val="0036541D"/>
    <w:rsid w:val="00370504"/>
    <w:rsid w:val="00371814"/>
    <w:rsid w:val="00372BAE"/>
    <w:rsid w:val="00372EE9"/>
    <w:rsid w:val="00373F07"/>
    <w:rsid w:val="00374830"/>
    <w:rsid w:val="00374A60"/>
    <w:rsid w:val="00375181"/>
    <w:rsid w:val="003764C0"/>
    <w:rsid w:val="003767A4"/>
    <w:rsid w:val="00376CA7"/>
    <w:rsid w:val="003774F6"/>
    <w:rsid w:val="00377B4B"/>
    <w:rsid w:val="003804E5"/>
    <w:rsid w:val="003818B3"/>
    <w:rsid w:val="0038356A"/>
    <w:rsid w:val="0038382F"/>
    <w:rsid w:val="0038443F"/>
    <w:rsid w:val="00385427"/>
    <w:rsid w:val="00387542"/>
    <w:rsid w:val="00387C6B"/>
    <w:rsid w:val="00387E00"/>
    <w:rsid w:val="00390FC0"/>
    <w:rsid w:val="003911B2"/>
    <w:rsid w:val="00391AFE"/>
    <w:rsid w:val="00392705"/>
    <w:rsid w:val="00393A79"/>
    <w:rsid w:val="00393ADB"/>
    <w:rsid w:val="0039419C"/>
    <w:rsid w:val="00395987"/>
    <w:rsid w:val="00396375"/>
    <w:rsid w:val="00396801"/>
    <w:rsid w:val="00396E82"/>
    <w:rsid w:val="003A07FF"/>
    <w:rsid w:val="003A146E"/>
    <w:rsid w:val="003A26CD"/>
    <w:rsid w:val="003A37F7"/>
    <w:rsid w:val="003A3EE3"/>
    <w:rsid w:val="003A4FBB"/>
    <w:rsid w:val="003A54E9"/>
    <w:rsid w:val="003A5E7C"/>
    <w:rsid w:val="003A78C7"/>
    <w:rsid w:val="003A79E4"/>
    <w:rsid w:val="003A7E9A"/>
    <w:rsid w:val="003B15FE"/>
    <w:rsid w:val="003B1C41"/>
    <w:rsid w:val="003B2B2D"/>
    <w:rsid w:val="003B408C"/>
    <w:rsid w:val="003B46AD"/>
    <w:rsid w:val="003B5C96"/>
    <w:rsid w:val="003B65FB"/>
    <w:rsid w:val="003B6A26"/>
    <w:rsid w:val="003B71E1"/>
    <w:rsid w:val="003B7711"/>
    <w:rsid w:val="003C040E"/>
    <w:rsid w:val="003C218D"/>
    <w:rsid w:val="003C2B83"/>
    <w:rsid w:val="003C3D89"/>
    <w:rsid w:val="003C3EE2"/>
    <w:rsid w:val="003C4224"/>
    <w:rsid w:val="003C426D"/>
    <w:rsid w:val="003C4877"/>
    <w:rsid w:val="003C4B42"/>
    <w:rsid w:val="003C4E91"/>
    <w:rsid w:val="003C6D76"/>
    <w:rsid w:val="003C72F6"/>
    <w:rsid w:val="003D073C"/>
    <w:rsid w:val="003D0791"/>
    <w:rsid w:val="003D1130"/>
    <w:rsid w:val="003D22EE"/>
    <w:rsid w:val="003D37D4"/>
    <w:rsid w:val="003D4312"/>
    <w:rsid w:val="003D47A7"/>
    <w:rsid w:val="003D56B5"/>
    <w:rsid w:val="003D5DCC"/>
    <w:rsid w:val="003D6B84"/>
    <w:rsid w:val="003E16CC"/>
    <w:rsid w:val="003E1A49"/>
    <w:rsid w:val="003E1B2B"/>
    <w:rsid w:val="003E2D01"/>
    <w:rsid w:val="003E330E"/>
    <w:rsid w:val="003E3AE3"/>
    <w:rsid w:val="003E5733"/>
    <w:rsid w:val="003E5E27"/>
    <w:rsid w:val="003E6C64"/>
    <w:rsid w:val="003E6FD2"/>
    <w:rsid w:val="003E788F"/>
    <w:rsid w:val="003E7A97"/>
    <w:rsid w:val="003E7D3A"/>
    <w:rsid w:val="003F0950"/>
    <w:rsid w:val="003F09C9"/>
    <w:rsid w:val="003F4C37"/>
    <w:rsid w:val="003F67AE"/>
    <w:rsid w:val="003F6BBB"/>
    <w:rsid w:val="003F719F"/>
    <w:rsid w:val="003F795F"/>
    <w:rsid w:val="0040033D"/>
    <w:rsid w:val="004007E1"/>
    <w:rsid w:val="00400B1F"/>
    <w:rsid w:val="004032D2"/>
    <w:rsid w:val="004038D9"/>
    <w:rsid w:val="00403C4F"/>
    <w:rsid w:val="00404201"/>
    <w:rsid w:val="004058B4"/>
    <w:rsid w:val="00405C45"/>
    <w:rsid w:val="004062EF"/>
    <w:rsid w:val="004062F0"/>
    <w:rsid w:val="00406CB5"/>
    <w:rsid w:val="0040797C"/>
    <w:rsid w:val="00410B8F"/>
    <w:rsid w:val="00412057"/>
    <w:rsid w:val="004126C1"/>
    <w:rsid w:val="00413BA5"/>
    <w:rsid w:val="00414FD0"/>
    <w:rsid w:val="00417E93"/>
    <w:rsid w:val="00422A2A"/>
    <w:rsid w:val="00423B60"/>
    <w:rsid w:val="00424BB4"/>
    <w:rsid w:val="004258CD"/>
    <w:rsid w:val="004261D2"/>
    <w:rsid w:val="004303D1"/>
    <w:rsid w:val="00433C0A"/>
    <w:rsid w:val="004349FA"/>
    <w:rsid w:val="00434D3E"/>
    <w:rsid w:val="004406BD"/>
    <w:rsid w:val="0044103A"/>
    <w:rsid w:val="00442FBE"/>
    <w:rsid w:val="004433B1"/>
    <w:rsid w:val="00443571"/>
    <w:rsid w:val="004444E3"/>
    <w:rsid w:val="004447FD"/>
    <w:rsid w:val="00445032"/>
    <w:rsid w:val="004450CB"/>
    <w:rsid w:val="004454D4"/>
    <w:rsid w:val="004467D6"/>
    <w:rsid w:val="00446967"/>
    <w:rsid w:val="00446AB6"/>
    <w:rsid w:val="00446B56"/>
    <w:rsid w:val="00447FE0"/>
    <w:rsid w:val="00450EEE"/>
    <w:rsid w:val="004512B2"/>
    <w:rsid w:val="004528EE"/>
    <w:rsid w:val="00453360"/>
    <w:rsid w:val="00456409"/>
    <w:rsid w:val="004569C6"/>
    <w:rsid w:val="00456ADC"/>
    <w:rsid w:val="0045754E"/>
    <w:rsid w:val="0045768F"/>
    <w:rsid w:val="00457769"/>
    <w:rsid w:val="004627AE"/>
    <w:rsid w:val="0046298E"/>
    <w:rsid w:val="004647BB"/>
    <w:rsid w:val="0046482B"/>
    <w:rsid w:val="004648E0"/>
    <w:rsid w:val="0047129A"/>
    <w:rsid w:val="00472043"/>
    <w:rsid w:val="00472ADE"/>
    <w:rsid w:val="00472F43"/>
    <w:rsid w:val="00472F56"/>
    <w:rsid w:val="0047335E"/>
    <w:rsid w:val="00473CA1"/>
    <w:rsid w:val="0047572C"/>
    <w:rsid w:val="00476407"/>
    <w:rsid w:val="004773F7"/>
    <w:rsid w:val="00481F5F"/>
    <w:rsid w:val="004821D0"/>
    <w:rsid w:val="00482CB2"/>
    <w:rsid w:val="00483D06"/>
    <w:rsid w:val="00484FD9"/>
    <w:rsid w:val="00485A4A"/>
    <w:rsid w:val="00485CF7"/>
    <w:rsid w:val="004862C2"/>
    <w:rsid w:val="004863F7"/>
    <w:rsid w:val="00486FFC"/>
    <w:rsid w:val="00490ED4"/>
    <w:rsid w:val="00491B91"/>
    <w:rsid w:val="00491C21"/>
    <w:rsid w:val="00491C66"/>
    <w:rsid w:val="004935D6"/>
    <w:rsid w:val="00494195"/>
    <w:rsid w:val="004945FB"/>
    <w:rsid w:val="00497356"/>
    <w:rsid w:val="004A03FD"/>
    <w:rsid w:val="004A076F"/>
    <w:rsid w:val="004A1959"/>
    <w:rsid w:val="004A1DC1"/>
    <w:rsid w:val="004A2579"/>
    <w:rsid w:val="004A31A2"/>
    <w:rsid w:val="004A48A7"/>
    <w:rsid w:val="004A655D"/>
    <w:rsid w:val="004B01B1"/>
    <w:rsid w:val="004B08D1"/>
    <w:rsid w:val="004B10E6"/>
    <w:rsid w:val="004B198F"/>
    <w:rsid w:val="004B357D"/>
    <w:rsid w:val="004B3DB4"/>
    <w:rsid w:val="004B46D0"/>
    <w:rsid w:val="004B57B0"/>
    <w:rsid w:val="004B60CE"/>
    <w:rsid w:val="004B61C9"/>
    <w:rsid w:val="004C01EB"/>
    <w:rsid w:val="004C0B26"/>
    <w:rsid w:val="004C12FE"/>
    <w:rsid w:val="004C1D57"/>
    <w:rsid w:val="004C2F7C"/>
    <w:rsid w:val="004C34F8"/>
    <w:rsid w:val="004C375F"/>
    <w:rsid w:val="004C482F"/>
    <w:rsid w:val="004C49C9"/>
    <w:rsid w:val="004C5261"/>
    <w:rsid w:val="004C627F"/>
    <w:rsid w:val="004C76C1"/>
    <w:rsid w:val="004C7DDE"/>
    <w:rsid w:val="004D0D1A"/>
    <w:rsid w:val="004D169F"/>
    <w:rsid w:val="004D18CF"/>
    <w:rsid w:val="004D2394"/>
    <w:rsid w:val="004D30CE"/>
    <w:rsid w:val="004D4071"/>
    <w:rsid w:val="004D421A"/>
    <w:rsid w:val="004D4D0C"/>
    <w:rsid w:val="004D6144"/>
    <w:rsid w:val="004D678F"/>
    <w:rsid w:val="004E1264"/>
    <w:rsid w:val="004E2CBC"/>
    <w:rsid w:val="004E3CFF"/>
    <w:rsid w:val="004E3DD4"/>
    <w:rsid w:val="004E5C1A"/>
    <w:rsid w:val="004E6C8C"/>
    <w:rsid w:val="004E6CC7"/>
    <w:rsid w:val="004E727F"/>
    <w:rsid w:val="004E750E"/>
    <w:rsid w:val="004E776F"/>
    <w:rsid w:val="004F111D"/>
    <w:rsid w:val="004F1843"/>
    <w:rsid w:val="004F1C0B"/>
    <w:rsid w:val="004F1EEC"/>
    <w:rsid w:val="004F24C8"/>
    <w:rsid w:val="004F30D6"/>
    <w:rsid w:val="004F34A5"/>
    <w:rsid w:val="004F40D6"/>
    <w:rsid w:val="004F43FC"/>
    <w:rsid w:val="004F66DA"/>
    <w:rsid w:val="004F6803"/>
    <w:rsid w:val="004F6925"/>
    <w:rsid w:val="00503AE1"/>
    <w:rsid w:val="00503CA6"/>
    <w:rsid w:val="00503FAE"/>
    <w:rsid w:val="00504DC1"/>
    <w:rsid w:val="00505332"/>
    <w:rsid w:val="00505A57"/>
    <w:rsid w:val="00505D37"/>
    <w:rsid w:val="00506141"/>
    <w:rsid w:val="005104E8"/>
    <w:rsid w:val="005107DB"/>
    <w:rsid w:val="00510DB0"/>
    <w:rsid w:val="005119F6"/>
    <w:rsid w:val="00511B7D"/>
    <w:rsid w:val="00511D00"/>
    <w:rsid w:val="00513407"/>
    <w:rsid w:val="005137E7"/>
    <w:rsid w:val="005139C3"/>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5E3"/>
    <w:rsid w:val="00543A63"/>
    <w:rsid w:val="00543AB5"/>
    <w:rsid w:val="005457CF"/>
    <w:rsid w:val="00545976"/>
    <w:rsid w:val="0054660F"/>
    <w:rsid w:val="00547628"/>
    <w:rsid w:val="005531D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6F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050F"/>
    <w:rsid w:val="00580707"/>
    <w:rsid w:val="00581FF0"/>
    <w:rsid w:val="005825FC"/>
    <w:rsid w:val="00583437"/>
    <w:rsid w:val="00583CE0"/>
    <w:rsid w:val="00584B4A"/>
    <w:rsid w:val="00584DCB"/>
    <w:rsid w:val="00585A16"/>
    <w:rsid w:val="00585B98"/>
    <w:rsid w:val="005863D8"/>
    <w:rsid w:val="005865B2"/>
    <w:rsid w:val="005867AC"/>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2C0"/>
    <w:rsid w:val="005C1057"/>
    <w:rsid w:val="005C1D45"/>
    <w:rsid w:val="005C38E9"/>
    <w:rsid w:val="005C3C9B"/>
    <w:rsid w:val="005C4109"/>
    <w:rsid w:val="005C42AB"/>
    <w:rsid w:val="005C45C0"/>
    <w:rsid w:val="005C5335"/>
    <w:rsid w:val="005C5D7B"/>
    <w:rsid w:val="005C5E29"/>
    <w:rsid w:val="005C6474"/>
    <w:rsid w:val="005C6A68"/>
    <w:rsid w:val="005C6BF8"/>
    <w:rsid w:val="005D0AE3"/>
    <w:rsid w:val="005D1103"/>
    <w:rsid w:val="005D276D"/>
    <w:rsid w:val="005D576A"/>
    <w:rsid w:val="005D5912"/>
    <w:rsid w:val="005D794C"/>
    <w:rsid w:val="005D7A9F"/>
    <w:rsid w:val="005D7AA2"/>
    <w:rsid w:val="005E2154"/>
    <w:rsid w:val="005E2FC7"/>
    <w:rsid w:val="005E36C1"/>
    <w:rsid w:val="005E37B9"/>
    <w:rsid w:val="005E427F"/>
    <w:rsid w:val="005E4574"/>
    <w:rsid w:val="005E4BBE"/>
    <w:rsid w:val="005E4C97"/>
    <w:rsid w:val="005E5014"/>
    <w:rsid w:val="005E54AA"/>
    <w:rsid w:val="005E684F"/>
    <w:rsid w:val="005E77BA"/>
    <w:rsid w:val="005F0112"/>
    <w:rsid w:val="005F03E3"/>
    <w:rsid w:val="005F0829"/>
    <w:rsid w:val="005F0DA0"/>
    <w:rsid w:val="005F24D8"/>
    <w:rsid w:val="005F2556"/>
    <w:rsid w:val="005F32BE"/>
    <w:rsid w:val="005F34FB"/>
    <w:rsid w:val="005F39A0"/>
    <w:rsid w:val="005F6B68"/>
    <w:rsid w:val="005F6F2E"/>
    <w:rsid w:val="005F7D85"/>
    <w:rsid w:val="00601A1F"/>
    <w:rsid w:val="00602655"/>
    <w:rsid w:val="00603B68"/>
    <w:rsid w:val="00603FB4"/>
    <w:rsid w:val="00604D70"/>
    <w:rsid w:val="00605297"/>
    <w:rsid w:val="00605CB9"/>
    <w:rsid w:val="006065BF"/>
    <w:rsid w:val="00607C00"/>
    <w:rsid w:val="00610430"/>
    <w:rsid w:val="00611858"/>
    <w:rsid w:val="00613D7C"/>
    <w:rsid w:val="00614EB1"/>
    <w:rsid w:val="00614F67"/>
    <w:rsid w:val="00615277"/>
    <w:rsid w:val="00615519"/>
    <w:rsid w:val="00615CED"/>
    <w:rsid w:val="00615CFC"/>
    <w:rsid w:val="006171FE"/>
    <w:rsid w:val="00617A92"/>
    <w:rsid w:val="00620CEE"/>
    <w:rsid w:val="00621A9E"/>
    <w:rsid w:val="00622558"/>
    <w:rsid w:val="00622D5F"/>
    <w:rsid w:val="00622EAE"/>
    <w:rsid w:val="0062334E"/>
    <w:rsid w:val="00623A4F"/>
    <w:rsid w:val="00624944"/>
    <w:rsid w:val="00624990"/>
    <w:rsid w:val="00624D17"/>
    <w:rsid w:val="00624F56"/>
    <w:rsid w:val="00626594"/>
    <w:rsid w:val="00630442"/>
    <w:rsid w:val="0063048C"/>
    <w:rsid w:val="00630FCD"/>
    <w:rsid w:val="0063186D"/>
    <w:rsid w:val="006319C2"/>
    <w:rsid w:val="00631FF6"/>
    <w:rsid w:val="006326AB"/>
    <w:rsid w:val="0063292C"/>
    <w:rsid w:val="0063312C"/>
    <w:rsid w:val="00633D2D"/>
    <w:rsid w:val="00633DBC"/>
    <w:rsid w:val="00634CA3"/>
    <w:rsid w:val="006351AD"/>
    <w:rsid w:val="00635A2A"/>
    <w:rsid w:val="00636A63"/>
    <w:rsid w:val="00636BE5"/>
    <w:rsid w:val="00636C79"/>
    <w:rsid w:val="00636DCB"/>
    <w:rsid w:val="00636DE3"/>
    <w:rsid w:val="00636F89"/>
    <w:rsid w:val="0063700D"/>
    <w:rsid w:val="00637470"/>
    <w:rsid w:val="00637E13"/>
    <w:rsid w:val="00640D89"/>
    <w:rsid w:val="00640F58"/>
    <w:rsid w:val="00641203"/>
    <w:rsid w:val="00641776"/>
    <w:rsid w:val="0064183D"/>
    <w:rsid w:val="006449F1"/>
    <w:rsid w:val="00644DC2"/>
    <w:rsid w:val="0064656E"/>
    <w:rsid w:val="00646DF5"/>
    <w:rsid w:val="00650397"/>
    <w:rsid w:val="006507E8"/>
    <w:rsid w:val="00650C73"/>
    <w:rsid w:val="00651143"/>
    <w:rsid w:val="00651959"/>
    <w:rsid w:val="006524E2"/>
    <w:rsid w:val="00653149"/>
    <w:rsid w:val="006531E4"/>
    <w:rsid w:val="00654505"/>
    <w:rsid w:val="006557ED"/>
    <w:rsid w:val="00655F5A"/>
    <w:rsid w:val="006575ED"/>
    <w:rsid w:val="006578FD"/>
    <w:rsid w:val="00660060"/>
    <w:rsid w:val="006609AA"/>
    <w:rsid w:val="00662EDE"/>
    <w:rsid w:val="00663D33"/>
    <w:rsid w:val="00663DD9"/>
    <w:rsid w:val="00664C9F"/>
    <w:rsid w:val="00665A65"/>
    <w:rsid w:val="00666548"/>
    <w:rsid w:val="00666A71"/>
    <w:rsid w:val="00667537"/>
    <w:rsid w:val="00670050"/>
    <w:rsid w:val="0067074B"/>
    <w:rsid w:val="00670865"/>
    <w:rsid w:val="00670D3C"/>
    <w:rsid w:val="00671415"/>
    <w:rsid w:val="00671AED"/>
    <w:rsid w:val="00672079"/>
    <w:rsid w:val="006725B5"/>
    <w:rsid w:val="006727EB"/>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F7A"/>
    <w:rsid w:val="00685068"/>
    <w:rsid w:val="006868CA"/>
    <w:rsid w:val="00686E32"/>
    <w:rsid w:val="0069087A"/>
    <w:rsid w:val="00690B4B"/>
    <w:rsid w:val="00690BE4"/>
    <w:rsid w:val="00691077"/>
    <w:rsid w:val="00691982"/>
    <w:rsid w:val="00691BB0"/>
    <w:rsid w:val="00692777"/>
    <w:rsid w:val="00692BE0"/>
    <w:rsid w:val="00692C98"/>
    <w:rsid w:val="0069324E"/>
    <w:rsid w:val="00693BA2"/>
    <w:rsid w:val="00694487"/>
    <w:rsid w:val="00695815"/>
    <w:rsid w:val="0069581B"/>
    <w:rsid w:val="00696601"/>
    <w:rsid w:val="00696788"/>
    <w:rsid w:val="006977FA"/>
    <w:rsid w:val="006A0FEA"/>
    <w:rsid w:val="006A20FB"/>
    <w:rsid w:val="006A339D"/>
    <w:rsid w:val="006A4462"/>
    <w:rsid w:val="006A4CAA"/>
    <w:rsid w:val="006A5AD3"/>
    <w:rsid w:val="006A5B59"/>
    <w:rsid w:val="006A6A14"/>
    <w:rsid w:val="006A753A"/>
    <w:rsid w:val="006A777C"/>
    <w:rsid w:val="006A7C46"/>
    <w:rsid w:val="006B0F76"/>
    <w:rsid w:val="006B1F20"/>
    <w:rsid w:val="006B398A"/>
    <w:rsid w:val="006B3DD2"/>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38B4"/>
    <w:rsid w:val="006D5A4E"/>
    <w:rsid w:val="006D6E46"/>
    <w:rsid w:val="006D7FA8"/>
    <w:rsid w:val="006E2032"/>
    <w:rsid w:val="006E4601"/>
    <w:rsid w:val="006E5B86"/>
    <w:rsid w:val="006E63FF"/>
    <w:rsid w:val="006E652D"/>
    <w:rsid w:val="006E7572"/>
    <w:rsid w:val="006F26BE"/>
    <w:rsid w:val="006F2F22"/>
    <w:rsid w:val="006F434A"/>
    <w:rsid w:val="006F604D"/>
    <w:rsid w:val="006F7974"/>
    <w:rsid w:val="00700619"/>
    <w:rsid w:val="00700A60"/>
    <w:rsid w:val="00705027"/>
    <w:rsid w:val="00710494"/>
    <w:rsid w:val="007112DE"/>
    <w:rsid w:val="007117BD"/>
    <w:rsid w:val="00711A84"/>
    <w:rsid w:val="00714F89"/>
    <w:rsid w:val="00715129"/>
    <w:rsid w:val="0071527B"/>
    <w:rsid w:val="007154CE"/>
    <w:rsid w:val="00715B25"/>
    <w:rsid w:val="00716020"/>
    <w:rsid w:val="00720860"/>
    <w:rsid w:val="00721087"/>
    <w:rsid w:val="00721530"/>
    <w:rsid w:val="00722EFF"/>
    <w:rsid w:val="00722FF4"/>
    <w:rsid w:val="00723422"/>
    <w:rsid w:val="00723B78"/>
    <w:rsid w:val="007260FE"/>
    <w:rsid w:val="00726DD6"/>
    <w:rsid w:val="0072778B"/>
    <w:rsid w:val="0073037D"/>
    <w:rsid w:val="0073076B"/>
    <w:rsid w:val="0073076E"/>
    <w:rsid w:val="00733416"/>
    <w:rsid w:val="0073377E"/>
    <w:rsid w:val="00733E05"/>
    <w:rsid w:val="00735C8A"/>
    <w:rsid w:val="00735D84"/>
    <w:rsid w:val="00735FE2"/>
    <w:rsid w:val="0073719A"/>
    <w:rsid w:val="00737C62"/>
    <w:rsid w:val="00737C91"/>
    <w:rsid w:val="007410E7"/>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A3F"/>
    <w:rsid w:val="0075458D"/>
    <w:rsid w:val="00754C70"/>
    <w:rsid w:val="007554A9"/>
    <w:rsid w:val="007556F5"/>
    <w:rsid w:val="00755EF3"/>
    <w:rsid w:val="00757105"/>
    <w:rsid w:val="00757B82"/>
    <w:rsid w:val="00760C9D"/>
    <w:rsid w:val="0076281A"/>
    <w:rsid w:val="00762ADE"/>
    <w:rsid w:val="0076365D"/>
    <w:rsid w:val="007638D2"/>
    <w:rsid w:val="007642DC"/>
    <w:rsid w:val="007660E6"/>
    <w:rsid w:val="007661A9"/>
    <w:rsid w:val="007662C0"/>
    <w:rsid w:val="0076742F"/>
    <w:rsid w:val="00767712"/>
    <w:rsid w:val="007678CA"/>
    <w:rsid w:val="007711D0"/>
    <w:rsid w:val="007712E6"/>
    <w:rsid w:val="00771D3D"/>
    <w:rsid w:val="007728AB"/>
    <w:rsid w:val="00772CFE"/>
    <w:rsid w:val="00772E46"/>
    <w:rsid w:val="007730CF"/>
    <w:rsid w:val="00774756"/>
    <w:rsid w:val="00775181"/>
    <w:rsid w:val="007751B6"/>
    <w:rsid w:val="00775345"/>
    <w:rsid w:val="00776786"/>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15B6"/>
    <w:rsid w:val="007A39A3"/>
    <w:rsid w:val="007A4189"/>
    <w:rsid w:val="007A4BB3"/>
    <w:rsid w:val="007A6307"/>
    <w:rsid w:val="007A6822"/>
    <w:rsid w:val="007A724D"/>
    <w:rsid w:val="007A749D"/>
    <w:rsid w:val="007A7B37"/>
    <w:rsid w:val="007B00EB"/>
    <w:rsid w:val="007B024C"/>
    <w:rsid w:val="007B0C6A"/>
    <w:rsid w:val="007B1450"/>
    <w:rsid w:val="007B184F"/>
    <w:rsid w:val="007B1C4C"/>
    <w:rsid w:val="007B21E4"/>
    <w:rsid w:val="007B2800"/>
    <w:rsid w:val="007B38F7"/>
    <w:rsid w:val="007B40D4"/>
    <w:rsid w:val="007B4511"/>
    <w:rsid w:val="007B5C86"/>
    <w:rsid w:val="007B6071"/>
    <w:rsid w:val="007B6540"/>
    <w:rsid w:val="007B69A2"/>
    <w:rsid w:val="007B743A"/>
    <w:rsid w:val="007C09C4"/>
    <w:rsid w:val="007C25E9"/>
    <w:rsid w:val="007C2F78"/>
    <w:rsid w:val="007C34C5"/>
    <w:rsid w:val="007C39E6"/>
    <w:rsid w:val="007C4079"/>
    <w:rsid w:val="007C4827"/>
    <w:rsid w:val="007C4A20"/>
    <w:rsid w:val="007D0B7F"/>
    <w:rsid w:val="007D0CE8"/>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60F"/>
    <w:rsid w:val="007E7997"/>
    <w:rsid w:val="007E7B47"/>
    <w:rsid w:val="007F04EF"/>
    <w:rsid w:val="007F1F37"/>
    <w:rsid w:val="007F23E2"/>
    <w:rsid w:val="007F342F"/>
    <w:rsid w:val="007F3897"/>
    <w:rsid w:val="007F38D1"/>
    <w:rsid w:val="007F56BB"/>
    <w:rsid w:val="007F63CE"/>
    <w:rsid w:val="007F6EA4"/>
    <w:rsid w:val="008002A5"/>
    <w:rsid w:val="0080050E"/>
    <w:rsid w:val="008011FA"/>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378"/>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5FA"/>
    <w:rsid w:val="00855CA6"/>
    <w:rsid w:val="00860323"/>
    <w:rsid w:val="00860F4F"/>
    <w:rsid w:val="008610B9"/>
    <w:rsid w:val="00862656"/>
    <w:rsid w:val="00863013"/>
    <w:rsid w:val="00863F67"/>
    <w:rsid w:val="0086483A"/>
    <w:rsid w:val="0087049C"/>
    <w:rsid w:val="00870A2E"/>
    <w:rsid w:val="00870AAD"/>
    <w:rsid w:val="00870EDE"/>
    <w:rsid w:val="00871DA0"/>
    <w:rsid w:val="00872030"/>
    <w:rsid w:val="00873973"/>
    <w:rsid w:val="00874094"/>
    <w:rsid w:val="00875C28"/>
    <w:rsid w:val="00875E75"/>
    <w:rsid w:val="0087658F"/>
    <w:rsid w:val="0087762E"/>
    <w:rsid w:val="00877823"/>
    <w:rsid w:val="008803F5"/>
    <w:rsid w:val="008812BF"/>
    <w:rsid w:val="00881341"/>
    <w:rsid w:val="00882336"/>
    <w:rsid w:val="00882931"/>
    <w:rsid w:val="008841CD"/>
    <w:rsid w:val="00884939"/>
    <w:rsid w:val="008853E0"/>
    <w:rsid w:val="00885BE2"/>
    <w:rsid w:val="008863C8"/>
    <w:rsid w:val="00886D40"/>
    <w:rsid w:val="00887A0E"/>
    <w:rsid w:val="008907F3"/>
    <w:rsid w:val="008920C2"/>
    <w:rsid w:val="00893815"/>
    <w:rsid w:val="00895702"/>
    <w:rsid w:val="00897566"/>
    <w:rsid w:val="0089757B"/>
    <w:rsid w:val="008A059F"/>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36"/>
    <w:rsid w:val="008C1056"/>
    <w:rsid w:val="008C2729"/>
    <w:rsid w:val="008C3331"/>
    <w:rsid w:val="008C3347"/>
    <w:rsid w:val="008C39D6"/>
    <w:rsid w:val="008C3B96"/>
    <w:rsid w:val="008C43BF"/>
    <w:rsid w:val="008C532F"/>
    <w:rsid w:val="008C60C3"/>
    <w:rsid w:val="008C6657"/>
    <w:rsid w:val="008C7736"/>
    <w:rsid w:val="008D0948"/>
    <w:rsid w:val="008D0FEF"/>
    <w:rsid w:val="008D311C"/>
    <w:rsid w:val="008D31D2"/>
    <w:rsid w:val="008D3CC5"/>
    <w:rsid w:val="008D40C8"/>
    <w:rsid w:val="008D564A"/>
    <w:rsid w:val="008D5E47"/>
    <w:rsid w:val="008D7D8C"/>
    <w:rsid w:val="008E004E"/>
    <w:rsid w:val="008E04FB"/>
    <w:rsid w:val="008E22B4"/>
    <w:rsid w:val="008E3E79"/>
    <w:rsid w:val="008E5282"/>
    <w:rsid w:val="008E5E2C"/>
    <w:rsid w:val="008E78F1"/>
    <w:rsid w:val="008F03CE"/>
    <w:rsid w:val="008F075B"/>
    <w:rsid w:val="008F0E9E"/>
    <w:rsid w:val="008F2913"/>
    <w:rsid w:val="008F2A4E"/>
    <w:rsid w:val="008F2AE9"/>
    <w:rsid w:val="008F332B"/>
    <w:rsid w:val="008F3923"/>
    <w:rsid w:val="008F52D0"/>
    <w:rsid w:val="008F58BB"/>
    <w:rsid w:val="008F6106"/>
    <w:rsid w:val="008F791D"/>
    <w:rsid w:val="00900959"/>
    <w:rsid w:val="00901900"/>
    <w:rsid w:val="00901B7A"/>
    <w:rsid w:val="00901EE8"/>
    <w:rsid w:val="00901F6C"/>
    <w:rsid w:val="0090266B"/>
    <w:rsid w:val="00902F06"/>
    <w:rsid w:val="009035DB"/>
    <w:rsid w:val="00904671"/>
    <w:rsid w:val="00904BAC"/>
    <w:rsid w:val="00905BC5"/>
    <w:rsid w:val="009064AA"/>
    <w:rsid w:val="00910BDA"/>
    <w:rsid w:val="00912257"/>
    <w:rsid w:val="00913495"/>
    <w:rsid w:val="00913874"/>
    <w:rsid w:val="0091390B"/>
    <w:rsid w:val="009163CC"/>
    <w:rsid w:val="0091674C"/>
    <w:rsid w:val="00916862"/>
    <w:rsid w:val="00916B2A"/>
    <w:rsid w:val="00916D96"/>
    <w:rsid w:val="009174F7"/>
    <w:rsid w:val="009176E0"/>
    <w:rsid w:val="00917E76"/>
    <w:rsid w:val="00920167"/>
    <w:rsid w:val="00921BB8"/>
    <w:rsid w:val="00921D28"/>
    <w:rsid w:val="00922034"/>
    <w:rsid w:val="0092266C"/>
    <w:rsid w:val="009241E8"/>
    <w:rsid w:val="009244CE"/>
    <w:rsid w:val="00925956"/>
    <w:rsid w:val="00925DD2"/>
    <w:rsid w:val="00926344"/>
    <w:rsid w:val="00926929"/>
    <w:rsid w:val="00927301"/>
    <w:rsid w:val="00927E9D"/>
    <w:rsid w:val="00931859"/>
    <w:rsid w:val="0093205C"/>
    <w:rsid w:val="009343F5"/>
    <w:rsid w:val="0093456A"/>
    <w:rsid w:val="009345AE"/>
    <w:rsid w:val="00935301"/>
    <w:rsid w:val="009356B9"/>
    <w:rsid w:val="00936F64"/>
    <w:rsid w:val="00937B8E"/>
    <w:rsid w:val="00940C5B"/>
    <w:rsid w:val="009411F7"/>
    <w:rsid w:val="009417F1"/>
    <w:rsid w:val="009418A1"/>
    <w:rsid w:val="00941A84"/>
    <w:rsid w:val="0094204A"/>
    <w:rsid w:val="00942EC3"/>
    <w:rsid w:val="009443ED"/>
    <w:rsid w:val="00945DBF"/>
    <w:rsid w:val="00946042"/>
    <w:rsid w:val="00946AB3"/>
    <w:rsid w:val="00947074"/>
    <w:rsid w:val="0094752A"/>
    <w:rsid w:val="00947D01"/>
    <w:rsid w:val="009503EA"/>
    <w:rsid w:val="0095112D"/>
    <w:rsid w:val="00952124"/>
    <w:rsid w:val="0095518D"/>
    <w:rsid w:val="00956244"/>
    <w:rsid w:val="00956A06"/>
    <w:rsid w:val="00957435"/>
    <w:rsid w:val="009578D0"/>
    <w:rsid w:val="009600C6"/>
    <w:rsid w:val="00960D3F"/>
    <w:rsid w:val="00960D80"/>
    <w:rsid w:val="009621CE"/>
    <w:rsid w:val="009622BF"/>
    <w:rsid w:val="00962AC7"/>
    <w:rsid w:val="009651B8"/>
    <w:rsid w:val="009653F3"/>
    <w:rsid w:val="0096587A"/>
    <w:rsid w:val="009666E7"/>
    <w:rsid w:val="00967278"/>
    <w:rsid w:val="00971568"/>
    <w:rsid w:val="009728F2"/>
    <w:rsid w:val="00972BEF"/>
    <w:rsid w:val="00973BCF"/>
    <w:rsid w:val="009741CF"/>
    <w:rsid w:val="009744BC"/>
    <w:rsid w:val="009744C7"/>
    <w:rsid w:val="00974E60"/>
    <w:rsid w:val="00975896"/>
    <w:rsid w:val="00975DF1"/>
    <w:rsid w:val="00976AFE"/>
    <w:rsid w:val="009775A2"/>
    <w:rsid w:val="00980788"/>
    <w:rsid w:val="00983389"/>
    <w:rsid w:val="00983CEA"/>
    <w:rsid w:val="00984198"/>
    <w:rsid w:val="00984E04"/>
    <w:rsid w:val="00984E73"/>
    <w:rsid w:val="00985A4A"/>
    <w:rsid w:val="00986194"/>
    <w:rsid w:val="009861D2"/>
    <w:rsid w:val="00986E53"/>
    <w:rsid w:val="00987CE5"/>
    <w:rsid w:val="00992465"/>
    <w:rsid w:val="00993CF0"/>
    <w:rsid w:val="0099428D"/>
    <w:rsid w:val="009949A7"/>
    <w:rsid w:val="00995CDC"/>
    <w:rsid w:val="009971E1"/>
    <w:rsid w:val="009975CA"/>
    <w:rsid w:val="009A0C15"/>
    <w:rsid w:val="009A1088"/>
    <w:rsid w:val="009A14CB"/>
    <w:rsid w:val="009A27C7"/>
    <w:rsid w:val="009A2961"/>
    <w:rsid w:val="009A29A8"/>
    <w:rsid w:val="009A344A"/>
    <w:rsid w:val="009A41C7"/>
    <w:rsid w:val="009A4F5A"/>
    <w:rsid w:val="009A5795"/>
    <w:rsid w:val="009A5C82"/>
    <w:rsid w:val="009B010D"/>
    <w:rsid w:val="009B0AAB"/>
    <w:rsid w:val="009B0D3E"/>
    <w:rsid w:val="009B2765"/>
    <w:rsid w:val="009B2AD1"/>
    <w:rsid w:val="009B3224"/>
    <w:rsid w:val="009B3A61"/>
    <w:rsid w:val="009B528E"/>
    <w:rsid w:val="009B54FE"/>
    <w:rsid w:val="009B77DD"/>
    <w:rsid w:val="009C13BF"/>
    <w:rsid w:val="009C2943"/>
    <w:rsid w:val="009C4B2C"/>
    <w:rsid w:val="009C4CB3"/>
    <w:rsid w:val="009C4CBC"/>
    <w:rsid w:val="009C4F15"/>
    <w:rsid w:val="009C511C"/>
    <w:rsid w:val="009C5416"/>
    <w:rsid w:val="009C587B"/>
    <w:rsid w:val="009C5DC1"/>
    <w:rsid w:val="009C64C5"/>
    <w:rsid w:val="009C6E3C"/>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78"/>
    <w:rsid w:val="009D6BEA"/>
    <w:rsid w:val="009D6CF6"/>
    <w:rsid w:val="009D76A3"/>
    <w:rsid w:val="009E09F5"/>
    <w:rsid w:val="009E0DBC"/>
    <w:rsid w:val="009E11BD"/>
    <w:rsid w:val="009E1DF8"/>
    <w:rsid w:val="009E2C1A"/>
    <w:rsid w:val="009E2C4B"/>
    <w:rsid w:val="009E2E0C"/>
    <w:rsid w:val="009E3126"/>
    <w:rsid w:val="009E3218"/>
    <w:rsid w:val="009E3248"/>
    <w:rsid w:val="009E3BED"/>
    <w:rsid w:val="009E4506"/>
    <w:rsid w:val="009E455E"/>
    <w:rsid w:val="009E487A"/>
    <w:rsid w:val="009E4FFB"/>
    <w:rsid w:val="009E7CB1"/>
    <w:rsid w:val="009F045D"/>
    <w:rsid w:val="009F1098"/>
    <w:rsid w:val="009F1458"/>
    <w:rsid w:val="009F1D3A"/>
    <w:rsid w:val="009F2C2E"/>
    <w:rsid w:val="009F4162"/>
    <w:rsid w:val="009F4190"/>
    <w:rsid w:val="009F4911"/>
    <w:rsid w:val="009F513E"/>
    <w:rsid w:val="009F5241"/>
    <w:rsid w:val="009F6807"/>
    <w:rsid w:val="009F68DF"/>
    <w:rsid w:val="009F6A24"/>
    <w:rsid w:val="00A0042C"/>
    <w:rsid w:val="00A00495"/>
    <w:rsid w:val="00A01925"/>
    <w:rsid w:val="00A01DEB"/>
    <w:rsid w:val="00A06D32"/>
    <w:rsid w:val="00A07545"/>
    <w:rsid w:val="00A127AD"/>
    <w:rsid w:val="00A13947"/>
    <w:rsid w:val="00A13E2B"/>
    <w:rsid w:val="00A15615"/>
    <w:rsid w:val="00A1562A"/>
    <w:rsid w:val="00A15901"/>
    <w:rsid w:val="00A1618E"/>
    <w:rsid w:val="00A161A1"/>
    <w:rsid w:val="00A20562"/>
    <w:rsid w:val="00A20F75"/>
    <w:rsid w:val="00A212B1"/>
    <w:rsid w:val="00A26FFF"/>
    <w:rsid w:val="00A316EC"/>
    <w:rsid w:val="00A31804"/>
    <w:rsid w:val="00A318AE"/>
    <w:rsid w:val="00A318C5"/>
    <w:rsid w:val="00A318DC"/>
    <w:rsid w:val="00A320BA"/>
    <w:rsid w:val="00A32283"/>
    <w:rsid w:val="00A32342"/>
    <w:rsid w:val="00A325EC"/>
    <w:rsid w:val="00A32B81"/>
    <w:rsid w:val="00A33507"/>
    <w:rsid w:val="00A337E5"/>
    <w:rsid w:val="00A3658D"/>
    <w:rsid w:val="00A36E51"/>
    <w:rsid w:val="00A377C5"/>
    <w:rsid w:val="00A37B2E"/>
    <w:rsid w:val="00A37D45"/>
    <w:rsid w:val="00A401FD"/>
    <w:rsid w:val="00A40558"/>
    <w:rsid w:val="00A40AF2"/>
    <w:rsid w:val="00A40DFE"/>
    <w:rsid w:val="00A411DC"/>
    <w:rsid w:val="00A41BF8"/>
    <w:rsid w:val="00A43904"/>
    <w:rsid w:val="00A4582E"/>
    <w:rsid w:val="00A45BD2"/>
    <w:rsid w:val="00A45DFA"/>
    <w:rsid w:val="00A45E5D"/>
    <w:rsid w:val="00A46A1E"/>
    <w:rsid w:val="00A50027"/>
    <w:rsid w:val="00A5056C"/>
    <w:rsid w:val="00A50595"/>
    <w:rsid w:val="00A50A39"/>
    <w:rsid w:val="00A51DF1"/>
    <w:rsid w:val="00A52AFB"/>
    <w:rsid w:val="00A53967"/>
    <w:rsid w:val="00A5455C"/>
    <w:rsid w:val="00A545EC"/>
    <w:rsid w:val="00A5481D"/>
    <w:rsid w:val="00A54C5F"/>
    <w:rsid w:val="00A54D3B"/>
    <w:rsid w:val="00A550F7"/>
    <w:rsid w:val="00A5530D"/>
    <w:rsid w:val="00A5578A"/>
    <w:rsid w:val="00A61365"/>
    <w:rsid w:val="00A61759"/>
    <w:rsid w:val="00A61B88"/>
    <w:rsid w:val="00A62C70"/>
    <w:rsid w:val="00A63982"/>
    <w:rsid w:val="00A65845"/>
    <w:rsid w:val="00A65A41"/>
    <w:rsid w:val="00A666AA"/>
    <w:rsid w:val="00A671FC"/>
    <w:rsid w:val="00A707D2"/>
    <w:rsid w:val="00A71670"/>
    <w:rsid w:val="00A72874"/>
    <w:rsid w:val="00A72B3D"/>
    <w:rsid w:val="00A72E48"/>
    <w:rsid w:val="00A7359C"/>
    <w:rsid w:val="00A73616"/>
    <w:rsid w:val="00A76648"/>
    <w:rsid w:val="00A76724"/>
    <w:rsid w:val="00A76DF7"/>
    <w:rsid w:val="00A77523"/>
    <w:rsid w:val="00A776C4"/>
    <w:rsid w:val="00A81588"/>
    <w:rsid w:val="00A83454"/>
    <w:rsid w:val="00A835E2"/>
    <w:rsid w:val="00A843FC"/>
    <w:rsid w:val="00A84DA5"/>
    <w:rsid w:val="00A85302"/>
    <w:rsid w:val="00A86119"/>
    <w:rsid w:val="00A8649F"/>
    <w:rsid w:val="00A86D25"/>
    <w:rsid w:val="00A871FC"/>
    <w:rsid w:val="00A877BD"/>
    <w:rsid w:val="00A8786B"/>
    <w:rsid w:val="00A903F1"/>
    <w:rsid w:val="00A905CC"/>
    <w:rsid w:val="00A90974"/>
    <w:rsid w:val="00A9129C"/>
    <w:rsid w:val="00A9163F"/>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081"/>
    <w:rsid w:val="00AB246B"/>
    <w:rsid w:val="00AB25C8"/>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675"/>
    <w:rsid w:val="00AD47D3"/>
    <w:rsid w:val="00AD652F"/>
    <w:rsid w:val="00AD7D05"/>
    <w:rsid w:val="00AE01F6"/>
    <w:rsid w:val="00AE16F0"/>
    <w:rsid w:val="00AE2328"/>
    <w:rsid w:val="00AE473C"/>
    <w:rsid w:val="00AE55E7"/>
    <w:rsid w:val="00AE6363"/>
    <w:rsid w:val="00AE6CD6"/>
    <w:rsid w:val="00AE7348"/>
    <w:rsid w:val="00AE7394"/>
    <w:rsid w:val="00AE75F8"/>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479A"/>
    <w:rsid w:val="00B0513A"/>
    <w:rsid w:val="00B0620B"/>
    <w:rsid w:val="00B072A3"/>
    <w:rsid w:val="00B07FCD"/>
    <w:rsid w:val="00B1149C"/>
    <w:rsid w:val="00B11F60"/>
    <w:rsid w:val="00B12163"/>
    <w:rsid w:val="00B121EF"/>
    <w:rsid w:val="00B12699"/>
    <w:rsid w:val="00B127AA"/>
    <w:rsid w:val="00B130CB"/>
    <w:rsid w:val="00B14D9D"/>
    <w:rsid w:val="00B14EF5"/>
    <w:rsid w:val="00B16048"/>
    <w:rsid w:val="00B2028C"/>
    <w:rsid w:val="00B21771"/>
    <w:rsid w:val="00B2191C"/>
    <w:rsid w:val="00B21B30"/>
    <w:rsid w:val="00B222ED"/>
    <w:rsid w:val="00B2231E"/>
    <w:rsid w:val="00B22E76"/>
    <w:rsid w:val="00B23016"/>
    <w:rsid w:val="00B23771"/>
    <w:rsid w:val="00B24EA8"/>
    <w:rsid w:val="00B26625"/>
    <w:rsid w:val="00B26A5A"/>
    <w:rsid w:val="00B2713B"/>
    <w:rsid w:val="00B2769B"/>
    <w:rsid w:val="00B303DC"/>
    <w:rsid w:val="00B307D2"/>
    <w:rsid w:val="00B3398B"/>
    <w:rsid w:val="00B33B1E"/>
    <w:rsid w:val="00B33DF2"/>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0A07"/>
    <w:rsid w:val="00B72C1C"/>
    <w:rsid w:val="00B73153"/>
    <w:rsid w:val="00B73BB7"/>
    <w:rsid w:val="00B74D12"/>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512"/>
    <w:rsid w:val="00BB1388"/>
    <w:rsid w:val="00BB1CBE"/>
    <w:rsid w:val="00BB2683"/>
    <w:rsid w:val="00BB40DF"/>
    <w:rsid w:val="00BB45AE"/>
    <w:rsid w:val="00BB5BEE"/>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96C"/>
    <w:rsid w:val="00BD6F5B"/>
    <w:rsid w:val="00BD7662"/>
    <w:rsid w:val="00BE05ED"/>
    <w:rsid w:val="00BE0831"/>
    <w:rsid w:val="00BE22D7"/>
    <w:rsid w:val="00BE350E"/>
    <w:rsid w:val="00BE3801"/>
    <w:rsid w:val="00BE38CF"/>
    <w:rsid w:val="00BE394B"/>
    <w:rsid w:val="00BE48A8"/>
    <w:rsid w:val="00BE497A"/>
    <w:rsid w:val="00BE51AF"/>
    <w:rsid w:val="00BE528F"/>
    <w:rsid w:val="00BE5850"/>
    <w:rsid w:val="00BE58D6"/>
    <w:rsid w:val="00BE5CA6"/>
    <w:rsid w:val="00BE66CE"/>
    <w:rsid w:val="00BE707F"/>
    <w:rsid w:val="00BE71CB"/>
    <w:rsid w:val="00BE7F5D"/>
    <w:rsid w:val="00BF0707"/>
    <w:rsid w:val="00BF164F"/>
    <w:rsid w:val="00BF1AAF"/>
    <w:rsid w:val="00BF268B"/>
    <w:rsid w:val="00BF32A5"/>
    <w:rsid w:val="00BF4D03"/>
    <w:rsid w:val="00BF4E85"/>
    <w:rsid w:val="00BF54BD"/>
    <w:rsid w:val="00BF5892"/>
    <w:rsid w:val="00BF5DEC"/>
    <w:rsid w:val="00C01804"/>
    <w:rsid w:val="00C025FC"/>
    <w:rsid w:val="00C026BC"/>
    <w:rsid w:val="00C02AD4"/>
    <w:rsid w:val="00C03869"/>
    <w:rsid w:val="00C07988"/>
    <w:rsid w:val="00C07C57"/>
    <w:rsid w:val="00C07C5E"/>
    <w:rsid w:val="00C10068"/>
    <w:rsid w:val="00C10AC5"/>
    <w:rsid w:val="00C12DAD"/>
    <w:rsid w:val="00C12E17"/>
    <w:rsid w:val="00C14741"/>
    <w:rsid w:val="00C1544B"/>
    <w:rsid w:val="00C1665A"/>
    <w:rsid w:val="00C1739F"/>
    <w:rsid w:val="00C177FF"/>
    <w:rsid w:val="00C222FF"/>
    <w:rsid w:val="00C2338E"/>
    <w:rsid w:val="00C238D8"/>
    <w:rsid w:val="00C239AE"/>
    <w:rsid w:val="00C23FB0"/>
    <w:rsid w:val="00C24021"/>
    <w:rsid w:val="00C243AF"/>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179"/>
    <w:rsid w:val="00C40DE4"/>
    <w:rsid w:val="00C40E63"/>
    <w:rsid w:val="00C41A06"/>
    <w:rsid w:val="00C4261B"/>
    <w:rsid w:val="00C42BFB"/>
    <w:rsid w:val="00C44DDC"/>
    <w:rsid w:val="00C5128B"/>
    <w:rsid w:val="00C51423"/>
    <w:rsid w:val="00C5294D"/>
    <w:rsid w:val="00C52F83"/>
    <w:rsid w:val="00C54A58"/>
    <w:rsid w:val="00C54C1B"/>
    <w:rsid w:val="00C54DBA"/>
    <w:rsid w:val="00C57ED3"/>
    <w:rsid w:val="00C613CC"/>
    <w:rsid w:val="00C61640"/>
    <w:rsid w:val="00C61AA7"/>
    <w:rsid w:val="00C61B8E"/>
    <w:rsid w:val="00C626DF"/>
    <w:rsid w:val="00C668DE"/>
    <w:rsid w:val="00C66BC5"/>
    <w:rsid w:val="00C7044F"/>
    <w:rsid w:val="00C720F8"/>
    <w:rsid w:val="00C7294B"/>
    <w:rsid w:val="00C742C5"/>
    <w:rsid w:val="00C75139"/>
    <w:rsid w:val="00C7525C"/>
    <w:rsid w:val="00C76CF7"/>
    <w:rsid w:val="00C81F23"/>
    <w:rsid w:val="00C8317F"/>
    <w:rsid w:val="00C83A4C"/>
    <w:rsid w:val="00C8533B"/>
    <w:rsid w:val="00C858BA"/>
    <w:rsid w:val="00C86977"/>
    <w:rsid w:val="00C904C7"/>
    <w:rsid w:val="00C916C8"/>
    <w:rsid w:val="00C92C19"/>
    <w:rsid w:val="00C9398D"/>
    <w:rsid w:val="00C939EE"/>
    <w:rsid w:val="00C93C6E"/>
    <w:rsid w:val="00C93F93"/>
    <w:rsid w:val="00C94C91"/>
    <w:rsid w:val="00C94D44"/>
    <w:rsid w:val="00C95EEE"/>
    <w:rsid w:val="00C96775"/>
    <w:rsid w:val="00C974CB"/>
    <w:rsid w:val="00C97929"/>
    <w:rsid w:val="00CA0049"/>
    <w:rsid w:val="00CA0980"/>
    <w:rsid w:val="00CA2116"/>
    <w:rsid w:val="00CA2A98"/>
    <w:rsid w:val="00CA2BAE"/>
    <w:rsid w:val="00CA34BA"/>
    <w:rsid w:val="00CA4503"/>
    <w:rsid w:val="00CA5A66"/>
    <w:rsid w:val="00CA651B"/>
    <w:rsid w:val="00CA796A"/>
    <w:rsid w:val="00CB2373"/>
    <w:rsid w:val="00CB2575"/>
    <w:rsid w:val="00CB3677"/>
    <w:rsid w:val="00CB368F"/>
    <w:rsid w:val="00CB4C42"/>
    <w:rsid w:val="00CB4DFA"/>
    <w:rsid w:val="00CB6926"/>
    <w:rsid w:val="00CB79E4"/>
    <w:rsid w:val="00CB7BD7"/>
    <w:rsid w:val="00CC4CB6"/>
    <w:rsid w:val="00CC4DB0"/>
    <w:rsid w:val="00CC5038"/>
    <w:rsid w:val="00CC5326"/>
    <w:rsid w:val="00CC7426"/>
    <w:rsid w:val="00CC7910"/>
    <w:rsid w:val="00CD0965"/>
    <w:rsid w:val="00CD0C20"/>
    <w:rsid w:val="00CD1A94"/>
    <w:rsid w:val="00CD297A"/>
    <w:rsid w:val="00CD3DB0"/>
    <w:rsid w:val="00CD4129"/>
    <w:rsid w:val="00CD5DBB"/>
    <w:rsid w:val="00CD675D"/>
    <w:rsid w:val="00CD67E7"/>
    <w:rsid w:val="00CD7388"/>
    <w:rsid w:val="00CE0773"/>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2E9B"/>
    <w:rsid w:val="00CF3739"/>
    <w:rsid w:val="00CF5597"/>
    <w:rsid w:val="00CF57B4"/>
    <w:rsid w:val="00CF5CA5"/>
    <w:rsid w:val="00CF658A"/>
    <w:rsid w:val="00CF66B6"/>
    <w:rsid w:val="00D007D6"/>
    <w:rsid w:val="00D0145A"/>
    <w:rsid w:val="00D01A9F"/>
    <w:rsid w:val="00D01CED"/>
    <w:rsid w:val="00D01E38"/>
    <w:rsid w:val="00D022B5"/>
    <w:rsid w:val="00D02F18"/>
    <w:rsid w:val="00D038E7"/>
    <w:rsid w:val="00D039B5"/>
    <w:rsid w:val="00D04AA9"/>
    <w:rsid w:val="00D04F76"/>
    <w:rsid w:val="00D053D2"/>
    <w:rsid w:val="00D06CBA"/>
    <w:rsid w:val="00D0756C"/>
    <w:rsid w:val="00D07D07"/>
    <w:rsid w:val="00D103AA"/>
    <w:rsid w:val="00D10F87"/>
    <w:rsid w:val="00D1149D"/>
    <w:rsid w:val="00D11B8E"/>
    <w:rsid w:val="00D11D8D"/>
    <w:rsid w:val="00D12B12"/>
    <w:rsid w:val="00D12DD7"/>
    <w:rsid w:val="00D13A8C"/>
    <w:rsid w:val="00D149E1"/>
    <w:rsid w:val="00D14A44"/>
    <w:rsid w:val="00D15BCC"/>
    <w:rsid w:val="00D1628F"/>
    <w:rsid w:val="00D16C90"/>
    <w:rsid w:val="00D2162B"/>
    <w:rsid w:val="00D21D89"/>
    <w:rsid w:val="00D22522"/>
    <w:rsid w:val="00D22657"/>
    <w:rsid w:val="00D228DF"/>
    <w:rsid w:val="00D231BB"/>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6E0"/>
    <w:rsid w:val="00D50332"/>
    <w:rsid w:val="00D5136A"/>
    <w:rsid w:val="00D52B95"/>
    <w:rsid w:val="00D5362B"/>
    <w:rsid w:val="00D53A09"/>
    <w:rsid w:val="00D54AAB"/>
    <w:rsid w:val="00D552F9"/>
    <w:rsid w:val="00D55497"/>
    <w:rsid w:val="00D565DE"/>
    <w:rsid w:val="00D56832"/>
    <w:rsid w:val="00D56EDF"/>
    <w:rsid w:val="00D56F08"/>
    <w:rsid w:val="00D57361"/>
    <w:rsid w:val="00D61406"/>
    <w:rsid w:val="00D61541"/>
    <w:rsid w:val="00D61575"/>
    <w:rsid w:val="00D621B7"/>
    <w:rsid w:val="00D6294E"/>
    <w:rsid w:val="00D63C9A"/>
    <w:rsid w:val="00D640BC"/>
    <w:rsid w:val="00D654D5"/>
    <w:rsid w:val="00D65A9D"/>
    <w:rsid w:val="00D65CB5"/>
    <w:rsid w:val="00D666B7"/>
    <w:rsid w:val="00D677BB"/>
    <w:rsid w:val="00D67D1C"/>
    <w:rsid w:val="00D70544"/>
    <w:rsid w:val="00D71463"/>
    <w:rsid w:val="00D7194A"/>
    <w:rsid w:val="00D723A4"/>
    <w:rsid w:val="00D72AE4"/>
    <w:rsid w:val="00D73026"/>
    <w:rsid w:val="00D73A22"/>
    <w:rsid w:val="00D73FA1"/>
    <w:rsid w:val="00D7469D"/>
    <w:rsid w:val="00D7550B"/>
    <w:rsid w:val="00D75EEB"/>
    <w:rsid w:val="00D75F1E"/>
    <w:rsid w:val="00D80F87"/>
    <w:rsid w:val="00D812A5"/>
    <w:rsid w:val="00D824F8"/>
    <w:rsid w:val="00D82A5C"/>
    <w:rsid w:val="00D82D11"/>
    <w:rsid w:val="00D83CD3"/>
    <w:rsid w:val="00D83E51"/>
    <w:rsid w:val="00D84719"/>
    <w:rsid w:val="00D856EA"/>
    <w:rsid w:val="00D85ACD"/>
    <w:rsid w:val="00D86460"/>
    <w:rsid w:val="00D877A5"/>
    <w:rsid w:val="00D90682"/>
    <w:rsid w:val="00D912D5"/>
    <w:rsid w:val="00D91AAF"/>
    <w:rsid w:val="00D94564"/>
    <w:rsid w:val="00D9536E"/>
    <w:rsid w:val="00D95D53"/>
    <w:rsid w:val="00D97426"/>
    <w:rsid w:val="00D97568"/>
    <w:rsid w:val="00D97A01"/>
    <w:rsid w:val="00DA06B0"/>
    <w:rsid w:val="00DA2583"/>
    <w:rsid w:val="00DA29BA"/>
    <w:rsid w:val="00DA3249"/>
    <w:rsid w:val="00DA38CE"/>
    <w:rsid w:val="00DA4B01"/>
    <w:rsid w:val="00DA4C7A"/>
    <w:rsid w:val="00DA5322"/>
    <w:rsid w:val="00DA55AC"/>
    <w:rsid w:val="00DA5600"/>
    <w:rsid w:val="00DA608B"/>
    <w:rsid w:val="00DA7413"/>
    <w:rsid w:val="00DB0066"/>
    <w:rsid w:val="00DB0F9E"/>
    <w:rsid w:val="00DB1307"/>
    <w:rsid w:val="00DB1E1A"/>
    <w:rsid w:val="00DB2AF6"/>
    <w:rsid w:val="00DB2B86"/>
    <w:rsid w:val="00DB364F"/>
    <w:rsid w:val="00DB39E7"/>
    <w:rsid w:val="00DB3B3E"/>
    <w:rsid w:val="00DB71DB"/>
    <w:rsid w:val="00DB71E1"/>
    <w:rsid w:val="00DB7B0F"/>
    <w:rsid w:val="00DB7BA3"/>
    <w:rsid w:val="00DB7CB3"/>
    <w:rsid w:val="00DC0D57"/>
    <w:rsid w:val="00DC16F7"/>
    <w:rsid w:val="00DC1CA3"/>
    <w:rsid w:val="00DC1FF9"/>
    <w:rsid w:val="00DC2641"/>
    <w:rsid w:val="00DC2B1E"/>
    <w:rsid w:val="00DC5033"/>
    <w:rsid w:val="00DC7217"/>
    <w:rsid w:val="00DC7481"/>
    <w:rsid w:val="00DC7591"/>
    <w:rsid w:val="00DD0839"/>
    <w:rsid w:val="00DD26D0"/>
    <w:rsid w:val="00DD47D5"/>
    <w:rsid w:val="00DD6729"/>
    <w:rsid w:val="00DD7960"/>
    <w:rsid w:val="00DD7B0D"/>
    <w:rsid w:val="00DE1F29"/>
    <w:rsid w:val="00DE3FEB"/>
    <w:rsid w:val="00DE4905"/>
    <w:rsid w:val="00DE510C"/>
    <w:rsid w:val="00DE7822"/>
    <w:rsid w:val="00DF00F3"/>
    <w:rsid w:val="00DF081A"/>
    <w:rsid w:val="00DF0AE3"/>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42A"/>
    <w:rsid w:val="00E37652"/>
    <w:rsid w:val="00E3768F"/>
    <w:rsid w:val="00E402BC"/>
    <w:rsid w:val="00E40C77"/>
    <w:rsid w:val="00E41403"/>
    <w:rsid w:val="00E418C7"/>
    <w:rsid w:val="00E41BD7"/>
    <w:rsid w:val="00E428D6"/>
    <w:rsid w:val="00E42D07"/>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4AF"/>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376"/>
    <w:rsid w:val="00E7584A"/>
    <w:rsid w:val="00E760D0"/>
    <w:rsid w:val="00E76D85"/>
    <w:rsid w:val="00E77C2E"/>
    <w:rsid w:val="00E80A1A"/>
    <w:rsid w:val="00E8292A"/>
    <w:rsid w:val="00E82DE7"/>
    <w:rsid w:val="00E84116"/>
    <w:rsid w:val="00E84534"/>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6A6"/>
    <w:rsid w:val="00EB2857"/>
    <w:rsid w:val="00EB30B7"/>
    <w:rsid w:val="00EB3F8A"/>
    <w:rsid w:val="00EB416F"/>
    <w:rsid w:val="00EB4226"/>
    <w:rsid w:val="00EB43B9"/>
    <w:rsid w:val="00EB4482"/>
    <w:rsid w:val="00EB4A29"/>
    <w:rsid w:val="00EB4C01"/>
    <w:rsid w:val="00EB4D59"/>
    <w:rsid w:val="00EB4E58"/>
    <w:rsid w:val="00EB573D"/>
    <w:rsid w:val="00EB583A"/>
    <w:rsid w:val="00EB7752"/>
    <w:rsid w:val="00EC0725"/>
    <w:rsid w:val="00EC0889"/>
    <w:rsid w:val="00EC0C13"/>
    <w:rsid w:val="00EC148C"/>
    <w:rsid w:val="00EC2C7B"/>
    <w:rsid w:val="00EC2D7D"/>
    <w:rsid w:val="00EC36AD"/>
    <w:rsid w:val="00EC3ADE"/>
    <w:rsid w:val="00EC3BCF"/>
    <w:rsid w:val="00EC56B1"/>
    <w:rsid w:val="00EC6264"/>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286E"/>
    <w:rsid w:val="00EE6989"/>
    <w:rsid w:val="00EE6C77"/>
    <w:rsid w:val="00EE75B2"/>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FBA"/>
    <w:rsid w:val="00F135D6"/>
    <w:rsid w:val="00F13922"/>
    <w:rsid w:val="00F13DBC"/>
    <w:rsid w:val="00F15685"/>
    <w:rsid w:val="00F15FCF"/>
    <w:rsid w:val="00F16613"/>
    <w:rsid w:val="00F1738D"/>
    <w:rsid w:val="00F173B2"/>
    <w:rsid w:val="00F20706"/>
    <w:rsid w:val="00F21496"/>
    <w:rsid w:val="00F21E77"/>
    <w:rsid w:val="00F24D27"/>
    <w:rsid w:val="00F2520C"/>
    <w:rsid w:val="00F25BCB"/>
    <w:rsid w:val="00F25ECC"/>
    <w:rsid w:val="00F264C1"/>
    <w:rsid w:val="00F26D7F"/>
    <w:rsid w:val="00F27305"/>
    <w:rsid w:val="00F30790"/>
    <w:rsid w:val="00F313C8"/>
    <w:rsid w:val="00F31570"/>
    <w:rsid w:val="00F33355"/>
    <w:rsid w:val="00F34363"/>
    <w:rsid w:val="00F34CE9"/>
    <w:rsid w:val="00F354B9"/>
    <w:rsid w:val="00F35705"/>
    <w:rsid w:val="00F35B93"/>
    <w:rsid w:val="00F35CF2"/>
    <w:rsid w:val="00F37CFD"/>
    <w:rsid w:val="00F37D33"/>
    <w:rsid w:val="00F40178"/>
    <w:rsid w:val="00F40DB9"/>
    <w:rsid w:val="00F40ED1"/>
    <w:rsid w:val="00F415A3"/>
    <w:rsid w:val="00F41778"/>
    <w:rsid w:val="00F41B3E"/>
    <w:rsid w:val="00F421D1"/>
    <w:rsid w:val="00F4323B"/>
    <w:rsid w:val="00F43B8E"/>
    <w:rsid w:val="00F449C1"/>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38EA"/>
    <w:rsid w:val="00F64A3A"/>
    <w:rsid w:val="00F64A52"/>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6C78"/>
    <w:rsid w:val="00F87431"/>
    <w:rsid w:val="00F8765C"/>
    <w:rsid w:val="00F87A53"/>
    <w:rsid w:val="00F87DC9"/>
    <w:rsid w:val="00F9031B"/>
    <w:rsid w:val="00F91DA4"/>
    <w:rsid w:val="00F92728"/>
    <w:rsid w:val="00F937AF"/>
    <w:rsid w:val="00F94038"/>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D39"/>
    <w:rsid w:val="00FB6C14"/>
    <w:rsid w:val="00FB7123"/>
    <w:rsid w:val="00FB72AC"/>
    <w:rsid w:val="00FB7706"/>
    <w:rsid w:val="00FB7EC9"/>
    <w:rsid w:val="00FB7F82"/>
    <w:rsid w:val="00FC0063"/>
    <w:rsid w:val="00FC0DAF"/>
    <w:rsid w:val="00FC11F5"/>
    <w:rsid w:val="00FC126D"/>
    <w:rsid w:val="00FC31F4"/>
    <w:rsid w:val="00FC3387"/>
    <w:rsid w:val="00FC382F"/>
    <w:rsid w:val="00FC40EB"/>
    <w:rsid w:val="00FC4236"/>
    <w:rsid w:val="00FC5F94"/>
    <w:rsid w:val="00FC615D"/>
    <w:rsid w:val="00FD01CC"/>
    <w:rsid w:val="00FD08AF"/>
    <w:rsid w:val="00FD1E7A"/>
    <w:rsid w:val="00FD2672"/>
    <w:rsid w:val="00FD28F4"/>
    <w:rsid w:val="00FD2CE2"/>
    <w:rsid w:val="00FD4A1E"/>
    <w:rsid w:val="00FD597D"/>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88B"/>
    <w:rsid w:val="00FF12EF"/>
    <w:rsid w:val="00FF1D76"/>
    <w:rsid w:val="00FF309E"/>
    <w:rsid w:val="00FF3EE6"/>
    <w:rsid w:val="00FF3FD1"/>
    <w:rsid w:val="00FF434C"/>
    <w:rsid w:val="00FF55F5"/>
    <w:rsid w:val="00FF682B"/>
    <w:rsid w:val="00FF7668"/>
    <w:rsid w:val="00FF78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shorttext">
    <w:name w:val="short_text"/>
    <w:basedOn w:val="DefaultParagraphFont"/>
    <w:rsid w:val="000E4EF2"/>
  </w:style>
  <w:style w:type="character" w:customStyle="1" w:styleId="hps">
    <w:name w:val="hps"/>
    <w:basedOn w:val="DefaultParagraphFont"/>
    <w:rsid w:val="000E4EF2"/>
  </w:style>
  <w:style w:type="paragraph" w:styleId="ListParagraph">
    <w:name w:val="List Paragraph"/>
    <w:basedOn w:val="Normal"/>
    <w:uiPriority w:val="34"/>
    <w:qFormat/>
    <w:rsid w:val="00C8317F"/>
    <w:pPr>
      <w:ind w:left="720"/>
      <w:contextualSpacing/>
    </w:pPr>
  </w:style>
  <w:style w:type="character" w:styleId="Hyperlink">
    <w:name w:val="Hyperlink"/>
    <w:basedOn w:val="DefaultParagraphFont"/>
    <w:rsid w:val="004D2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shorttext">
    <w:name w:val="short_text"/>
    <w:basedOn w:val="DefaultParagraphFont"/>
    <w:rsid w:val="000E4EF2"/>
  </w:style>
  <w:style w:type="character" w:customStyle="1" w:styleId="hps">
    <w:name w:val="hps"/>
    <w:basedOn w:val="DefaultParagraphFont"/>
    <w:rsid w:val="000E4EF2"/>
  </w:style>
  <w:style w:type="paragraph" w:styleId="ListParagraph">
    <w:name w:val="List Paragraph"/>
    <w:basedOn w:val="Normal"/>
    <w:uiPriority w:val="34"/>
    <w:qFormat/>
    <w:rsid w:val="00C8317F"/>
    <w:pPr>
      <w:ind w:left="720"/>
      <w:contextualSpacing/>
    </w:pPr>
  </w:style>
  <w:style w:type="character" w:styleId="Hyperlink">
    <w:name w:val="Hyperlink"/>
    <w:basedOn w:val="DefaultParagraphFont"/>
    <w:rsid w:val="004D2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78330-8770-4E9A-A1A2-071F709C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9</Pages>
  <Words>3803</Words>
  <Characters>18708</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MM/LD/WG/13/-- (Arabic)</vt:lpstr>
    </vt:vector>
  </TitlesOfParts>
  <Company>World Intellectual Property Organization</Company>
  <LinksUpToDate>false</LinksUpToDate>
  <CharactersWithSpaces>22467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 (Arabic)</dc:title>
  <dc:creator>Basel Alakhras</dc:creator>
  <cp:lastModifiedBy>AHMIDOUCH Noureddine</cp:lastModifiedBy>
  <cp:revision>248</cp:revision>
  <cp:lastPrinted>2016-04-18T15:25:00Z</cp:lastPrinted>
  <dcterms:created xsi:type="dcterms:W3CDTF">2015-09-17T17:00:00Z</dcterms:created>
  <dcterms:modified xsi:type="dcterms:W3CDTF">2016-04-18T15:26:00Z</dcterms:modified>
</cp:coreProperties>
</file>