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theme/themeOverride1.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theme/themeOverride2.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theme/themeOverride3.xml" ContentType="application/vnd.openxmlformats-officedocument.themeOverride+xml"/>
  <Override PartName="/word/drawings/drawing9.xml" ContentType="application/vnd.openxmlformats-officedocument.drawingml.chartshapes+xml"/>
  <Override PartName="/word/charts/chart10.xml" ContentType="application/vnd.openxmlformats-officedocument.drawingml.chart+xml"/>
  <Override PartName="/word/drawings/drawing10.xml" ContentType="application/vnd.openxmlformats-officedocument.drawingml.chartshapes+xml"/>
  <Override PartName="/word/charts/chart11.xml" ContentType="application/vnd.openxmlformats-officedocument.drawingml.chart+xml"/>
  <Override PartName="/word/drawings/drawing11.xml" ContentType="application/vnd.openxmlformats-officedocument.drawingml.chartshapes+xml"/>
  <Override PartName="/word/charts/chart12.xml" ContentType="application/vnd.openxmlformats-officedocument.drawingml.chart+xml"/>
  <Override PartName="/word/theme/themeOverride4.xml" ContentType="application/vnd.openxmlformats-officedocument.themeOverride+xml"/>
  <Override PartName="/word/drawings/drawing12.xml" ContentType="application/vnd.openxmlformats-officedocument.drawingml.chartshapes+xml"/>
  <Override PartName="/word/charts/chart13.xml" ContentType="application/vnd.openxmlformats-officedocument.drawingml.chart+xml"/>
  <Override PartName="/word/theme/themeOverride5.xml" ContentType="application/vnd.openxmlformats-officedocument.themeOverride+xml"/>
  <Override PartName="/word/drawings/drawing13.xml" ContentType="application/vnd.openxmlformats-officedocument.drawingml.chartshapes+xml"/>
  <Override PartName="/word/charts/chart14.xml" ContentType="application/vnd.openxmlformats-officedocument.drawingml.chart+xml"/>
  <Override PartName="/word/drawings/drawing14.xml" ContentType="application/vnd.openxmlformats-officedocument.drawingml.chartshapes+xml"/>
  <Override PartName="/word/charts/chart15.xml" ContentType="application/vnd.openxmlformats-officedocument.drawingml.chart+xml"/>
  <Override PartName="/word/drawings/drawing15.xml" ContentType="application/vnd.openxmlformats-officedocument.drawingml.chartshapes+xml"/>
  <Override PartName="/word/charts/chart16.xml" ContentType="application/vnd.openxmlformats-officedocument.drawingml.chart+xml"/>
  <Override PartName="/word/drawings/drawing16.xml" ContentType="application/vnd.openxmlformats-officedocument.drawingml.chartshapes+xml"/>
  <Override PartName="/word/charts/chart17.xml" ContentType="application/vnd.openxmlformats-officedocument.drawingml.chart+xml"/>
  <Override PartName="/word/drawings/drawing17.xml" ContentType="application/vnd.openxmlformats-officedocument.drawingml.chartshapes+xml"/>
  <Override PartName="/word/charts/chart18.xml" ContentType="application/vnd.openxmlformats-officedocument.drawingml.chart+xml"/>
  <Override PartName="/word/drawings/drawing18.xml" ContentType="application/vnd.openxmlformats-officedocument.drawingml.chartshapes+xml"/>
  <Override PartName="/word/charts/chart19.xml" ContentType="application/vnd.openxmlformats-officedocument.drawingml.chart+xml"/>
  <Override PartName="/word/drawings/drawing19.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34781C" w:rsidRPr="0034781C" w:rsidTr="003060C4">
        <w:tc>
          <w:tcPr>
            <w:tcW w:w="4513" w:type="dxa"/>
            <w:tcBorders>
              <w:bottom w:val="single" w:sz="4" w:space="0" w:color="auto"/>
            </w:tcBorders>
            <w:tcMar>
              <w:bottom w:w="170" w:type="dxa"/>
            </w:tcMar>
          </w:tcPr>
          <w:p w:rsidR="00AD68F0" w:rsidRPr="0034781C" w:rsidRDefault="00AD68F0" w:rsidP="00376D70"/>
        </w:tc>
        <w:tc>
          <w:tcPr>
            <w:tcW w:w="4337" w:type="dxa"/>
            <w:tcBorders>
              <w:bottom w:val="single" w:sz="4" w:space="0" w:color="auto"/>
            </w:tcBorders>
            <w:tcMar>
              <w:left w:w="0" w:type="dxa"/>
              <w:right w:w="0" w:type="dxa"/>
            </w:tcMar>
          </w:tcPr>
          <w:p w:rsidR="00AD68F0" w:rsidRPr="0034781C" w:rsidRDefault="00AD68F0" w:rsidP="00376D70">
            <w:r w:rsidRPr="0034781C">
              <w:rPr>
                <w:noProof/>
                <w:lang w:val="en-US" w:eastAsia="en-US"/>
              </w:rPr>
              <w:drawing>
                <wp:inline distT="0" distB="0" distL="0" distR="0" wp14:anchorId="6A85E440" wp14:editId="2D926AA1">
                  <wp:extent cx="1857375" cy="1323975"/>
                  <wp:effectExtent l="0" t="0" r="9525" b="9525"/>
                  <wp:docPr id="10" name="Picture 10"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AD68F0" w:rsidRPr="0034781C" w:rsidRDefault="00AD68F0" w:rsidP="00376D70">
            <w:pPr>
              <w:jc w:val="right"/>
            </w:pPr>
            <w:r w:rsidRPr="0034781C">
              <w:rPr>
                <w:b/>
                <w:sz w:val="40"/>
                <w:szCs w:val="40"/>
              </w:rPr>
              <w:t>F</w:t>
            </w:r>
          </w:p>
        </w:tc>
      </w:tr>
      <w:tr w:rsidR="0034781C" w:rsidRPr="0034781C" w:rsidTr="00376D70">
        <w:trPr>
          <w:trHeight w:hRule="exact" w:val="340"/>
        </w:trPr>
        <w:tc>
          <w:tcPr>
            <w:tcW w:w="9356" w:type="dxa"/>
            <w:gridSpan w:val="3"/>
            <w:tcBorders>
              <w:top w:val="single" w:sz="4" w:space="0" w:color="auto"/>
            </w:tcBorders>
            <w:tcMar>
              <w:top w:w="170" w:type="dxa"/>
              <w:left w:w="0" w:type="dxa"/>
              <w:right w:w="0" w:type="dxa"/>
            </w:tcMar>
            <w:vAlign w:val="bottom"/>
          </w:tcPr>
          <w:p w:rsidR="00AD68F0" w:rsidRPr="0034781C" w:rsidRDefault="00AD68F0" w:rsidP="00376D70">
            <w:pPr>
              <w:jc w:val="right"/>
              <w:rPr>
                <w:rFonts w:ascii="Arial Black" w:hAnsi="Arial Black"/>
                <w:caps/>
                <w:sz w:val="15"/>
              </w:rPr>
            </w:pPr>
            <w:r w:rsidRPr="0034781C">
              <w:rPr>
                <w:rFonts w:ascii="Arial Black" w:hAnsi="Arial Black"/>
                <w:caps/>
                <w:sz w:val="15"/>
              </w:rPr>
              <w:t>H/LD/WG/6/</w:t>
            </w:r>
            <w:bookmarkStart w:id="0" w:name="Code"/>
            <w:bookmarkEnd w:id="0"/>
            <w:r w:rsidRPr="0034781C">
              <w:rPr>
                <w:rFonts w:ascii="Arial Black" w:hAnsi="Arial Black"/>
                <w:caps/>
                <w:sz w:val="15"/>
              </w:rPr>
              <w:t>5</w:t>
            </w:r>
          </w:p>
        </w:tc>
      </w:tr>
      <w:tr w:rsidR="0034781C" w:rsidRPr="0034781C" w:rsidTr="00376D70">
        <w:trPr>
          <w:trHeight w:hRule="exact" w:val="170"/>
        </w:trPr>
        <w:tc>
          <w:tcPr>
            <w:tcW w:w="9356" w:type="dxa"/>
            <w:gridSpan w:val="3"/>
            <w:noWrap/>
            <w:tcMar>
              <w:left w:w="0" w:type="dxa"/>
              <w:right w:w="0" w:type="dxa"/>
            </w:tcMar>
            <w:vAlign w:val="bottom"/>
          </w:tcPr>
          <w:p w:rsidR="00AD68F0" w:rsidRPr="0034781C" w:rsidRDefault="00AD68F0" w:rsidP="00376D70">
            <w:pPr>
              <w:jc w:val="right"/>
              <w:rPr>
                <w:rFonts w:ascii="Arial Black" w:hAnsi="Arial Black"/>
                <w:caps/>
                <w:sz w:val="15"/>
              </w:rPr>
            </w:pPr>
            <w:r w:rsidRPr="0034781C">
              <w:rPr>
                <w:rFonts w:ascii="Arial Black" w:hAnsi="Arial Black"/>
                <w:caps/>
                <w:sz w:val="15"/>
              </w:rPr>
              <w:t>ORIGINAL</w:t>
            </w:r>
            <w:r w:rsidR="00442790" w:rsidRPr="00442790">
              <w:rPr>
                <w:rFonts w:ascii="Arial Black" w:hAnsi="Arial Black"/>
                <w:caps/>
                <w:sz w:val="15"/>
              </w:rPr>
              <w:t> </w:t>
            </w:r>
            <w:r w:rsidRPr="0034781C">
              <w:rPr>
                <w:rFonts w:ascii="Arial Black" w:hAnsi="Arial Black"/>
                <w:caps/>
                <w:sz w:val="15"/>
              </w:rPr>
              <w:t xml:space="preserve">: </w:t>
            </w:r>
            <w:bookmarkStart w:id="1" w:name="Original"/>
            <w:bookmarkEnd w:id="1"/>
            <w:r w:rsidRPr="0034781C">
              <w:rPr>
                <w:rFonts w:ascii="Arial Black" w:hAnsi="Arial Black"/>
                <w:caps/>
                <w:sz w:val="15"/>
              </w:rPr>
              <w:t>anglais</w:t>
            </w:r>
          </w:p>
        </w:tc>
      </w:tr>
      <w:tr w:rsidR="0034781C" w:rsidRPr="0034781C" w:rsidTr="00376D70">
        <w:trPr>
          <w:trHeight w:hRule="exact" w:val="198"/>
        </w:trPr>
        <w:tc>
          <w:tcPr>
            <w:tcW w:w="9356" w:type="dxa"/>
            <w:gridSpan w:val="3"/>
            <w:tcMar>
              <w:left w:w="0" w:type="dxa"/>
              <w:right w:w="0" w:type="dxa"/>
            </w:tcMar>
            <w:vAlign w:val="bottom"/>
          </w:tcPr>
          <w:p w:rsidR="00AD68F0" w:rsidRPr="0034781C" w:rsidRDefault="00AD68F0" w:rsidP="00376D70">
            <w:pPr>
              <w:jc w:val="right"/>
              <w:rPr>
                <w:rFonts w:ascii="Arial Black" w:hAnsi="Arial Black"/>
                <w:caps/>
                <w:sz w:val="15"/>
              </w:rPr>
            </w:pPr>
            <w:r w:rsidRPr="0034781C">
              <w:rPr>
                <w:rFonts w:ascii="Arial Black" w:hAnsi="Arial Black"/>
                <w:caps/>
                <w:sz w:val="15"/>
              </w:rPr>
              <w:t>DATE</w:t>
            </w:r>
            <w:r w:rsidR="00442790" w:rsidRPr="00442790">
              <w:rPr>
                <w:rFonts w:ascii="Arial Black" w:hAnsi="Arial Black"/>
                <w:caps/>
                <w:sz w:val="15"/>
              </w:rPr>
              <w:t> </w:t>
            </w:r>
            <w:r w:rsidRPr="0034781C">
              <w:rPr>
                <w:rFonts w:ascii="Arial Black" w:hAnsi="Arial Black"/>
                <w:caps/>
                <w:sz w:val="15"/>
              </w:rPr>
              <w:t xml:space="preserve">: </w:t>
            </w:r>
            <w:bookmarkStart w:id="2" w:name="Date"/>
            <w:bookmarkEnd w:id="2"/>
            <w:r w:rsidRPr="0034781C">
              <w:rPr>
                <w:rFonts w:ascii="Arial Black" w:hAnsi="Arial Black"/>
                <w:caps/>
                <w:sz w:val="15"/>
              </w:rPr>
              <w:t>2</w:t>
            </w:r>
            <w:r w:rsidR="003060C4" w:rsidRPr="0034781C">
              <w:rPr>
                <w:rFonts w:ascii="Arial Black" w:hAnsi="Arial Black"/>
                <w:caps/>
                <w:sz w:val="15"/>
              </w:rPr>
              <w:t>5</w:t>
            </w:r>
            <w:r w:rsidR="003060C4">
              <w:rPr>
                <w:rFonts w:ascii="Arial Black" w:hAnsi="Arial Black"/>
                <w:caps/>
                <w:sz w:val="15"/>
              </w:rPr>
              <w:t> </w:t>
            </w:r>
            <w:r w:rsidR="003060C4" w:rsidRPr="0034781C">
              <w:rPr>
                <w:rFonts w:ascii="Arial Black" w:hAnsi="Arial Black"/>
                <w:caps/>
                <w:sz w:val="15"/>
              </w:rPr>
              <w:t>mai</w:t>
            </w:r>
            <w:r w:rsidR="003060C4">
              <w:rPr>
                <w:rFonts w:ascii="Arial Black" w:hAnsi="Arial Black"/>
                <w:caps/>
                <w:sz w:val="15"/>
              </w:rPr>
              <w:t> </w:t>
            </w:r>
            <w:r w:rsidR="003060C4" w:rsidRPr="0034781C">
              <w:rPr>
                <w:rFonts w:ascii="Arial Black" w:hAnsi="Arial Black"/>
                <w:caps/>
                <w:sz w:val="15"/>
              </w:rPr>
              <w:t>20</w:t>
            </w:r>
            <w:r w:rsidRPr="0034781C">
              <w:rPr>
                <w:rFonts w:ascii="Arial Black" w:hAnsi="Arial Black"/>
                <w:caps/>
                <w:sz w:val="15"/>
              </w:rPr>
              <w:t>16</w:t>
            </w:r>
          </w:p>
        </w:tc>
      </w:tr>
    </w:tbl>
    <w:p w:rsidR="00DD6BD8" w:rsidRPr="0034781C" w:rsidRDefault="00DD6BD8" w:rsidP="00AD68F0"/>
    <w:p w:rsidR="00DD6BD8" w:rsidRPr="0034781C" w:rsidRDefault="00DD6BD8" w:rsidP="00AD68F0"/>
    <w:p w:rsidR="00DD6BD8" w:rsidRPr="0034781C" w:rsidRDefault="00DD6BD8" w:rsidP="00AD68F0"/>
    <w:p w:rsidR="00DD6BD8" w:rsidRPr="0034781C" w:rsidRDefault="00DD6BD8" w:rsidP="00AD68F0"/>
    <w:p w:rsidR="00DD6BD8" w:rsidRPr="0034781C" w:rsidRDefault="00DD6BD8" w:rsidP="00AD68F0"/>
    <w:p w:rsidR="00DD6BD8" w:rsidRPr="0034781C" w:rsidRDefault="00AD68F0" w:rsidP="00AD68F0">
      <w:r w:rsidRPr="0034781C">
        <w:rPr>
          <w:b/>
          <w:sz w:val="28"/>
          <w:szCs w:val="28"/>
        </w:rPr>
        <w:t>Groupe de travail sur le développement juridique du système de</w:t>
      </w:r>
      <w:r w:rsidR="003060C4">
        <w:rPr>
          <w:b/>
          <w:sz w:val="28"/>
          <w:szCs w:val="28"/>
        </w:rPr>
        <w:t> La Haye</w:t>
      </w:r>
      <w:r w:rsidRPr="0034781C">
        <w:rPr>
          <w:b/>
          <w:sz w:val="28"/>
          <w:szCs w:val="28"/>
        </w:rPr>
        <w:t xml:space="preserve"> concernant l</w:t>
      </w:r>
      <w:r w:rsidR="003060C4">
        <w:rPr>
          <w:b/>
          <w:sz w:val="28"/>
          <w:szCs w:val="28"/>
        </w:rPr>
        <w:t>’</w:t>
      </w:r>
      <w:r w:rsidRPr="0034781C">
        <w:rPr>
          <w:b/>
          <w:sz w:val="28"/>
          <w:szCs w:val="28"/>
        </w:rPr>
        <w:t>enregistrement international des dessins et</w:t>
      </w:r>
      <w:r w:rsidR="003060C4">
        <w:rPr>
          <w:b/>
          <w:sz w:val="28"/>
          <w:szCs w:val="28"/>
        </w:rPr>
        <w:t> </w:t>
      </w:r>
      <w:r w:rsidRPr="0034781C">
        <w:rPr>
          <w:b/>
          <w:sz w:val="28"/>
          <w:szCs w:val="28"/>
        </w:rPr>
        <w:t>modèles industriels</w:t>
      </w:r>
    </w:p>
    <w:p w:rsidR="00DD6BD8" w:rsidRPr="0034781C" w:rsidRDefault="00DD6BD8" w:rsidP="00AD68F0"/>
    <w:p w:rsidR="00DD6BD8" w:rsidRPr="0034781C" w:rsidRDefault="00DD6BD8" w:rsidP="00AD68F0"/>
    <w:p w:rsidR="00DD6BD8" w:rsidRPr="0034781C" w:rsidRDefault="00AD68F0" w:rsidP="00AD68F0">
      <w:pPr>
        <w:rPr>
          <w:b/>
          <w:sz w:val="24"/>
          <w:szCs w:val="24"/>
        </w:rPr>
      </w:pPr>
      <w:r w:rsidRPr="0034781C">
        <w:rPr>
          <w:b/>
          <w:sz w:val="24"/>
          <w:szCs w:val="24"/>
        </w:rPr>
        <w:t>Sixième</w:t>
      </w:r>
      <w:r w:rsidR="00442790">
        <w:rPr>
          <w:b/>
          <w:sz w:val="24"/>
          <w:szCs w:val="24"/>
        </w:rPr>
        <w:t> </w:t>
      </w:r>
      <w:r w:rsidRPr="0034781C">
        <w:rPr>
          <w:b/>
          <w:sz w:val="24"/>
          <w:szCs w:val="24"/>
        </w:rPr>
        <w:t>session</w:t>
      </w:r>
    </w:p>
    <w:p w:rsidR="00DD6BD8" w:rsidRPr="0034781C" w:rsidRDefault="00AD68F0" w:rsidP="00AD68F0">
      <w:r w:rsidRPr="0034781C">
        <w:rPr>
          <w:b/>
          <w:sz w:val="24"/>
          <w:szCs w:val="24"/>
        </w:rPr>
        <w:t>Genève, 20 – 2</w:t>
      </w:r>
      <w:r w:rsidR="003060C4" w:rsidRPr="0034781C">
        <w:rPr>
          <w:b/>
          <w:sz w:val="24"/>
          <w:szCs w:val="24"/>
        </w:rPr>
        <w:t>2</w:t>
      </w:r>
      <w:r w:rsidR="003060C4">
        <w:rPr>
          <w:b/>
          <w:sz w:val="24"/>
          <w:szCs w:val="24"/>
        </w:rPr>
        <w:t> </w:t>
      </w:r>
      <w:r w:rsidR="003060C4" w:rsidRPr="0034781C">
        <w:rPr>
          <w:b/>
          <w:sz w:val="24"/>
          <w:szCs w:val="24"/>
        </w:rPr>
        <w:t>juin</w:t>
      </w:r>
      <w:r w:rsidR="003060C4">
        <w:rPr>
          <w:b/>
          <w:sz w:val="24"/>
          <w:szCs w:val="24"/>
        </w:rPr>
        <w:t> </w:t>
      </w:r>
      <w:r w:rsidR="003060C4" w:rsidRPr="0034781C">
        <w:rPr>
          <w:b/>
          <w:sz w:val="24"/>
          <w:szCs w:val="24"/>
        </w:rPr>
        <w:t>20</w:t>
      </w:r>
      <w:r w:rsidRPr="0034781C">
        <w:rPr>
          <w:b/>
          <w:sz w:val="24"/>
          <w:szCs w:val="24"/>
        </w:rPr>
        <w:t>16</w:t>
      </w:r>
    </w:p>
    <w:p w:rsidR="00DD6BD8" w:rsidRDefault="00DD6BD8" w:rsidP="00AD68F0"/>
    <w:p w:rsidR="00DD4A03" w:rsidRPr="0034781C" w:rsidRDefault="00DD4A03" w:rsidP="00AD68F0"/>
    <w:p w:rsidR="00DD6BD8" w:rsidRPr="0034781C" w:rsidRDefault="00DD6BD8" w:rsidP="00AD68F0"/>
    <w:p w:rsidR="00DD6BD8" w:rsidRPr="0034781C" w:rsidRDefault="007306FA" w:rsidP="007306FA">
      <w:pPr>
        <w:rPr>
          <w:caps/>
          <w:sz w:val="24"/>
          <w:szCs w:val="24"/>
        </w:rPr>
      </w:pPr>
      <w:r w:rsidRPr="0034781C">
        <w:rPr>
          <w:caps/>
          <w:sz w:val="24"/>
          <w:szCs w:val="24"/>
        </w:rPr>
        <w:t xml:space="preserve">Évolution récente du système de </w:t>
      </w:r>
      <w:r w:rsidR="003060C4">
        <w:rPr>
          <w:caps/>
          <w:sz w:val="24"/>
          <w:szCs w:val="24"/>
        </w:rPr>
        <w:t>La Haye</w:t>
      </w:r>
    </w:p>
    <w:p w:rsidR="00DD6BD8" w:rsidRPr="0034781C" w:rsidRDefault="00DD6BD8" w:rsidP="00331912"/>
    <w:p w:rsidR="00DD6BD8" w:rsidRPr="0034781C" w:rsidRDefault="007306FA" w:rsidP="007306FA">
      <w:pPr>
        <w:rPr>
          <w:i/>
        </w:rPr>
      </w:pPr>
      <w:bookmarkStart w:id="3" w:name="Prepared"/>
      <w:bookmarkEnd w:id="3"/>
      <w:r w:rsidRPr="0034781C">
        <w:rPr>
          <w:i/>
        </w:rPr>
        <w:t>Document établi par le Bureau international</w:t>
      </w:r>
    </w:p>
    <w:p w:rsidR="00DD6BD8" w:rsidRPr="0034781C" w:rsidRDefault="00DD6BD8" w:rsidP="00331912"/>
    <w:p w:rsidR="00DD6BD8" w:rsidRDefault="00DD6BD8" w:rsidP="00331912"/>
    <w:p w:rsidR="00DD4A03" w:rsidRPr="0034781C" w:rsidRDefault="00DD4A03" w:rsidP="00331912"/>
    <w:p w:rsidR="00DD6BD8" w:rsidRPr="0034781C" w:rsidRDefault="00DD6BD8" w:rsidP="00331912"/>
    <w:p w:rsidR="00DD6BD8" w:rsidRPr="0034781C" w:rsidRDefault="007306FA" w:rsidP="00C911A8">
      <w:pPr>
        <w:pStyle w:val="Heading1"/>
        <w:rPr>
          <w:lang w:eastAsia="en-US"/>
        </w:rPr>
      </w:pPr>
      <w:r w:rsidRPr="0034781C">
        <w:rPr>
          <w:lang w:eastAsia="en-US"/>
        </w:rPr>
        <w:t>I.</w:t>
      </w:r>
      <w:r w:rsidRPr="0034781C">
        <w:rPr>
          <w:lang w:eastAsia="en-US"/>
        </w:rPr>
        <w:tab/>
      </w:r>
      <w:r w:rsidR="003060C4" w:rsidRPr="0034781C">
        <w:rPr>
          <w:lang w:eastAsia="en-US"/>
        </w:rPr>
        <w:t>Introduction</w:t>
      </w:r>
    </w:p>
    <w:p w:rsidR="00DD6BD8" w:rsidRPr="0034781C" w:rsidRDefault="00DD6BD8" w:rsidP="00C911A8">
      <w:pPr>
        <w:rPr>
          <w:lang w:eastAsia="en-US"/>
        </w:rPr>
      </w:pPr>
    </w:p>
    <w:p w:rsidR="00DD6BD8" w:rsidRPr="0034781C" w:rsidRDefault="001660DE" w:rsidP="00C911A8">
      <w:pPr>
        <w:pStyle w:val="ONUMFS"/>
      </w:pPr>
      <w:r>
        <w:t xml:space="preserve">Il est rappelé que, </w:t>
      </w:r>
      <w:r w:rsidR="00B07CDD" w:rsidRPr="0034781C">
        <w:t>à sa cinquième</w:t>
      </w:r>
      <w:r w:rsidR="00442790">
        <w:t> </w:t>
      </w:r>
      <w:r w:rsidR="00B07CDD" w:rsidRPr="0034781C">
        <w:t xml:space="preserve">session, le Groupe de travail sur le développement juridique du système de </w:t>
      </w:r>
      <w:r w:rsidR="003060C4">
        <w:t>La Haye</w:t>
      </w:r>
      <w:r w:rsidR="00B07CDD" w:rsidRPr="0034781C">
        <w:t xml:space="preserve"> concernant l</w:t>
      </w:r>
      <w:r w:rsidR="003060C4">
        <w:t>’</w:t>
      </w:r>
      <w:r w:rsidR="00B07CDD" w:rsidRPr="0034781C">
        <w:t>enregistrement international des dessins et modèles</w:t>
      </w:r>
      <w:r>
        <w:t xml:space="preserve"> industriels (ci</w:t>
      </w:r>
      <w:r w:rsidR="00E86527">
        <w:noBreakHyphen/>
      </w:r>
      <w:r>
        <w:t xml:space="preserve">après dénommé </w:t>
      </w:r>
      <w:r w:rsidR="00442790">
        <w:t>“</w:t>
      </w:r>
      <w:r w:rsidR="00B07CDD" w:rsidRPr="0034781C">
        <w:t xml:space="preserve">groupe de travail”) a </w:t>
      </w:r>
      <w:r>
        <w:t>débattu de l</w:t>
      </w:r>
      <w:r w:rsidR="003060C4">
        <w:t>’</w:t>
      </w:r>
      <w:r>
        <w:t>augmentation</w:t>
      </w:r>
      <w:r w:rsidR="00B07CDD" w:rsidRPr="0034781C">
        <w:t xml:space="preserve"> du </w:t>
      </w:r>
      <w:r w:rsidR="00820D03">
        <w:t>nombre</w:t>
      </w:r>
      <w:r w:rsidR="00B07CDD" w:rsidRPr="0034781C">
        <w:t xml:space="preserve"> de demandes internationales</w:t>
      </w:r>
      <w:r w:rsidR="00FC0B0F">
        <w:t>,</w:t>
      </w:r>
      <w:r w:rsidR="00B07CDD" w:rsidRPr="0034781C">
        <w:t xml:space="preserve"> qui devrait se poursuivre au cours des prochaines années (</w:t>
      </w:r>
      <w:r w:rsidR="000A076A">
        <w:t>se référer au</w:t>
      </w:r>
      <w:r w:rsidR="00B07CDD" w:rsidRPr="0034781C">
        <w:t xml:space="preserve"> document</w:t>
      </w:r>
      <w:r w:rsidR="0042595E">
        <w:t> </w:t>
      </w:r>
      <w:r w:rsidR="00B07CDD" w:rsidRPr="0034781C">
        <w:t>H/LD/WG/5/6</w:t>
      </w:r>
      <w:r w:rsidRPr="0034781C">
        <w:t xml:space="preserve">, </w:t>
      </w:r>
      <w:r>
        <w:t xml:space="preserve">intitulé </w:t>
      </w:r>
      <w:r w:rsidR="00B07CDD" w:rsidRPr="0034781C">
        <w:t>“Considérations relatives à une éventuelle révision du barème des taxes”</w:t>
      </w:r>
      <w:r>
        <w:t>,</w:t>
      </w:r>
      <w:r w:rsidR="00B07CDD" w:rsidRPr="0034781C">
        <w:t xml:space="preserve"> et les paragraphes 138 à 147 du document H/LD/WG/5/8 </w:t>
      </w:r>
      <w:proofErr w:type="spellStart"/>
      <w:r w:rsidR="00B07CDD" w:rsidRPr="0034781C">
        <w:t>Prov</w:t>
      </w:r>
      <w:proofErr w:type="spellEnd"/>
      <w:r w:rsidR="00B07CDD" w:rsidRPr="0034781C">
        <w:t>.</w:t>
      </w:r>
      <w:r w:rsidRPr="0034781C">
        <w:t xml:space="preserve">, </w:t>
      </w:r>
      <w:r>
        <w:t>intitulé</w:t>
      </w:r>
      <w:r w:rsidR="00B07CDD" w:rsidRPr="0034781C">
        <w:t xml:space="preserve"> “Projet de rapport”).</w:t>
      </w:r>
    </w:p>
    <w:p w:rsidR="00DD6BD8" w:rsidRPr="0034781C" w:rsidRDefault="00B07CDD" w:rsidP="00C911A8">
      <w:pPr>
        <w:pStyle w:val="ONUMFS"/>
      </w:pPr>
      <w:r w:rsidRPr="0034781C">
        <w:t>En outre, l</w:t>
      </w:r>
      <w:r w:rsidR="003060C4">
        <w:t>’</w:t>
      </w:r>
      <w:r w:rsidRPr="0034781C">
        <w:t>adhésion récente de parties contractantes dotées d</w:t>
      </w:r>
      <w:r w:rsidR="003060C4">
        <w:t>’</w:t>
      </w:r>
      <w:r w:rsidR="00820D03">
        <w:t>un système</w:t>
      </w:r>
      <w:r w:rsidRPr="0034781C">
        <w:t xml:space="preserve"> d</w:t>
      </w:r>
      <w:r w:rsidR="003060C4">
        <w:t>’</w:t>
      </w:r>
      <w:r w:rsidRPr="0034781C">
        <w:t>examen a nécessité pour la première fois l</w:t>
      </w:r>
      <w:r w:rsidR="003060C4">
        <w:t>’</w:t>
      </w:r>
      <w:r w:rsidRPr="0034781C">
        <w:t>application pratique d</w:t>
      </w:r>
      <w:r w:rsidR="003060C4">
        <w:t>’</w:t>
      </w:r>
      <w:r w:rsidRPr="0034781C">
        <w:t>un certain nombre de fonctionnalités convenues lors de la Conférence diplomatique pour l</w:t>
      </w:r>
      <w:r w:rsidR="003060C4">
        <w:t>’</w:t>
      </w:r>
      <w:r w:rsidRPr="0034781C">
        <w:t>adoption d</w:t>
      </w:r>
      <w:r w:rsidR="003060C4">
        <w:t>’</w:t>
      </w:r>
      <w:r w:rsidRPr="0034781C">
        <w:t>un nouvel Acte de l</w:t>
      </w:r>
      <w:r w:rsidR="003060C4">
        <w:t>’</w:t>
      </w:r>
      <w:r w:rsidRPr="0034781C">
        <w:t xml:space="preserve">Arrangement de </w:t>
      </w:r>
      <w:r w:rsidR="003060C4">
        <w:t>La Haye</w:t>
      </w:r>
      <w:r w:rsidRPr="0034781C">
        <w:t xml:space="preserve"> concernant le dépôt international des dessins et modèles industriels (Acte de</w:t>
      </w:r>
      <w:r w:rsidR="0042595E">
        <w:t> </w:t>
      </w:r>
      <w:r w:rsidRPr="0034781C">
        <w:t>Genève) en</w:t>
      </w:r>
      <w:r w:rsidR="00442790">
        <w:t> </w:t>
      </w:r>
      <w:r w:rsidRPr="0034781C">
        <w:t>1999.</w:t>
      </w:r>
      <w:r w:rsidR="0041314D" w:rsidRPr="0034781C">
        <w:t xml:space="preserve"> </w:t>
      </w:r>
      <w:r w:rsidR="00B90B48" w:rsidRPr="0034781C">
        <w:t xml:space="preserve"> </w:t>
      </w:r>
      <w:r w:rsidR="00643C1D" w:rsidRPr="0034781C">
        <w:t xml:space="preserve">Le défi </w:t>
      </w:r>
      <w:r w:rsidR="00820D03">
        <w:t>de</w:t>
      </w:r>
      <w:r w:rsidR="00643C1D" w:rsidRPr="0034781C">
        <w:t xml:space="preserve"> cette expansion </w:t>
      </w:r>
      <w:r w:rsidR="001660DE">
        <w:t xml:space="preserve">réside dans le fait </w:t>
      </w:r>
      <w:r w:rsidR="00643C1D" w:rsidRPr="0034781C">
        <w:t xml:space="preserve">que le </w:t>
      </w:r>
      <w:r w:rsidR="001660DE">
        <w:t>s</w:t>
      </w:r>
      <w:r w:rsidR="00643C1D" w:rsidRPr="0034781C">
        <w:t>ystème de</w:t>
      </w:r>
      <w:r w:rsidR="000A076A">
        <w:t> </w:t>
      </w:r>
      <w:r w:rsidR="003060C4">
        <w:t>La Haye</w:t>
      </w:r>
      <w:r w:rsidR="00643C1D" w:rsidRPr="0034781C">
        <w:t xml:space="preserve"> doit pouvoir s</w:t>
      </w:r>
      <w:r w:rsidR="003060C4">
        <w:t>’</w:t>
      </w:r>
      <w:r w:rsidR="00643C1D" w:rsidRPr="0034781C">
        <w:t xml:space="preserve">adapter à un large éventail de systèmes nationaux </w:t>
      </w:r>
      <w:r w:rsidR="001660DE">
        <w:t>ou régionaux</w:t>
      </w:r>
      <w:r w:rsidR="00643C1D" w:rsidRPr="0034781C">
        <w:t xml:space="preserve"> tout en demeurant simple, efficace et rentable.</w:t>
      </w:r>
    </w:p>
    <w:p w:rsidR="00DD6BD8" w:rsidRPr="0034781C" w:rsidRDefault="000D603B" w:rsidP="00C911A8">
      <w:pPr>
        <w:pStyle w:val="ONUMFS"/>
      </w:pPr>
      <w:r w:rsidRPr="0034781C">
        <w:t>Le présent document a pour objet de présenter une première série d</w:t>
      </w:r>
      <w:r w:rsidR="003060C4">
        <w:t>’</w:t>
      </w:r>
      <w:r w:rsidRPr="0034781C">
        <w:t>observations et d</w:t>
      </w:r>
      <w:r w:rsidR="003060C4">
        <w:t>’</w:t>
      </w:r>
      <w:r w:rsidRPr="0034781C">
        <w:t>analyses concernant le</w:t>
      </w:r>
      <w:r w:rsidR="001660DE">
        <w:t>s dépôts effectués en vertu du s</w:t>
      </w:r>
      <w:r w:rsidRPr="0034781C">
        <w:t xml:space="preserve">ystème de </w:t>
      </w:r>
      <w:r w:rsidR="003060C4">
        <w:t>La Haye</w:t>
      </w:r>
      <w:r w:rsidRPr="0034781C">
        <w:t xml:space="preserve"> depuis l</w:t>
      </w:r>
      <w:r w:rsidR="003060C4">
        <w:t>’</w:t>
      </w:r>
      <w:r w:rsidRPr="0034781C">
        <w:t>adhésion des États</w:t>
      </w:r>
      <w:r w:rsidR="00E86527">
        <w:noBreakHyphen/>
      </w:r>
      <w:r w:rsidRPr="0034781C">
        <w:t>Unis d</w:t>
      </w:r>
      <w:r w:rsidR="003060C4">
        <w:t>’</w:t>
      </w:r>
      <w:r w:rsidRPr="0034781C">
        <w:t xml:space="preserve">Amérique, du Japon et de la République de Corée, </w:t>
      </w:r>
      <w:r w:rsidR="003060C4">
        <w:t>à savoir</w:t>
      </w:r>
      <w:r w:rsidRPr="0034781C">
        <w:t xml:space="preserve"> des pays dotés d</w:t>
      </w:r>
      <w:r w:rsidR="003060C4">
        <w:t>’</w:t>
      </w:r>
      <w:r w:rsidR="00820D03">
        <w:t>un système</w:t>
      </w:r>
      <w:r w:rsidRPr="0034781C">
        <w:t xml:space="preserve"> d</w:t>
      </w:r>
      <w:r w:rsidR="003060C4">
        <w:t>’</w:t>
      </w:r>
      <w:r w:rsidRPr="0034781C">
        <w:t xml:space="preserve">examen et enregistrant un </w:t>
      </w:r>
      <w:r w:rsidR="001660DE">
        <w:t xml:space="preserve">grand </w:t>
      </w:r>
      <w:r w:rsidRPr="0034781C">
        <w:t>nombre de dépôts, afin de vérifier si de nouvelles tendances émergent.</w:t>
      </w:r>
    </w:p>
    <w:p w:rsidR="00DD6BD8" w:rsidRPr="0034781C" w:rsidRDefault="000D603B" w:rsidP="00C911A8">
      <w:pPr>
        <w:pStyle w:val="ONUMFS"/>
      </w:pPr>
      <w:r w:rsidRPr="0034781C">
        <w:lastRenderedPageBreak/>
        <w:t xml:space="preserve">Les statistiques </w:t>
      </w:r>
      <w:r w:rsidR="001660DE">
        <w:t xml:space="preserve">utilisées pour établir </w:t>
      </w:r>
      <w:r w:rsidRPr="0034781C">
        <w:t xml:space="preserve">le présent document </w:t>
      </w:r>
      <w:r w:rsidR="001660DE">
        <w:t>concernent</w:t>
      </w:r>
      <w:r w:rsidRPr="0034781C">
        <w:t xml:space="preserve"> les enregistrements internationaux plutôt que les demandes internationales déposées et c</w:t>
      </w:r>
      <w:r w:rsidR="003060C4">
        <w:t>’</w:t>
      </w:r>
      <w:r w:rsidRPr="0034781C">
        <w:t>est la date de l</w:t>
      </w:r>
      <w:r w:rsidR="003060C4">
        <w:t>’</w:t>
      </w:r>
      <w:r w:rsidRPr="0034781C">
        <w:t>enregistrement international (en principe</w:t>
      </w:r>
      <w:r w:rsidR="00820D03">
        <w:t>,</w:t>
      </w:r>
      <w:r w:rsidRPr="0034781C">
        <w:t xml:space="preserve"> la date de dépôt de la demande internationale) plutôt que la date d</w:t>
      </w:r>
      <w:r w:rsidR="003060C4">
        <w:t>’</w:t>
      </w:r>
      <w:r w:rsidRPr="0034781C">
        <w:t>inscription qui est prise en considérati</w:t>
      </w:r>
      <w:r w:rsidR="00D01B67" w:rsidRPr="0034781C">
        <w:t>on</w:t>
      </w:r>
      <w:r w:rsidR="00D01B67">
        <w:t xml:space="preserve">.  </w:t>
      </w:r>
      <w:r w:rsidR="00D01B67" w:rsidRPr="0034781C">
        <w:t>Ai</w:t>
      </w:r>
      <w:r w:rsidRPr="0034781C">
        <w:t xml:space="preserve">nsi, par exemple, les chiffres relatifs aux enregistrements internationaux effectués </w:t>
      </w:r>
      <w:r w:rsidR="001660DE">
        <w:t>au</w:t>
      </w:r>
      <w:r w:rsidRPr="0034781C">
        <w:t xml:space="preserve"> premier trimestre de</w:t>
      </w:r>
      <w:r w:rsidR="00442790">
        <w:t> </w:t>
      </w:r>
      <w:r w:rsidRPr="0034781C">
        <w:t xml:space="preserve">2016 </w:t>
      </w:r>
      <w:r w:rsidR="001660DE">
        <w:t>concernent</w:t>
      </w:r>
      <w:r w:rsidRPr="0034781C">
        <w:t xml:space="preserve"> exclusivement les enregistrements internationaux </w:t>
      </w:r>
      <w:r w:rsidR="00820D03">
        <w:t>dont</w:t>
      </w:r>
      <w:r w:rsidR="001660DE">
        <w:t xml:space="preserve"> la date d</w:t>
      </w:r>
      <w:r w:rsidR="003060C4">
        <w:t>’</w:t>
      </w:r>
      <w:r w:rsidR="001660DE">
        <w:t xml:space="preserve">enregistrement international est </w:t>
      </w:r>
      <w:r w:rsidRPr="0034781C">
        <w:t xml:space="preserve">en janvier, février ou </w:t>
      </w:r>
      <w:r w:rsidR="003060C4" w:rsidRPr="0034781C">
        <w:t>mars</w:t>
      </w:r>
      <w:r w:rsidR="003060C4">
        <w:t> </w:t>
      </w:r>
      <w:r w:rsidR="003060C4" w:rsidRPr="0034781C">
        <w:t>20</w:t>
      </w:r>
      <w:r w:rsidRPr="0034781C">
        <w:t>16.</w:t>
      </w:r>
      <w:r w:rsidR="00DE0119" w:rsidRPr="0034781C">
        <w:t xml:space="preserve"> </w:t>
      </w:r>
      <w:r w:rsidR="002253C0" w:rsidRPr="0034781C">
        <w:t xml:space="preserve"> </w:t>
      </w:r>
      <w:r w:rsidR="001660DE">
        <w:t>Le choix s</w:t>
      </w:r>
      <w:r w:rsidR="003060C4">
        <w:t>’</w:t>
      </w:r>
      <w:r w:rsidR="001660DE">
        <w:t>est porté sur c</w:t>
      </w:r>
      <w:r w:rsidR="007D126C" w:rsidRPr="0034781C">
        <w:t xml:space="preserve">ette méthode </w:t>
      </w:r>
      <w:r w:rsidR="001660DE">
        <w:t xml:space="preserve">afin </w:t>
      </w:r>
      <w:r w:rsidR="007D126C" w:rsidRPr="0034781C">
        <w:t xml:space="preserve">de disposer de données stables et </w:t>
      </w:r>
      <w:r w:rsidR="001660DE">
        <w:t xml:space="preserve">de refléter au mieux </w:t>
      </w:r>
      <w:r w:rsidR="007D126C" w:rsidRPr="0034781C">
        <w:t>les dernières tendanc</w:t>
      </w:r>
      <w:r w:rsidR="00D01B67" w:rsidRPr="0034781C">
        <w:t>es</w:t>
      </w:r>
      <w:r w:rsidR="00D01B67">
        <w:t xml:space="preserve">.  </w:t>
      </w:r>
      <w:r w:rsidR="00D01B67" w:rsidRPr="0034781C">
        <w:t>Ce</w:t>
      </w:r>
      <w:r w:rsidR="00913F34" w:rsidRPr="0034781C">
        <w:t xml:space="preserve">pendant, il convient de noter que les chiffres </w:t>
      </w:r>
      <w:r w:rsidR="00BD0ADC" w:rsidRPr="0034781C">
        <w:t>d</w:t>
      </w:r>
      <w:r w:rsidR="00913F34" w:rsidRPr="0034781C">
        <w:t xml:space="preserve">es </w:t>
      </w:r>
      <w:r w:rsidR="00D04ECD" w:rsidRPr="0034781C">
        <w:t>“Statisti</w:t>
      </w:r>
      <w:r w:rsidR="00913F34" w:rsidRPr="0034781C">
        <w:t xml:space="preserve">ques dans le cadre du système de </w:t>
      </w:r>
      <w:r w:rsidR="003060C4">
        <w:t>La Haye</w:t>
      </w:r>
      <w:r w:rsidR="00D04ECD" w:rsidRPr="0034781C">
        <w:t xml:space="preserve">” </w:t>
      </w:r>
      <w:r w:rsidR="00913F34" w:rsidRPr="0034781C">
        <w:t>disponible</w:t>
      </w:r>
      <w:r w:rsidR="00BD0ADC" w:rsidRPr="0034781C">
        <w:t>s</w:t>
      </w:r>
      <w:r w:rsidR="00913F34" w:rsidRPr="0034781C">
        <w:t xml:space="preserve"> sur le site</w:t>
      </w:r>
      <w:r w:rsidR="00442790" w:rsidRPr="00442790">
        <w:t> </w:t>
      </w:r>
      <w:r w:rsidR="00913F34" w:rsidRPr="0034781C">
        <w:t>Web de l</w:t>
      </w:r>
      <w:r w:rsidR="003060C4">
        <w:t>’</w:t>
      </w:r>
      <w:r w:rsidR="00913F34" w:rsidRPr="0034781C">
        <w:t>OMPI</w:t>
      </w:r>
      <w:r w:rsidR="00D04ECD" w:rsidRPr="0034781C">
        <w:rPr>
          <w:rStyle w:val="FootnoteReference"/>
        </w:rPr>
        <w:footnoteReference w:id="2"/>
      </w:r>
      <w:r w:rsidR="00D04ECD" w:rsidRPr="0034781C">
        <w:t xml:space="preserve"> </w:t>
      </w:r>
      <w:r w:rsidR="001660DE">
        <w:t>s</w:t>
      </w:r>
      <w:r w:rsidR="003060C4">
        <w:t>’</w:t>
      </w:r>
      <w:r w:rsidR="001660DE">
        <w:t xml:space="preserve">appuient </w:t>
      </w:r>
      <w:r w:rsidR="00BD0ADC" w:rsidRPr="0034781C">
        <w:t xml:space="preserve">au contraire sur la date </w:t>
      </w:r>
      <w:r w:rsidR="001660DE">
        <w:t>d</w:t>
      </w:r>
      <w:r w:rsidR="003060C4">
        <w:t>’</w:t>
      </w:r>
      <w:r w:rsidR="001660DE">
        <w:t>inscription des</w:t>
      </w:r>
      <w:r w:rsidR="00BD0ADC" w:rsidRPr="0034781C">
        <w:t xml:space="preserve"> enregistrements internationaux au registre internation</w:t>
      </w:r>
      <w:r w:rsidR="00D01B67" w:rsidRPr="0034781C">
        <w:t>al</w:t>
      </w:r>
      <w:r w:rsidR="00D01B67">
        <w:t xml:space="preserve">.  </w:t>
      </w:r>
      <w:r w:rsidR="00D01B67" w:rsidRPr="0034781C">
        <w:t>Pa</w:t>
      </w:r>
      <w:r w:rsidR="00BD0ADC" w:rsidRPr="0034781C">
        <w:t xml:space="preserve">r conséquent, </w:t>
      </w:r>
      <w:r w:rsidR="001660DE">
        <w:t xml:space="preserve">il </w:t>
      </w:r>
      <w:r w:rsidR="00820D03">
        <w:t>se peut</w:t>
      </w:r>
      <w:r w:rsidR="001660DE">
        <w:t xml:space="preserve"> que </w:t>
      </w:r>
      <w:r w:rsidR="00BD0ADC" w:rsidRPr="0034781C">
        <w:t xml:space="preserve">les chiffres utilisés dans le présent document ne correspondent pas toujours aux chiffres </w:t>
      </w:r>
      <w:r w:rsidR="0061595D">
        <w:t>utilisés dans</w:t>
      </w:r>
      <w:r w:rsidR="00BD0ADC" w:rsidRPr="0034781C">
        <w:t xml:space="preserve"> lesdites statistiqu</w:t>
      </w:r>
      <w:r w:rsidR="00D01B67" w:rsidRPr="0034781C">
        <w:t>es</w:t>
      </w:r>
      <w:r w:rsidR="00D01B67">
        <w:t xml:space="preserve">.  </w:t>
      </w:r>
      <w:r w:rsidR="00D01B67" w:rsidRPr="0034781C">
        <w:t>C</w:t>
      </w:r>
      <w:r w:rsidR="00D01B67">
        <w:t>’</w:t>
      </w:r>
      <w:r w:rsidR="00D01B67" w:rsidRPr="0034781C">
        <w:t>e</w:t>
      </w:r>
      <w:r w:rsidR="00BD0ADC" w:rsidRPr="0034781C">
        <w:t xml:space="preserve">st le cas en </w:t>
      </w:r>
      <w:r w:rsidR="001660DE">
        <w:t xml:space="preserve">particulier pour les chiffres relatifs au </w:t>
      </w:r>
      <w:r w:rsidR="00BD0ADC" w:rsidRPr="0034781C">
        <w:t>premier trimestre de</w:t>
      </w:r>
      <w:r w:rsidR="00442790">
        <w:t> </w:t>
      </w:r>
      <w:r w:rsidR="00BD0ADC" w:rsidRPr="0034781C">
        <w:t xml:space="preserve">2016, </w:t>
      </w:r>
      <w:r w:rsidR="00BD0ADC" w:rsidRPr="001660DE">
        <w:t xml:space="preserve">pour lequel la méthode employée </w:t>
      </w:r>
      <w:r w:rsidR="00FC0B0F">
        <w:t>n’a permis</w:t>
      </w:r>
      <w:r w:rsidR="001660DE">
        <w:t xml:space="preserve"> d</w:t>
      </w:r>
      <w:r w:rsidR="003060C4">
        <w:t>’</w:t>
      </w:r>
      <w:r w:rsidR="001660DE">
        <w:t xml:space="preserve">obtenir </w:t>
      </w:r>
      <w:r w:rsidR="00FC0B0F">
        <w:t>qu’</w:t>
      </w:r>
      <w:r w:rsidR="001660DE">
        <w:t>un</w:t>
      </w:r>
      <w:r w:rsidR="00BD0ADC" w:rsidRPr="001660DE">
        <w:t xml:space="preserve"> échantillon</w:t>
      </w:r>
      <w:r w:rsidR="001660DE">
        <w:t xml:space="preserve"> très réduit</w:t>
      </w:r>
      <w:r w:rsidR="00E8751D" w:rsidRPr="0034781C">
        <w:rPr>
          <w:rStyle w:val="FootnoteReference"/>
        </w:rPr>
        <w:footnoteReference w:id="3"/>
      </w:r>
      <w:r w:rsidR="00D04ECD" w:rsidRPr="0034781C">
        <w:t>.</w:t>
      </w:r>
      <w:r w:rsidR="006076FE" w:rsidRPr="0034781C">
        <w:t xml:space="preserve"> </w:t>
      </w:r>
      <w:r w:rsidR="00CE2B39" w:rsidRPr="0034781C">
        <w:t xml:space="preserve"> </w:t>
      </w:r>
      <w:r w:rsidR="00BD0ADC" w:rsidRPr="0034781C">
        <w:t xml:space="preserve">Par conséquent, afin de limiter les </w:t>
      </w:r>
      <w:r w:rsidR="001660DE">
        <w:t>difficultés</w:t>
      </w:r>
      <w:r w:rsidR="00BD0ADC" w:rsidRPr="0034781C">
        <w:t xml:space="preserve">, il est parfois fait référence aux </w:t>
      </w:r>
      <w:r w:rsidR="001660DE">
        <w:t xml:space="preserve">demandes internationales </w:t>
      </w:r>
      <w:r w:rsidR="00BD0ADC" w:rsidRPr="0034781C">
        <w:t>déposé</w:t>
      </w:r>
      <w:r w:rsidR="00D420F6" w:rsidRPr="0034781C">
        <w:t>e</w:t>
      </w:r>
      <w:r w:rsidR="001660DE">
        <w:t>s</w:t>
      </w:r>
      <w:r w:rsidR="00BD0ADC" w:rsidRPr="0034781C">
        <w:t xml:space="preserve"> </w:t>
      </w:r>
      <w:r w:rsidR="001660DE">
        <w:t xml:space="preserve">au </w:t>
      </w:r>
      <w:r w:rsidR="00BD0ADC" w:rsidRPr="0034781C">
        <w:t>premier trimestre de</w:t>
      </w:r>
      <w:r w:rsidR="00CE2B39" w:rsidRPr="0034781C">
        <w:t> </w:t>
      </w:r>
      <w:r w:rsidR="00F44C0D" w:rsidRPr="0034781C">
        <w:t>2016</w:t>
      </w:r>
      <w:r w:rsidR="001E7B84" w:rsidRPr="0034781C">
        <w:t>.</w:t>
      </w:r>
    </w:p>
    <w:p w:rsidR="00DD6BD8" w:rsidRPr="0034781C" w:rsidRDefault="00853B72" w:rsidP="00C911A8">
      <w:pPr>
        <w:pStyle w:val="Heading1"/>
        <w:rPr>
          <w:noProof/>
        </w:rPr>
      </w:pPr>
      <w:r w:rsidRPr="0034781C">
        <w:rPr>
          <w:noProof/>
        </w:rPr>
        <w:t>II.</w:t>
      </w:r>
      <w:r w:rsidR="00CE2B39" w:rsidRPr="0034781C">
        <w:rPr>
          <w:noProof/>
        </w:rPr>
        <w:tab/>
      </w:r>
      <w:r w:rsidR="003060C4">
        <w:rPr>
          <w:noProof/>
        </w:rPr>
        <w:t>Quelques</w:t>
      </w:r>
      <w:r w:rsidR="003060C4" w:rsidRPr="0034781C">
        <w:rPr>
          <w:noProof/>
        </w:rPr>
        <w:t xml:space="preserve"> </w:t>
      </w:r>
      <w:r w:rsidR="00264C1D" w:rsidRPr="0034781C">
        <w:rPr>
          <w:noProof/>
        </w:rPr>
        <w:t xml:space="preserve">faits saillants concernant les </w:t>
      </w:r>
      <w:r w:rsidR="003060C4" w:rsidRPr="0034781C">
        <w:rPr>
          <w:noProof/>
        </w:rPr>
        <w:t>statistiques pour</w:t>
      </w:r>
      <w:r w:rsidR="00442790">
        <w:rPr>
          <w:noProof/>
        </w:rPr>
        <w:t> </w:t>
      </w:r>
      <w:r w:rsidR="00F84960" w:rsidRPr="0034781C">
        <w:rPr>
          <w:noProof/>
        </w:rPr>
        <w:t>2015</w:t>
      </w:r>
      <w:r w:rsidR="00BE60FA" w:rsidRPr="0034781C">
        <w:rPr>
          <w:noProof/>
        </w:rPr>
        <w:t xml:space="preserve"> </w:t>
      </w:r>
      <w:r w:rsidR="00C911A8">
        <w:rPr>
          <w:noProof/>
        </w:rPr>
        <w:t>et </w:t>
      </w:r>
      <w:r w:rsidR="00264C1D" w:rsidRPr="0034781C">
        <w:rPr>
          <w:noProof/>
        </w:rPr>
        <w:t>le premier trimestre de</w:t>
      </w:r>
      <w:r w:rsidR="00442790">
        <w:rPr>
          <w:noProof/>
        </w:rPr>
        <w:t> </w:t>
      </w:r>
      <w:r w:rsidR="00AD2E67" w:rsidRPr="0034781C">
        <w:rPr>
          <w:noProof/>
        </w:rPr>
        <w:t>2016</w:t>
      </w:r>
    </w:p>
    <w:p w:rsidR="00DD6BD8" w:rsidRPr="0034781C" w:rsidRDefault="003060C4" w:rsidP="00C911A8">
      <w:pPr>
        <w:pStyle w:val="Heading2"/>
        <w:rPr>
          <w:noProof/>
        </w:rPr>
      </w:pPr>
      <w:r w:rsidRPr="0034781C">
        <w:rPr>
          <w:noProof/>
        </w:rPr>
        <w:t xml:space="preserve">Augmentation </w:t>
      </w:r>
      <w:r w:rsidR="00A84736" w:rsidRPr="0034781C">
        <w:rPr>
          <w:noProof/>
        </w:rPr>
        <w:t>de l</w:t>
      </w:r>
      <w:r>
        <w:rPr>
          <w:noProof/>
        </w:rPr>
        <w:t>’</w:t>
      </w:r>
      <w:r w:rsidR="00A84736" w:rsidRPr="0034781C">
        <w:rPr>
          <w:noProof/>
        </w:rPr>
        <w:t xml:space="preserve">activité en vertu du système de </w:t>
      </w:r>
      <w:r>
        <w:rPr>
          <w:noProof/>
        </w:rPr>
        <w:t>La Haye</w:t>
      </w:r>
    </w:p>
    <w:p w:rsidR="00DD6BD8" w:rsidRPr="0034781C" w:rsidRDefault="00DD6BD8" w:rsidP="00C911A8"/>
    <w:p w:rsidR="00DD6BD8" w:rsidRPr="0034781C" w:rsidRDefault="00F46425" w:rsidP="00C911A8">
      <w:pPr>
        <w:pStyle w:val="ONUMFS"/>
      </w:pPr>
      <w:r>
        <w:t>Ces dernières années</w:t>
      </w:r>
      <w:r w:rsidR="0061595D">
        <w:t>, on a</w:t>
      </w:r>
      <w:r>
        <w:t xml:space="preserve"> vu l</w:t>
      </w:r>
      <w:r w:rsidR="00A84736" w:rsidRPr="0034781C">
        <w:t xml:space="preserve">e nombre </w:t>
      </w:r>
      <w:r>
        <w:t xml:space="preserve">annuel </w:t>
      </w:r>
      <w:r w:rsidR="00A84736" w:rsidRPr="0034781C">
        <w:t>d</w:t>
      </w:r>
      <w:r w:rsidR="003060C4">
        <w:t>’</w:t>
      </w:r>
      <w:r w:rsidR="00A84736" w:rsidRPr="0034781C">
        <w:t>enregistrements internationaux augment</w:t>
      </w:r>
      <w:r w:rsidR="00D01B67" w:rsidRPr="0034781C">
        <w:t>e</w:t>
      </w:r>
      <w:r w:rsidR="00D01B67">
        <w:t>r.  Au</w:t>
      </w:r>
      <w:r>
        <w:t xml:space="preserve"> total, </w:t>
      </w:r>
      <w:r w:rsidR="002F3B08">
        <w:t>3821 </w:t>
      </w:r>
      <w:r w:rsidR="00A84736" w:rsidRPr="0034781C">
        <w:t xml:space="preserve">enregistrements internationaux </w:t>
      </w:r>
      <w:r w:rsidR="0061595D">
        <w:t>ayant</w:t>
      </w:r>
      <w:r w:rsidR="00A84736" w:rsidRPr="0034781C">
        <w:t xml:space="preserve"> une date d</w:t>
      </w:r>
      <w:r w:rsidR="003060C4">
        <w:t>’</w:t>
      </w:r>
      <w:r w:rsidR="00A84736" w:rsidRPr="0034781C">
        <w:t>enregistrement international en</w:t>
      </w:r>
      <w:r w:rsidR="00442790">
        <w:t> </w:t>
      </w:r>
      <w:r w:rsidR="00A84736" w:rsidRPr="0034781C">
        <w:t>2015</w:t>
      </w:r>
      <w:r w:rsidR="00CB79EF" w:rsidRPr="0034781C">
        <w:t xml:space="preserve"> ont été inscrits</w:t>
      </w:r>
      <w:r w:rsidR="001E7B84" w:rsidRPr="0034781C">
        <w:t xml:space="preserve">, </w:t>
      </w:r>
      <w:r w:rsidR="00A84736" w:rsidRPr="0034781C">
        <w:t xml:space="preserve">soit une hausse de 40,5% par rapport </w:t>
      </w:r>
      <w:r>
        <w:t xml:space="preserve">à ceux ayant une </w:t>
      </w:r>
      <w:r w:rsidR="00A84736" w:rsidRPr="0034781C">
        <w:t>date d</w:t>
      </w:r>
      <w:r w:rsidR="003060C4">
        <w:t>’</w:t>
      </w:r>
      <w:r w:rsidR="00A84736" w:rsidRPr="0034781C">
        <w:t xml:space="preserve">enregistrement international </w:t>
      </w:r>
      <w:r w:rsidR="00CB79EF" w:rsidRPr="0034781C">
        <w:t>en</w:t>
      </w:r>
      <w:r w:rsidR="00442790">
        <w:t> </w:t>
      </w:r>
      <w:r w:rsidR="00A84736" w:rsidRPr="0034781C">
        <w:t>2014.</w:t>
      </w:r>
      <w:r w:rsidR="00442790" w:rsidRPr="00442790">
        <w:t xml:space="preserve"> </w:t>
      </w:r>
      <w:r w:rsidR="00A84736" w:rsidRPr="0034781C">
        <w:t xml:space="preserve"> En outre, le nombre total de dessins et modèles </w:t>
      </w:r>
      <w:r w:rsidR="00CB79EF" w:rsidRPr="0034781C">
        <w:t>dans c</w:t>
      </w:r>
      <w:r w:rsidR="00A84736" w:rsidRPr="0034781C">
        <w:t>es enregistrements internationaux s</w:t>
      </w:r>
      <w:r w:rsidR="003060C4">
        <w:t>’</w:t>
      </w:r>
      <w:r w:rsidR="00A84736" w:rsidRPr="0034781C">
        <w:t xml:space="preserve">est élevé à </w:t>
      </w:r>
      <w:r w:rsidR="002F3B08">
        <w:t>15 132</w:t>
      </w:r>
      <w:r w:rsidR="001E7B84" w:rsidRPr="0034781C">
        <w:t xml:space="preserve">, </w:t>
      </w:r>
      <w:r w:rsidR="00A84736" w:rsidRPr="0034781C">
        <w:t xml:space="preserve">soit une hausse de </w:t>
      </w:r>
      <w:r w:rsidR="004F2DAD" w:rsidRPr="0034781C">
        <w:t>10</w:t>
      </w:r>
      <w:r w:rsidR="00A84736" w:rsidRPr="0034781C">
        <w:t>,</w:t>
      </w:r>
      <w:r w:rsidR="00417EEE" w:rsidRPr="0034781C">
        <w:t>9</w:t>
      </w:r>
      <w:r w:rsidR="00A84736" w:rsidRPr="0034781C">
        <w:t>% par rapport à</w:t>
      </w:r>
      <w:r w:rsidR="00185A0E" w:rsidRPr="0034781C">
        <w:t xml:space="preserve"> 2014.</w:t>
      </w:r>
    </w:p>
    <w:p w:rsidR="00DD6BD8" w:rsidRPr="0034781C" w:rsidRDefault="00CB79EF" w:rsidP="00C911A8">
      <w:pPr>
        <w:pStyle w:val="ONUMFS"/>
      </w:pPr>
      <w:r w:rsidRPr="0034781C">
        <w:t>Le nombre d</w:t>
      </w:r>
      <w:r w:rsidR="003060C4">
        <w:t>’</w:t>
      </w:r>
      <w:r w:rsidRPr="0034781C">
        <w:t xml:space="preserve">enregistrements internationaux inscrits </w:t>
      </w:r>
      <w:r w:rsidR="00F46425">
        <w:t>ayant une</w:t>
      </w:r>
      <w:r w:rsidRPr="0034781C">
        <w:t xml:space="preserve"> date d</w:t>
      </w:r>
      <w:r w:rsidR="003060C4">
        <w:t>’</w:t>
      </w:r>
      <w:r w:rsidRPr="0034781C">
        <w:t xml:space="preserve">enregistrement international entre janvier et </w:t>
      </w:r>
      <w:r w:rsidR="003060C4" w:rsidRPr="0034781C">
        <w:t>mars</w:t>
      </w:r>
      <w:r w:rsidR="003060C4">
        <w:t> </w:t>
      </w:r>
      <w:r w:rsidR="003060C4" w:rsidRPr="0034781C">
        <w:t>20</w:t>
      </w:r>
      <w:r w:rsidRPr="0034781C">
        <w:t>16 s</w:t>
      </w:r>
      <w:r w:rsidR="003060C4">
        <w:t>’</w:t>
      </w:r>
      <w:r w:rsidRPr="0034781C">
        <w:t xml:space="preserve">est élevé à </w:t>
      </w:r>
      <w:r w:rsidR="001E7B84" w:rsidRPr="0034781C">
        <w:t xml:space="preserve">752;  </w:t>
      </w:r>
      <w:r w:rsidRPr="0034781C">
        <w:t>le nombre de dessins et modèles dans ces enregistrements internationaux s</w:t>
      </w:r>
      <w:r w:rsidR="003060C4">
        <w:t>’</w:t>
      </w:r>
      <w:r w:rsidRPr="0034781C">
        <w:t xml:space="preserve">élevait à </w:t>
      </w:r>
      <w:r w:rsidR="001E7B84" w:rsidRPr="0034781C">
        <w:t>2405</w:t>
      </w:r>
      <w:r w:rsidR="00D6749E" w:rsidRPr="0034781C">
        <w:rPr>
          <w:rStyle w:val="FootnoteReference"/>
        </w:rPr>
        <w:footnoteReference w:id="4"/>
      </w:r>
      <w:r w:rsidR="001E7B84" w:rsidRPr="0034781C">
        <w:t>.</w:t>
      </w:r>
    </w:p>
    <w:p w:rsidR="003060C4" w:rsidRDefault="00017589" w:rsidP="00C911A8">
      <w:pPr>
        <w:pStyle w:val="Heading2"/>
        <w:rPr>
          <w:noProof/>
        </w:rPr>
      </w:pPr>
      <w:r w:rsidRPr="0034781C">
        <w:rPr>
          <w:noProof/>
        </w:rPr>
        <w:t xml:space="preserve">Nouvelles parties contractantes figurant parmi les </w:t>
      </w:r>
      <w:r w:rsidR="002F3B08">
        <w:rPr>
          <w:noProof/>
        </w:rPr>
        <w:t>10 </w:t>
      </w:r>
      <w:r w:rsidR="00F46425">
        <w:rPr>
          <w:noProof/>
        </w:rPr>
        <w:t>parties contractantes les plus désignées</w:t>
      </w:r>
    </w:p>
    <w:p w:rsidR="003060C4" w:rsidRDefault="00017589" w:rsidP="00C911A8">
      <w:pPr>
        <w:pStyle w:val="Heading3"/>
      </w:pPr>
      <w:r w:rsidRPr="0034781C">
        <w:t>Parties contractantes les plus désignées</w:t>
      </w:r>
    </w:p>
    <w:p w:rsidR="00DD6BD8" w:rsidRPr="0034781C" w:rsidRDefault="00DD6BD8" w:rsidP="00C911A8"/>
    <w:p w:rsidR="00DD6BD8" w:rsidRPr="0034781C" w:rsidRDefault="00017589" w:rsidP="00C911A8">
      <w:pPr>
        <w:pStyle w:val="ONUMFS"/>
      </w:pPr>
      <w:r w:rsidRPr="0034781C">
        <w:t>E</w:t>
      </w:r>
      <w:r w:rsidR="0024152D" w:rsidRPr="0034781C">
        <w:t>n</w:t>
      </w:r>
      <w:r w:rsidR="00442790">
        <w:t> </w:t>
      </w:r>
      <w:r w:rsidR="0024152D" w:rsidRPr="0034781C">
        <w:t xml:space="preserve">2014, </w:t>
      </w:r>
      <w:r w:rsidRPr="0034781C">
        <w:t>l</w:t>
      </w:r>
      <w:r w:rsidR="003060C4">
        <w:t>’</w:t>
      </w:r>
      <w:r w:rsidRPr="0034781C">
        <w:t>Union européenne</w:t>
      </w:r>
      <w:r w:rsidR="0024152D" w:rsidRPr="0034781C">
        <w:t xml:space="preserve"> (2057 d</w:t>
      </w:r>
      <w:r w:rsidRPr="0034781C">
        <w:t>é</w:t>
      </w:r>
      <w:r w:rsidR="0024152D" w:rsidRPr="0034781C">
        <w:t>signations</w:t>
      </w:r>
      <w:r w:rsidR="00AE33AC" w:rsidRPr="0034781C">
        <w:t xml:space="preserve">, </w:t>
      </w:r>
      <w:r w:rsidRPr="0034781C">
        <w:t>soit 75,7% du nombre total d</w:t>
      </w:r>
      <w:r w:rsidR="003060C4">
        <w:t>’</w:t>
      </w:r>
      <w:r w:rsidRPr="0034781C">
        <w:t>enregistrements e</w:t>
      </w:r>
      <w:r w:rsidR="00B973E6" w:rsidRPr="0034781C">
        <w:t>n</w:t>
      </w:r>
      <w:r w:rsidR="00285E1B" w:rsidRPr="0034781C">
        <w:t> </w:t>
      </w:r>
      <w:r w:rsidR="00B973E6" w:rsidRPr="0034781C">
        <w:t>2014</w:t>
      </w:r>
      <w:r w:rsidR="0024152D" w:rsidRPr="0034781C">
        <w:t xml:space="preserve">) </w:t>
      </w:r>
      <w:r w:rsidRPr="0034781C">
        <w:t xml:space="preserve">a été la partie contractante la plus désignée, suivie de la Suisse </w:t>
      </w:r>
      <w:r w:rsidR="008C53E8" w:rsidRPr="0034781C">
        <w:t>(1750</w:t>
      </w:r>
      <w:r w:rsidR="00AE33AC" w:rsidRPr="0034781C">
        <w:t xml:space="preserve">, </w:t>
      </w:r>
      <w:r w:rsidRPr="0034781C">
        <w:t>soit 64,</w:t>
      </w:r>
      <w:r w:rsidR="00AE33AC" w:rsidRPr="0034781C">
        <w:t>4</w:t>
      </w:r>
      <w:r w:rsidRPr="0034781C">
        <w:t>%</w:t>
      </w:r>
      <w:r w:rsidR="008C53E8" w:rsidRPr="0034781C">
        <w:t xml:space="preserve">), </w:t>
      </w:r>
      <w:r w:rsidRPr="0034781C">
        <w:t xml:space="preserve">de la </w:t>
      </w:r>
      <w:r w:rsidR="008C53E8" w:rsidRPr="0034781C">
        <w:t>Tur</w:t>
      </w:r>
      <w:r w:rsidRPr="0034781C">
        <w:t xml:space="preserve">quie </w:t>
      </w:r>
      <w:r w:rsidR="008C53E8" w:rsidRPr="0034781C">
        <w:t>(1199</w:t>
      </w:r>
      <w:r w:rsidR="00AE33AC" w:rsidRPr="0034781C">
        <w:t xml:space="preserve">, </w:t>
      </w:r>
      <w:r w:rsidRPr="0034781C">
        <w:t xml:space="preserve">soit </w:t>
      </w:r>
      <w:r w:rsidR="00AE33AC" w:rsidRPr="0034781C">
        <w:t>44</w:t>
      </w:r>
      <w:r w:rsidRPr="0034781C">
        <w:t>,</w:t>
      </w:r>
      <w:r w:rsidR="00AE33AC" w:rsidRPr="0034781C">
        <w:t>1</w:t>
      </w:r>
      <w:r w:rsidRPr="0034781C">
        <w:t>%</w:t>
      </w:r>
      <w:r w:rsidR="008C53E8" w:rsidRPr="0034781C">
        <w:t>),</w:t>
      </w:r>
      <w:r w:rsidR="00285E1B" w:rsidRPr="0034781C">
        <w:t xml:space="preserve"> </w:t>
      </w:r>
      <w:r w:rsidRPr="0034781C">
        <w:t>de la Norvège</w:t>
      </w:r>
      <w:r w:rsidR="008C53E8" w:rsidRPr="0034781C">
        <w:t xml:space="preserve"> (705</w:t>
      </w:r>
      <w:r w:rsidR="00AE33AC" w:rsidRPr="0034781C">
        <w:t xml:space="preserve">, </w:t>
      </w:r>
      <w:r w:rsidRPr="0034781C">
        <w:t xml:space="preserve">soit </w:t>
      </w:r>
      <w:r w:rsidR="00AE33AC" w:rsidRPr="0034781C">
        <w:t>25</w:t>
      </w:r>
      <w:r w:rsidRPr="0034781C">
        <w:t>,</w:t>
      </w:r>
      <w:r w:rsidR="00AE33AC" w:rsidRPr="0034781C">
        <w:t>9</w:t>
      </w:r>
      <w:r w:rsidRPr="0034781C">
        <w:t>%</w:t>
      </w:r>
      <w:r w:rsidR="008C53E8" w:rsidRPr="0034781C">
        <w:t xml:space="preserve">), </w:t>
      </w:r>
      <w:r w:rsidRPr="0034781C">
        <w:t xml:space="preserve">de </w:t>
      </w:r>
      <w:r w:rsidR="008C53E8" w:rsidRPr="0034781C">
        <w:t>Singapo</w:t>
      </w:r>
      <w:r w:rsidRPr="0034781C">
        <w:t>u</w:t>
      </w:r>
      <w:r w:rsidR="008C53E8" w:rsidRPr="0034781C">
        <w:t>r (675</w:t>
      </w:r>
      <w:r w:rsidR="00AE33AC" w:rsidRPr="0034781C">
        <w:t xml:space="preserve">, </w:t>
      </w:r>
      <w:r w:rsidRPr="0034781C">
        <w:t xml:space="preserve">soit </w:t>
      </w:r>
      <w:r w:rsidR="00AE33AC" w:rsidRPr="0034781C">
        <w:t>24</w:t>
      </w:r>
      <w:r w:rsidRPr="0034781C">
        <w:t>,</w:t>
      </w:r>
      <w:r w:rsidR="00AE33AC" w:rsidRPr="0034781C">
        <w:t>8</w:t>
      </w:r>
      <w:r w:rsidRPr="0034781C">
        <w:t>%</w:t>
      </w:r>
      <w:r w:rsidR="008C53E8" w:rsidRPr="0034781C">
        <w:t xml:space="preserve">), </w:t>
      </w:r>
      <w:r w:rsidRPr="0034781C">
        <w:t>de l</w:t>
      </w:r>
      <w:r w:rsidR="003060C4">
        <w:t>’</w:t>
      </w:r>
      <w:r w:rsidR="008C53E8" w:rsidRPr="0034781C">
        <w:t>Ukraine (581</w:t>
      </w:r>
      <w:r w:rsidR="00AE33AC" w:rsidRPr="0034781C">
        <w:t xml:space="preserve">, </w:t>
      </w:r>
      <w:r w:rsidRPr="0034781C">
        <w:t xml:space="preserve">soit </w:t>
      </w:r>
      <w:r w:rsidR="00AE33AC" w:rsidRPr="0034781C">
        <w:t>21</w:t>
      </w:r>
      <w:r w:rsidRPr="0034781C">
        <w:t>,</w:t>
      </w:r>
      <w:r w:rsidR="00AE33AC" w:rsidRPr="0034781C">
        <w:t>4</w:t>
      </w:r>
      <w:r w:rsidRPr="0034781C">
        <w:t>%</w:t>
      </w:r>
      <w:r w:rsidR="008C53E8" w:rsidRPr="0034781C">
        <w:t xml:space="preserve">), </w:t>
      </w:r>
      <w:r w:rsidR="009E5A8E" w:rsidRPr="0034781C">
        <w:t xml:space="preserve">du Maroc </w:t>
      </w:r>
      <w:r w:rsidR="008C53E8" w:rsidRPr="0034781C">
        <w:t>(381</w:t>
      </w:r>
      <w:r w:rsidR="00AE33AC" w:rsidRPr="0034781C">
        <w:t xml:space="preserve">, </w:t>
      </w:r>
      <w:r w:rsidR="009E5A8E" w:rsidRPr="0034781C">
        <w:t xml:space="preserve">soit </w:t>
      </w:r>
      <w:r w:rsidR="00AE33AC" w:rsidRPr="0034781C">
        <w:t>14</w:t>
      </w:r>
      <w:r w:rsidR="009E5A8E" w:rsidRPr="0034781C">
        <w:t>%</w:t>
      </w:r>
      <w:r w:rsidR="008C53E8" w:rsidRPr="0034781C">
        <w:t>)</w:t>
      </w:r>
      <w:r w:rsidR="009B70AD" w:rsidRPr="0034781C">
        <w:t>,</w:t>
      </w:r>
      <w:r w:rsidR="009E5A8E" w:rsidRPr="0034781C">
        <w:t xml:space="preserve"> de</w:t>
      </w:r>
      <w:r w:rsidR="00DC5779" w:rsidRPr="0034781C">
        <w:t xml:space="preserve"> Monaco</w:t>
      </w:r>
      <w:r w:rsidR="00E17CC0" w:rsidRPr="0034781C">
        <w:t xml:space="preserve"> (369</w:t>
      </w:r>
      <w:r w:rsidR="00AE33AC" w:rsidRPr="0034781C">
        <w:t xml:space="preserve">, </w:t>
      </w:r>
      <w:r w:rsidR="009E5A8E" w:rsidRPr="0034781C">
        <w:t xml:space="preserve">soit </w:t>
      </w:r>
      <w:r w:rsidR="00AE33AC" w:rsidRPr="0034781C">
        <w:t>13</w:t>
      </w:r>
      <w:r w:rsidR="009E5A8E" w:rsidRPr="0034781C">
        <w:t>,</w:t>
      </w:r>
      <w:r w:rsidR="00AE33AC" w:rsidRPr="0034781C">
        <w:t>6</w:t>
      </w:r>
      <w:r w:rsidR="009E5A8E" w:rsidRPr="0034781C">
        <w:t>%</w:t>
      </w:r>
      <w:r w:rsidR="00E17CC0" w:rsidRPr="0034781C">
        <w:t>)</w:t>
      </w:r>
      <w:r w:rsidR="00DC5779" w:rsidRPr="0034781C">
        <w:t xml:space="preserve">, </w:t>
      </w:r>
      <w:r w:rsidR="00F46425">
        <w:t>du</w:t>
      </w:r>
      <w:r w:rsidR="00B032A3" w:rsidRPr="0034781C">
        <w:t xml:space="preserve"> </w:t>
      </w:r>
      <w:r w:rsidR="00DC5779" w:rsidRPr="0034781C">
        <w:t>Liechtenstein</w:t>
      </w:r>
      <w:r w:rsidR="00E17CC0" w:rsidRPr="0034781C">
        <w:t xml:space="preserve"> (327</w:t>
      </w:r>
      <w:r w:rsidR="00AE33AC" w:rsidRPr="0034781C">
        <w:t xml:space="preserve">, </w:t>
      </w:r>
      <w:r w:rsidR="00B032A3" w:rsidRPr="0034781C">
        <w:t xml:space="preserve">soit </w:t>
      </w:r>
      <w:r w:rsidR="00AE33AC" w:rsidRPr="0034781C">
        <w:t>12</w:t>
      </w:r>
      <w:r w:rsidR="00B032A3" w:rsidRPr="0034781C">
        <w:t>%</w:t>
      </w:r>
      <w:r w:rsidR="00E17CC0" w:rsidRPr="0034781C">
        <w:t>)</w:t>
      </w:r>
      <w:r w:rsidR="00DC5779" w:rsidRPr="0034781C">
        <w:t xml:space="preserve"> </w:t>
      </w:r>
      <w:r w:rsidR="00B032A3" w:rsidRPr="0034781C">
        <w:t xml:space="preserve">et </w:t>
      </w:r>
      <w:r w:rsidR="00F46425">
        <w:t xml:space="preserve">de </w:t>
      </w:r>
      <w:r w:rsidR="00B032A3" w:rsidRPr="0034781C">
        <w:t>l</w:t>
      </w:r>
      <w:r w:rsidR="003060C4">
        <w:t>’</w:t>
      </w:r>
      <w:r w:rsidR="00B032A3" w:rsidRPr="0034781C">
        <w:t>ex</w:t>
      </w:r>
      <w:r w:rsidR="00E86527">
        <w:rPr>
          <w:szCs w:val="22"/>
        </w:rPr>
        <w:noBreakHyphen/>
      </w:r>
      <w:r w:rsidR="00B032A3" w:rsidRPr="0034781C">
        <w:rPr>
          <w:szCs w:val="22"/>
        </w:rPr>
        <w:t>République yougoslave de Macédoine</w:t>
      </w:r>
      <w:r w:rsidR="00E17CC0" w:rsidRPr="0034781C">
        <w:t xml:space="preserve"> (322</w:t>
      </w:r>
      <w:r w:rsidR="00AE33AC" w:rsidRPr="0034781C">
        <w:t>,</w:t>
      </w:r>
      <w:r w:rsidR="00F46425">
        <w:t xml:space="preserve"> </w:t>
      </w:r>
      <w:r w:rsidR="00B032A3" w:rsidRPr="0034781C">
        <w:t xml:space="preserve">soit </w:t>
      </w:r>
      <w:r w:rsidR="00AE33AC" w:rsidRPr="0034781C">
        <w:t>11</w:t>
      </w:r>
      <w:r w:rsidR="00B032A3" w:rsidRPr="0034781C">
        <w:t>,</w:t>
      </w:r>
      <w:r w:rsidR="00AE33AC" w:rsidRPr="0034781C">
        <w:t>8</w:t>
      </w:r>
      <w:r w:rsidR="00B032A3" w:rsidRPr="0034781C">
        <w:t>%</w:t>
      </w:r>
      <w:r w:rsidR="00E17CC0" w:rsidRPr="0034781C">
        <w:t>)</w:t>
      </w:r>
      <w:r w:rsidR="00DC5779" w:rsidRPr="0034781C">
        <w:t>.</w:t>
      </w:r>
      <w:bookmarkStart w:id="4" w:name="_GoBack"/>
      <w:bookmarkEnd w:id="4"/>
    </w:p>
    <w:p w:rsidR="00DD6BD8" w:rsidRPr="0034781C" w:rsidRDefault="0071555A" w:rsidP="00C911A8">
      <w:pPr>
        <w:pStyle w:val="ONUMFS"/>
      </w:pPr>
      <w:r w:rsidRPr="0034781C">
        <w:lastRenderedPageBreak/>
        <w:t>E</w:t>
      </w:r>
      <w:r w:rsidR="002873E6" w:rsidRPr="0034781C">
        <w:t>n</w:t>
      </w:r>
      <w:r w:rsidR="00442790">
        <w:t> </w:t>
      </w:r>
      <w:r w:rsidR="002873E6" w:rsidRPr="0034781C">
        <w:t xml:space="preserve">2015, </w:t>
      </w:r>
      <w:r w:rsidRPr="0034781C">
        <w:t xml:space="preserve">la partie contractante la plus désignée </w:t>
      </w:r>
      <w:r w:rsidR="00801C90" w:rsidRPr="0034781C">
        <w:t>était toujours l</w:t>
      </w:r>
      <w:r w:rsidR="003060C4">
        <w:t>’</w:t>
      </w:r>
      <w:r w:rsidR="002873E6" w:rsidRPr="0034781C">
        <w:t>Union</w:t>
      </w:r>
      <w:r w:rsidR="00BE2D4E" w:rsidRPr="0034781C">
        <w:t xml:space="preserve"> </w:t>
      </w:r>
      <w:r w:rsidR="00801C90" w:rsidRPr="0034781C">
        <w:t xml:space="preserve">européenne </w:t>
      </w:r>
      <w:r w:rsidR="0071605E" w:rsidRPr="0034781C">
        <w:t>(</w:t>
      </w:r>
      <w:r w:rsidR="00BE2D4E" w:rsidRPr="0034781C">
        <w:t>2858</w:t>
      </w:r>
      <w:r w:rsidR="00A30B95" w:rsidRPr="0034781C">
        <w:t> </w:t>
      </w:r>
      <w:r w:rsidR="00BE2D4E" w:rsidRPr="0034781C">
        <w:t>d</w:t>
      </w:r>
      <w:r w:rsidR="00801C90" w:rsidRPr="0034781C">
        <w:t>é</w:t>
      </w:r>
      <w:r w:rsidR="00BE2D4E" w:rsidRPr="0034781C">
        <w:t>signations</w:t>
      </w:r>
      <w:r w:rsidR="00AE33AC" w:rsidRPr="0034781C">
        <w:t xml:space="preserve">, </w:t>
      </w:r>
      <w:r w:rsidR="00801C90" w:rsidRPr="0034781C">
        <w:t xml:space="preserve">soit </w:t>
      </w:r>
      <w:r w:rsidR="00AE33AC" w:rsidRPr="0034781C">
        <w:t>74</w:t>
      </w:r>
      <w:r w:rsidR="00801C90" w:rsidRPr="0034781C">
        <w:t>,</w:t>
      </w:r>
      <w:r w:rsidR="00AE33AC" w:rsidRPr="0034781C">
        <w:t>8</w:t>
      </w:r>
      <w:r w:rsidR="00801C90" w:rsidRPr="0034781C">
        <w:t>%</w:t>
      </w:r>
      <w:r w:rsidR="00A30B95" w:rsidRPr="0034781C">
        <w:t> </w:t>
      </w:r>
      <w:r w:rsidR="00801C90" w:rsidRPr="0034781C">
        <w:t>du nombre total d</w:t>
      </w:r>
      <w:r w:rsidR="003060C4">
        <w:t>’</w:t>
      </w:r>
      <w:r w:rsidR="00801C90" w:rsidRPr="0034781C">
        <w:t>enregistrements cette année</w:t>
      </w:r>
      <w:r w:rsidR="00E86527">
        <w:rPr>
          <w:szCs w:val="22"/>
        </w:rPr>
        <w:noBreakHyphen/>
      </w:r>
      <w:r w:rsidR="00801C90" w:rsidRPr="0034781C">
        <w:rPr>
          <w:szCs w:val="22"/>
        </w:rPr>
        <w:t>là</w:t>
      </w:r>
      <w:r w:rsidR="0071605E" w:rsidRPr="0034781C">
        <w:t>)</w:t>
      </w:r>
      <w:r w:rsidR="00BE2D4E" w:rsidRPr="0034781C">
        <w:t>,</w:t>
      </w:r>
      <w:r w:rsidR="002873E6" w:rsidRPr="0034781C">
        <w:t xml:space="preserve"> </w:t>
      </w:r>
      <w:r w:rsidR="00801C90" w:rsidRPr="0034781C">
        <w:t>suivie de la Suisse</w:t>
      </w:r>
      <w:r w:rsidR="002873E6" w:rsidRPr="0034781C">
        <w:t xml:space="preserve"> </w:t>
      </w:r>
      <w:r w:rsidR="00BE2D4E" w:rsidRPr="0034781C">
        <w:t>(1793</w:t>
      </w:r>
      <w:r w:rsidR="00AE33AC" w:rsidRPr="0034781C">
        <w:t xml:space="preserve">, </w:t>
      </w:r>
      <w:r w:rsidR="00801C90" w:rsidRPr="0034781C">
        <w:t xml:space="preserve">soit </w:t>
      </w:r>
      <w:r w:rsidR="00AE33AC" w:rsidRPr="0034781C">
        <w:t>46</w:t>
      </w:r>
      <w:r w:rsidR="00801C90" w:rsidRPr="0034781C">
        <w:t>,</w:t>
      </w:r>
      <w:r w:rsidR="00AE33AC" w:rsidRPr="0034781C">
        <w:t>9</w:t>
      </w:r>
      <w:r w:rsidR="00801C90" w:rsidRPr="0034781C">
        <w:t>%</w:t>
      </w:r>
      <w:r w:rsidR="00BE2D4E" w:rsidRPr="0034781C">
        <w:t xml:space="preserve">) </w:t>
      </w:r>
      <w:r w:rsidR="00801C90" w:rsidRPr="0034781C">
        <w:t xml:space="preserve">et de la </w:t>
      </w:r>
      <w:r w:rsidR="002873E6" w:rsidRPr="0034781C">
        <w:t>Tur</w:t>
      </w:r>
      <w:r w:rsidR="00801C90" w:rsidRPr="0034781C">
        <w:t>quie</w:t>
      </w:r>
      <w:r w:rsidR="002873E6" w:rsidRPr="0034781C">
        <w:t xml:space="preserve"> </w:t>
      </w:r>
      <w:r w:rsidR="00BE2D4E" w:rsidRPr="0034781C">
        <w:t>(1262</w:t>
      </w:r>
      <w:r w:rsidR="00AE33AC" w:rsidRPr="0034781C">
        <w:t xml:space="preserve">, </w:t>
      </w:r>
      <w:r w:rsidR="00801C90" w:rsidRPr="0034781C">
        <w:t xml:space="preserve">soit </w:t>
      </w:r>
      <w:r w:rsidR="00AE33AC" w:rsidRPr="0034781C">
        <w:t>33</w:t>
      </w:r>
      <w:r w:rsidR="00801C90" w:rsidRPr="0034781C">
        <w:t>%</w:t>
      </w:r>
      <w:r w:rsidR="00BE2D4E" w:rsidRPr="0034781C">
        <w:t>)</w:t>
      </w:r>
      <w:r w:rsidR="002873E6" w:rsidRPr="0034781C">
        <w:t>.</w:t>
      </w:r>
      <w:r w:rsidR="00A30B95" w:rsidRPr="0034781C">
        <w:t xml:space="preserve"> </w:t>
      </w:r>
      <w:r w:rsidR="002873E6" w:rsidRPr="0034781C">
        <w:t xml:space="preserve"> </w:t>
      </w:r>
      <w:r w:rsidR="00801C90" w:rsidRPr="0034781C">
        <w:t>Parmi les nouvelles parties contractantes de l</w:t>
      </w:r>
      <w:r w:rsidR="003060C4">
        <w:t>’</w:t>
      </w:r>
      <w:r w:rsidR="00801C90" w:rsidRPr="0034781C">
        <w:t xml:space="preserve">Arrangement de </w:t>
      </w:r>
      <w:r w:rsidR="003060C4">
        <w:t>La Haye</w:t>
      </w:r>
      <w:r w:rsidR="00801C90" w:rsidRPr="0034781C">
        <w:t xml:space="preserve">, les </w:t>
      </w:r>
      <w:r w:rsidR="00801C90" w:rsidRPr="0034781C">
        <w:rPr>
          <w:lang w:eastAsia="fr-FR"/>
        </w:rPr>
        <w:t>États</w:t>
      </w:r>
      <w:r w:rsidR="00E86527">
        <w:rPr>
          <w:szCs w:val="22"/>
          <w:lang w:eastAsia="fr-FR"/>
        </w:rPr>
        <w:noBreakHyphen/>
      </w:r>
      <w:r w:rsidR="00801C90" w:rsidRPr="0034781C">
        <w:rPr>
          <w:lang w:eastAsia="fr-FR"/>
        </w:rPr>
        <w:t>Unis d</w:t>
      </w:r>
      <w:r w:rsidR="003060C4">
        <w:rPr>
          <w:lang w:eastAsia="fr-FR"/>
        </w:rPr>
        <w:t>’</w:t>
      </w:r>
      <w:r w:rsidR="00801C90" w:rsidRPr="0034781C">
        <w:rPr>
          <w:lang w:eastAsia="fr-FR"/>
        </w:rPr>
        <w:t>Amérique</w:t>
      </w:r>
      <w:r w:rsidR="00801C90" w:rsidRPr="0034781C">
        <w:t xml:space="preserve"> </w:t>
      </w:r>
      <w:r w:rsidR="00A47897" w:rsidRPr="0034781C">
        <w:t>(868</w:t>
      </w:r>
      <w:r w:rsidR="00AE33AC" w:rsidRPr="0034781C">
        <w:t xml:space="preserve">, </w:t>
      </w:r>
      <w:r w:rsidR="00801C90" w:rsidRPr="0034781C">
        <w:t xml:space="preserve">soit </w:t>
      </w:r>
      <w:r w:rsidR="00AE33AC" w:rsidRPr="0034781C">
        <w:t>22</w:t>
      </w:r>
      <w:r w:rsidR="00801C90" w:rsidRPr="0034781C">
        <w:t>,</w:t>
      </w:r>
      <w:r w:rsidR="00AE33AC" w:rsidRPr="0034781C">
        <w:t>7</w:t>
      </w:r>
      <w:r w:rsidR="00801C90" w:rsidRPr="0034781C">
        <w:t>%</w:t>
      </w:r>
      <w:r w:rsidR="00A47897" w:rsidRPr="0034781C">
        <w:t>)</w:t>
      </w:r>
      <w:r w:rsidR="00B01804" w:rsidRPr="0034781C">
        <w:t xml:space="preserve"> </w:t>
      </w:r>
      <w:r w:rsidR="003607B4">
        <w:t xml:space="preserve">étaient déjà la </w:t>
      </w:r>
      <w:r w:rsidR="00801C90" w:rsidRPr="0034781C">
        <w:t>quatrième partie</w:t>
      </w:r>
      <w:r w:rsidR="003607B4">
        <w:t xml:space="preserve"> </w:t>
      </w:r>
      <w:r w:rsidR="00801C90" w:rsidRPr="0034781C">
        <w:t>contractante l</w:t>
      </w:r>
      <w:r w:rsidR="003607B4">
        <w:t>a</w:t>
      </w:r>
      <w:r w:rsidR="00801C90" w:rsidRPr="0034781C">
        <w:t xml:space="preserve"> plus désignée</w:t>
      </w:r>
      <w:r w:rsidR="005765C8" w:rsidRPr="0034781C">
        <w:t>,</w:t>
      </w:r>
      <w:r w:rsidR="002439DA" w:rsidRPr="0034781C">
        <w:t xml:space="preserve"> </w:t>
      </w:r>
      <w:r w:rsidR="00801C90" w:rsidRPr="0034781C">
        <w:t>la République de</w:t>
      </w:r>
      <w:r w:rsidR="006E7C6E">
        <w:t> </w:t>
      </w:r>
      <w:r w:rsidR="00801C90" w:rsidRPr="0034781C">
        <w:t>Corée</w:t>
      </w:r>
      <w:r w:rsidR="002873E6" w:rsidRPr="0034781C">
        <w:t xml:space="preserve"> </w:t>
      </w:r>
      <w:r w:rsidR="00A47897" w:rsidRPr="0034781C">
        <w:t>(853</w:t>
      </w:r>
      <w:r w:rsidR="00AE33AC" w:rsidRPr="0034781C">
        <w:t xml:space="preserve">, </w:t>
      </w:r>
      <w:r w:rsidR="00801C90" w:rsidRPr="0034781C">
        <w:t xml:space="preserve">soit </w:t>
      </w:r>
      <w:r w:rsidR="00AE33AC" w:rsidRPr="0034781C">
        <w:t>22</w:t>
      </w:r>
      <w:r w:rsidR="00801C90" w:rsidRPr="0034781C">
        <w:t>,</w:t>
      </w:r>
      <w:r w:rsidR="00AE33AC" w:rsidRPr="0034781C">
        <w:t>3</w:t>
      </w:r>
      <w:r w:rsidR="00801C90" w:rsidRPr="0034781C">
        <w:t>%</w:t>
      </w:r>
      <w:r w:rsidR="00A47897" w:rsidRPr="0034781C">
        <w:t>)</w:t>
      </w:r>
      <w:r w:rsidR="005765C8" w:rsidRPr="0034781C">
        <w:t xml:space="preserve"> </w:t>
      </w:r>
      <w:r w:rsidR="003607B4">
        <w:t xml:space="preserve">occupait </w:t>
      </w:r>
      <w:r w:rsidR="00801C90" w:rsidRPr="0034781C">
        <w:t>l</w:t>
      </w:r>
      <w:r w:rsidR="008B7ABD" w:rsidRPr="0034781C">
        <w:t>e</w:t>
      </w:r>
      <w:r w:rsidR="00801C90" w:rsidRPr="0034781C">
        <w:t xml:space="preserve"> cinquième </w:t>
      </w:r>
      <w:r w:rsidR="008B7ABD" w:rsidRPr="0034781C">
        <w:t xml:space="preserve">rang </w:t>
      </w:r>
      <w:r w:rsidR="00801C90" w:rsidRPr="0034781C">
        <w:t xml:space="preserve">et le Japon </w:t>
      </w:r>
      <w:r w:rsidR="00A47897" w:rsidRPr="0034781C">
        <w:t>(540</w:t>
      </w:r>
      <w:r w:rsidR="00AE33AC" w:rsidRPr="0034781C">
        <w:t xml:space="preserve">, </w:t>
      </w:r>
      <w:r w:rsidR="00801C90" w:rsidRPr="0034781C">
        <w:t xml:space="preserve">soit </w:t>
      </w:r>
      <w:r w:rsidR="00AE33AC" w:rsidRPr="0034781C">
        <w:t>14</w:t>
      </w:r>
      <w:r w:rsidR="00801C90" w:rsidRPr="0034781C">
        <w:t>,</w:t>
      </w:r>
      <w:r w:rsidR="00AE33AC" w:rsidRPr="0034781C">
        <w:t>1</w:t>
      </w:r>
      <w:r w:rsidR="00801C90" w:rsidRPr="0034781C">
        <w:t>%</w:t>
      </w:r>
      <w:r w:rsidR="00A47897" w:rsidRPr="0034781C">
        <w:t>)</w:t>
      </w:r>
      <w:r w:rsidR="002439DA" w:rsidRPr="0034781C">
        <w:t xml:space="preserve"> </w:t>
      </w:r>
      <w:r w:rsidR="008B7ABD" w:rsidRPr="0034781C">
        <w:t>le</w:t>
      </w:r>
      <w:r w:rsidR="00801C90" w:rsidRPr="0034781C">
        <w:t xml:space="preserve"> neuviè</w:t>
      </w:r>
      <w:r w:rsidR="00D01B67" w:rsidRPr="0034781C">
        <w:t>me</w:t>
      </w:r>
      <w:r w:rsidR="00D01B67">
        <w:t xml:space="preserve">.  </w:t>
      </w:r>
      <w:r w:rsidR="00D01B67" w:rsidRPr="0034781C">
        <w:t>Le</w:t>
      </w:r>
      <w:r w:rsidR="008B7ABD" w:rsidRPr="0034781C">
        <w:t xml:space="preserve">s autres </w:t>
      </w:r>
      <w:r w:rsidR="003607B4">
        <w:t xml:space="preserve">pays </w:t>
      </w:r>
      <w:r w:rsidR="008B7ABD" w:rsidRPr="0034781C">
        <w:t xml:space="preserve">de la liste des </w:t>
      </w:r>
      <w:r w:rsidR="002F3B08">
        <w:t>10 </w:t>
      </w:r>
      <w:r w:rsidR="003607B4">
        <w:t xml:space="preserve">parties contractantes les plus désignées </w:t>
      </w:r>
      <w:r w:rsidR="008B7ABD" w:rsidRPr="0034781C">
        <w:t>étaient la Norvège</w:t>
      </w:r>
      <w:r w:rsidR="0017335C" w:rsidRPr="0034781C">
        <w:t xml:space="preserve"> </w:t>
      </w:r>
      <w:r w:rsidR="008B7C70" w:rsidRPr="0034781C">
        <w:t>(</w:t>
      </w:r>
      <w:r w:rsidR="00D53F14" w:rsidRPr="0034781C">
        <w:t>821</w:t>
      </w:r>
      <w:r w:rsidR="00AE33AC" w:rsidRPr="0034781C">
        <w:t xml:space="preserve">, </w:t>
      </w:r>
      <w:r w:rsidR="008B7ABD" w:rsidRPr="0034781C">
        <w:t>soit</w:t>
      </w:r>
      <w:r w:rsidR="00682B36" w:rsidRPr="0034781C">
        <w:t> </w:t>
      </w:r>
      <w:r w:rsidR="00AE33AC" w:rsidRPr="0034781C">
        <w:t>21</w:t>
      </w:r>
      <w:r w:rsidR="008B7ABD" w:rsidRPr="0034781C">
        <w:t>,</w:t>
      </w:r>
      <w:r w:rsidR="00AE33AC" w:rsidRPr="0034781C">
        <w:t>5</w:t>
      </w:r>
      <w:r w:rsidR="008B7ABD" w:rsidRPr="0034781C">
        <w:t>%</w:t>
      </w:r>
      <w:r w:rsidR="00D53F14" w:rsidRPr="0034781C">
        <w:t>)</w:t>
      </w:r>
      <w:r w:rsidR="008B7ABD" w:rsidRPr="0034781C">
        <w:t>, Singapour</w:t>
      </w:r>
      <w:r w:rsidR="00D53F14" w:rsidRPr="0034781C">
        <w:t xml:space="preserve"> (745</w:t>
      </w:r>
      <w:r w:rsidR="00126150" w:rsidRPr="0034781C">
        <w:t xml:space="preserve">, </w:t>
      </w:r>
      <w:r w:rsidR="008B7ABD" w:rsidRPr="0034781C">
        <w:t xml:space="preserve">soit </w:t>
      </w:r>
      <w:r w:rsidR="00126150" w:rsidRPr="0034781C">
        <w:t>19</w:t>
      </w:r>
      <w:r w:rsidR="008B7ABD" w:rsidRPr="0034781C">
        <w:t>,</w:t>
      </w:r>
      <w:r w:rsidR="00126150" w:rsidRPr="0034781C">
        <w:t>5</w:t>
      </w:r>
      <w:r w:rsidR="008B7ABD" w:rsidRPr="0034781C">
        <w:t>%</w:t>
      </w:r>
      <w:r w:rsidR="00D53F14" w:rsidRPr="0034781C">
        <w:t>)</w:t>
      </w:r>
      <w:r w:rsidR="0017335C" w:rsidRPr="0034781C">
        <w:t xml:space="preserve">, </w:t>
      </w:r>
      <w:r w:rsidR="008B7ABD" w:rsidRPr="0034781C">
        <w:t>l</w:t>
      </w:r>
      <w:r w:rsidR="003060C4">
        <w:t>’</w:t>
      </w:r>
      <w:r w:rsidR="0017335C" w:rsidRPr="0034781C">
        <w:t xml:space="preserve">Ukraine </w:t>
      </w:r>
      <w:r w:rsidR="00D53F14" w:rsidRPr="0034781C">
        <w:t>(624</w:t>
      </w:r>
      <w:r w:rsidR="00126150" w:rsidRPr="0034781C">
        <w:t xml:space="preserve">, </w:t>
      </w:r>
      <w:r w:rsidR="008B7ABD" w:rsidRPr="0034781C">
        <w:t xml:space="preserve">soit </w:t>
      </w:r>
      <w:r w:rsidR="00126150" w:rsidRPr="0034781C">
        <w:t>16</w:t>
      </w:r>
      <w:r w:rsidR="008B7ABD" w:rsidRPr="0034781C">
        <w:t>,</w:t>
      </w:r>
      <w:r w:rsidR="00126150" w:rsidRPr="0034781C">
        <w:t>3</w:t>
      </w:r>
      <w:r w:rsidR="008B7ABD" w:rsidRPr="0034781C">
        <w:t>%</w:t>
      </w:r>
      <w:r w:rsidR="00D53F14" w:rsidRPr="0034781C">
        <w:t xml:space="preserve">) </w:t>
      </w:r>
      <w:r w:rsidR="008B7ABD" w:rsidRPr="0034781C">
        <w:t>et le Maroc</w:t>
      </w:r>
      <w:r w:rsidR="00D53F14" w:rsidRPr="0034781C">
        <w:t xml:space="preserve"> (485</w:t>
      </w:r>
      <w:r w:rsidR="00126150" w:rsidRPr="0034781C">
        <w:t xml:space="preserve">, </w:t>
      </w:r>
      <w:r w:rsidR="008B7ABD" w:rsidRPr="0034781C">
        <w:t xml:space="preserve">soit </w:t>
      </w:r>
      <w:r w:rsidR="00126150" w:rsidRPr="0034781C">
        <w:t>12</w:t>
      </w:r>
      <w:r w:rsidR="008B7ABD" w:rsidRPr="0034781C">
        <w:t>,</w:t>
      </w:r>
      <w:r w:rsidR="00126150" w:rsidRPr="0034781C">
        <w:t>7</w:t>
      </w:r>
      <w:r w:rsidR="008B7ABD" w:rsidRPr="0034781C">
        <w:t>%</w:t>
      </w:r>
      <w:r w:rsidR="00D53F14" w:rsidRPr="0034781C">
        <w:t>)</w:t>
      </w:r>
      <w:r w:rsidR="0017335C" w:rsidRPr="0034781C">
        <w:t>.</w:t>
      </w:r>
    </w:p>
    <w:p w:rsidR="00DD6BD8" w:rsidRPr="0034781C" w:rsidRDefault="002D4A16" w:rsidP="00C911A8">
      <w:pPr>
        <w:pStyle w:val="ONUMFS"/>
      </w:pPr>
      <w:r w:rsidRPr="0034781C">
        <w:t>Durant les trois</w:t>
      </w:r>
      <w:r w:rsidR="00442790">
        <w:t> </w:t>
      </w:r>
      <w:r w:rsidRPr="0034781C">
        <w:t>premiers mois de</w:t>
      </w:r>
      <w:r w:rsidR="00442790">
        <w:t> </w:t>
      </w:r>
      <w:r w:rsidRPr="0034781C">
        <w:t>2016, les quatre</w:t>
      </w:r>
      <w:r w:rsidR="00442790">
        <w:t> </w:t>
      </w:r>
      <w:r w:rsidRPr="0034781C">
        <w:t>parties contractantes les plus dési</w:t>
      </w:r>
      <w:r w:rsidR="0008493C">
        <w:t>gnées sont demeurées les mêmes :</w:t>
      </w:r>
      <w:r w:rsidRPr="0034781C">
        <w:t xml:space="preserve"> l</w:t>
      </w:r>
      <w:r w:rsidR="003060C4">
        <w:t>’</w:t>
      </w:r>
      <w:r w:rsidRPr="0034781C">
        <w:t>Union européenne (575 désignations, soit 76,5% du nombre total d</w:t>
      </w:r>
      <w:r w:rsidR="003060C4">
        <w:t>’</w:t>
      </w:r>
      <w:r w:rsidRPr="0034781C">
        <w:t xml:space="preserve">enregistrements </w:t>
      </w:r>
      <w:r w:rsidR="003607B4">
        <w:t>au</w:t>
      </w:r>
      <w:r w:rsidRPr="0034781C">
        <w:t xml:space="preserve"> premier trimestre de</w:t>
      </w:r>
      <w:r w:rsidR="00442790">
        <w:t> </w:t>
      </w:r>
      <w:r w:rsidRPr="0034781C">
        <w:t>2016) a été la plus désignée, suivie de la</w:t>
      </w:r>
      <w:r w:rsidR="006E7C6E">
        <w:t> </w:t>
      </w:r>
      <w:r w:rsidRPr="0034781C">
        <w:t>Suisse (332, soit 44,1%), de la Turquie (243, soit 32,3%) et des États</w:t>
      </w:r>
      <w:r w:rsidR="00E86527">
        <w:noBreakHyphen/>
      </w:r>
      <w:r w:rsidRPr="0034781C">
        <w:t>Unis d</w:t>
      </w:r>
      <w:r w:rsidR="003060C4">
        <w:t>’</w:t>
      </w:r>
      <w:r w:rsidRPr="0034781C">
        <w:t>Amérique (219, soit 29,1%).</w:t>
      </w:r>
      <w:r w:rsidR="001E7B84" w:rsidRPr="0034781C">
        <w:t xml:space="preserve"> </w:t>
      </w:r>
      <w:r w:rsidR="00442790" w:rsidRPr="00442790">
        <w:t xml:space="preserve"> </w:t>
      </w:r>
      <w:r w:rsidRPr="0034781C">
        <w:t>Le Japon (145, soit 19,3%) est passé au cinquième rang, suivi de la Norvège (143, soit 19%), de la République de Corée (141, soit 18,8%), de l</w:t>
      </w:r>
      <w:r w:rsidR="003060C4">
        <w:t>’</w:t>
      </w:r>
      <w:r w:rsidRPr="0034781C">
        <w:t>Ukraine (120, soit 16%) et du</w:t>
      </w:r>
      <w:r w:rsidR="006E7C6E">
        <w:t> </w:t>
      </w:r>
      <w:r w:rsidRPr="0034781C">
        <w:t>Maroc (104, soit 13,8%).</w:t>
      </w:r>
    </w:p>
    <w:p w:rsidR="00DD6BD8" w:rsidRPr="0034781C" w:rsidRDefault="00326608" w:rsidP="00C911A8">
      <w:pPr>
        <w:pStyle w:val="Heading3"/>
      </w:pPr>
      <w:r w:rsidRPr="0034781C">
        <w:t>Dessins et modèles dans les enregistrements internationaux par partie contractante désignée</w:t>
      </w:r>
    </w:p>
    <w:p w:rsidR="00DD6BD8" w:rsidRPr="0034781C" w:rsidRDefault="00DD6BD8" w:rsidP="00C911A8"/>
    <w:p w:rsidR="00DD6BD8" w:rsidRPr="0034781C" w:rsidRDefault="00DD6BD8" w:rsidP="00C911A8">
      <w:pPr>
        <w:pStyle w:val="ONUMFS"/>
      </w:pPr>
      <w:r w:rsidRPr="0034781C">
        <w:t>En</w:t>
      </w:r>
      <w:r w:rsidR="00442790">
        <w:t> </w:t>
      </w:r>
      <w:r w:rsidRPr="0034781C">
        <w:t>2014, l</w:t>
      </w:r>
      <w:r w:rsidR="003060C4">
        <w:t>’</w:t>
      </w:r>
      <w:r w:rsidRPr="0034781C">
        <w:t>Union européenne (10 897 dessins et modèles, soit 79,9% du nombre total de dessins et modèles enregistrés en</w:t>
      </w:r>
      <w:r w:rsidR="00442790">
        <w:t> </w:t>
      </w:r>
      <w:r w:rsidRPr="0034781C">
        <w:t>2014) a été la partie contractante la plus désignée du point de vue du nombre de dessins et modèles dans les enregistrements internationaux, su</w:t>
      </w:r>
      <w:r w:rsidR="003607B4">
        <w:t>ivie de la</w:t>
      </w:r>
      <w:r w:rsidR="00BE1211">
        <w:t> </w:t>
      </w:r>
      <w:r w:rsidR="003607B4">
        <w:t>Suisse (9</w:t>
      </w:r>
      <w:r w:rsidRPr="0034781C">
        <w:t>700</w:t>
      </w:r>
      <w:r w:rsidR="003607B4">
        <w:t>, soit 71,1%), de la Turquie (5</w:t>
      </w:r>
      <w:r w:rsidRPr="0034781C">
        <w:t>923</w:t>
      </w:r>
      <w:r w:rsidR="003607B4">
        <w:t>, soit 43,4%), de la Norvège (2</w:t>
      </w:r>
      <w:r w:rsidRPr="0034781C">
        <w:t>76</w:t>
      </w:r>
      <w:r w:rsidR="003607B4">
        <w:t>9, soit 20,3%), de Singapour (2</w:t>
      </w:r>
      <w:r w:rsidRPr="0034781C">
        <w:t>695, soit 19,8%), de l</w:t>
      </w:r>
      <w:r w:rsidR="003060C4">
        <w:t>’</w:t>
      </w:r>
      <w:r w:rsidRPr="0034781C">
        <w:t>Ukraine</w:t>
      </w:r>
      <w:r w:rsidR="003607B4">
        <w:t xml:space="preserve"> (2457, soit 18%), du Maroc (1693, soit 12,4%), de Monaco (1</w:t>
      </w:r>
      <w:r w:rsidRPr="0034781C">
        <w:t>609, s</w:t>
      </w:r>
      <w:r w:rsidR="003607B4">
        <w:t>oit 11,8%), du Liechtenstein (1</w:t>
      </w:r>
      <w:r w:rsidRPr="0034781C">
        <w:t>420, soit 10,4%) et de l</w:t>
      </w:r>
      <w:r w:rsidR="003060C4">
        <w:t>’</w:t>
      </w:r>
      <w:r w:rsidRPr="0034781C">
        <w:t>ex</w:t>
      </w:r>
      <w:r w:rsidR="00E86527">
        <w:noBreakHyphen/>
      </w:r>
      <w:r w:rsidRPr="0034781C">
        <w:t>Républ</w:t>
      </w:r>
      <w:r w:rsidR="003607B4">
        <w:t>ique yougoslave de Macédoine (1</w:t>
      </w:r>
      <w:r w:rsidRPr="0034781C">
        <w:t>228, soit 9%).</w:t>
      </w:r>
    </w:p>
    <w:p w:rsidR="00DD6BD8" w:rsidRPr="0034781C" w:rsidRDefault="00DD6BD8" w:rsidP="00C911A8">
      <w:pPr>
        <w:pStyle w:val="ONUMFS"/>
      </w:pPr>
      <w:r w:rsidRPr="0034781C">
        <w:t>En</w:t>
      </w:r>
      <w:r w:rsidR="00442790">
        <w:t> </w:t>
      </w:r>
      <w:r w:rsidRPr="0034781C">
        <w:t>2015, l</w:t>
      </w:r>
      <w:r w:rsidR="003060C4">
        <w:t>’</w:t>
      </w:r>
      <w:r w:rsidRPr="0034781C">
        <w:t>Union européenne (12 360 dessins et modèles, soit 81,7% du nombre total de dessins et modèles enregistrés cette année</w:t>
      </w:r>
      <w:r w:rsidR="00E86527">
        <w:noBreakHyphen/>
      </w:r>
      <w:r w:rsidRPr="0034781C">
        <w:t xml:space="preserve">là) a </w:t>
      </w:r>
      <w:r w:rsidR="0008493C">
        <w:t>encore</w:t>
      </w:r>
      <w:r w:rsidR="0008493C" w:rsidRPr="0034781C">
        <w:t xml:space="preserve"> </w:t>
      </w:r>
      <w:r w:rsidRPr="0034781C">
        <w:t>été la partie contractante la plus désignée du point de vue du nombre de dessins et modèles dans les enregistrements interna</w:t>
      </w:r>
      <w:r w:rsidR="003607B4">
        <w:t>tionaux, suivie de la Suisse (9</w:t>
      </w:r>
      <w:r w:rsidRPr="0034781C">
        <w:t>012</w:t>
      </w:r>
      <w:r w:rsidR="003607B4">
        <w:t>, soit 59,6%), de la Turquie (5</w:t>
      </w:r>
      <w:r w:rsidRPr="0034781C">
        <w:t>701, soit 37,7%), de la</w:t>
      </w:r>
      <w:r w:rsidR="00BE1211">
        <w:t> </w:t>
      </w:r>
      <w:r w:rsidRPr="0034781C">
        <w:t xml:space="preserve">Norvège (3219, soit 21,3%), </w:t>
      </w:r>
      <w:r w:rsidR="0008493C">
        <w:t>de l</w:t>
      </w:r>
      <w:r w:rsidR="003060C4">
        <w:t>’</w:t>
      </w:r>
      <w:r w:rsidR="0008493C">
        <w:t>Ukraine (2739, soit 18,1%)</w:t>
      </w:r>
      <w:r w:rsidRPr="0034781C">
        <w:t xml:space="preserve"> et de Singapour (2703, soit 17,9%).</w:t>
      </w:r>
      <w:r w:rsidR="008E1D7B" w:rsidRPr="0034781C">
        <w:t xml:space="preserve"> </w:t>
      </w:r>
      <w:r w:rsidR="00643DAA" w:rsidRPr="0034781C">
        <w:t xml:space="preserve"> </w:t>
      </w:r>
      <w:r w:rsidRPr="0034781C">
        <w:t>Parmi les nouvelles parties contracta</w:t>
      </w:r>
      <w:r w:rsidR="003607B4">
        <w:t>ntes, la République de Corée (2</w:t>
      </w:r>
      <w:r w:rsidRPr="0034781C">
        <w:t>478, soit 16,4%) occupait le septième rang</w:t>
      </w:r>
      <w:r w:rsidR="003607B4">
        <w:t>, les États</w:t>
      </w:r>
      <w:r w:rsidR="00E86527">
        <w:noBreakHyphen/>
      </w:r>
      <w:r w:rsidR="003607B4">
        <w:t>Unis d</w:t>
      </w:r>
      <w:r w:rsidR="003060C4">
        <w:t>’</w:t>
      </w:r>
      <w:r w:rsidR="003607B4">
        <w:t>Amérique (2</w:t>
      </w:r>
      <w:r w:rsidRPr="0034781C">
        <w:t>159, soit 14,3%) le huitième et l</w:t>
      </w:r>
      <w:r w:rsidR="003607B4">
        <w:t>e</w:t>
      </w:r>
      <w:r w:rsidRPr="0034781C">
        <w:t xml:space="preserve"> Japon (1140, soit 7,5%) le dix</w:t>
      </w:r>
      <w:r w:rsidR="00E86527">
        <w:noBreakHyphen/>
      </w:r>
      <w:r w:rsidRPr="0034781C">
        <w:t>septiè</w:t>
      </w:r>
      <w:r w:rsidR="00D01B67" w:rsidRPr="0034781C">
        <w:t>me</w:t>
      </w:r>
      <w:r w:rsidR="00D01B67">
        <w:t xml:space="preserve">.  </w:t>
      </w:r>
      <w:r w:rsidR="00D01B67" w:rsidRPr="0034781C">
        <w:t>Au</w:t>
      </w:r>
      <w:r w:rsidRPr="0034781C">
        <w:t>x neuvième et dixième rangs figuraient respectivement le Maroc</w:t>
      </w:r>
      <w:r w:rsidR="003607B4">
        <w:t xml:space="preserve"> (1966, soit 13%) et Monaco (1</w:t>
      </w:r>
      <w:r w:rsidRPr="0034781C">
        <w:t>493, soit 9,9%).</w:t>
      </w:r>
    </w:p>
    <w:p w:rsidR="00DD6BD8" w:rsidRPr="0034781C" w:rsidRDefault="003607B4" w:rsidP="00C911A8">
      <w:pPr>
        <w:pStyle w:val="ONUMFS"/>
      </w:pPr>
      <w:r>
        <w:t>Pour</w:t>
      </w:r>
      <w:r w:rsidR="008A3691" w:rsidRPr="0034781C">
        <w:t xml:space="preserve"> le premier trimestre de</w:t>
      </w:r>
      <w:r w:rsidR="00442790">
        <w:t> </w:t>
      </w:r>
      <w:r w:rsidR="008A3691" w:rsidRPr="0034781C">
        <w:t>2016, les trois</w:t>
      </w:r>
      <w:r w:rsidR="00442790">
        <w:t> </w:t>
      </w:r>
      <w:r w:rsidR="008A3691" w:rsidRPr="0034781C">
        <w:t>premiers rangs étaient occupés par les mêmes parties contractantes,</w:t>
      </w:r>
      <w:r>
        <w:t xml:space="preserve"> </w:t>
      </w:r>
      <w:r w:rsidR="003060C4">
        <w:t>à savoir</w:t>
      </w:r>
      <w:r>
        <w:t xml:space="preserve"> l</w:t>
      </w:r>
      <w:r w:rsidR="003060C4">
        <w:t>’</w:t>
      </w:r>
      <w:r>
        <w:t>Union européenne (1</w:t>
      </w:r>
      <w:r w:rsidR="008A3691" w:rsidRPr="0034781C">
        <w:t>990 dessins et modèles, soit 82,7% du nombre total de dessins et modèles enregistrés dura</w:t>
      </w:r>
      <w:r>
        <w:t>nt cette période), la Suisse (1</w:t>
      </w:r>
      <w:r w:rsidR="008A3691" w:rsidRPr="0034781C">
        <w:t>335, soit 55,5%) et la Turquie (955, soit 39,7%), suivies de Singapour (625, soit 25,9%), du Maroc (499, soit 20,8%), de l</w:t>
      </w:r>
      <w:r w:rsidR="003060C4">
        <w:t>’</w:t>
      </w:r>
      <w:r w:rsidR="008A3691" w:rsidRPr="0034781C">
        <w:t>Ukraine (485, soit 20,2%) et de la Norvège (465, soit 19,3%).</w:t>
      </w:r>
      <w:r w:rsidR="004F2DAD" w:rsidRPr="0034781C">
        <w:t xml:space="preserve"> </w:t>
      </w:r>
      <w:r w:rsidR="00B97F87" w:rsidRPr="0034781C">
        <w:t xml:space="preserve"> </w:t>
      </w:r>
      <w:r w:rsidR="008A3691" w:rsidRPr="0034781C">
        <w:t>Parmi les nouvelles parties contractantes, la République de Corée (379, soit 15,8%) occupait le huitième rang et le Japon le neuvième (348, soit 14,5%).</w:t>
      </w:r>
      <w:r w:rsidR="004F2DAD" w:rsidRPr="0034781C">
        <w:t xml:space="preserve"> </w:t>
      </w:r>
      <w:r w:rsidR="0007733A" w:rsidRPr="0034781C">
        <w:t xml:space="preserve"> </w:t>
      </w:r>
      <w:r w:rsidR="008A3691" w:rsidRPr="0034781C">
        <w:t xml:space="preserve">Au dixième rang </w:t>
      </w:r>
      <w:r>
        <w:t>figurait</w:t>
      </w:r>
      <w:r w:rsidR="008A3691" w:rsidRPr="0034781C">
        <w:t xml:space="preserve"> la</w:t>
      </w:r>
      <w:r w:rsidR="00B4791E">
        <w:t xml:space="preserve"> </w:t>
      </w:r>
      <w:r w:rsidR="008A3691" w:rsidRPr="0034781C">
        <w:t xml:space="preserve">Tunisie avec </w:t>
      </w:r>
      <w:r w:rsidR="002F3B08">
        <w:t>338 </w:t>
      </w:r>
      <w:r w:rsidR="008A3691" w:rsidRPr="0034781C">
        <w:t>dessins et modèles (soit 14,1%), juste devant les États</w:t>
      </w:r>
      <w:r w:rsidR="00E86527">
        <w:noBreakHyphen/>
      </w:r>
      <w:r w:rsidR="008A3691" w:rsidRPr="0034781C">
        <w:t>Unis d</w:t>
      </w:r>
      <w:r w:rsidR="003060C4">
        <w:t>’</w:t>
      </w:r>
      <w:r w:rsidR="008A3691" w:rsidRPr="0034781C">
        <w:t>Amérique (336, soit 14%).</w:t>
      </w:r>
    </w:p>
    <w:p w:rsidR="00DD6BD8" w:rsidRPr="003607B4" w:rsidRDefault="00DD3338" w:rsidP="00C911A8">
      <w:pPr>
        <w:pStyle w:val="Heading3"/>
        <w:rPr>
          <w:rStyle w:val="CommentReference"/>
          <w:sz w:val="22"/>
          <w:szCs w:val="22"/>
        </w:rPr>
      </w:pPr>
      <w:r w:rsidRPr="003607B4">
        <w:rPr>
          <w:rStyle w:val="CommentReference"/>
          <w:sz w:val="22"/>
          <w:szCs w:val="22"/>
        </w:rPr>
        <w:t>Enregistrements internationaux par pays</w:t>
      </w:r>
      <w:r w:rsidR="007E0A96">
        <w:rPr>
          <w:rStyle w:val="CommentReference"/>
          <w:sz w:val="22"/>
          <w:szCs w:val="22"/>
        </w:rPr>
        <w:t xml:space="preserve"> d</w:t>
      </w:r>
      <w:r w:rsidR="003060C4">
        <w:rPr>
          <w:rStyle w:val="CommentReference"/>
          <w:sz w:val="22"/>
          <w:szCs w:val="22"/>
        </w:rPr>
        <w:t>’</w:t>
      </w:r>
      <w:r w:rsidRPr="003607B4">
        <w:rPr>
          <w:rStyle w:val="CommentReference"/>
          <w:sz w:val="22"/>
          <w:szCs w:val="22"/>
        </w:rPr>
        <w:t>adresse du titulaire</w:t>
      </w:r>
    </w:p>
    <w:p w:rsidR="00DD6BD8" w:rsidRPr="0034781C" w:rsidRDefault="00DD6BD8" w:rsidP="00C911A8"/>
    <w:p w:rsidR="00DD6BD8" w:rsidRPr="0034781C" w:rsidRDefault="00DD3338" w:rsidP="00C911A8">
      <w:pPr>
        <w:pStyle w:val="ONUMFS"/>
      </w:pPr>
      <w:r w:rsidRPr="0034781C">
        <w:t>En</w:t>
      </w:r>
      <w:r w:rsidR="00442790">
        <w:t> </w:t>
      </w:r>
      <w:r w:rsidRPr="0034781C">
        <w:t>2014, les enregistrements internationaux émanaient principalement de l</w:t>
      </w:r>
      <w:r w:rsidR="003060C4">
        <w:t>’</w:t>
      </w:r>
      <w:r w:rsidRPr="0034781C">
        <w:t>Allemagne (633, soit 23,3% du nombre total d</w:t>
      </w:r>
      <w:r w:rsidR="003060C4">
        <w:t>’</w:t>
      </w:r>
      <w:r w:rsidRPr="0034781C">
        <w:t>enregistrements cette année</w:t>
      </w:r>
      <w:r w:rsidR="00E86527">
        <w:noBreakHyphen/>
      </w:r>
      <w:r w:rsidRPr="0034781C">
        <w:t>là), suivie de la Suisse (627, soit 23,1%), de la France (303, soit 11,1%), de l</w:t>
      </w:r>
      <w:r w:rsidR="003060C4">
        <w:t>’</w:t>
      </w:r>
      <w:r w:rsidRPr="0034781C">
        <w:t>Italie (191, soit 7%), des États</w:t>
      </w:r>
      <w:r w:rsidR="00E86527">
        <w:noBreakHyphen/>
      </w:r>
      <w:r w:rsidRPr="0034781C">
        <w:t>Unis d</w:t>
      </w:r>
      <w:r w:rsidR="003060C4">
        <w:t>’</w:t>
      </w:r>
      <w:r w:rsidRPr="0034781C">
        <w:t>Amérique (125, soit 4,6%), des Pays</w:t>
      </w:r>
      <w:r w:rsidR="00E86527">
        <w:noBreakHyphen/>
      </w:r>
      <w:r w:rsidRPr="0034781C">
        <w:t>Bas (109, soit 4%), de la</w:t>
      </w:r>
      <w:r w:rsidR="00B4791E">
        <w:t xml:space="preserve"> </w:t>
      </w:r>
      <w:r w:rsidRPr="0034781C">
        <w:t>Turquie (91, soit 3,3%), de la Finlande (49, soit 1,8%), de la Norvège (50, soit 1,8%) et du Royaume</w:t>
      </w:r>
      <w:r w:rsidR="00E86527">
        <w:noBreakHyphen/>
      </w:r>
      <w:r w:rsidRPr="0034781C">
        <w:t>Uni (44, soit 1,6%).</w:t>
      </w:r>
    </w:p>
    <w:p w:rsidR="00DD6BD8" w:rsidRPr="0034781C" w:rsidRDefault="00DD3338" w:rsidP="00C911A8">
      <w:pPr>
        <w:pStyle w:val="ONUMFS"/>
      </w:pPr>
      <w:r w:rsidRPr="0034781C">
        <w:lastRenderedPageBreak/>
        <w:t>En</w:t>
      </w:r>
      <w:r w:rsidR="00442790">
        <w:t> </w:t>
      </w:r>
      <w:r w:rsidRPr="0034781C">
        <w:t>2015, les enregistrements internationaux émanaient principalement de la Suisse (718, soit 18,8% du nombre total d</w:t>
      </w:r>
      <w:r w:rsidR="003060C4">
        <w:t>’</w:t>
      </w:r>
      <w:r w:rsidRPr="0034781C">
        <w:t>enregistrements cette année</w:t>
      </w:r>
      <w:r w:rsidR="00E86527">
        <w:noBreakHyphen/>
      </w:r>
      <w:r w:rsidRPr="0034781C">
        <w:t>là), suivie de l</w:t>
      </w:r>
      <w:r w:rsidR="003060C4">
        <w:t>’</w:t>
      </w:r>
      <w:r w:rsidRPr="0034781C">
        <w:t>Allemagne (623, soit 16,3%), de la République de Corée (520, soit 13,6%), de la France (363, soit 9,5%), de l</w:t>
      </w:r>
      <w:r w:rsidR="003060C4">
        <w:t>’</w:t>
      </w:r>
      <w:r w:rsidRPr="0034781C">
        <w:t>Italie (289, 7,6%), des États</w:t>
      </w:r>
      <w:r w:rsidR="00E86527">
        <w:noBreakHyphen/>
      </w:r>
      <w:r w:rsidRPr="0034781C">
        <w:t>Unis d</w:t>
      </w:r>
      <w:r w:rsidR="003060C4">
        <w:t>’</w:t>
      </w:r>
      <w:r w:rsidRPr="0034781C">
        <w:t>Amérique (197, soit 5,1%), des Pays</w:t>
      </w:r>
      <w:r w:rsidR="00E86527">
        <w:noBreakHyphen/>
      </w:r>
      <w:r w:rsidRPr="0034781C">
        <w:t>Bas (147, soit 3,8%), du</w:t>
      </w:r>
      <w:r w:rsidR="00BE1211">
        <w:t> </w:t>
      </w:r>
      <w:r w:rsidRPr="0034781C">
        <w:t>Japon (124, soit 3,2%), du Royaume</w:t>
      </w:r>
      <w:r w:rsidR="00E86527">
        <w:noBreakHyphen/>
      </w:r>
      <w:r w:rsidRPr="0034781C">
        <w:t>Uni (96, soit 2,5%) et de la Suède (91, soit 2,4%).</w:t>
      </w:r>
      <w:r w:rsidR="002873E6" w:rsidRPr="0034781C">
        <w:t xml:space="preserve"> </w:t>
      </w:r>
      <w:r w:rsidR="00340118" w:rsidRPr="0034781C">
        <w:t xml:space="preserve"> </w:t>
      </w:r>
      <w:r w:rsidR="0044274B" w:rsidRPr="0034781C">
        <w:t>Il convient de noter que, outre les origines “tradition</w:t>
      </w:r>
      <w:r w:rsidR="00B4791E">
        <w:t>n</w:t>
      </w:r>
      <w:r w:rsidR="0044274B" w:rsidRPr="0034781C">
        <w:t>elles”, c</w:t>
      </w:r>
      <w:r w:rsidR="003060C4">
        <w:t>’</w:t>
      </w:r>
      <w:r w:rsidR="0044274B" w:rsidRPr="0034781C">
        <w:t>est</w:t>
      </w:r>
      <w:r w:rsidR="00E86527">
        <w:noBreakHyphen/>
      </w:r>
      <w:r w:rsidR="0044274B" w:rsidRPr="0034781C">
        <w:t>à</w:t>
      </w:r>
      <w:r w:rsidR="00E86527">
        <w:noBreakHyphen/>
      </w:r>
      <w:r w:rsidR="0044274B" w:rsidRPr="0034781C">
        <w:t>dire les pays qui sont parties à l</w:t>
      </w:r>
      <w:r w:rsidR="003060C4">
        <w:t>’</w:t>
      </w:r>
      <w:r w:rsidR="0044274B" w:rsidRPr="0034781C">
        <w:t xml:space="preserve">Arrangement de </w:t>
      </w:r>
      <w:r w:rsidR="003060C4">
        <w:t>La Haye</w:t>
      </w:r>
      <w:r w:rsidR="0044274B" w:rsidRPr="0034781C">
        <w:t xml:space="preserve"> depuis des décennies et d</w:t>
      </w:r>
      <w:r w:rsidR="003060C4">
        <w:t>’</w:t>
      </w:r>
      <w:r w:rsidR="0044274B" w:rsidRPr="0034781C">
        <w:t xml:space="preserve">autres </w:t>
      </w:r>
      <w:r w:rsidR="003607B4">
        <w:t xml:space="preserve">pays </w:t>
      </w:r>
      <w:r w:rsidR="0044274B" w:rsidRPr="0034781C">
        <w:t xml:space="preserve">qui ne sont pas dans ce cas mais qui </w:t>
      </w:r>
      <w:r w:rsidR="003607B4">
        <w:t>sont</w:t>
      </w:r>
      <w:r w:rsidR="0044274B" w:rsidRPr="0034781C">
        <w:t xml:space="preserve"> membres de l</w:t>
      </w:r>
      <w:r w:rsidR="003060C4">
        <w:t>’</w:t>
      </w:r>
      <w:r w:rsidR="0044274B" w:rsidRPr="0034781C">
        <w:t>Union européenne, les trois</w:t>
      </w:r>
      <w:r w:rsidR="00442790">
        <w:t> </w:t>
      </w:r>
      <w:r w:rsidR="0044274B" w:rsidRPr="0034781C">
        <w:t xml:space="preserve">“nouveaux arrivants”, </w:t>
      </w:r>
      <w:r w:rsidR="003060C4">
        <w:t>à savoir</w:t>
      </w:r>
      <w:r w:rsidR="0044274B" w:rsidRPr="0034781C">
        <w:t xml:space="preserve"> le Japon, la</w:t>
      </w:r>
      <w:r w:rsidR="00BE1211">
        <w:t> </w:t>
      </w:r>
      <w:r w:rsidR="0044274B" w:rsidRPr="0034781C">
        <w:t>République de Corée et les États</w:t>
      </w:r>
      <w:r w:rsidR="00E86527">
        <w:noBreakHyphen/>
      </w:r>
      <w:r w:rsidR="0044274B" w:rsidRPr="0034781C">
        <w:t>Unis d</w:t>
      </w:r>
      <w:r w:rsidR="003060C4">
        <w:t>’</w:t>
      </w:r>
      <w:r w:rsidR="0044274B" w:rsidRPr="0034781C">
        <w:t>Amérique</w:t>
      </w:r>
      <w:r w:rsidR="0008493C">
        <w:t>,</w:t>
      </w:r>
      <w:r w:rsidR="0044274B" w:rsidRPr="0034781C">
        <w:t xml:space="preserve"> </w:t>
      </w:r>
      <w:r w:rsidR="003607B4">
        <w:t>figurent dans la liste des</w:t>
      </w:r>
      <w:r w:rsidR="0044274B" w:rsidRPr="0034781C">
        <w:t xml:space="preserve"> </w:t>
      </w:r>
      <w:r w:rsidR="002F3B08">
        <w:t>10 </w:t>
      </w:r>
      <w:r w:rsidR="003607B4">
        <w:t>principaux pays d</w:t>
      </w:r>
      <w:r w:rsidR="003060C4">
        <w:t>’</w:t>
      </w:r>
      <w:r w:rsidR="003607B4">
        <w:t>origine</w:t>
      </w:r>
      <w:r w:rsidR="0044274B" w:rsidRPr="0034781C">
        <w:t>.</w:t>
      </w:r>
    </w:p>
    <w:p w:rsidR="002F3B08" w:rsidRDefault="003607B4" w:rsidP="00C911A8">
      <w:pPr>
        <w:pStyle w:val="ONUMFS"/>
      </w:pPr>
      <w:r>
        <w:t>Au</w:t>
      </w:r>
      <w:r w:rsidR="0044274B" w:rsidRPr="0034781C">
        <w:t xml:space="preserve"> premier trimestre de</w:t>
      </w:r>
      <w:r w:rsidR="00442790">
        <w:t> </w:t>
      </w:r>
      <w:r w:rsidR="0044274B" w:rsidRPr="0034781C">
        <w:t xml:space="preserve">2016, la République de Corée, </w:t>
      </w:r>
      <w:r w:rsidR="0008493C">
        <w:t>pays d</w:t>
      </w:r>
      <w:r w:rsidR="003060C4">
        <w:t>’</w:t>
      </w:r>
      <w:r w:rsidR="0008493C">
        <w:t>origine de</w:t>
      </w:r>
      <w:r>
        <w:t xml:space="preserve"> </w:t>
      </w:r>
      <w:r w:rsidR="0044274B" w:rsidRPr="0034781C">
        <w:t>190 enregistrements internationaux, soit 25,3% des enregistrements, a dépassé la Suisse (142, soit 18,9%) et l</w:t>
      </w:r>
      <w:r w:rsidR="003060C4">
        <w:t>’</w:t>
      </w:r>
      <w:r w:rsidR="0044274B" w:rsidRPr="0034781C">
        <w:t>Allemagne (95, soit 12,6%).</w:t>
      </w:r>
      <w:r w:rsidR="00995BFB" w:rsidRPr="0034781C">
        <w:t xml:space="preserve"> </w:t>
      </w:r>
      <w:r w:rsidR="00914031" w:rsidRPr="0034781C">
        <w:t xml:space="preserve"> </w:t>
      </w:r>
      <w:r w:rsidR="0044274B" w:rsidRPr="0034781C">
        <w:t>La France (75, soit 10%) a conservé la quatrième place, suivie des Pays</w:t>
      </w:r>
      <w:r w:rsidR="00E86527">
        <w:noBreakHyphen/>
      </w:r>
      <w:r w:rsidR="0044274B" w:rsidRPr="0034781C">
        <w:t xml:space="preserve">Bas (39, soit 5,2%) </w:t>
      </w:r>
      <w:r w:rsidR="0008493C">
        <w:t>et de l</w:t>
      </w:r>
      <w:r w:rsidR="003060C4">
        <w:t>’</w:t>
      </w:r>
      <w:r w:rsidR="0008493C">
        <w:t>Italie (35, soit 4,7%),</w:t>
      </w:r>
      <w:r w:rsidR="0044274B" w:rsidRPr="0034781C">
        <w:t xml:space="preserve"> le Japon (29, soit 3,9%) et les États</w:t>
      </w:r>
      <w:r w:rsidR="00E86527">
        <w:noBreakHyphen/>
      </w:r>
      <w:r w:rsidR="0044274B" w:rsidRPr="0034781C">
        <w:t>Unis d</w:t>
      </w:r>
      <w:r w:rsidR="003060C4">
        <w:t>’</w:t>
      </w:r>
      <w:r w:rsidR="0044274B" w:rsidRPr="0034781C">
        <w:t>Amérique (29, soit 3,9%) ont partagé la septième place, la Turquie (15, soit 2%) a été neuvième et le Royaume</w:t>
      </w:r>
      <w:r w:rsidR="00E86527">
        <w:noBreakHyphen/>
      </w:r>
      <w:r w:rsidR="0044274B" w:rsidRPr="0034781C">
        <w:t>Uni (13, soit 1,7%) dixième</w:t>
      </w:r>
      <w:r w:rsidR="0044274B" w:rsidRPr="0034781C">
        <w:rPr>
          <w:rStyle w:val="FootnoteReference"/>
        </w:rPr>
        <w:footnoteReference w:id="5"/>
      </w:r>
      <w:r w:rsidR="0044274B" w:rsidRPr="0034781C">
        <w:t>.</w:t>
      </w:r>
    </w:p>
    <w:p w:rsidR="00FD5CA3" w:rsidRDefault="00FD5CA3" w:rsidP="0069372F">
      <w:pPr>
        <w:pStyle w:val="Heading3"/>
      </w:pPr>
      <w:r w:rsidRPr="002A345F">
        <w:t xml:space="preserve">Nombre de dessins </w:t>
      </w:r>
      <w:r>
        <w:t>ou</w:t>
      </w:r>
      <w:r w:rsidRPr="002A345F">
        <w:t xml:space="preserve"> modèles contenus dans les enregistrements internationaux par pays</w:t>
      </w:r>
      <w:r w:rsidR="007E0A96">
        <w:t xml:space="preserve"> d</w:t>
      </w:r>
      <w:r>
        <w:t>’</w:t>
      </w:r>
      <w:r w:rsidRPr="002A345F">
        <w:t>adresse du</w:t>
      </w:r>
      <w:r>
        <w:t xml:space="preserve"> titulaire</w:t>
      </w:r>
    </w:p>
    <w:p w:rsidR="00FD5CA3" w:rsidRPr="006D77CD" w:rsidRDefault="00FD5CA3" w:rsidP="0069372F"/>
    <w:p w:rsidR="00FD5CA3" w:rsidRPr="00AB59D3" w:rsidRDefault="00FD5CA3" w:rsidP="00FD5CA3">
      <w:pPr>
        <w:pStyle w:val="ONUMFS"/>
        <w:numPr>
          <w:ilvl w:val="0"/>
          <w:numId w:val="6"/>
        </w:numPr>
      </w:pPr>
      <w:r>
        <w:t>En </w:t>
      </w:r>
      <w:r w:rsidRPr="00AB59D3">
        <w:t xml:space="preserve">2014, </w:t>
      </w:r>
      <w:r>
        <w:t xml:space="preserve">les dessins ou modèles contenus </w:t>
      </w:r>
      <w:r w:rsidRPr="00AB59D3">
        <w:t>d</w:t>
      </w:r>
      <w:r>
        <w:t xml:space="preserve">ans les enregistrements internationaux provenaient principalement de l’Allemagne </w:t>
      </w:r>
      <w:r w:rsidRPr="00AB59D3">
        <w:t>(3666</w:t>
      </w:r>
      <w:r>
        <w:t> </w:t>
      </w:r>
      <w:r w:rsidRPr="00AB59D3">
        <w:t>des</w:t>
      </w:r>
      <w:r>
        <w:t>sin</w:t>
      </w:r>
      <w:r w:rsidRPr="00AB59D3">
        <w:t>s</w:t>
      </w:r>
      <w:r>
        <w:t xml:space="preserve"> ou modèles</w:t>
      </w:r>
      <w:r w:rsidRPr="00AB59D3">
        <w:t xml:space="preserve">, </w:t>
      </w:r>
      <w:r>
        <w:t xml:space="preserve">soit </w:t>
      </w:r>
      <w:r w:rsidRPr="00AB59D3">
        <w:t>26</w:t>
      </w:r>
      <w:r>
        <w:t>,</w:t>
      </w:r>
      <w:r w:rsidRPr="00AB59D3">
        <w:t>9</w:t>
      </w:r>
      <w:r>
        <w:t>% du nombre total de dessins et modèles enregistrés au cours de cette année</w:t>
      </w:r>
      <w:r w:rsidRPr="00AB59D3">
        <w:t xml:space="preserve">), </w:t>
      </w:r>
      <w:r>
        <w:t xml:space="preserve">suivie de la Suisse </w:t>
      </w:r>
      <w:r w:rsidRPr="00AB59D3">
        <w:t xml:space="preserve">(3101, </w:t>
      </w:r>
      <w:r>
        <w:t>soit</w:t>
      </w:r>
      <w:r w:rsidR="00BE1211">
        <w:t> </w:t>
      </w:r>
      <w:r w:rsidRPr="00AB59D3">
        <w:t>22</w:t>
      </w:r>
      <w:r>
        <w:t>,</w:t>
      </w:r>
      <w:r w:rsidRPr="00AB59D3">
        <w:t>7</w:t>
      </w:r>
      <w:r>
        <w:t>%</w:t>
      </w:r>
      <w:r w:rsidRPr="00AB59D3">
        <w:t>),</w:t>
      </w:r>
      <w:r>
        <w:t xml:space="preserve"> de la </w:t>
      </w:r>
      <w:r w:rsidRPr="00AB59D3">
        <w:t xml:space="preserve">France (1438, </w:t>
      </w:r>
      <w:r>
        <w:t xml:space="preserve">soit </w:t>
      </w:r>
      <w:r w:rsidRPr="00AB59D3">
        <w:t>10</w:t>
      </w:r>
      <w:r>
        <w:t>,</w:t>
      </w:r>
      <w:r w:rsidRPr="00AB59D3">
        <w:t>5</w:t>
      </w:r>
      <w:r>
        <w:t>%</w:t>
      </w:r>
      <w:r w:rsidRPr="00AB59D3">
        <w:t xml:space="preserve">), </w:t>
      </w:r>
      <w:r>
        <w:t>de l’</w:t>
      </w:r>
      <w:r w:rsidRPr="00AB59D3">
        <w:t>Ital</w:t>
      </w:r>
      <w:r>
        <w:t>ie</w:t>
      </w:r>
      <w:r w:rsidRPr="00AB59D3">
        <w:t xml:space="preserve"> (878, </w:t>
      </w:r>
      <w:r>
        <w:t xml:space="preserve">soit </w:t>
      </w:r>
      <w:r w:rsidRPr="00AB59D3">
        <w:t>6</w:t>
      </w:r>
      <w:r>
        <w:t>,</w:t>
      </w:r>
      <w:r w:rsidRPr="00AB59D3">
        <w:t>4</w:t>
      </w:r>
      <w:r>
        <w:t>%</w:t>
      </w:r>
      <w:r w:rsidRPr="00AB59D3">
        <w:t xml:space="preserve">), </w:t>
      </w:r>
      <w:r>
        <w:t>des États</w:t>
      </w:r>
      <w:r>
        <w:noBreakHyphen/>
        <w:t>Unis</w:t>
      </w:r>
      <w:r w:rsidRPr="002023DB">
        <w:t xml:space="preserve"> </w:t>
      </w:r>
      <w:r>
        <w:t>d’Amérique</w:t>
      </w:r>
      <w:r w:rsidRPr="00AB59D3">
        <w:t xml:space="preserve"> (755, </w:t>
      </w:r>
      <w:r>
        <w:t xml:space="preserve">soit </w:t>
      </w:r>
      <w:r w:rsidRPr="00AB59D3">
        <w:t>5</w:t>
      </w:r>
      <w:r>
        <w:t>,</w:t>
      </w:r>
      <w:r w:rsidRPr="00AB59D3">
        <w:t>5</w:t>
      </w:r>
      <w:r>
        <w:t>%</w:t>
      </w:r>
      <w:r w:rsidRPr="00AB59D3">
        <w:t xml:space="preserve">), </w:t>
      </w:r>
      <w:r>
        <w:t xml:space="preserve">de la </w:t>
      </w:r>
      <w:r w:rsidRPr="00AB59D3">
        <w:t>Tur</w:t>
      </w:r>
      <w:r>
        <w:t xml:space="preserve">quie </w:t>
      </w:r>
      <w:r w:rsidRPr="00AB59D3">
        <w:t xml:space="preserve">(379, </w:t>
      </w:r>
      <w:r>
        <w:t xml:space="preserve">soit </w:t>
      </w:r>
      <w:r w:rsidRPr="00AB59D3">
        <w:t>2</w:t>
      </w:r>
      <w:r>
        <w:t>,</w:t>
      </w:r>
      <w:r w:rsidRPr="00AB59D3">
        <w:t>8</w:t>
      </w:r>
      <w:r>
        <w:t>%</w:t>
      </w:r>
      <w:r w:rsidRPr="00AB59D3">
        <w:t xml:space="preserve">), </w:t>
      </w:r>
      <w:r>
        <w:t>des Pays</w:t>
      </w:r>
      <w:r>
        <w:noBreakHyphen/>
        <w:t>Bas</w:t>
      </w:r>
      <w:r w:rsidRPr="00AB59D3">
        <w:t xml:space="preserve"> (330, </w:t>
      </w:r>
      <w:r>
        <w:t>soit 2,4%</w:t>
      </w:r>
      <w:r w:rsidRPr="00AB59D3">
        <w:t xml:space="preserve">), </w:t>
      </w:r>
      <w:r>
        <w:t>de la</w:t>
      </w:r>
      <w:r w:rsidR="00BE1211">
        <w:t> </w:t>
      </w:r>
      <w:r w:rsidRPr="00AB59D3">
        <w:t>Finland</w:t>
      </w:r>
      <w:r>
        <w:t>e</w:t>
      </w:r>
      <w:r w:rsidRPr="00AB59D3">
        <w:t xml:space="preserve"> (207, </w:t>
      </w:r>
      <w:r>
        <w:t>soit 1,5%</w:t>
      </w:r>
      <w:r w:rsidRPr="00AB59D3">
        <w:t xml:space="preserve">), </w:t>
      </w:r>
      <w:r>
        <w:t>du Royaume</w:t>
      </w:r>
      <w:r>
        <w:noBreakHyphen/>
        <w:t>Uni</w:t>
      </w:r>
      <w:r w:rsidRPr="00AB59D3">
        <w:t xml:space="preserve"> (156, </w:t>
      </w:r>
      <w:r>
        <w:t xml:space="preserve">soit </w:t>
      </w:r>
      <w:r w:rsidRPr="00AB59D3">
        <w:t>1</w:t>
      </w:r>
      <w:r>
        <w:t>,</w:t>
      </w:r>
      <w:r w:rsidRPr="00AB59D3">
        <w:t>1</w:t>
      </w:r>
      <w:r>
        <w:t>%</w:t>
      </w:r>
      <w:r w:rsidRPr="00AB59D3">
        <w:t xml:space="preserve">) </w:t>
      </w:r>
      <w:r>
        <w:t xml:space="preserve">et de la </w:t>
      </w:r>
      <w:r w:rsidRPr="00AB59D3">
        <w:t>Nor</w:t>
      </w:r>
      <w:r>
        <w:t xml:space="preserve">vège </w:t>
      </w:r>
      <w:r w:rsidRPr="00AB59D3">
        <w:t xml:space="preserve">(104, </w:t>
      </w:r>
      <w:r>
        <w:t xml:space="preserve">soit </w:t>
      </w:r>
      <w:r w:rsidRPr="00AB59D3">
        <w:t>0</w:t>
      </w:r>
      <w:r>
        <w:t>,</w:t>
      </w:r>
      <w:r w:rsidRPr="00AB59D3">
        <w:t>8</w:t>
      </w:r>
      <w:r>
        <w:t>%</w:t>
      </w:r>
      <w:r w:rsidRPr="00AB59D3">
        <w:t>).</w:t>
      </w:r>
    </w:p>
    <w:p w:rsidR="00FD5CA3" w:rsidRPr="009C3552" w:rsidRDefault="00FD5CA3" w:rsidP="00FD5CA3">
      <w:pPr>
        <w:pStyle w:val="ONUMFS"/>
        <w:numPr>
          <w:ilvl w:val="0"/>
          <w:numId w:val="6"/>
        </w:numPr>
      </w:pPr>
      <w:r>
        <w:t>En </w:t>
      </w:r>
      <w:r w:rsidRPr="009C3552">
        <w:t xml:space="preserve">2015, </w:t>
      </w:r>
      <w:r w:rsidRPr="009661C2">
        <w:t>les dessins ou modèles contenus dans les enregistrements internationaux provenaient principalement de l</w:t>
      </w:r>
      <w:r>
        <w:t>’</w:t>
      </w:r>
      <w:r w:rsidRPr="009661C2">
        <w:t xml:space="preserve">Allemagne </w:t>
      </w:r>
      <w:r w:rsidRPr="009C3552">
        <w:t>(3358</w:t>
      </w:r>
      <w:r>
        <w:t> </w:t>
      </w:r>
      <w:r w:rsidRPr="009C3552">
        <w:t>des</w:t>
      </w:r>
      <w:r>
        <w:t>sins ou modèles</w:t>
      </w:r>
      <w:r w:rsidRPr="009C3552">
        <w:t xml:space="preserve">, </w:t>
      </w:r>
      <w:r>
        <w:t xml:space="preserve">soit </w:t>
      </w:r>
      <w:r w:rsidRPr="009C3552">
        <w:t>22</w:t>
      </w:r>
      <w:r>
        <w:t>,</w:t>
      </w:r>
      <w:r w:rsidRPr="009C3552">
        <w:t>2</w:t>
      </w:r>
      <w:r>
        <w:t xml:space="preserve">% </w:t>
      </w:r>
      <w:r w:rsidRPr="009661C2">
        <w:t xml:space="preserve">du nombre total de dessins et modèles enregistrés </w:t>
      </w:r>
      <w:r>
        <w:t>en </w:t>
      </w:r>
      <w:r w:rsidRPr="009C3552">
        <w:t xml:space="preserve">2015), </w:t>
      </w:r>
      <w:r>
        <w:t>de la Suisse</w:t>
      </w:r>
      <w:r w:rsidRPr="009C3552">
        <w:t xml:space="preserve"> (3125, </w:t>
      </w:r>
      <w:r>
        <w:t xml:space="preserve">soit </w:t>
      </w:r>
      <w:r w:rsidRPr="009C3552">
        <w:t>20</w:t>
      </w:r>
      <w:r>
        <w:t>,</w:t>
      </w:r>
      <w:r w:rsidRPr="009C3552">
        <w:t>7</w:t>
      </w:r>
      <w:r>
        <w:t>%</w:t>
      </w:r>
      <w:r w:rsidRPr="009C3552">
        <w:t xml:space="preserve">), </w:t>
      </w:r>
      <w:r>
        <w:t xml:space="preserve">de la </w:t>
      </w:r>
      <w:r w:rsidRPr="009C3552">
        <w:t xml:space="preserve">France (1184, </w:t>
      </w:r>
      <w:r>
        <w:t xml:space="preserve">soit </w:t>
      </w:r>
      <w:r w:rsidRPr="009C3552">
        <w:t>7</w:t>
      </w:r>
      <w:r>
        <w:t>,</w:t>
      </w:r>
      <w:r w:rsidRPr="009C3552">
        <w:t>8</w:t>
      </w:r>
      <w:r>
        <w:t>%</w:t>
      </w:r>
      <w:r w:rsidRPr="009C3552">
        <w:t xml:space="preserve">), </w:t>
      </w:r>
      <w:r>
        <w:t>de la République de Corée</w:t>
      </w:r>
      <w:r w:rsidRPr="009C3552">
        <w:t xml:space="preserve"> (1184, </w:t>
      </w:r>
      <w:r>
        <w:t xml:space="preserve">soit </w:t>
      </w:r>
      <w:r w:rsidRPr="009C3552">
        <w:t>7</w:t>
      </w:r>
      <w:r>
        <w:t>,</w:t>
      </w:r>
      <w:r w:rsidRPr="009C3552">
        <w:t>8</w:t>
      </w:r>
      <w:r>
        <w:t>%</w:t>
      </w:r>
      <w:r w:rsidRPr="009C3552">
        <w:t xml:space="preserve">), </w:t>
      </w:r>
      <w:r>
        <w:t>de l’</w:t>
      </w:r>
      <w:r w:rsidRPr="009C3552">
        <w:t>Ital</w:t>
      </w:r>
      <w:r>
        <w:t>ie</w:t>
      </w:r>
      <w:r w:rsidRPr="009C3552">
        <w:t xml:space="preserve"> (1121, </w:t>
      </w:r>
      <w:r>
        <w:t xml:space="preserve">soit </w:t>
      </w:r>
      <w:r w:rsidRPr="009C3552">
        <w:t>7</w:t>
      </w:r>
      <w:r>
        <w:t>,</w:t>
      </w:r>
      <w:r w:rsidRPr="009C3552">
        <w:t>4</w:t>
      </w:r>
      <w:r>
        <w:t>%</w:t>
      </w:r>
      <w:r w:rsidRPr="009C3552">
        <w:t>),</w:t>
      </w:r>
      <w:r>
        <w:t xml:space="preserve"> des </w:t>
      </w:r>
      <w:r w:rsidRPr="001D5409">
        <w:t>États</w:t>
      </w:r>
      <w:r>
        <w:noBreakHyphen/>
      </w:r>
      <w:r w:rsidRPr="001D5409">
        <w:t>Unis d</w:t>
      </w:r>
      <w:r>
        <w:t>’</w:t>
      </w:r>
      <w:r w:rsidRPr="001D5409">
        <w:t>Amérique</w:t>
      </w:r>
      <w:r w:rsidRPr="009C3552">
        <w:t xml:space="preserve"> (944, </w:t>
      </w:r>
      <w:r>
        <w:t xml:space="preserve">soit </w:t>
      </w:r>
      <w:r w:rsidRPr="009C3552">
        <w:t>6</w:t>
      </w:r>
      <w:r>
        <w:t>,</w:t>
      </w:r>
      <w:r w:rsidRPr="009C3552">
        <w:t>2</w:t>
      </w:r>
      <w:r>
        <w:t>%</w:t>
      </w:r>
      <w:r w:rsidRPr="009C3552">
        <w:t xml:space="preserve">), </w:t>
      </w:r>
      <w:r>
        <w:t>des Pays</w:t>
      </w:r>
      <w:r>
        <w:noBreakHyphen/>
        <w:t>Bas</w:t>
      </w:r>
      <w:r w:rsidRPr="009C3552">
        <w:t xml:space="preserve"> (680, </w:t>
      </w:r>
      <w:r>
        <w:t xml:space="preserve">soit </w:t>
      </w:r>
      <w:r w:rsidRPr="009C3552">
        <w:t>4</w:t>
      </w:r>
      <w:r>
        <w:t>,</w:t>
      </w:r>
      <w:r w:rsidRPr="009C3552">
        <w:t>5</w:t>
      </w:r>
      <w:r>
        <w:t>%</w:t>
      </w:r>
      <w:r w:rsidRPr="009C3552">
        <w:t>),</w:t>
      </w:r>
      <w:r>
        <w:t xml:space="preserve"> du </w:t>
      </w:r>
      <w:r w:rsidRPr="009C3552">
        <w:t>Jap</w:t>
      </w:r>
      <w:r>
        <w:t>o</w:t>
      </w:r>
      <w:r w:rsidRPr="009C3552">
        <w:t xml:space="preserve">n (391, </w:t>
      </w:r>
      <w:r>
        <w:t>soit</w:t>
      </w:r>
      <w:r w:rsidR="00BE1211">
        <w:t> </w:t>
      </w:r>
      <w:r w:rsidRPr="009C3552">
        <w:t>2</w:t>
      </w:r>
      <w:r>
        <w:t>,</w:t>
      </w:r>
      <w:r w:rsidRPr="009C3552">
        <w:t>6</w:t>
      </w:r>
      <w:r>
        <w:t>%</w:t>
      </w:r>
      <w:r w:rsidRPr="009C3552">
        <w:t xml:space="preserve">), </w:t>
      </w:r>
      <w:r>
        <w:t>de l’</w:t>
      </w:r>
      <w:r w:rsidRPr="009C3552">
        <w:t>Autri</w:t>
      </w:r>
      <w:r>
        <w:t>che</w:t>
      </w:r>
      <w:r w:rsidRPr="009C3552">
        <w:t xml:space="preserve"> (379, </w:t>
      </w:r>
      <w:r>
        <w:t xml:space="preserve">soit </w:t>
      </w:r>
      <w:r w:rsidRPr="009C3552">
        <w:t>2</w:t>
      </w:r>
      <w:r>
        <w:t>,</w:t>
      </w:r>
      <w:r w:rsidRPr="009C3552">
        <w:t>5</w:t>
      </w:r>
      <w:r>
        <w:t>%</w:t>
      </w:r>
      <w:r w:rsidRPr="009C3552">
        <w:t xml:space="preserve">) </w:t>
      </w:r>
      <w:r>
        <w:t>et du Royaume</w:t>
      </w:r>
      <w:r>
        <w:noBreakHyphen/>
        <w:t>Uni</w:t>
      </w:r>
      <w:r w:rsidRPr="009C3552">
        <w:t xml:space="preserve"> (358, </w:t>
      </w:r>
      <w:r>
        <w:t xml:space="preserve">soit </w:t>
      </w:r>
      <w:r w:rsidRPr="009C3552">
        <w:t>2</w:t>
      </w:r>
      <w:r>
        <w:t>,</w:t>
      </w:r>
      <w:r w:rsidRPr="009C3552">
        <w:t>4</w:t>
      </w:r>
      <w:r>
        <w:t>%</w:t>
      </w:r>
      <w:r w:rsidRPr="009C3552">
        <w:t>).</w:t>
      </w:r>
    </w:p>
    <w:p w:rsidR="00FD5CA3" w:rsidRPr="009C3552" w:rsidRDefault="00FD5CA3" w:rsidP="00FD5CA3">
      <w:pPr>
        <w:pStyle w:val="ONUMFS"/>
        <w:numPr>
          <w:ilvl w:val="0"/>
          <w:numId w:val="6"/>
        </w:numPr>
      </w:pPr>
      <w:r>
        <w:t>Au cours du premier trimestre de </w:t>
      </w:r>
      <w:r w:rsidRPr="009C3552">
        <w:t xml:space="preserve">2016, </w:t>
      </w:r>
      <w:r w:rsidRPr="00DE1680">
        <w:t xml:space="preserve">les dessins ou modèles contenus dans les enregistrements internationaux provenaient principalement de </w:t>
      </w:r>
      <w:r>
        <w:t xml:space="preserve">la Suisse </w:t>
      </w:r>
      <w:r w:rsidRPr="009C3552">
        <w:t>(527</w:t>
      </w:r>
      <w:r>
        <w:t> </w:t>
      </w:r>
      <w:r w:rsidRPr="009C3552">
        <w:t>des</w:t>
      </w:r>
      <w:r>
        <w:t xml:space="preserve">sins ou modèles, soit </w:t>
      </w:r>
      <w:r w:rsidRPr="009C3552">
        <w:t>21</w:t>
      </w:r>
      <w:r>
        <w:t>,</w:t>
      </w:r>
      <w:r w:rsidRPr="009C3552">
        <w:t>9</w:t>
      </w:r>
      <w:r>
        <w:t>%</w:t>
      </w:r>
      <w:r w:rsidRPr="009C3552">
        <w:t xml:space="preserve"> </w:t>
      </w:r>
      <w:r w:rsidRPr="00DE1680">
        <w:t>du nombre total de dessins et modèles enregistrés au cours de cette</w:t>
      </w:r>
      <w:r>
        <w:t xml:space="preserve"> période</w:t>
      </w:r>
      <w:r w:rsidRPr="009C3552">
        <w:t xml:space="preserve">), </w:t>
      </w:r>
      <w:r>
        <w:t>de l’Allemagne</w:t>
      </w:r>
      <w:r w:rsidRPr="009C3552">
        <w:t xml:space="preserve"> (414, </w:t>
      </w:r>
      <w:r>
        <w:t xml:space="preserve">soit </w:t>
      </w:r>
      <w:r w:rsidRPr="009C3552">
        <w:t>17</w:t>
      </w:r>
      <w:r>
        <w:t>,</w:t>
      </w:r>
      <w:r w:rsidRPr="009C3552">
        <w:t>2</w:t>
      </w:r>
      <w:r>
        <w:t>%</w:t>
      </w:r>
      <w:r w:rsidRPr="009C3552">
        <w:t xml:space="preserve">), </w:t>
      </w:r>
      <w:r>
        <w:t>de la République de Corée</w:t>
      </w:r>
      <w:r w:rsidRPr="009C3552">
        <w:t xml:space="preserve"> (263, </w:t>
      </w:r>
      <w:r>
        <w:t>soit 1</w:t>
      </w:r>
      <w:r w:rsidRPr="009C3552">
        <w:t>0</w:t>
      </w:r>
      <w:r>
        <w:t>,</w:t>
      </w:r>
      <w:r w:rsidRPr="009C3552">
        <w:t>9</w:t>
      </w:r>
      <w:r>
        <w:t>%</w:t>
      </w:r>
      <w:r w:rsidRPr="009C3552">
        <w:t xml:space="preserve">), </w:t>
      </w:r>
      <w:r>
        <w:t>des</w:t>
      </w:r>
      <w:r w:rsidR="00BE1211">
        <w:t> </w:t>
      </w:r>
      <w:r>
        <w:t>Pays</w:t>
      </w:r>
      <w:r>
        <w:noBreakHyphen/>
        <w:t>Bas</w:t>
      </w:r>
      <w:r w:rsidRPr="009C3552">
        <w:t xml:space="preserve"> (221, </w:t>
      </w:r>
      <w:r>
        <w:t xml:space="preserve">soit </w:t>
      </w:r>
      <w:r w:rsidRPr="009C3552">
        <w:t>9</w:t>
      </w:r>
      <w:r>
        <w:t>,</w:t>
      </w:r>
      <w:r w:rsidRPr="009C3552">
        <w:t>2</w:t>
      </w:r>
      <w:r>
        <w:t>%</w:t>
      </w:r>
      <w:r w:rsidRPr="009C3552">
        <w:t xml:space="preserve">), </w:t>
      </w:r>
      <w:r>
        <w:t xml:space="preserve">de la </w:t>
      </w:r>
      <w:r w:rsidRPr="009C3552">
        <w:t xml:space="preserve">France (219, </w:t>
      </w:r>
      <w:r>
        <w:t xml:space="preserve">soit </w:t>
      </w:r>
      <w:r w:rsidRPr="009C3552">
        <w:t>9</w:t>
      </w:r>
      <w:r>
        <w:t>,</w:t>
      </w:r>
      <w:r w:rsidRPr="009C3552">
        <w:t>1</w:t>
      </w:r>
      <w:r>
        <w:t>%)</w:t>
      </w:r>
      <w:r w:rsidRPr="009C3552">
        <w:t xml:space="preserve">, </w:t>
      </w:r>
      <w:r w:rsidRPr="00DE1680">
        <w:t>des États</w:t>
      </w:r>
      <w:r>
        <w:noBreakHyphen/>
      </w:r>
      <w:r w:rsidRPr="00DE1680">
        <w:t>Unis d</w:t>
      </w:r>
      <w:r>
        <w:t>’</w:t>
      </w:r>
      <w:r w:rsidRPr="00DE1680">
        <w:t xml:space="preserve">Amérique </w:t>
      </w:r>
      <w:r w:rsidRPr="009C3552">
        <w:t xml:space="preserve">(156, </w:t>
      </w:r>
      <w:r>
        <w:t>soit</w:t>
      </w:r>
      <w:r w:rsidR="00BE1211">
        <w:t> </w:t>
      </w:r>
      <w:r w:rsidRPr="009C3552">
        <w:t>6</w:t>
      </w:r>
      <w:r>
        <w:t>,</w:t>
      </w:r>
      <w:r w:rsidRPr="009C3552">
        <w:t>5</w:t>
      </w:r>
      <w:r>
        <w:t>%</w:t>
      </w:r>
      <w:r w:rsidRPr="009C3552">
        <w:t xml:space="preserve">) </w:t>
      </w:r>
      <w:r>
        <w:t xml:space="preserve">et de l’Italie </w:t>
      </w:r>
      <w:r w:rsidRPr="009C3552">
        <w:t xml:space="preserve">(123, </w:t>
      </w:r>
      <w:r>
        <w:t xml:space="preserve">soit </w:t>
      </w:r>
      <w:r w:rsidRPr="009C3552">
        <w:t>5</w:t>
      </w:r>
      <w:r>
        <w:t>,</w:t>
      </w:r>
      <w:r w:rsidRPr="009C3552">
        <w:t>1</w:t>
      </w:r>
      <w:r>
        <w:t>%</w:t>
      </w:r>
      <w:r w:rsidRPr="009C3552">
        <w:t xml:space="preserve">).  </w:t>
      </w:r>
      <w:r>
        <w:t xml:space="preserve">Le </w:t>
      </w:r>
      <w:r w:rsidRPr="009C3552">
        <w:t>Jap</w:t>
      </w:r>
      <w:r>
        <w:t>o</w:t>
      </w:r>
      <w:r w:rsidRPr="009C3552">
        <w:t xml:space="preserve">n </w:t>
      </w:r>
      <w:r>
        <w:t xml:space="preserve">occupait le </w:t>
      </w:r>
      <w:r w:rsidRPr="00793FCA">
        <w:t>huitième</w:t>
      </w:r>
      <w:r>
        <w:t xml:space="preserve"> rang</w:t>
      </w:r>
      <w:r w:rsidRPr="009C3552">
        <w:t xml:space="preserve"> (69,</w:t>
      </w:r>
      <w:r>
        <w:t xml:space="preserve"> soit </w:t>
      </w:r>
      <w:r w:rsidRPr="009C3552">
        <w:t>2</w:t>
      </w:r>
      <w:r>
        <w:t>,</w:t>
      </w:r>
      <w:r w:rsidRPr="009C3552">
        <w:t>9</w:t>
      </w:r>
      <w:r>
        <w:t>%</w:t>
      </w:r>
      <w:r w:rsidRPr="009C3552">
        <w:t xml:space="preserve">), </w:t>
      </w:r>
      <w:r>
        <w:t>l’Autriche,</w:t>
      </w:r>
      <w:r w:rsidRPr="009C3552">
        <w:t xml:space="preserve"> </w:t>
      </w:r>
      <w:r>
        <w:t xml:space="preserve">le neuvième </w:t>
      </w:r>
      <w:r w:rsidRPr="009C3552">
        <w:t>(59</w:t>
      </w:r>
      <w:r>
        <w:t> dessins ou modèles, soit 2,</w:t>
      </w:r>
      <w:r w:rsidRPr="009C3552">
        <w:t>5</w:t>
      </w:r>
      <w:r>
        <w:t>%</w:t>
      </w:r>
      <w:r w:rsidRPr="009C3552">
        <w:t xml:space="preserve">) </w:t>
      </w:r>
      <w:r>
        <w:t xml:space="preserve">et la </w:t>
      </w:r>
      <w:r w:rsidRPr="009C3552">
        <w:t>Tur</w:t>
      </w:r>
      <w:r>
        <w:t>quie, le dixième</w:t>
      </w:r>
      <w:r w:rsidRPr="009C3552">
        <w:t xml:space="preserve"> (47</w:t>
      </w:r>
      <w:r>
        <w:t> </w:t>
      </w:r>
      <w:r w:rsidRPr="009C3552">
        <w:t>des</w:t>
      </w:r>
      <w:r>
        <w:t xml:space="preserve">sins ou modèles, soit </w:t>
      </w:r>
      <w:r w:rsidRPr="009C3552">
        <w:t>2</w:t>
      </w:r>
      <w:r>
        <w:t>%</w:t>
      </w:r>
      <w:r w:rsidRPr="009C3552">
        <w:t>)</w:t>
      </w:r>
      <w:r w:rsidRPr="009C7477">
        <w:rPr>
          <w:rStyle w:val="FootnoteReference"/>
        </w:rPr>
        <w:footnoteReference w:id="6"/>
      </w:r>
      <w:r>
        <w:t>.</w:t>
      </w:r>
    </w:p>
    <w:p w:rsidR="00FD5CA3" w:rsidRDefault="00FD5CA3" w:rsidP="0069372F">
      <w:pPr>
        <w:pStyle w:val="Heading1"/>
      </w:pPr>
      <w:r>
        <w:lastRenderedPageBreak/>
        <w:t>III.</w:t>
      </w:r>
      <w:r>
        <w:tab/>
        <w:t>Dernières tendances en matière de stratégies de dépôt</w:t>
      </w:r>
    </w:p>
    <w:p w:rsidR="00FD5CA3" w:rsidRPr="00DC712B" w:rsidRDefault="00FD5CA3" w:rsidP="0069372F">
      <w:pPr>
        <w:pStyle w:val="Heading2"/>
      </w:pPr>
      <w:r>
        <w:t>Moins de dessins ou modèles dans les enregistrements i</w:t>
      </w:r>
      <w:r w:rsidRPr="00DC712B">
        <w:t>nternationa</w:t>
      </w:r>
      <w:r>
        <w:t>ux</w:t>
      </w:r>
    </w:p>
    <w:p w:rsidR="00FD5CA3" w:rsidRDefault="00FD5CA3" w:rsidP="0069372F">
      <w:pPr>
        <w:pStyle w:val="Heading3"/>
      </w:pPr>
      <w:r>
        <w:t>Nombre moyen de dessins ou modèles dans les enregistrements internationaux</w:t>
      </w:r>
    </w:p>
    <w:p w:rsidR="00FD5CA3" w:rsidRPr="009C7477" w:rsidRDefault="00FD5CA3" w:rsidP="0069372F"/>
    <w:p w:rsidR="00FD5CA3" w:rsidRDefault="00FD5CA3" w:rsidP="00FD5CA3">
      <w:pPr>
        <w:pStyle w:val="ONUMFS"/>
        <w:numPr>
          <w:ilvl w:val="0"/>
          <w:numId w:val="6"/>
        </w:numPr>
      </w:pPr>
      <w:r>
        <w:t>En </w:t>
      </w:r>
      <w:r w:rsidRPr="00E474B5">
        <w:t xml:space="preserve">2014, </w:t>
      </w:r>
      <w:r>
        <w:t>le nombre moyen de dessins ou modèles dans un enregistrement international</w:t>
      </w:r>
      <w:r w:rsidR="007E0A96">
        <w:t xml:space="preserve"> s’élevait à</w:t>
      </w:r>
      <w:r>
        <w:t xml:space="preserve"> cinq, ta</w:t>
      </w:r>
      <w:r w:rsidR="007E0A96">
        <w:t xml:space="preserve">ndis que ce nombre était de </w:t>
      </w:r>
      <w:r>
        <w:t>quatre en 2015.  De janvier à mars 2016, le nombre moyen de dessins ou modèles dans un enregistrement international a</w:t>
      </w:r>
      <w:r w:rsidR="007E0A96">
        <w:t xml:space="preserve"> encore</w:t>
      </w:r>
      <w:r>
        <w:t xml:space="preserve"> baissé, passant à 3,2.  Il pourrait être utile d’examiner cette situation</w:t>
      </w:r>
      <w:r w:rsidRPr="00B2286A">
        <w:t xml:space="preserve"> </w:t>
      </w:r>
      <w:r>
        <w:t>de plus près</w:t>
      </w:r>
      <w:r w:rsidRPr="00E474B5">
        <w:t>.</w:t>
      </w:r>
    </w:p>
    <w:p w:rsidR="00FD5CA3" w:rsidRDefault="00FD5CA3" w:rsidP="0069372F">
      <w:pPr>
        <w:pStyle w:val="Heading3"/>
      </w:pPr>
      <w:r>
        <w:t>Par partie contractante désignée</w:t>
      </w:r>
    </w:p>
    <w:p w:rsidR="00FD5CA3" w:rsidRPr="00212CE4" w:rsidRDefault="00FD5CA3" w:rsidP="0069372F">
      <w:pPr>
        <w:keepNext/>
      </w:pPr>
    </w:p>
    <w:p w:rsidR="00FD5CA3" w:rsidRDefault="00413E50" w:rsidP="0069372F">
      <w:pPr>
        <w:pStyle w:val="ONUME"/>
        <w:numPr>
          <w:ilvl w:val="0"/>
          <w:numId w:val="0"/>
        </w:numPr>
        <w:rPr>
          <w:u w:val="single"/>
        </w:rPr>
      </w:pPr>
      <w:r>
        <w:rPr>
          <w:noProof/>
          <w:lang w:val="en-US" w:eastAsia="en-US"/>
        </w:rPr>
        <mc:AlternateContent>
          <mc:Choice Requires="wps">
            <w:drawing>
              <wp:anchor distT="0" distB="0" distL="114300" distR="114300" simplePos="0" relativeHeight="251663360" behindDoc="0" locked="0" layoutInCell="1" allowOverlap="1" wp14:anchorId="1B196220" wp14:editId="37D61954">
                <wp:simplePos x="0" y="0"/>
                <wp:positionH relativeFrom="column">
                  <wp:posOffset>1373505</wp:posOffset>
                </wp:positionH>
                <wp:positionV relativeFrom="paragraph">
                  <wp:posOffset>2308860</wp:posOffset>
                </wp:positionV>
                <wp:extent cx="527685" cy="301625"/>
                <wp:effectExtent l="0" t="0" r="0" b="31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301625"/>
                        </a:xfrm>
                        <a:prstGeom prst="rect">
                          <a:avLst/>
                        </a:prstGeom>
                        <a:noFill/>
                        <a:ln w="9525">
                          <a:noFill/>
                          <a:miter lim="800000"/>
                          <a:headEnd/>
                          <a:tailEnd/>
                        </a:ln>
                      </wps:spPr>
                      <wps:txbx>
                        <w:txbxContent>
                          <w:p w:rsidR="00FD5CA3" w:rsidRDefault="00FD5CA3" w:rsidP="002518D4">
                            <w:r>
                              <w:t>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8.15pt;margin-top:181.8pt;width:41.55pt;height:2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" filled="f" stroked="f">
                <v:textbox>
                  <w:txbxContent>
                    <w:p w:rsidR="00FD5CA3" w:rsidRDefault="00FD5CA3" w:rsidP="002518D4">
                      <w:r>
                        <w:t>2015</w:t>
                      </w:r>
                    </w:p>
                  </w:txbxContent>
                </v:textbox>
              </v:shape>
            </w:pict>
          </mc:Fallback>
        </mc:AlternateContent>
      </w:r>
      <w:r w:rsidR="00FD5CA3">
        <w:rPr>
          <w:noProof/>
          <w:lang w:val="en-US" w:eastAsia="en-US"/>
        </w:rPr>
        <mc:AlternateContent>
          <mc:Choice Requires="wps">
            <w:drawing>
              <wp:anchor distT="0" distB="0" distL="114300" distR="114300" simplePos="0" relativeHeight="251664384" behindDoc="0" locked="0" layoutInCell="1" allowOverlap="1" wp14:anchorId="60F62DC0" wp14:editId="5F45FD75">
                <wp:simplePos x="0" y="0"/>
                <wp:positionH relativeFrom="column">
                  <wp:posOffset>2357925</wp:posOffset>
                </wp:positionH>
                <wp:positionV relativeFrom="paragraph">
                  <wp:posOffset>2311856</wp:posOffset>
                </wp:positionV>
                <wp:extent cx="1506828" cy="1403985"/>
                <wp:effectExtent l="0" t="0" r="0" b="571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28" cy="1403985"/>
                        </a:xfrm>
                        <a:prstGeom prst="rect">
                          <a:avLst/>
                        </a:prstGeom>
                        <a:noFill/>
                        <a:ln w="9525">
                          <a:noFill/>
                          <a:miter lim="800000"/>
                          <a:headEnd/>
                          <a:tailEnd/>
                        </a:ln>
                      </wps:spPr>
                      <wps:txbx>
                        <w:txbxContent>
                          <w:p w:rsidR="00FD5CA3" w:rsidRDefault="00641DEF" w:rsidP="002518D4">
                            <w:r>
                              <w:t>j</w:t>
                            </w:r>
                            <w:r w:rsidR="00FD5CA3">
                              <w:t>anv</w:t>
                            </w:r>
                            <w:r>
                              <w:t>ier</w:t>
                            </w:r>
                            <w:r w:rsidR="00FD5CA3">
                              <w:t>–mars</w:t>
                            </w:r>
                            <w:r>
                              <w:t> </w:t>
                            </w:r>
                            <w:r w:rsidR="00FD5CA3">
                              <w:t>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85.65pt;margin-top:182.05pt;width:118.6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" filled="f" stroked="f">
                <v:textbox style="mso-fit-shape-to-text:t">
                  <w:txbxContent>
                    <w:p w:rsidR="00FD5CA3" w:rsidRDefault="00641DEF" w:rsidP="002518D4">
                      <w:r>
                        <w:t>j</w:t>
                      </w:r>
                      <w:r w:rsidR="00FD5CA3">
                        <w:t>anv</w:t>
                      </w:r>
                      <w:r>
                        <w:t>ier</w:t>
                      </w:r>
                      <w:r w:rsidR="00FD5CA3">
                        <w:t>–mars</w:t>
                      </w:r>
                      <w:r>
                        <w:t> </w:t>
                      </w:r>
                      <w:r w:rsidR="00FD5CA3">
                        <w:t>2016</w:t>
                      </w:r>
                    </w:p>
                  </w:txbxContent>
                </v:textbox>
              </v:shape>
            </w:pict>
          </mc:Fallback>
        </mc:AlternateContent>
      </w:r>
      <w:r w:rsidR="00FD5CA3" w:rsidRPr="002518D4">
        <w:rPr>
          <w:noProof/>
          <w:u w:val="single"/>
          <w:lang w:val="en-US" w:eastAsia="en-US"/>
        </w:rPr>
        <mc:AlternateContent>
          <mc:Choice Requires="wps">
            <w:drawing>
              <wp:anchor distT="0" distB="0" distL="114300" distR="114300" simplePos="0" relativeHeight="251660288" behindDoc="0" locked="0" layoutInCell="1" allowOverlap="1" wp14:anchorId="16FC8DD6" wp14:editId="71DA01BD">
                <wp:simplePos x="0" y="0"/>
                <wp:positionH relativeFrom="column">
                  <wp:posOffset>1304290</wp:posOffset>
                </wp:positionH>
                <wp:positionV relativeFrom="paragraph">
                  <wp:posOffset>2413000</wp:posOffset>
                </wp:positionV>
                <wp:extent cx="71120" cy="74295"/>
                <wp:effectExtent l="0" t="0" r="5080" b="1905"/>
                <wp:wrapNone/>
                <wp:docPr id="4" name="Rectangle 1"/>
                <wp:cNvGraphicFramePr/>
                <a:graphic xmlns:a="http://schemas.openxmlformats.org/drawingml/2006/main">
                  <a:graphicData uri="http://schemas.microsoft.com/office/word/2010/wordprocessingShape">
                    <wps:wsp>
                      <wps:cNvSpPr/>
                      <wps:spPr>
                        <a:xfrm>
                          <a:off x="0" y="0"/>
                          <a:ext cx="71120" cy="74295"/>
                        </a:xfrm>
                        <a:prstGeom prst="rect">
                          <a:avLst/>
                        </a:prstGeom>
                        <a:solidFill>
                          <a:schemeClr val="accent5"/>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Rectangle 1" o:spid="_x0000_s1026" style="position:absolute;margin-left:102.7pt;margin-top:190pt;width:5.6pt;height:5.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" fillcolor="#4bacc6 [3208]" stroked="f" strokeweight="1pt"/>
            </w:pict>
          </mc:Fallback>
        </mc:AlternateContent>
      </w:r>
      <w:r w:rsidR="00FD5CA3" w:rsidRPr="002518D4">
        <w:rPr>
          <w:noProof/>
          <w:u w:val="single"/>
          <w:lang w:val="en-US" w:eastAsia="en-US"/>
        </w:rPr>
        <mc:AlternateContent>
          <mc:Choice Requires="wps">
            <w:drawing>
              <wp:anchor distT="0" distB="0" distL="114300" distR="114300" simplePos="0" relativeHeight="251659264" behindDoc="0" locked="0" layoutInCell="1" allowOverlap="1" wp14:anchorId="538195F0" wp14:editId="2D61EFC8">
                <wp:simplePos x="0" y="0"/>
                <wp:positionH relativeFrom="column">
                  <wp:posOffset>205105</wp:posOffset>
                </wp:positionH>
                <wp:positionV relativeFrom="paragraph">
                  <wp:posOffset>2407285</wp:posOffset>
                </wp:positionV>
                <wp:extent cx="71120" cy="74295"/>
                <wp:effectExtent l="0" t="0" r="5080" b="1905"/>
                <wp:wrapNone/>
                <wp:docPr id="3" name="Rectangle 1"/>
                <wp:cNvGraphicFramePr/>
                <a:graphic xmlns:a="http://schemas.openxmlformats.org/drawingml/2006/main">
                  <a:graphicData uri="http://schemas.microsoft.com/office/word/2010/wordprocessingShape">
                    <wps:wsp>
                      <wps:cNvSpPr/>
                      <wps:spPr>
                        <a:xfrm>
                          <a:off x="0" y="0"/>
                          <a:ext cx="71120" cy="74295"/>
                        </a:xfrm>
                        <a:prstGeom prst="rect">
                          <a:avLst/>
                        </a:prstGeom>
                        <a:solidFill>
                          <a:srgbClr val="00B050"/>
                        </a:solidFill>
                        <a:ln w="12700">
                          <a:noFill/>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anchor>
            </w:drawing>
          </mc:Choice>
          <mc:Fallback>
            <w:pict>
              <v:rect id="Rectangle 1" o:spid="_x0000_s1026" style="position:absolute;margin-left:16.15pt;margin-top:189.55pt;width:5.6pt;height:5.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" fillcolor="#00b050" stroked="f" strokeweight="1pt"/>
            </w:pict>
          </mc:Fallback>
        </mc:AlternateContent>
      </w:r>
      <w:r w:rsidR="00FD5CA3" w:rsidRPr="002518D4">
        <w:rPr>
          <w:noProof/>
          <w:u w:val="single"/>
          <w:lang w:val="en-US" w:eastAsia="en-US"/>
        </w:rPr>
        <mc:AlternateContent>
          <mc:Choice Requires="wps">
            <w:drawing>
              <wp:anchor distT="0" distB="0" distL="114300" distR="114300" simplePos="0" relativeHeight="251661312" behindDoc="0" locked="0" layoutInCell="1" allowOverlap="1" wp14:anchorId="21388C19" wp14:editId="116356A7">
                <wp:simplePos x="0" y="0"/>
                <wp:positionH relativeFrom="column">
                  <wp:posOffset>2289810</wp:posOffset>
                </wp:positionH>
                <wp:positionV relativeFrom="paragraph">
                  <wp:posOffset>2412061</wp:posOffset>
                </wp:positionV>
                <wp:extent cx="71120" cy="74295"/>
                <wp:effectExtent l="0" t="0" r="5080" b="1905"/>
                <wp:wrapNone/>
                <wp:docPr id="5" name="Rectangle 1"/>
                <wp:cNvGraphicFramePr/>
                <a:graphic xmlns:a="http://schemas.openxmlformats.org/drawingml/2006/main">
                  <a:graphicData uri="http://schemas.microsoft.com/office/word/2010/wordprocessingShape">
                    <wps:wsp>
                      <wps:cNvSpPr/>
                      <wps:spPr>
                        <a:xfrm>
                          <a:off x="0" y="0"/>
                          <a:ext cx="71120" cy="74295"/>
                        </a:xfrm>
                        <a:prstGeom prst="rect">
                          <a:avLst/>
                        </a:prstGeom>
                        <a:solidFill>
                          <a:srgbClr val="FF0000"/>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Rectangle 1" o:spid="_x0000_s1026" style="position:absolute;margin-left:180.3pt;margin-top:189.95pt;width:5.6pt;height:5.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" fillcolor="red" stroked="f" strokeweight="1pt"/>
            </w:pict>
          </mc:Fallback>
        </mc:AlternateContent>
      </w:r>
      <w:r w:rsidR="00FD5CA3">
        <w:rPr>
          <w:noProof/>
          <w:lang w:val="en-US" w:eastAsia="en-US"/>
        </w:rPr>
        <mc:AlternateContent>
          <mc:Choice Requires="wps">
            <w:drawing>
              <wp:anchor distT="0" distB="0" distL="114300" distR="114300" simplePos="0" relativeHeight="251662336" behindDoc="0" locked="0" layoutInCell="1" allowOverlap="1" wp14:anchorId="2B0007A8" wp14:editId="3B327A58">
                <wp:simplePos x="0" y="0"/>
                <wp:positionH relativeFrom="column">
                  <wp:posOffset>273685</wp:posOffset>
                </wp:positionH>
                <wp:positionV relativeFrom="paragraph">
                  <wp:posOffset>2310130</wp:posOffset>
                </wp:positionV>
                <wp:extent cx="598805" cy="1403985"/>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 cy="1403985"/>
                        </a:xfrm>
                        <a:prstGeom prst="rect">
                          <a:avLst/>
                        </a:prstGeom>
                        <a:noFill/>
                        <a:ln w="9525">
                          <a:noFill/>
                          <a:miter lim="800000"/>
                          <a:headEnd/>
                          <a:tailEnd/>
                        </a:ln>
                      </wps:spPr>
                      <wps:txbx>
                        <w:txbxContent>
                          <w:p w:rsidR="00FD5CA3" w:rsidRDefault="00FD5CA3" w:rsidP="002518D4">
                            <w:r>
                              <w:t>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1.55pt;margin-top:181.9pt;width:47.1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" filled="f" stroked="f">
                <v:textbox style="mso-fit-shape-to-text:t">
                  <w:txbxContent>
                    <w:p w:rsidR="00FD5CA3" w:rsidRDefault="00FD5CA3" w:rsidP="002518D4">
                      <w:r>
                        <w:t>2014</w:t>
                      </w:r>
                    </w:p>
                  </w:txbxContent>
                </v:textbox>
              </v:shape>
            </w:pict>
          </mc:Fallback>
        </mc:AlternateContent>
      </w:r>
      <w:r w:rsidR="00FD5CA3">
        <w:rPr>
          <w:noProof/>
          <w:lang w:val="en-US" w:eastAsia="en-US"/>
        </w:rPr>
        <w:drawing>
          <wp:inline distT="0" distB="0" distL="0" distR="0" wp14:anchorId="1A8C524B" wp14:editId="143DD64C">
            <wp:extent cx="5924282" cy="2376152"/>
            <wp:effectExtent l="0" t="0" r="19685" b="2476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D5CA3" w:rsidRDefault="00FD5CA3" w:rsidP="0069372F">
      <w:pPr>
        <w:pStyle w:val="ONUME"/>
        <w:numPr>
          <w:ilvl w:val="0"/>
          <w:numId w:val="0"/>
        </w:numPr>
      </w:pPr>
    </w:p>
    <w:p w:rsidR="00FD5CA3" w:rsidRPr="00E474B5" w:rsidRDefault="00FD5CA3" w:rsidP="00FD5CA3">
      <w:pPr>
        <w:pStyle w:val="ONUMFS"/>
        <w:numPr>
          <w:ilvl w:val="0"/>
          <w:numId w:val="6"/>
        </w:numPr>
      </w:pPr>
      <w:r>
        <w:t xml:space="preserve">S’agissant des parties contractantes les plus fréquemment désignées, en 2014, le nombre moyen le plus élevé de dessins ou modèles figurait dans des enregistrements internationaux désignant (au moins) la Suisse </w:t>
      </w:r>
      <w:r w:rsidRPr="00E474B5">
        <w:t>(5</w:t>
      </w:r>
      <w:r>
        <w:t>,</w:t>
      </w:r>
      <w:r w:rsidRPr="00E474B5">
        <w:t>5) o</w:t>
      </w:r>
      <w:r>
        <w:t>u l’</w:t>
      </w:r>
      <w:r w:rsidRPr="00E474B5">
        <w:t xml:space="preserve">Union </w:t>
      </w:r>
      <w:r>
        <w:t xml:space="preserve">européenne </w:t>
      </w:r>
      <w:r w:rsidRPr="00E474B5">
        <w:t>(5</w:t>
      </w:r>
      <w:r>
        <w:t>,</w:t>
      </w:r>
      <w:r w:rsidRPr="00E474B5">
        <w:t xml:space="preserve">3). </w:t>
      </w:r>
      <w:r>
        <w:t xml:space="preserve"> Le nombre moyen de dessins ou modèles figurant dans des enregistrements internationaux désignant (au moins) la République de</w:t>
      </w:r>
      <w:r w:rsidR="000A076A">
        <w:t> </w:t>
      </w:r>
      <w:r>
        <w:t xml:space="preserve">Corée </w:t>
      </w:r>
      <w:r w:rsidRPr="00E474B5">
        <w:t>(3</w:t>
      </w:r>
      <w:r>
        <w:t>,</w:t>
      </w:r>
      <w:r w:rsidRPr="00E474B5">
        <w:t xml:space="preserve">7) </w:t>
      </w:r>
      <w:r>
        <w:t>était inférieur au nombre moyen de dessins ou modèles (5) figurant dans l’ensemble des enregistrements internationaux</w:t>
      </w:r>
      <w:r w:rsidRPr="00E474B5">
        <w:t>.</w:t>
      </w:r>
    </w:p>
    <w:p w:rsidR="00FD5CA3" w:rsidRPr="00E474B5" w:rsidRDefault="00FD5CA3" w:rsidP="00FD5CA3">
      <w:pPr>
        <w:pStyle w:val="ONUMFS"/>
        <w:numPr>
          <w:ilvl w:val="0"/>
          <w:numId w:val="6"/>
        </w:numPr>
      </w:pPr>
      <w:r>
        <w:t xml:space="preserve">En 2015, le nombre moyen le plus élevé de dessins ou modèles figurait toujours dans des enregistrements internationaux désignant la Suisse (5) et l’Union européenne </w:t>
      </w:r>
      <w:r w:rsidRPr="00E474B5">
        <w:t>(4</w:t>
      </w:r>
      <w:r>
        <w:t>,</w:t>
      </w:r>
      <w:r w:rsidRPr="00E474B5">
        <w:t>3)</w:t>
      </w:r>
      <w:r>
        <w:t>, mais légèrement en baisse par rapport à 2</w:t>
      </w:r>
      <w:r w:rsidRPr="00E474B5">
        <w:t>014.</w:t>
      </w:r>
      <w:r>
        <w:t xml:space="preserve">  Le nombre moyen de dessins ou modèles figurant dans des enregistrements internationaux désignant (au moins) le Japon (2,1), les États</w:t>
      </w:r>
      <w:r>
        <w:noBreakHyphen/>
        <w:t>Unis</w:t>
      </w:r>
      <w:r w:rsidRPr="002023DB">
        <w:t xml:space="preserve"> </w:t>
      </w:r>
      <w:r>
        <w:t xml:space="preserve">d’Amérique </w:t>
      </w:r>
      <w:r w:rsidRPr="00E474B5">
        <w:t>(2</w:t>
      </w:r>
      <w:r>
        <w:t>,</w:t>
      </w:r>
      <w:r w:rsidRPr="00E474B5">
        <w:t>5) o</w:t>
      </w:r>
      <w:r>
        <w:t xml:space="preserve">u la République de Corée </w:t>
      </w:r>
      <w:r w:rsidRPr="00E474B5">
        <w:t>(2</w:t>
      </w:r>
      <w:r>
        <w:t>,</w:t>
      </w:r>
      <w:r w:rsidRPr="00E474B5">
        <w:t xml:space="preserve">9) </w:t>
      </w:r>
      <w:r>
        <w:t xml:space="preserve">était sensiblement inférieur au nombre moyen de dessins ou modèles (4) </w:t>
      </w:r>
      <w:r w:rsidRPr="00E52FE6">
        <w:t>figurant dans l</w:t>
      </w:r>
      <w:r>
        <w:t>’</w:t>
      </w:r>
      <w:r w:rsidRPr="00E52FE6">
        <w:t>ensemble des enregistrements internationaux</w:t>
      </w:r>
      <w:r w:rsidRPr="00E474B5">
        <w:t>.</w:t>
      </w:r>
    </w:p>
    <w:p w:rsidR="00FD5CA3" w:rsidRDefault="00FD5CA3" w:rsidP="00FD5CA3">
      <w:pPr>
        <w:pStyle w:val="ONUMFS"/>
        <w:numPr>
          <w:ilvl w:val="0"/>
          <w:numId w:val="6"/>
        </w:numPr>
      </w:pPr>
      <w:r>
        <w:t>Au cours des trois premiers mois de </w:t>
      </w:r>
      <w:r w:rsidRPr="00E474B5">
        <w:t xml:space="preserve">2016, </w:t>
      </w:r>
      <w:r>
        <w:t xml:space="preserve">le nombre moyen de dessins ou modèles figurant dans des enregistrements internationaux désignant </w:t>
      </w:r>
      <w:r w:rsidRPr="00E474B5">
        <w:t>(a</w:t>
      </w:r>
      <w:r>
        <w:t>u moins</w:t>
      </w:r>
      <w:r w:rsidRPr="00E474B5">
        <w:t xml:space="preserve">) </w:t>
      </w:r>
      <w:r>
        <w:t xml:space="preserve">la </w:t>
      </w:r>
      <w:r w:rsidRPr="00E474B5">
        <w:t>S</w:t>
      </w:r>
      <w:r>
        <w:t xml:space="preserve">uisse </w:t>
      </w:r>
      <w:r w:rsidRPr="00E474B5">
        <w:t>(4)</w:t>
      </w:r>
      <w:r>
        <w:t xml:space="preserve"> ou l’Union européenne </w:t>
      </w:r>
      <w:r w:rsidRPr="00E474B5">
        <w:t>(</w:t>
      </w:r>
      <w:r>
        <w:t>3,</w:t>
      </w:r>
      <w:r w:rsidRPr="00E474B5">
        <w:t xml:space="preserve">5) </w:t>
      </w:r>
      <w:r>
        <w:t>a encore baissé.  Le nombre moyen de dessins ou modèles figurant dans des enregistrements internationaux désignant (au moins) les États</w:t>
      </w:r>
      <w:r>
        <w:noBreakHyphen/>
        <w:t>Unis</w:t>
      </w:r>
      <w:r w:rsidRPr="002023DB">
        <w:t xml:space="preserve"> </w:t>
      </w:r>
      <w:r>
        <w:t>d’Amérique (1,5), le</w:t>
      </w:r>
      <w:r w:rsidR="00BE1211">
        <w:t> </w:t>
      </w:r>
      <w:r>
        <w:t>Japon</w:t>
      </w:r>
      <w:r w:rsidR="000A076A">
        <w:t> </w:t>
      </w:r>
      <w:r>
        <w:t>(2,4) ou la République de Corée (2,7) est resté faible.</w:t>
      </w:r>
    </w:p>
    <w:p w:rsidR="00641DEF" w:rsidRDefault="00641DEF">
      <w:r>
        <w:br w:type="page"/>
      </w:r>
    </w:p>
    <w:p w:rsidR="00FD5CA3" w:rsidRPr="00E474B5" w:rsidRDefault="00FD5CA3" w:rsidP="00FD5CA3">
      <w:pPr>
        <w:pStyle w:val="ONUMFS"/>
        <w:numPr>
          <w:ilvl w:val="0"/>
          <w:numId w:val="6"/>
        </w:numPr>
      </w:pPr>
      <w:r w:rsidRPr="00E474B5">
        <w:lastRenderedPageBreak/>
        <w:t>I</w:t>
      </w:r>
      <w:r>
        <w:t>l convient de rappeler que les États</w:t>
      </w:r>
      <w:r>
        <w:noBreakHyphen/>
        <w:t>Unis</w:t>
      </w:r>
      <w:r w:rsidRPr="002023DB">
        <w:t xml:space="preserve"> </w:t>
      </w:r>
      <w:r>
        <w:t>d’Amérique sont une partie contractante</w:t>
      </w:r>
      <w:r w:rsidRPr="00212CE4">
        <w:rPr>
          <w:rStyle w:val="FootnoteReference"/>
        </w:rPr>
        <w:footnoteReference w:id="7"/>
      </w:r>
      <w:r>
        <w:t xml:space="preserve"> fréquemment désignée et il semble qu’il soit tenu compte dans les stratégies de dépôt de l’exigence d’unité de dessin ou modèle en vertu de la législation des États</w:t>
      </w:r>
      <w:r>
        <w:noBreakHyphen/>
        <w:t>Unis</w:t>
      </w:r>
      <w:r w:rsidRPr="002023DB">
        <w:t xml:space="preserve"> </w:t>
      </w:r>
      <w:r>
        <w:t>d’Amérique</w:t>
      </w:r>
      <w:r w:rsidRPr="00D674B0">
        <w:rPr>
          <w:rStyle w:val="FootnoteReference"/>
        </w:rPr>
        <w:footnoteReference w:id="8"/>
      </w:r>
      <w:r w:rsidRPr="00E474B5">
        <w:t xml:space="preserve">.  </w:t>
      </w:r>
      <w:r>
        <w:t>Dès lors, la tendance générale au faible nombre de dessins ou modèles dans un enregistrement international pourrait s’expliquer par le fait que les utilisateurs du système de</w:t>
      </w:r>
      <w:r w:rsidR="00BE1211">
        <w:t> </w:t>
      </w:r>
      <w:r>
        <w:t>La Haye souhaitent anticiper un éventuel refus de l’Office des brevets et des marques des</w:t>
      </w:r>
      <w:r w:rsidR="00AD60F6">
        <w:t> </w:t>
      </w:r>
      <w:r>
        <w:t>États</w:t>
      </w:r>
      <w:r>
        <w:noBreakHyphen/>
        <w:t>Unis</w:t>
      </w:r>
      <w:r w:rsidRPr="002023DB">
        <w:t xml:space="preserve"> </w:t>
      </w:r>
      <w:r>
        <w:t>d’Amérique (</w:t>
      </w:r>
      <w:r w:rsidRPr="00E474B5">
        <w:t>USPTO</w:t>
      </w:r>
      <w:r>
        <w:t>)</w:t>
      </w:r>
      <w:r w:rsidRPr="00E474B5">
        <w:t xml:space="preserve"> </w:t>
      </w:r>
      <w:r>
        <w:t>au motif de l’absence d’unité et que, par conséquent, au lieu de déposer des demandes divisionnaires, ils préfèrent déposer plusieurs demandes internationales</w:t>
      </w:r>
      <w:r w:rsidR="007E0A96">
        <w:t xml:space="preserve"> contenant un</w:t>
      </w:r>
      <w:r>
        <w:t xml:space="preserve"> </w:t>
      </w:r>
      <w:r w:rsidR="00906F61">
        <w:t xml:space="preserve">seul </w:t>
      </w:r>
      <w:r>
        <w:t>dessin ou modèle</w:t>
      </w:r>
      <w:r w:rsidRPr="00E474B5">
        <w:t>.</w:t>
      </w:r>
    </w:p>
    <w:p w:rsidR="00FD5CA3" w:rsidRDefault="00FD5CA3" w:rsidP="0069372F">
      <w:pPr>
        <w:pStyle w:val="Heading3"/>
      </w:pPr>
      <w:r>
        <w:t>Par pays</w:t>
      </w:r>
      <w:r w:rsidR="007E0A96">
        <w:t xml:space="preserve"> d</w:t>
      </w:r>
      <w:r>
        <w:t>’adresse du titulaire de l’enregistrement international</w:t>
      </w:r>
    </w:p>
    <w:p w:rsidR="00FD5CA3" w:rsidRPr="00F92173" w:rsidRDefault="00FD5CA3" w:rsidP="0069372F">
      <w:pPr>
        <w:keepNext/>
      </w:pPr>
    </w:p>
    <w:p w:rsidR="00FD5CA3" w:rsidRPr="00E474B5" w:rsidRDefault="00FD5CA3" w:rsidP="00FD5CA3">
      <w:pPr>
        <w:pStyle w:val="ONUMFS"/>
        <w:numPr>
          <w:ilvl w:val="0"/>
          <w:numId w:val="6"/>
        </w:numPr>
      </w:pPr>
      <w:r>
        <w:t>En </w:t>
      </w:r>
      <w:r w:rsidRPr="00E474B5">
        <w:t xml:space="preserve">2014, </w:t>
      </w:r>
      <w:r>
        <w:t xml:space="preserve">parmi les 10 principaux pays d’origine, le </w:t>
      </w:r>
      <w:r w:rsidRPr="00FB00DC">
        <w:t xml:space="preserve">nombre moyen le plus élevé de dessins ou modèles </w:t>
      </w:r>
      <w:r>
        <w:t>figurait dans les enregistrements internationaux émanant des États</w:t>
      </w:r>
      <w:r>
        <w:noBreakHyphen/>
        <w:t>Unis</w:t>
      </w:r>
      <w:r w:rsidRPr="002023DB">
        <w:t xml:space="preserve"> </w:t>
      </w:r>
      <w:r>
        <w:t xml:space="preserve">d’Amérique </w:t>
      </w:r>
      <w:r w:rsidRPr="00E474B5">
        <w:t xml:space="preserve">(6), </w:t>
      </w:r>
      <w:r>
        <w:t xml:space="preserve">suivis de l’Allemagne </w:t>
      </w:r>
      <w:r w:rsidRPr="00E474B5">
        <w:t>(5</w:t>
      </w:r>
      <w:r>
        <w:t>,</w:t>
      </w:r>
      <w:r w:rsidRPr="00E474B5">
        <w:t xml:space="preserve">8) </w:t>
      </w:r>
      <w:r>
        <w:t xml:space="preserve">et de la Suisse </w:t>
      </w:r>
      <w:r w:rsidRPr="00E474B5">
        <w:t>(4</w:t>
      </w:r>
      <w:r>
        <w:t>,</w:t>
      </w:r>
      <w:r w:rsidRPr="00E474B5">
        <w:t xml:space="preserve">9).  </w:t>
      </w:r>
      <w:r>
        <w:t>En outre, le nombre moyen de dessins ou modèles figurant dans les enregistrements internationaux émanant de la République de</w:t>
      </w:r>
      <w:r w:rsidR="00BE1211">
        <w:t> </w:t>
      </w:r>
      <w:r>
        <w:t xml:space="preserve">Corée </w:t>
      </w:r>
      <w:r w:rsidRPr="00E474B5">
        <w:t>(2</w:t>
      </w:r>
      <w:r>
        <w:t>,</w:t>
      </w:r>
      <w:r w:rsidRPr="00E474B5">
        <w:t xml:space="preserve">2) </w:t>
      </w:r>
      <w:r>
        <w:t>était parmi les plus faibles</w:t>
      </w:r>
      <w:r w:rsidRPr="00F92173">
        <w:rPr>
          <w:rStyle w:val="FootnoteReference"/>
        </w:rPr>
        <w:footnoteReference w:id="9"/>
      </w:r>
      <w:r>
        <w:t>.</w:t>
      </w:r>
    </w:p>
    <w:p w:rsidR="00FD5CA3" w:rsidRPr="00E474B5" w:rsidRDefault="00FD5CA3" w:rsidP="00FD5CA3">
      <w:pPr>
        <w:pStyle w:val="ONUMFS"/>
        <w:numPr>
          <w:ilvl w:val="0"/>
          <w:numId w:val="6"/>
        </w:numPr>
      </w:pPr>
      <w:r>
        <w:t xml:space="preserve">En 2015, une légère baisse a été enregistrée pour certains de ces chiffres, à savoir en ce qui concerne l’Allemagne </w:t>
      </w:r>
      <w:r w:rsidRPr="00E474B5">
        <w:t>(</w:t>
      </w:r>
      <w:r>
        <w:t>5,</w:t>
      </w:r>
      <w:r w:rsidRPr="00E474B5">
        <w:t xml:space="preserve">4), </w:t>
      </w:r>
      <w:r>
        <w:t xml:space="preserve">les </w:t>
      </w:r>
      <w:r w:rsidRPr="00395D4F">
        <w:t>États</w:t>
      </w:r>
      <w:r>
        <w:noBreakHyphen/>
      </w:r>
      <w:r w:rsidRPr="00395D4F">
        <w:t>Unis</w:t>
      </w:r>
      <w:r w:rsidRPr="002023DB">
        <w:t xml:space="preserve"> </w:t>
      </w:r>
      <w:r w:rsidRPr="00395D4F">
        <w:t>d</w:t>
      </w:r>
      <w:r>
        <w:t>’</w:t>
      </w:r>
      <w:r w:rsidRPr="00395D4F">
        <w:t xml:space="preserve">Amérique </w:t>
      </w:r>
      <w:r w:rsidRPr="00E474B5">
        <w:t>(4</w:t>
      </w:r>
      <w:r>
        <w:t>,</w:t>
      </w:r>
      <w:r w:rsidRPr="00E474B5">
        <w:t>8)</w:t>
      </w:r>
      <w:r>
        <w:t>,</w:t>
      </w:r>
      <w:r w:rsidRPr="00E474B5">
        <w:t xml:space="preserve"> </w:t>
      </w:r>
      <w:r>
        <w:t xml:space="preserve">ainsi que la Suisse </w:t>
      </w:r>
      <w:r w:rsidRPr="00E474B5">
        <w:t>(4</w:t>
      </w:r>
      <w:r>
        <w:t>,</w:t>
      </w:r>
      <w:r w:rsidRPr="00E474B5">
        <w:t xml:space="preserve">4), </w:t>
      </w:r>
      <w:r>
        <w:t xml:space="preserve">mais la tendance inverse a également été enregistrée </w:t>
      </w:r>
      <w:r w:rsidRPr="00E474B5">
        <w:t>(</w:t>
      </w:r>
      <w:r>
        <w:t>par exemple, les Pays</w:t>
      </w:r>
      <w:r>
        <w:noBreakHyphen/>
        <w:t>Bas qui sont passés de 3 en 2014 à 4,6).  Enfin, en 2015, le nombre moyen de dessins ou modèles dans les enregistrements internationaux émanant de la République de Corée (1,2) et du Japon (3,2) était parmi les plus faibles</w:t>
      </w:r>
      <w:r w:rsidRPr="00E474B5">
        <w:t>.</w:t>
      </w:r>
    </w:p>
    <w:p w:rsidR="00FD5CA3" w:rsidRPr="00E474B5" w:rsidRDefault="00FD5CA3" w:rsidP="00FD5CA3">
      <w:pPr>
        <w:pStyle w:val="ONUMFS"/>
        <w:numPr>
          <w:ilvl w:val="0"/>
          <w:numId w:val="6"/>
        </w:numPr>
      </w:pPr>
      <w:r>
        <w:t>Au cours des trois premiers mois de </w:t>
      </w:r>
      <w:r w:rsidRPr="00E474B5">
        <w:t xml:space="preserve">2016, </w:t>
      </w:r>
      <w:r>
        <w:t>le nombre moyen de dessins ou modèles dans les enregistrements internationaux émanant des Pays</w:t>
      </w:r>
      <w:r>
        <w:noBreakHyphen/>
        <w:t xml:space="preserve">Bas </w:t>
      </w:r>
      <w:r w:rsidRPr="00E474B5">
        <w:t>(5</w:t>
      </w:r>
      <w:r>
        <w:t>,</w:t>
      </w:r>
      <w:r w:rsidRPr="00E474B5">
        <w:t xml:space="preserve">7) </w:t>
      </w:r>
      <w:r>
        <w:t xml:space="preserve">a </w:t>
      </w:r>
      <w:r w:rsidRPr="00E474B5">
        <w:t>continu</w:t>
      </w:r>
      <w:r>
        <w:t>é d’augmenter, devenant le plus élevé, suivi du nombre moyen de dessins ou modèles émanant des États</w:t>
      </w:r>
      <w:r>
        <w:noBreakHyphen/>
        <w:t>Unis</w:t>
      </w:r>
      <w:r w:rsidRPr="002023DB">
        <w:t xml:space="preserve"> </w:t>
      </w:r>
      <w:r>
        <w:t xml:space="preserve">d’Amérique </w:t>
      </w:r>
      <w:r w:rsidRPr="00E474B5">
        <w:t>(5</w:t>
      </w:r>
      <w:r>
        <w:t>,</w:t>
      </w:r>
      <w:r w:rsidRPr="00E474B5">
        <w:t xml:space="preserve">4) </w:t>
      </w:r>
      <w:r>
        <w:t>et de l’Allemagne</w:t>
      </w:r>
      <w:r w:rsidRPr="00E474B5">
        <w:t xml:space="preserve"> (4</w:t>
      </w:r>
      <w:r>
        <w:t>,</w:t>
      </w:r>
      <w:r w:rsidRPr="00E474B5">
        <w:t>4 des</w:t>
      </w:r>
      <w:r>
        <w:t>sins ou modèles</w:t>
      </w:r>
      <w:r w:rsidRPr="00E474B5">
        <w:t>)</w:t>
      </w:r>
      <w:r>
        <w:t xml:space="preserve">.  Par ailleurs, le </w:t>
      </w:r>
      <w:r w:rsidRPr="00E05767">
        <w:t xml:space="preserve">nombre moyen de dessins ou modèles dans </w:t>
      </w:r>
      <w:r>
        <w:t>l</w:t>
      </w:r>
      <w:r w:rsidRPr="00E05767">
        <w:t>es enregistrements internationaux émanant de</w:t>
      </w:r>
      <w:r>
        <w:t xml:space="preserve"> la </w:t>
      </w:r>
      <w:r w:rsidRPr="00E474B5">
        <w:t>R</w:t>
      </w:r>
      <w:r>
        <w:t>é</w:t>
      </w:r>
      <w:r w:rsidRPr="00E474B5">
        <w:t>publi</w:t>
      </w:r>
      <w:r>
        <w:t>que de</w:t>
      </w:r>
      <w:r w:rsidR="000A076A">
        <w:t> </w:t>
      </w:r>
      <w:r>
        <w:t>Corée</w:t>
      </w:r>
      <w:r w:rsidRPr="00E474B5">
        <w:t xml:space="preserve"> (1</w:t>
      </w:r>
      <w:r>
        <w:t>,</w:t>
      </w:r>
      <w:r w:rsidRPr="00E474B5">
        <w:t xml:space="preserve">4) </w:t>
      </w:r>
      <w:r>
        <w:t xml:space="preserve">et du </w:t>
      </w:r>
      <w:r w:rsidRPr="00E474B5">
        <w:t>Jap</w:t>
      </w:r>
      <w:r>
        <w:t>o</w:t>
      </w:r>
      <w:r w:rsidRPr="00E474B5">
        <w:t>n (2</w:t>
      </w:r>
      <w:r>
        <w:t>,</w:t>
      </w:r>
      <w:r w:rsidRPr="00E474B5">
        <w:t xml:space="preserve">4) </w:t>
      </w:r>
      <w:r>
        <w:t>est resté faible</w:t>
      </w:r>
      <w:r w:rsidRPr="00E474B5">
        <w:t>.</w:t>
      </w:r>
    </w:p>
    <w:p w:rsidR="00FD5CA3" w:rsidRPr="00E474B5" w:rsidRDefault="00FD5CA3" w:rsidP="00FD5CA3">
      <w:pPr>
        <w:pStyle w:val="ONUMFS"/>
        <w:numPr>
          <w:ilvl w:val="0"/>
          <w:numId w:val="6"/>
        </w:numPr>
      </w:pPr>
      <w:r>
        <w:t>Au regard des enregistrements internationaux émanant du Japon et de la République de</w:t>
      </w:r>
      <w:r w:rsidR="000A076A">
        <w:t> </w:t>
      </w:r>
      <w:r>
        <w:t>Corée, ceux émanant des États</w:t>
      </w:r>
      <w:r>
        <w:noBreakHyphen/>
        <w:t>Unis</w:t>
      </w:r>
      <w:r w:rsidRPr="002023DB">
        <w:t xml:space="preserve"> </w:t>
      </w:r>
      <w:r>
        <w:t>d’Amérique semblent tendre davantage à tirer parti de la possibilité, en vertu du système de La Haye, de déposer des demandes multiples d’enregistrement de dessins ou modèles</w:t>
      </w:r>
      <w:r w:rsidRPr="00E474B5">
        <w:t>.</w:t>
      </w:r>
    </w:p>
    <w:p w:rsidR="00FD5CA3" w:rsidRDefault="00FD5CA3" w:rsidP="00641DEF">
      <w:pPr>
        <w:pStyle w:val="Heading2"/>
        <w:keepLines/>
      </w:pPr>
      <w:r>
        <w:lastRenderedPageBreak/>
        <w:t xml:space="preserve">Proportion et </w:t>
      </w:r>
      <w:r w:rsidRPr="00CD4636">
        <w:t>origin</w:t>
      </w:r>
      <w:r>
        <w:t xml:space="preserve">e des revendications de </w:t>
      </w:r>
      <w:r w:rsidRPr="00CD4636">
        <w:t>priorit</w:t>
      </w:r>
      <w:r>
        <w:t>é dans les enregistrements internationaux</w:t>
      </w:r>
    </w:p>
    <w:p w:rsidR="00FD5CA3" w:rsidRPr="006A453C" w:rsidRDefault="00FD5CA3" w:rsidP="00641DEF">
      <w:pPr>
        <w:keepNext/>
        <w:keepLines/>
      </w:pPr>
    </w:p>
    <w:p w:rsidR="00FD5CA3" w:rsidRPr="00CD4636" w:rsidRDefault="00FD5CA3" w:rsidP="00641DEF">
      <w:pPr>
        <w:pStyle w:val="ONUME"/>
        <w:keepNext/>
        <w:keepLines/>
        <w:numPr>
          <w:ilvl w:val="0"/>
          <w:numId w:val="0"/>
        </w:numPr>
        <w:rPr>
          <w:u w:val="single"/>
        </w:rPr>
      </w:pPr>
      <w:r>
        <w:rPr>
          <w:noProof/>
          <w:lang w:val="en-US" w:eastAsia="en-US"/>
        </w:rPr>
        <w:drawing>
          <wp:inline distT="0" distB="0" distL="0" distR="0" wp14:anchorId="00AAAC4E" wp14:editId="2EA0D76C">
            <wp:extent cx="4675031" cy="2768958"/>
            <wp:effectExtent l="0" t="0" r="11430" b="1270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D5CA3" w:rsidRPr="00E474B5" w:rsidRDefault="00FD5CA3" w:rsidP="00FD5CA3">
      <w:pPr>
        <w:pStyle w:val="ONUMFS"/>
        <w:numPr>
          <w:ilvl w:val="0"/>
          <w:numId w:val="6"/>
        </w:numPr>
      </w:pPr>
      <w:r>
        <w:t>Comme prescrit à l’article </w:t>
      </w:r>
      <w:r w:rsidRPr="00E474B5">
        <w:t>6</w:t>
      </w:r>
      <w:r>
        <w:t>.</w:t>
      </w:r>
      <w:r w:rsidRPr="00E474B5">
        <w:t xml:space="preserve">2) </w:t>
      </w:r>
      <w:r>
        <w:t>de l’Acte de </w:t>
      </w:r>
      <w:r w:rsidRPr="00E474B5">
        <w:t xml:space="preserve">1999, </w:t>
      </w:r>
      <w:r>
        <w:t>une demande inte</w:t>
      </w:r>
      <w:r w:rsidRPr="00E474B5">
        <w:t>rnational</w:t>
      </w:r>
      <w:r>
        <w:t>e peut constituer une première demande et servir de base à une revendication de priorité.  Toutefois, certains utilisateurs du système de La Haye préfèrent de toute évidence faire une première demande qui servira de base à une revendication de priorité dans un enregistrement international, conformément à l’article </w:t>
      </w:r>
      <w:r w:rsidRPr="00E474B5">
        <w:t>6</w:t>
      </w:r>
      <w:r>
        <w:t>.</w:t>
      </w:r>
      <w:r w:rsidRPr="00E474B5">
        <w:t>1)a)</w:t>
      </w:r>
      <w:r w:rsidRPr="000E7EF0">
        <w:rPr>
          <w:rStyle w:val="FootnoteReference"/>
        </w:rPr>
        <w:footnoteReference w:id="10"/>
      </w:r>
      <w:r w:rsidRPr="00E474B5">
        <w:t xml:space="preserve">. </w:t>
      </w:r>
      <w:r>
        <w:t xml:space="preserve"> En </w:t>
      </w:r>
      <w:r w:rsidRPr="00E474B5">
        <w:t>2014, 36</w:t>
      </w:r>
      <w:r>
        <w:t>,</w:t>
      </w:r>
      <w:r w:rsidRPr="00E474B5">
        <w:t>1</w:t>
      </w:r>
      <w:r>
        <w:t>% des enregistrements internationaux contenaient une revendication de priorité, tandis que cette proportion s’élevait à</w:t>
      </w:r>
      <w:r w:rsidR="00BE1211">
        <w:t> </w:t>
      </w:r>
      <w:r>
        <w:t>47,1% en 2015 et à 44,9% au cours des trois premiers mois de </w:t>
      </w:r>
      <w:r w:rsidRPr="00E474B5">
        <w:t xml:space="preserve">2016.  </w:t>
      </w:r>
      <w:r>
        <w:t>Cette situation est expliquée plus en détail ci</w:t>
      </w:r>
      <w:r>
        <w:noBreakHyphen/>
        <w:t>après</w:t>
      </w:r>
      <w:r w:rsidRPr="00E474B5">
        <w:t>.</w:t>
      </w:r>
    </w:p>
    <w:p w:rsidR="00FD5CA3" w:rsidRDefault="00FD5CA3" w:rsidP="0069372F">
      <w:pPr>
        <w:pStyle w:val="Heading3"/>
      </w:pPr>
      <w:r>
        <w:t>Office du dépôt antérieur en vertu de l’article 6.1)a) de l’Acte de </w:t>
      </w:r>
      <w:r w:rsidRPr="00B7403C">
        <w:t>1999</w:t>
      </w:r>
    </w:p>
    <w:p w:rsidR="00FD5CA3" w:rsidRPr="000E7EF0" w:rsidRDefault="00FD5CA3" w:rsidP="0069372F"/>
    <w:p w:rsidR="00FD5CA3" w:rsidRDefault="007353D7" w:rsidP="0069372F">
      <w:pPr>
        <w:pStyle w:val="ONUME"/>
        <w:numPr>
          <w:ilvl w:val="0"/>
          <w:numId w:val="0"/>
        </w:numPr>
      </w:pPr>
      <w:r w:rsidRPr="003742AB">
        <w:rPr>
          <w:noProof/>
          <w:lang w:val="en-US" w:eastAsia="en-US"/>
        </w:rPr>
        <mc:AlternateContent>
          <mc:Choice Requires="wps">
            <w:drawing>
              <wp:anchor distT="0" distB="0" distL="114300" distR="114300" simplePos="0" relativeHeight="251672576" behindDoc="0" locked="0" layoutInCell="1" allowOverlap="1" wp14:anchorId="5B2CA3B9" wp14:editId="5A91E4CB">
                <wp:simplePos x="0" y="0"/>
                <wp:positionH relativeFrom="column">
                  <wp:posOffset>1377950</wp:posOffset>
                </wp:positionH>
                <wp:positionV relativeFrom="paragraph">
                  <wp:posOffset>2827020</wp:posOffset>
                </wp:positionV>
                <wp:extent cx="737870" cy="25019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 cy="250190"/>
                        </a:xfrm>
                        <a:prstGeom prst="rect">
                          <a:avLst/>
                        </a:prstGeom>
                        <a:noFill/>
                        <a:ln w="9525">
                          <a:noFill/>
                          <a:miter lim="800000"/>
                          <a:headEnd/>
                          <a:tailEnd/>
                        </a:ln>
                      </wps:spPr>
                      <wps:txbx>
                        <w:txbxContent>
                          <w:p w:rsidR="00FD5CA3" w:rsidRDefault="00FD5CA3" w:rsidP="003742AB">
                            <w:r>
                              <w:t>USPTO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08.5pt;margin-top:222.6pt;width:58.1pt;height:19.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" filled="f" stroked="f">
                <v:textbox>
                  <w:txbxContent>
                    <w:p w:rsidR="00FD5CA3" w:rsidRDefault="00FD5CA3" w:rsidP="003742AB">
                      <w:r>
                        <w:t>USPTO</w:t>
                      </w:r>
                    </w:p>
                  </w:txbxContent>
                </v:textbox>
              </v:shape>
            </w:pict>
          </mc:Fallback>
        </mc:AlternateContent>
      </w:r>
      <w:r w:rsidRPr="003742AB">
        <w:rPr>
          <w:noProof/>
          <w:lang w:val="en-US" w:eastAsia="en-US"/>
        </w:rPr>
        <mc:AlternateContent>
          <mc:Choice Requires="wps">
            <w:drawing>
              <wp:anchor distT="0" distB="0" distL="114300" distR="114300" simplePos="0" relativeHeight="251671552" behindDoc="0" locked="0" layoutInCell="1" allowOverlap="1" wp14:anchorId="03D7C50B" wp14:editId="07AEE24F">
                <wp:simplePos x="0" y="0"/>
                <wp:positionH relativeFrom="column">
                  <wp:posOffset>506095</wp:posOffset>
                </wp:positionH>
                <wp:positionV relativeFrom="paragraph">
                  <wp:posOffset>2830106</wp:posOffset>
                </wp:positionV>
                <wp:extent cx="630555" cy="25019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250190"/>
                        </a:xfrm>
                        <a:prstGeom prst="rect">
                          <a:avLst/>
                        </a:prstGeom>
                        <a:noFill/>
                        <a:ln w="9525">
                          <a:noFill/>
                          <a:miter lim="800000"/>
                          <a:headEnd/>
                          <a:tailEnd/>
                        </a:ln>
                      </wps:spPr>
                      <wps:txbx>
                        <w:txbxContent>
                          <w:p w:rsidR="00FD5CA3" w:rsidRDefault="00FD5CA3" w:rsidP="003742AB">
                            <w:r>
                              <w:t>EUIPO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9.85pt;margin-top:222.85pt;width:49.65pt;height:19.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" filled="f" stroked="f">
                <v:textbox>
                  <w:txbxContent>
                    <w:p w:rsidR="00FD5CA3" w:rsidRDefault="00FD5CA3" w:rsidP="003742AB">
                      <w:r>
                        <w:t>EUIPO</w:t>
                      </w:r>
                    </w:p>
                  </w:txbxContent>
                </v:textbox>
              </v:shape>
            </w:pict>
          </mc:Fallback>
        </mc:AlternateContent>
      </w:r>
      <w:r w:rsidRPr="003742AB">
        <w:rPr>
          <w:noProof/>
          <w:lang w:val="en-US" w:eastAsia="en-US"/>
        </w:rPr>
        <mc:AlternateContent>
          <mc:Choice Requires="wps">
            <w:drawing>
              <wp:anchor distT="0" distB="0" distL="114300" distR="114300" simplePos="0" relativeHeight="251674624" behindDoc="0" locked="0" layoutInCell="1" allowOverlap="1" wp14:anchorId="618EF751" wp14:editId="44B2BF62">
                <wp:simplePos x="0" y="0"/>
                <wp:positionH relativeFrom="column">
                  <wp:posOffset>4150360</wp:posOffset>
                </wp:positionH>
                <wp:positionV relativeFrom="paragraph">
                  <wp:posOffset>2826385</wp:posOffset>
                </wp:positionV>
                <wp:extent cx="711835" cy="25019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250190"/>
                        </a:xfrm>
                        <a:prstGeom prst="rect">
                          <a:avLst/>
                        </a:prstGeom>
                        <a:noFill/>
                        <a:ln w="9525">
                          <a:noFill/>
                          <a:miter lim="800000"/>
                          <a:headEnd/>
                          <a:tailEnd/>
                        </a:ln>
                      </wps:spPr>
                      <wps:txbx>
                        <w:txbxContent>
                          <w:p w:rsidR="00FD5CA3" w:rsidRDefault="00FD5CA3" w:rsidP="003742AB">
                            <w:r>
                              <w:t>KIPO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26.8pt;margin-top:222.55pt;width:56.05pt;height:19.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" filled="f" stroked="f">
                <v:textbox>
                  <w:txbxContent>
                    <w:p w:rsidR="00FD5CA3" w:rsidRDefault="00FD5CA3" w:rsidP="003742AB">
                      <w:r>
                        <w:t>KIPO</w:t>
                      </w:r>
                    </w:p>
                  </w:txbxContent>
                </v:textbox>
              </v:shape>
            </w:pict>
          </mc:Fallback>
        </mc:AlternateContent>
      </w:r>
      <w:r w:rsidRPr="003742AB">
        <w:rPr>
          <w:noProof/>
          <w:lang w:val="en-US" w:eastAsia="en-US"/>
        </w:rPr>
        <mc:AlternateContent>
          <mc:Choice Requires="wps">
            <w:drawing>
              <wp:anchor distT="0" distB="0" distL="114300" distR="114300" simplePos="0" relativeHeight="251675648" behindDoc="0" locked="0" layoutInCell="1" allowOverlap="1" wp14:anchorId="1864EE17" wp14:editId="730EB9E0">
                <wp:simplePos x="0" y="0"/>
                <wp:positionH relativeFrom="column">
                  <wp:posOffset>4972685</wp:posOffset>
                </wp:positionH>
                <wp:positionV relativeFrom="paragraph">
                  <wp:posOffset>2832646</wp:posOffset>
                </wp:positionV>
                <wp:extent cx="751840" cy="25019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250190"/>
                        </a:xfrm>
                        <a:prstGeom prst="rect">
                          <a:avLst/>
                        </a:prstGeom>
                        <a:noFill/>
                        <a:ln w="9525">
                          <a:noFill/>
                          <a:miter lim="800000"/>
                          <a:headEnd/>
                          <a:tailEnd/>
                        </a:ln>
                      </wps:spPr>
                      <wps:txbx>
                        <w:txbxContent>
                          <w:p w:rsidR="00FD5CA3" w:rsidRDefault="00FD5CA3" w:rsidP="003742AB">
                            <w:r>
                              <w:t>Autres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91.55pt;margin-top:223.05pt;width:59.2pt;height:19.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" filled="f" stroked="f">
                <v:textbox>
                  <w:txbxContent>
                    <w:p w:rsidR="00FD5CA3" w:rsidRDefault="00FD5CA3" w:rsidP="003742AB">
                      <w:r>
                        <w:t>Autres</w:t>
                      </w:r>
                    </w:p>
                  </w:txbxContent>
                </v:textbox>
              </v:shape>
            </w:pict>
          </mc:Fallback>
        </mc:AlternateContent>
      </w:r>
      <w:r w:rsidRPr="003742AB">
        <w:rPr>
          <w:noProof/>
          <w:lang w:val="en-US" w:eastAsia="en-US"/>
        </w:rPr>
        <mc:AlternateContent>
          <mc:Choice Requires="wps">
            <w:drawing>
              <wp:anchor distT="0" distB="0" distL="114300" distR="114300" simplePos="0" relativeHeight="251673600" behindDoc="0" locked="0" layoutInCell="1" allowOverlap="1" wp14:anchorId="16FDB832" wp14:editId="1E900658">
                <wp:simplePos x="0" y="0"/>
                <wp:positionH relativeFrom="column">
                  <wp:posOffset>3286125</wp:posOffset>
                </wp:positionH>
                <wp:positionV relativeFrom="paragraph">
                  <wp:posOffset>2828836</wp:posOffset>
                </wp:positionV>
                <wp:extent cx="711835" cy="25019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250190"/>
                        </a:xfrm>
                        <a:prstGeom prst="rect">
                          <a:avLst/>
                        </a:prstGeom>
                        <a:noFill/>
                        <a:ln w="9525">
                          <a:noFill/>
                          <a:miter lim="800000"/>
                          <a:headEnd/>
                          <a:tailEnd/>
                        </a:ln>
                      </wps:spPr>
                      <wps:txbx>
                        <w:txbxContent>
                          <w:p w:rsidR="00FD5CA3" w:rsidRDefault="00FD5CA3" w:rsidP="003742AB">
                            <w:r>
                              <w:t>SFIIP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58.75pt;margin-top:222.75pt;width:56.05pt;height:19.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" filled="f" stroked="f">
                <v:textbox>
                  <w:txbxContent>
                    <w:p w:rsidR="00FD5CA3" w:rsidRDefault="00FD5CA3" w:rsidP="003742AB">
                      <w:r>
                        <w:t>SFIIP</w:t>
                      </w:r>
                    </w:p>
                  </w:txbxContent>
                </v:textbox>
              </v:shape>
            </w:pict>
          </mc:Fallback>
        </mc:AlternateContent>
      </w:r>
      <w:r w:rsidRPr="003742AB">
        <w:rPr>
          <w:noProof/>
          <w:lang w:val="en-US" w:eastAsia="en-US"/>
        </w:rPr>
        <mc:AlternateContent>
          <mc:Choice Requires="wps">
            <w:drawing>
              <wp:anchor distT="0" distB="0" distL="114300" distR="114300" simplePos="0" relativeHeight="251670528" behindDoc="0" locked="0" layoutInCell="1" allowOverlap="1" wp14:anchorId="16502FF1" wp14:editId="1D4BFF74">
                <wp:simplePos x="0" y="0"/>
                <wp:positionH relativeFrom="column">
                  <wp:posOffset>2363470</wp:posOffset>
                </wp:positionH>
                <wp:positionV relativeFrom="paragraph">
                  <wp:posOffset>2831376</wp:posOffset>
                </wp:positionV>
                <wp:extent cx="711835" cy="25019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250190"/>
                        </a:xfrm>
                        <a:prstGeom prst="rect">
                          <a:avLst/>
                        </a:prstGeom>
                        <a:noFill/>
                        <a:ln w="9525">
                          <a:noFill/>
                          <a:miter lim="800000"/>
                          <a:headEnd/>
                          <a:tailEnd/>
                        </a:ln>
                      </wps:spPr>
                      <wps:txbx>
                        <w:txbxContent>
                          <w:p w:rsidR="00FD5CA3" w:rsidRDefault="00FD5CA3" w:rsidP="003742AB">
                            <w:r>
                              <w:t>DPMA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86.1pt;margin-top:222.95pt;width:56.05pt;height:19.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" filled="f" stroked="f">
                <v:textbox>
                  <w:txbxContent>
                    <w:p w:rsidR="00FD5CA3" w:rsidRDefault="00FD5CA3" w:rsidP="003742AB">
                      <w:r>
                        <w:t>DPMA</w:t>
                      </w:r>
                    </w:p>
                  </w:txbxContent>
                </v:textbox>
              </v:shape>
            </w:pict>
          </mc:Fallback>
        </mc:AlternateContent>
      </w:r>
      <w:r>
        <w:rPr>
          <w:noProof/>
          <w:lang w:val="en-US" w:eastAsia="en-US"/>
        </w:rPr>
        <mc:AlternateContent>
          <mc:Choice Requires="wpg">
            <w:drawing>
              <wp:anchor distT="0" distB="0" distL="114300" distR="114300" simplePos="0" relativeHeight="251676672" behindDoc="0" locked="0" layoutInCell="1" allowOverlap="1" wp14:anchorId="788EB8E9" wp14:editId="1658B1FE">
                <wp:simplePos x="0" y="0"/>
                <wp:positionH relativeFrom="column">
                  <wp:posOffset>451485</wp:posOffset>
                </wp:positionH>
                <wp:positionV relativeFrom="paragraph">
                  <wp:posOffset>2908846</wp:posOffset>
                </wp:positionV>
                <wp:extent cx="4545437" cy="71299"/>
                <wp:effectExtent l="0" t="0" r="7620" b="5080"/>
                <wp:wrapNone/>
                <wp:docPr id="1" name="Group 1"/>
                <wp:cNvGraphicFramePr/>
                <a:graphic xmlns:a="http://schemas.openxmlformats.org/drawingml/2006/main">
                  <a:graphicData uri="http://schemas.microsoft.com/office/word/2010/wordprocessingGroup">
                    <wpg:wgp>
                      <wpg:cNvGrpSpPr/>
                      <wpg:grpSpPr>
                        <a:xfrm>
                          <a:off x="0" y="0"/>
                          <a:ext cx="4545437" cy="71299"/>
                          <a:chOff x="0" y="0"/>
                          <a:chExt cx="4545437" cy="71299"/>
                        </a:xfrm>
                      </wpg:grpSpPr>
                      <wps:wsp>
                        <wps:cNvPr id="11" name="Rectangle 1"/>
                        <wps:cNvSpPr/>
                        <wps:spPr>
                          <a:xfrm>
                            <a:off x="0" y="6439"/>
                            <a:ext cx="57150" cy="5842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3" name="Rectangle 1"/>
                        <wps:cNvSpPr/>
                        <wps:spPr>
                          <a:xfrm>
                            <a:off x="895081" y="12879"/>
                            <a:ext cx="57150" cy="58420"/>
                          </a:xfrm>
                          <a:prstGeom prst="rect">
                            <a:avLst/>
                          </a:prstGeom>
                          <a:solidFill>
                            <a:srgbClr val="800080"/>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21" name="Rectangle 1"/>
                        <wps:cNvSpPr/>
                        <wps:spPr>
                          <a:xfrm>
                            <a:off x="2801155" y="6439"/>
                            <a:ext cx="57150" cy="5842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23" name="Rectangle 1"/>
                        <wps:cNvSpPr/>
                        <wps:spPr>
                          <a:xfrm>
                            <a:off x="3644721" y="0"/>
                            <a:ext cx="57150" cy="58420"/>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24" name="Rectangle 1"/>
                        <wps:cNvSpPr/>
                        <wps:spPr>
                          <a:xfrm>
                            <a:off x="4488287" y="6439"/>
                            <a:ext cx="57150" cy="5842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31" name="Rectangle 1"/>
                        <wps:cNvSpPr/>
                        <wps:spPr>
                          <a:xfrm>
                            <a:off x="1854557" y="12879"/>
                            <a:ext cx="57150" cy="5842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w:pict>
              <v:group id="Group 1" o:spid="_x0000_s1026" style="position:absolute;margin-left:35.55pt;margin-top:229.05pt;width:357.9pt;height:5.6pt;z-index:251676672" coordsize="45454,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">
                <v:rect id="Rectangle 1" o:spid="_x0000_s1027" style="position:absolute;top:64;width:571;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y5MAA&#10;AADbAAAADwAAAGRycy9kb3ducmV2LnhtbERPS4vCMBC+L/gfwgje1rQeRKqxVGFZQVB8gNehGdti&#10;M6lN1OqvN8LC3ubje84s7Uwt7tS6yrKCeBiBIM6trrhQcDz8fE9AOI+ssbZMCp7kIJ33vmaYaPvg&#10;Hd33vhAhhF2CCkrvm0RKl5dk0A1tQxy4s20N+gDbQuoWHyHc1HIURWNpsOLQUGJDy5Lyy/5mFMhF&#10;fKVm+6qzqLK/t2fuNqe1U2rQ77IpCE+d/xf/uVc6zI/h80s4QM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qy5MAAAADbAAAADwAAAAAAAAAAAAAAAACYAgAAZHJzL2Rvd25y&#10;ZXYueG1sUEsFBgAAAAAEAAQA9QAAAIUDAAAAAA==&#10;" fillcolor="#00b0f0" stroked="f" strokeweight="2pt"/>
                <v:rect id="Rectangle 1" o:spid="_x0000_s1028" style="position:absolute;left:8950;top:128;width:572;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Kso8AA&#10;AADbAAAADwAAAGRycy9kb3ducmV2LnhtbERPS4vCMBC+C/6HMAvebLo+S9coIit4dNWLt6EZ27LN&#10;JDRZrf56Iwh7m4/vOYtVZxpxpdbXlhV8JikI4sLqmksFp+N2mIHwAVljY5kU3MnDatnvLTDX9sY/&#10;dD2EUsQQ9jkqqEJwuZS+qMigT6wjjtzFtgZDhG0pdYu3GG4aOUrTmTRYc2yo0NGmouL38GcUPKa1&#10;/fZmkh3P4/185DZTeXJnpQYf3foLRKAu/Ivf7p2O88fw+iUe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7Kso8AAAADbAAAADwAAAAAAAAAAAAAAAACYAgAAZHJzL2Rvd25y&#10;ZXYueG1sUEsFBgAAAAAEAAQA9QAAAIUDAAAAAA==&#10;" fillcolor="purple" stroked="f" strokeweight="2pt"/>
                <v:rect id="Rectangle 1" o:spid="_x0000_s1029" style="position:absolute;left:28011;top:64;width:572;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MiGMMA&#10;AADbAAAADwAAAGRycy9kb3ducmV2LnhtbESPT2sCMRTE74V+h/AKXopmlVJkNUq7IHiT+u/82Dx3&#10;VzcvS5KN67c3hUKPw8z8hlmuB9OKSM43lhVMJxkI4tLqhisFx8NmPAfhA7LG1jIpeJCH9er1ZYm5&#10;tnf+obgPlUgQ9jkqqEPocil9WZNBP7EdcfIu1hkMSbpKaof3BDetnGXZpzTYcFqosaOipvK2742C&#10;W/Hu8OPSx9334xoPhd2c46lVavQ2fC1ABBrCf/ivvdUKZlP4/ZJ+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MiGMMAAADbAAAADwAAAAAAAAAAAAAAAACYAgAAZHJzL2Rv&#10;d25yZXYueG1sUEsFBgAAAAAEAAQA9QAAAIgDAAAAAA==&#10;" fillcolor="red" stroked="f" strokeweight="2pt"/>
                <v:rect id="Rectangle 1" o:spid="_x0000_s1030" style="position:absolute;left:36447;width:571;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hC+MUA&#10;AADbAAAADwAAAGRycy9kb3ducmV2LnhtbESP3WrCQBSE7wt9h+UUvKubRig2ukopWEQoRS16e8we&#10;k5Ds2bC7+fHtu4WCl8PMfMMs16NpRE/OV5YVvEwTEMS51RUXCn6Om+c5CB+QNTaWScGNPKxXjw9L&#10;zLQdeE/9IRQiQthnqKAMoc2k9HlJBv3UtsTRu1pnMETpCqkdDhFuGpkmyas0WHFcKLGlj5Ly+tAZ&#10;BadufNu7+e6zO9bXy9d5475n2ik1eRrfFyACjeEe/m9vtYJ0Bn9f4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EL4xQAAANsAAAAPAAAAAAAAAAAAAAAAAJgCAABkcnMv&#10;ZG93bnJldi54bWxQSwUGAAAAAAQABAD1AAAAigMAAAAA&#10;" fillcolor="#31849b [2408]" stroked="f" strokeweight="2pt"/>
                <v:rect id="Rectangle 1" o:spid="_x0000_s1031" style="position:absolute;left:44882;top:64;width:572;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GO3MIA&#10;AADbAAAADwAAAGRycy9kb3ducmV2LnhtbESPQYvCMBSE78L+h/AWvGm6ItKtRtldELxalfX4bJ5t&#10;afNSm2jrvzeC4HGYmW+Yxao3tbhR60rLCr7GEQjizOqScwX73XoUg3AeWWNtmRTcycFq+TFYYKJt&#10;x1u6pT4XAcIuQQWF900ipcsKMujGtiEO3tm2Bn2QbS51i12Am1pOomgmDZYcFgps6K+grEqvRkGc&#10;/3f16fCbbq5V/L2uLseLoalSw8/+Zw7CU+/f4Vd7oxVMpvD8En6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wY7cwgAAANsAAAAPAAAAAAAAAAAAAAAAAJgCAABkcnMvZG93&#10;bnJldi54bWxQSwUGAAAAAAQABAD1AAAAhwMAAAAA&#10;" fillcolor="#bfbfbf [2412]" stroked="f" strokeweight="2pt"/>
                <v:rect id="Rectangle 1" o:spid="_x0000_s1032" style="position:absolute;left:18545;top:128;width:572;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9LtMMA&#10;AADbAAAADwAAAGRycy9kb3ducmV2LnhtbESPUWvCQBCE3wv9D8cW+lYvKpSSeoq0agWhoNX3Jbcm&#10;wexeuDtj/PdeQfBxmJlvmMms50Z15EPtxMBwkIEiKZytpTSw/1u+fYAKEcVi44QMXCnAbPr8NMHc&#10;uotsqdvFUiWIhBwNVDG2udahqIgxDFxLkryj84wxSV9q6/GS4NzoUZa9a8Za0kKFLX1VVJx2ZzbA&#10;PP5ecLdp4ulnX/764+p62KyMeX3p55+gIvXxEb6319bAeAj/X9IP0N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9LtMMAAADbAAAADwAAAAAAAAAAAAAAAACYAgAAZHJzL2Rv&#10;d25yZXYueG1sUEsFBgAAAAAEAAQA9QAAAIgDAAAAAA==&#10;" fillcolor="#ffc000" stroked="f" strokeweight="2pt"/>
              </v:group>
            </w:pict>
          </mc:Fallback>
        </mc:AlternateContent>
      </w:r>
      <w:r w:rsidR="00FD5CA3">
        <w:rPr>
          <w:noProof/>
          <w:lang w:val="en-US" w:eastAsia="en-US"/>
        </w:rPr>
        <w:drawing>
          <wp:inline distT="0" distB="0" distL="0" distR="0" wp14:anchorId="4A18022A" wp14:editId="1617E7A4">
            <wp:extent cx="5628068" cy="2794715"/>
            <wp:effectExtent l="0" t="0" r="10795" b="24765"/>
            <wp:docPr id="264" name="Chart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D5CA3" w:rsidRDefault="00FD5CA3" w:rsidP="00FD5CA3">
      <w:pPr>
        <w:pStyle w:val="ONUMFS"/>
        <w:numPr>
          <w:ilvl w:val="0"/>
          <w:numId w:val="6"/>
        </w:numPr>
      </w:pPr>
      <w:r>
        <w:lastRenderedPageBreak/>
        <w:t>Jusqu’à récemment, la majeure partie des demandes antérieures servant de base à une revendication de priorité dans un enregistrement international étaient déposées auprès de l’</w:t>
      </w:r>
      <w:r w:rsidRPr="00261FC1">
        <w:t>Office de l</w:t>
      </w:r>
      <w:r>
        <w:t>’</w:t>
      </w:r>
      <w:r w:rsidRPr="00261FC1">
        <w:t>Union européenne pour la propriété intellectuelle</w:t>
      </w:r>
      <w:r>
        <w:t> (EUIPO).  Ainsi, en 2014, 44% de l’ensemble des revendications de priorité dans des enregistrements internationaux étaient fondées sur un dépôt antérieur auprès de</w:t>
      </w:r>
      <w:r w:rsidR="00BE1211">
        <w:t> </w:t>
      </w:r>
      <w:r>
        <w:t>l’EUIPO.</w:t>
      </w:r>
    </w:p>
    <w:p w:rsidR="00FD5CA3" w:rsidRDefault="00FD5CA3" w:rsidP="00FD5CA3">
      <w:pPr>
        <w:pStyle w:val="ONUMFS"/>
        <w:numPr>
          <w:ilvl w:val="0"/>
          <w:numId w:val="6"/>
        </w:numPr>
      </w:pPr>
      <w:r>
        <w:t>En </w:t>
      </w:r>
      <w:r w:rsidRPr="00E4035A">
        <w:t xml:space="preserve">2015 </w:t>
      </w:r>
      <w:r>
        <w:t>déjà, la première année complète après l’adhésion de la République de</w:t>
      </w:r>
      <w:r w:rsidR="000A076A">
        <w:t> </w:t>
      </w:r>
      <w:r>
        <w:t>Corée à l’Acte de </w:t>
      </w:r>
      <w:r w:rsidRPr="00E4035A">
        <w:t>1999, 34</w:t>
      </w:r>
      <w:r>
        <w:t xml:space="preserve">% de l’ensemble des revendications de priorité étaient fondées sur un </w:t>
      </w:r>
      <w:r w:rsidRPr="007F4DDA">
        <w:rPr>
          <w:szCs w:val="22"/>
        </w:rPr>
        <w:t>dépôt antérieur auprès de l</w:t>
      </w:r>
      <w:r>
        <w:rPr>
          <w:szCs w:val="22"/>
        </w:rPr>
        <w:t>’</w:t>
      </w:r>
      <w:r w:rsidRPr="007F4DDA">
        <w:rPr>
          <w:szCs w:val="22"/>
        </w:rPr>
        <w:t>EUIPO</w:t>
      </w:r>
      <w:r>
        <w:rPr>
          <w:szCs w:val="22"/>
        </w:rPr>
        <w:t xml:space="preserve"> et 26,8% sur un dépôt antérieur auprès de l’Office coréen de la propriété intellectuelle </w:t>
      </w:r>
      <w:r w:rsidRPr="00E4035A">
        <w:t xml:space="preserve">(KIPO).  </w:t>
      </w:r>
      <w:r>
        <w:t>Cette même année, à savoir l’année au cours de laquelle tant les États</w:t>
      </w:r>
      <w:r>
        <w:noBreakHyphen/>
        <w:t>Unis</w:t>
      </w:r>
      <w:r w:rsidRPr="002023DB">
        <w:t xml:space="preserve"> </w:t>
      </w:r>
      <w:r>
        <w:t>d’Amérique</w:t>
      </w:r>
      <w:r w:rsidRPr="00E4035A">
        <w:t xml:space="preserve"> </w:t>
      </w:r>
      <w:r>
        <w:t xml:space="preserve">que le </w:t>
      </w:r>
      <w:r w:rsidRPr="00E4035A">
        <w:t>Jap</w:t>
      </w:r>
      <w:r>
        <w:t>o</w:t>
      </w:r>
      <w:r w:rsidRPr="00E4035A">
        <w:t xml:space="preserve">n </w:t>
      </w:r>
      <w:r>
        <w:t>sont devenus parties à l’Acte de </w:t>
      </w:r>
      <w:r w:rsidRPr="00E4035A">
        <w:t>1999, 9</w:t>
      </w:r>
      <w:r>
        <w:t>,</w:t>
      </w:r>
      <w:r w:rsidRPr="00E4035A">
        <w:t>8</w:t>
      </w:r>
      <w:r>
        <w:t xml:space="preserve">% et </w:t>
      </w:r>
      <w:r w:rsidRPr="00E4035A">
        <w:t>4</w:t>
      </w:r>
      <w:r>
        <w:t>,</w:t>
      </w:r>
      <w:r w:rsidRPr="00E4035A">
        <w:t>9</w:t>
      </w:r>
      <w:r>
        <w:t xml:space="preserve">% des revendications de priorité </w:t>
      </w:r>
      <w:r w:rsidRPr="00BF61F8">
        <w:t xml:space="preserve">étaient fondées sur </w:t>
      </w:r>
      <w:r>
        <w:t>des</w:t>
      </w:r>
      <w:r w:rsidRPr="00BF61F8">
        <w:t xml:space="preserve"> dépôt</w:t>
      </w:r>
      <w:r>
        <w:t>s</w:t>
      </w:r>
      <w:r w:rsidRPr="00BF61F8">
        <w:t xml:space="preserve"> antérieur</w:t>
      </w:r>
      <w:r>
        <w:t>s effectués respectivement auprès de l’</w:t>
      </w:r>
      <w:r w:rsidRPr="00E4035A">
        <w:t xml:space="preserve">USPTO </w:t>
      </w:r>
      <w:r>
        <w:t>et de l’Office des brevets du Japon</w:t>
      </w:r>
      <w:r w:rsidR="009B6D2E">
        <w:t> </w:t>
      </w:r>
      <w:r>
        <w:t>(</w:t>
      </w:r>
      <w:r w:rsidRPr="00E4035A">
        <w:t>JPO</w:t>
      </w:r>
      <w:r>
        <w:t xml:space="preserve">). </w:t>
      </w:r>
      <w:r w:rsidRPr="00E4035A">
        <w:t xml:space="preserve"> I</w:t>
      </w:r>
      <w:r>
        <w:t xml:space="preserve">l convient de noter que tant le </w:t>
      </w:r>
      <w:r w:rsidRPr="00E4035A">
        <w:t>Jap</w:t>
      </w:r>
      <w:r>
        <w:t>on que les États</w:t>
      </w:r>
      <w:r>
        <w:noBreakHyphen/>
        <w:t>Unis</w:t>
      </w:r>
      <w:r w:rsidRPr="002023DB">
        <w:t xml:space="preserve"> </w:t>
      </w:r>
      <w:r>
        <w:t xml:space="preserve">d’Amérique </w:t>
      </w:r>
      <w:proofErr w:type="gramStart"/>
      <w:r>
        <w:t>sont</w:t>
      </w:r>
      <w:proofErr w:type="gramEnd"/>
      <w:r>
        <w:t xml:space="preserve"> devenus parties à l’Acte de 1999 le</w:t>
      </w:r>
      <w:r w:rsidR="00BE1211">
        <w:t> </w:t>
      </w:r>
      <w:r>
        <w:t>13 mai </w:t>
      </w:r>
      <w:r w:rsidRPr="00E4035A">
        <w:t xml:space="preserve">2015.  </w:t>
      </w:r>
      <w:r>
        <w:t>Concernant les enregistrements internationaux dont la date d’enregistrement est située entre mai et décembre </w:t>
      </w:r>
      <w:r w:rsidRPr="00E4035A">
        <w:t>2015, 6</w:t>
      </w:r>
      <w:r>
        <w:t>,</w:t>
      </w:r>
      <w:r w:rsidRPr="00E4035A">
        <w:t>9</w:t>
      </w:r>
      <w:r>
        <w:t>% de ces enregistrements internationaux contenaient une revendication de priorité auprès de l’USPTO et 3,5% une revendication de priorité auprès</w:t>
      </w:r>
      <w:r w:rsidRPr="00982569">
        <w:t xml:space="preserve"> du JPO</w:t>
      </w:r>
      <w:r>
        <w:t>.</w:t>
      </w:r>
    </w:p>
    <w:p w:rsidR="00FD5CA3" w:rsidRDefault="00FD5CA3" w:rsidP="00FD5CA3">
      <w:pPr>
        <w:pStyle w:val="ONUMFS"/>
        <w:numPr>
          <w:ilvl w:val="0"/>
          <w:numId w:val="6"/>
        </w:numPr>
      </w:pPr>
      <w:r>
        <w:t>Au cours du premier trimestre de 2016,</w:t>
      </w:r>
      <w:r w:rsidRPr="00911920">
        <w:t xml:space="preserve"> </w:t>
      </w:r>
      <w:r>
        <w:t>presque la moitié des revendications de priorité dans des enregistrements internationaux, soit 46,7%, étaient fondées sur un dépôt antérieur auprès</w:t>
      </w:r>
      <w:r w:rsidRPr="00982569">
        <w:t xml:space="preserve"> du KIP</w:t>
      </w:r>
      <w:r>
        <w:t>O, 22,2% auprès de l’EUIPO, 9,5% auprès de l’Office allemand des brevets</w:t>
      </w:r>
      <w:r w:rsidR="00BE1211">
        <w:t> </w:t>
      </w:r>
      <w:r>
        <w:t>(DPMA), 6,2% auprès de l’USPTO et 5,3% auprès</w:t>
      </w:r>
      <w:r w:rsidRPr="00982569">
        <w:t xml:space="preserve"> du JPO</w:t>
      </w:r>
      <w:r>
        <w:t>.</w:t>
      </w:r>
    </w:p>
    <w:p w:rsidR="00FD5CA3" w:rsidRDefault="00FD5CA3" w:rsidP="005D1CFF">
      <w:pPr>
        <w:pStyle w:val="Heading3"/>
      </w:pPr>
      <w:r>
        <w:t>Part des revendications de priorité dans les enregistrements internationaux, par origine</w:t>
      </w:r>
    </w:p>
    <w:p w:rsidR="00FD5CA3" w:rsidRPr="002D6906" w:rsidRDefault="00FD5CA3" w:rsidP="005D1CFF">
      <w:pPr>
        <w:keepNext/>
      </w:pPr>
    </w:p>
    <w:p w:rsidR="00FD5CA3" w:rsidRDefault="00FD5CA3" w:rsidP="005D1CFF">
      <w:pPr>
        <w:pStyle w:val="ONUME"/>
        <w:numPr>
          <w:ilvl w:val="0"/>
          <w:numId w:val="0"/>
        </w:numPr>
        <w:rPr>
          <w:u w:val="single"/>
        </w:rPr>
      </w:pPr>
      <w:r>
        <w:rPr>
          <w:noProof/>
          <w:lang w:val="en-US" w:eastAsia="en-US"/>
        </w:rPr>
        <mc:AlternateContent>
          <mc:Choice Requires="wps">
            <w:drawing>
              <wp:anchor distT="0" distB="0" distL="114300" distR="114300" simplePos="0" relativeHeight="251692032" behindDoc="0" locked="0" layoutInCell="1" allowOverlap="1" wp14:anchorId="4840A555" wp14:editId="73138804">
                <wp:simplePos x="0" y="0"/>
                <wp:positionH relativeFrom="column">
                  <wp:posOffset>4859020</wp:posOffset>
                </wp:positionH>
                <wp:positionV relativeFrom="paragraph">
                  <wp:posOffset>3082925</wp:posOffset>
                </wp:positionV>
                <wp:extent cx="535305" cy="249555"/>
                <wp:effectExtent l="0" t="0" r="0" b="0"/>
                <wp:wrapNone/>
                <wp:docPr id="257" name="Zone de texte 257"/>
                <wp:cNvGraphicFramePr/>
                <a:graphic xmlns:a="http://schemas.openxmlformats.org/drawingml/2006/main">
                  <a:graphicData uri="http://schemas.microsoft.com/office/word/2010/wordprocessingShape">
                    <wps:wsp>
                      <wps:cNvSpPr txBox="1"/>
                      <wps:spPr>
                        <a:xfrm>
                          <a:off x="0" y="0"/>
                          <a:ext cx="53530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CA3" w:rsidRDefault="00FD5CA3" w:rsidP="00D20563">
                            <w:r>
                              <w:t>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7" o:spid="_x0000_s1035" type="#_x0000_t202" style="position:absolute;margin-left:382.6pt;margin-top:242.75pt;width:42.15pt;height:19.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" filled="f" stroked="f" strokeweight=".5pt">
                <v:textbox>
                  <w:txbxContent>
                    <w:p w:rsidR="00FD5CA3" w:rsidRDefault="00FD5CA3" w:rsidP="00D20563">
                      <w:r>
                        <w:t>IT</w:t>
                      </w:r>
                    </w:p>
                  </w:txbxContent>
                </v:textbox>
              </v:shape>
            </w:pict>
          </mc:Fallback>
        </mc:AlternateContent>
      </w:r>
      <w:r>
        <w:rPr>
          <w:noProof/>
          <w:lang w:val="en-US" w:eastAsia="en-US"/>
        </w:rPr>
        <mc:AlternateContent>
          <mc:Choice Requires="wps">
            <w:drawing>
              <wp:anchor distT="0" distB="0" distL="114300" distR="114300" simplePos="0" relativeHeight="251689984" behindDoc="0" locked="0" layoutInCell="1" allowOverlap="1" wp14:anchorId="4F55EEFF" wp14:editId="2EBE9BE8">
                <wp:simplePos x="0" y="0"/>
                <wp:positionH relativeFrom="column">
                  <wp:posOffset>208280</wp:posOffset>
                </wp:positionH>
                <wp:positionV relativeFrom="paragraph">
                  <wp:posOffset>3093720</wp:posOffset>
                </wp:positionV>
                <wp:extent cx="535305" cy="249555"/>
                <wp:effectExtent l="0" t="0" r="0" b="0"/>
                <wp:wrapNone/>
                <wp:docPr id="63" name="Zone de texte 63"/>
                <wp:cNvGraphicFramePr/>
                <a:graphic xmlns:a="http://schemas.openxmlformats.org/drawingml/2006/main">
                  <a:graphicData uri="http://schemas.microsoft.com/office/word/2010/wordprocessingShape">
                    <wps:wsp>
                      <wps:cNvSpPr txBox="1"/>
                      <wps:spPr>
                        <a:xfrm>
                          <a:off x="0" y="0"/>
                          <a:ext cx="53530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CA3" w:rsidRDefault="00FD5CA3" w:rsidP="00D20563">
                            <w:r>
                              <w: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3" o:spid="_x0000_s1036" type="#_x0000_t202" style="position:absolute;margin-left:16.4pt;margin-top:243.6pt;width:42.15pt;height:19.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" filled="f" stroked="f" strokeweight=".5pt">
                <v:textbox>
                  <w:txbxContent>
                    <w:p w:rsidR="00FD5CA3" w:rsidRDefault="00FD5CA3" w:rsidP="00D20563">
                      <w:r>
                        <w:t>US</w:t>
                      </w:r>
                    </w:p>
                  </w:txbxContent>
                </v:textbox>
              </v:shape>
            </w:pict>
          </mc:Fallback>
        </mc:AlternateContent>
      </w:r>
      <w:r>
        <w:rPr>
          <w:noProof/>
          <w:lang w:val="en-US" w:eastAsia="en-US"/>
        </w:rPr>
        <mc:AlternateContent>
          <mc:Choice Requires="wps">
            <w:drawing>
              <wp:anchor distT="0" distB="0" distL="114300" distR="114300" simplePos="0" relativeHeight="251688960" behindDoc="0" locked="0" layoutInCell="1" allowOverlap="1" wp14:anchorId="616FE301" wp14:editId="1C648165">
                <wp:simplePos x="0" y="0"/>
                <wp:positionH relativeFrom="column">
                  <wp:posOffset>1040765</wp:posOffset>
                </wp:positionH>
                <wp:positionV relativeFrom="paragraph">
                  <wp:posOffset>3090545</wp:posOffset>
                </wp:positionV>
                <wp:extent cx="535305" cy="249555"/>
                <wp:effectExtent l="0" t="0" r="0" b="0"/>
                <wp:wrapNone/>
                <wp:docPr id="62" name="Zone de texte 62"/>
                <wp:cNvGraphicFramePr/>
                <a:graphic xmlns:a="http://schemas.openxmlformats.org/drawingml/2006/main">
                  <a:graphicData uri="http://schemas.microsoft.com/office/word/2010/wordprocessingShape">
                    <wps:wsp>
                      <wps:cNvSpPr txBox="1"/>
                      <wps:spPr>
                        <a:xfrm>
                          <a:off x="0" y="0"/>
                          <a:ext cx="53530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CA3" w:rsidRDefault="00FD5CA3" w:rsidP="00D20563">
                            <w:r>
                              <w:t>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2" o:spid="_x0000_s1037" type="#_x0000_t202" style="position:absolute;margin-left:81.95pt;margin-top:243.35pt;width:42.15pt;height:19.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" filled="f" stroked="f" strokeweight=".5pt">
                <v:textbox>
                  <w:txbxContent>
                    <w:p w:rsidR="00FD5CA3" w:rsidRDefault="00FD5CA3" w:rsidP="00D20563">
                      <w:r>
                        <w:t>DE</w:t>
                      </w:r>
                    </w:p>
                  </w:txbxContent>
                </v:textbox>
              </v:shape>
            </w:pict>
          </mc:Fallback>
        </mc:AlternateContent>
      </w:r>
      <w:r>
        <w:rPr>
          <w:noProof/>
          <w:lang w:val="en-US" w:eastAsia="en-US"/>
        </w:rPr>
        <mc:AlternateContent>
          <mc:Choice Requires="wps">
            <w:drawing>
              <wp:anchor distT="0" distB="0" distL="114300" distR="114300" simplePos="0" relativeHeight="251687936" behindDoc="0" locked="0" layoutInCell="1" allowOverlap="1" wp14:anchorId="56C4C5F9" wp14:editId="55EBC9D5">
                <wp:simplePos x="0" y="0"/>
                <wp:positionH relativeFrom="column">
                  <wp:posOffset>1855470</wp:posOffset>
                </wp:positionH>
                <wp:positionV relativeFrom="paragraph">
                  <wp:posOffset>3093720</wp:posOffset>
                </wp:positionV>
                <wp:extent cx="535305" cy="249555"/>
                <wp:effectExtent l="0" t="0" r="0" b="0"/>
                <wp:wrapNone/>
                <wp:docPr id="61" name="Zone de texte 61"/>
                <wp:cNvGraphicFramePr/>
                <a:graphic xmlns:a="http://schemas.openxmlformats.org/drawingml/2006/main">
                  <a:graphicData uri="http://schemas.microsoft.com/office/word/2010/wordprocessingShape">
                    <wps:wsp>
                      <wps:cNvSpPr txBox="1"/>
                      <wps:spPr>
                        <a:xfrm>
                          <a:off x="0" y="0"/>
                          <a:ext cx="53530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CA3" w:rsidRDefault="00FD5CA3" w:rsidP="00D20563">
                            <w:r>
                              <w: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1" o:spid="_x0000_s1038" type="#_x0000_t202" style="position:absolute;margin-left:146.1pt;margin-top:243.6pt;width:42.15pt;height:19.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" filled="f" stroked="f" strokeweight=".5pt">
                <v:textbox>
                  <w:txbxContent>
                    <w:p w:rsidR="00FD5CA3" w:rsidRDefault="00FD5CA3" w:rsidP="00D20563">
                      <w:r>
                        <w:t>CH</w:t>
                      </w:r>
                    </w:p>
                  </w:txbxContent>
                </v:textbox>
              </v:shape>
            </w:pict>
          </mc:Fallback>
        </mc:AlternateContent>
      </w:r>
      <w:r>
        <w:rPr>
          <w:noProof/>
          <w:lang w:val="en-US" w:eastAsia="en-US"/>
        </w:rPr>
        <mc:AlternateContent>
          <mc:Choice Requires="wps">
            <w:drawing>
              <wp:anchor distT="0" distB="0" distL="114300" distR="114300" simplePos="0" relativeHeight="251686912" behindDoc="0" locked="0" layoutInCell="1" allowOverlap="1" wp14:anchorId="51AACB31" wp14:editId="2041F656">
                <wp:simplePos x="0" y="0"/>
                <wp:positionH relativeFrom="column">
                  <wp:posOffset>2698750</wp:posOffset>
                </wp:positionH>
                <wp:positionV relativeFrom="paragraph">
                  <wp:posOffset>3090545</wp:posOffset>
                </wp:positionV>
                <wp:extent cx="535305" cy="249555"/>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53530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CA3" w:rsidRDefault="00FD5CA3" w:rsidP="00D20563">
                            <w:r>
                              <w:t>KR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0" o:spid="_x0000_s1039" type="#_x0000_t202" style="position:absolute;margin-left:212.5pt;margin-top:243.35pt;width:42.15pt;height:19.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" filled="f" stroked="f" strokeweight=".5pt">
                <v:textbox>
                  <w:txbxContent>
                    <w:p w:rsidR="00FD5CA3" w:rsidRDefault="00FD5CA3" w:rsidP="00D20563">
                      <w:r>
                        <w:t>KR</w:t>
                      </w:r>
                    </w:p>
                  </w:txbxContent>
                </v:textbox>
              </v:shape>
            </w:pict>
          </mc:Fallback>
        </mc:AlternateContent>
      </w:r>
      <w:r>
        <w:rPr>
          <w:noProof/>
          <w:lang w:val="en-US" w:eastAsia="en-US"/>
        </w:rPr>
        <mc:AlternateContent>
          <mc:Choice Requires="wps">
            <w:drawing>
              <wp:anchor distT="0" distB="0" distL="114300" distR="114300" simplePos="0" relativeHeight="251685888" behindDoc="0" locked="0" layoutInCell="1" allowOverlap="1" wp14:anchorId="1D940B6C" wp14:editId="53870154">
                <wp:simplePos x="0" y="0"/>
                <wp:positionH relativeFrom="column">
                  <wp:posOffset>4182110</wp:posOffset>
                </wp:positionH>
                <wp:positionV relativeFrom="paragraph">
                  <wp:posOffset>3085465</wp:posOffset>
                </wp:positionV>
                <wp:extent cx="535305" cy="249555"/>
                <wp:effectExtent l="0" t="0" r="0" b="0"/>
                <wp:wrapNone/>
                <wp:docPr id="59" name="Zone de texte 59"/>
                <wp:cNvGraphicFramePr/>
                <a:graphic xmlns:a="http://schemas.openxmlformats.org/drawingml/2006/main">
                  <a:graphicData uri="http://schemas.microsoft.com/office/word/2010/wordprocessingShape">
                    <wps:wsp>
                      <wps:cNvSpPr txBox="1"/>
                      <wps:spPr>
                        <a:xfrm>
                          <a:off x="0" y="0"/>
                          <a:ext cx="53530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CA3" w:rsidRDefault="00FD5CA3" w:rsidP="00D20563">
                            <w:r>
                              <w:t>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9" o:spid="_x0000_s1040" type="#_x0000_t202" style="position:absolute;margin-left:329.3pt;margin-top:242.95pt;width:42.15pt;height:19.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" filled="f" stroked="f" strokeweight=".5pt">
                <v:textbox>
                  <w:txbxContent>
                    <w:p w:rsidR="00FD5CA3" w:rsidRDefault="00FD5CA3" w:rsidP="00D20563">
                      <w:r>
                        <w:t>NL</w:t>
                      </w:r>
                    </w:p>
                  </w:txbxContent>
                </v:textbox>
              </v:shape>
            </w:pict>
          </mc:Fallback>
        </mc:AlternateContent>
      </w:r>
      <w:r>
        <w:rPr>
          <w:noProof/>
          <w:lang w:val="en-US" w:eastAsia="en-US"/>
        </w:rPr>
        <mc:AlternateContent>
          <mc:Choice Requires="wps">
            <w:drawing>
              <wp:anchor distT="0" distB="0" distL="114300" distR="114300" simplePos="0" relativeHeight="251684864" behindDoc="0" locked="0" layoutInCell="1" allowOverlap="1" wp14:anchorId="7D4ADE36" wp14:editId="3C3BB0A2">
                <wp:simplePos x="0" y="0"/>
                <wp:positionH relativeFrom="column">
                  <wp:posOffset>3488690</wp:posOffset>
                </wp:positionH>
                <wp:positionV relativeFrom="paragraph">
                  <wp:posOffset>3088640</wp:posOffset>
                </wp:positionV>
                <wp:extent cx="535305" cy="249555"/>
                <wp:effectExtent l="0" t="0" r="0" b="0"/>
                <wp:wrapNone/>
                <wp:docPr id="58" name="Zone de texte 58"/>
                <wp:cNvGraphicFramePr/>
                <a:graphic xmlns:a="http://schemas.openxmlformats.org/drawingml/2006/main">
                  <a:graphicData uri="http://schemas.microsoft.com/office/word/2010/wordprocessingShape">
                    <wps:wsp>
                      <wps:cNvSpPr txBox="1"/>
                      <wps:spPr>
                        <a:xfrm>
                          <a:off x="0" y="0"/>
                          <a:ext cx="53530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CA3" w:rsidRDefault="00FD5CA3" w:rsidP="00D20563">
                            <w:r>
                              <w:t>CN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8" o:spid="_x0000_s1041" type="#_x0000_t202" style="position:absolute;margin-left:274.7pt;margin-top:243.2pt;width:42.15pt;height:19.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" filled="f" stroked="f" strokeweight=".5pt">
                <v:textbox>
                  <w:txbxContent>
                    <w:p w:rsidR="00FD5CA3" w:rsidRDefault="00FD5CA3" w:rsidP="00D20563">
                      <w:r>
                        <w:t>CN</w:t>
                      </w:r>
                    </w:p>
                  </w:txbxContent>
                </v:textbox>
              </v:shape>
            </w:pict>
          </mc:Fallback>
        </mc:AlternateContent>
      </w:r>
      <w:r w:rsidRPr="00F33FD8">
        <w:rPr>
          <w:noProof/>
          <w:u w:val="single"/>
          <w:lang w:val="en-US" w:eastAsia="en-US"/>
        </w:rPr>
        <mc:AlternateContent>
          <mc:Choice Requires="wps">
            <w:drawing>
              <wp:anchor distT="0" distB="0" distL="114300" distR="114300" simplePos="0" relativeHeight="251682816" behindDoc="0" locked="0" layoutInCell="1" allowOverlap="1" wp14:anchorId="58F409CC" wp14:editId="2528B3DF">
                <wp:simplePos x="0" y="0"/>
                <wp:positionH relativeFrom="column">
                  <wp:posOffset>976630</wp:posOffset>
                </wp:positionH>
                <wp:positionV relativeFrom="paragraph">
                  <wp:posOffset>3193415</wp:posOffset>
                </wp:positionV>
                <wp:extent cx="57150" cy="58420"/>
                <wp:effectExtent l="0" t="0" r="0" b="0"/>
                <wp:wrapNone/>
                <wp:docPr id="52"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FFC000"/>
                        </a:solidFill>
                        <a:ln w="25400" cap="flat" cmpd="sng" algn="ctr">
                          <a:noFill/>
                          <a:prstDash val="solid"/>
                        </a:ln>
                        <a:effectLst/>
                      </wps:spPr>
                      <wps:bodyPr/>
                    </wps:wsp>
                  </a:graphicData>
                </a:graphic>
              </wp:anchor>
            </w:drawing>
          </mc:Choice>
          <mc:Fallback>
            <w:pict>
              <v:rect id="Rectangle 1" o:spid="_x0000_s1026" style="position:absolute;margin-left:76.9pt;margin-top:251.45pt;width:4.5pt;height:4.6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" fillcolor="#ffc000" stroked="f" strokeweight="2pt"/>
            </w:pict>
          </mc:Fallback>
        </mc:AlternateContent>
      </w:r>
      <w:r w:rsidRPr="00F33FD8">
        <w:rPr>
          <w:noProof/>
          <w:u w:val="single"/>
          <w:lang w:val="en-US" w:eastAsia="en-US"/>
        </w:rPr>
        <mc:AlternateContent>
          <mc:Choice Requires="wps">
            <w:drawing>
              <wp:anchor distT="0" distB="0" distL="114300" distR="114300" simplePos="0" relativeHeight="251680768" behindDoc="0" locked="0" layoutInCell="1" allowOverlap="1" wp14:anchorId="258946E8" wp14:editId="1E720468">
                <wp:simplePos x="0" y="0"/>
                <wp:positionH relativeFrom="column">
                  <wp:posOffset>1796415</wp:posOffset>
                </wp:positionH>
                <wp:positionV relativeFrom="paragraph">
                  <wp:posOffset>3190875</wp:posOffset>
                </wp:positionV>
                <wp:extent cx="57150" cy="58420"/>
                <wp:effectExtent l="0" t="0" r="0" b="0"/>
                <wp:wrapNone/>
                <wp:docPr id="47"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FF0000"/>
                        </a:solidFill>
                        <a:ln w="25400" cap="flat" cmpd="sng" algn="ctr">
                          <a:noFill/>
                          <a:prstDash val="solid"/>
                        </a:ln>
                        <a:effectLst/>
                      </wps:spPr>
                      <wps:bodyPr/>
                    </wps:wsp>
                  </a:graphicData>
                </a:graphic>
              </wp:anchor>
            </w:drawing>
          </mc:Choice>
          <mc:Fallback>
            <w:pict>
              <v:rect id="Rectangle 1" o:spid="_x0000_s1026" style="position:absolute;margin-left:141.45pt;margin-top:251.25pt;width:4.5pt;height:4.6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" fillcolor="red" stroked="f" strokeweight="2pt"/>
            </w:pict>
          </mc:Fallback>
        </mc:AlternateContent>
      </w:r>
      <w:r w:rsidRPr="00F33FD8">
        <w:rPr>
          <w:noProof/>
          <w:u w:val="single"/>
          <w:lang w:val="en-US" w:eastAsia="en-US"/>
        </w:rPr>
        <mc:AlternateContent>
          <mc:Choice Requires="wps">
            <w:drawing>
              <wp:anchor distT="0" distB="0" distL="114300" distR="114300" simplePos="0" relativeHeight="251678720" behindDoc="0" locked="0" layoutInCell="1" allowOverlap="1" wp14:anchorId="171FC042" wp14:editId="381F597A">
                <wp:simplePos x="0" y="0"/>
                <wp:positionH relativeFrom="column">
                  <wp:posOffset>2641600</wp:posOffset>
                </wp:positionH>
                <wp:positionV relativeFrom="paragraph">
                  <wp:posOffset>3194685</wp:posOffset>
                </wp:positionV>
                <wp:extent cx="57150" cy="58420"/>
                <wp:effectExtent l="0" t="0" r="0" b="0"/>
                <wp:wrapNone/>
                <wp:docPr id="45"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009999"/>
                        </a:solidFill>
                        <a:ln w="25400" cap="flat" cmpd="sng" algn="ctr">
                          <a:noFill/>
                          <a:prstDash val="solid"/>
                        </a:ln>
                        <a:effectLst/>
                      </wps:spPr>
                      <wps:bodyPr/>
                    </wps:wsp>
                  </a:graphicData>
                </a:graphic>
              </wp:anchor>
            </w:drawing>
          </mc:Choice>
          <mc:Fallback>
            <w:pict>
              <v:rect id="Rectangle 1" o:spid="_x0000_s1026" style="position:absolute;margin-left:208pt;margin-top:251.55pt;width:4.5pt;height:4.6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" fillcolor="#099" stroked="f" strokeweight="2pt"/>
            </w:pict>
          </mc:Fallback>
        </mc:AlternateContent>
      </w:r>
      <w:r w:rsidRPr="00F33FD8">
        <w:rPr>
          <w:noProof/>
          <w:u w:val="single"/>
          <w:lang w:val="en-US" w:eastAsia="en-US"/>
        </w:rPr>
        <mc:AlternateContent>
          <mc:Choice Requires="wps">
            <w:drawing>
              <wp:anchor distT="0" distB="0" distL="114300" distR="114300" simplePos="0" relativeHeight="251681792" behindDoc="0" locked="0" layoutInCell="1" allowOverlap="1" wp14:anchorId="25B86B53" wp14:editId="2EFA0600">
                <wp:simplePos x="0" y="0"/>
                <wp:positionH relativeFrom="column">
                  <wp:posOffset>3430905</wp:posOffset>
                </wp:positionH>
                <wp:positionV relativeFrom="paragraph">
                  <wp:posOffset>3180715</wp:posOffset>
                </wp:positionV>
                <wp:extent cx="57150" cy="58420"/>
                <wp:effectExtent l="0" t="0" r="0" b="0"/>
                <wp:wrapNone/>
                <wp:docPr id="48"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00B050"/>
                        </a:solidFill>
                        <a:ln w="25400" cap="flat" cmpd="sng" algn="ctr">
                          <a:noFill/>
                          <a:prstDash val="solid"/>
                        </a:ln>
                        <a:effectLst/>
                      </wps:spPr>
                      <wps:bodyPr/>
                    </wps:wsp>
                  </a:graphicData>
                </a:graphic>
              </wp:anchor>
            </w:drawing>
          </mc:Choice>
          <mc:Fallback>
            <w:pict>
              <v:rect id="Rectangle 1" o:spid="_x0000_s1026" style="position:absolute;margin-left:270.15pt;margin-top:250.45pt;width:4.5pt;height:4.6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" fillcolor="#00b050" stroked="f" strokeweight="2pt"/>
            </w:pict>
          </mc:Fallback>
        </mc:AlternateContent>
      </w:r>
      <w:r w:rsidRPr="00F33FD8">
        <w:rPr>
          <w:noProof/>
          <w:u w:val="single"/>
          <w:lang w:val="en-US" w:eastAsia="en-US"/>
        </w:rPr>
        <mc:AlternateContent>
          <mc:Choice Requires="wps">
            <w:drawing>
              <wp:anchor distT="0" distB="0" distL="114300" distR="114300" simplePos="0" relativeHeight="251683840" behindDoc="0" locked="0" layoutInCell="1" allowOverlap="1" wp14:anchorId="48C50657" wp14:editId="4991175D">
                <wp:simplePos x="0" y="0"/>
                <wp:positionH relativeFrom="column">
                  <wp:posOffset>4130040</wp:posOffset>
                </wp:positionH>
                <wp:positionV relativeFrom="paragraph">
                  <wp:posOffset>3184525</wp:posOffset>
                </wp:positionV>
                <wp:extent cx="57150" cy="58420"/>
                <wp:effectExtent l="0" t="0" r="0" b="0"/>
                <wp:wrapNone/>
                <wp:docPr id="53"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Rectangle 1" o:spid="_x0000_s1026" style="position:absolute;margin-left:325.2pt;margin-top:250.75pt;width:4.5pt;height:4.6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" fillcolor="#a5a5a5 [2092]" stroked="f" strokeweight="2pt"/>
            </w:pict>
          </mc:Fallback>
        </mc:AlternateContent>
      </w:r>
      <w:r w:rsidRPr="00F33FD8">
        <w:rPr>
          <w:noProof/>
          <w:u w:val="single"/>
          <w:lang w:val="en-US" w:eastAsia="en-US"/>
        </w:rPr>
        <mc:AlternateContent>
          <mc:Choice Requires="wps">
            <w:drawing>
              <wp:anchor distT="0" distB="0" distL="114300" distR="114300" simplePos="0" relativeHeight="251691008" behindDoc="0" locked="0" layoutInCell="1" allowOverlap="1" wp14:anchorId="5E3A29DE" wp14:editId="786516BE">
                <wp:simplePos x="0" y="0"/>
                <wp:positionH relativeFrom="column">
                  <wp:posOffset>4801235</wp:posOffset>
                </wp:positionH>
                <wp:positionV relativeFrom="paragraph">
                  <wp:posOffset>3183255</wp:posOffset>
                </wp:positionV>
                <wp:extent cx="57150" cy="58420"/>
                <wp:effectExtent l="0" t="0" r="0" b="0"/>
                <wp:wrapNone/>
                <wp:docPr id="256"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92D050"/>
                        </a:solidFill>
                        <a:ln w="25400" cap="flat" cmpd="sng" algn="ctr">
                          <a:noFill/>
                          <a:prstDash val="solid"/>
                        </a:ln>
                        <a:effectLst/>
                      </wps:spPr>
                      <wps:bodyPr/>
                    </wps:wsp>
                  </a:graphicData>
                </a:graphic>
              </wp:anchor>
            </w:drawing>
          </mc:Choice>
          <mc:Fallback>
            <w:pict>
              <v:rect id="Rectangle 1" o:spid="_x0000_s1026" style="position:absolute;margin-left:378.05pt;margin-top:250.65pt;width:4.5pt;height:4.6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" fillcolor="#92d050" stroked="f" strokeweight="2pt"/>
            </w:pict>
          </mc:Fallback>
        </mc:AlternateContent>
      </w:r>
      <w:r>
        <w:rPr>
          <w:noProof/>
          <w:lang w:val="en-US" w:eastAsia="en-US"/>
        </w:rPr>
        <w:drawing>
          <wp:inline distT="0" distB="0" distL="0" distR="0" wp14:anchorId="592662D8" wp14:editId="30AAE0FF">
            <wp:extent cx="5260862" cy="2964108"/>
            <wp:effectExtent l="0" t="0" r="16510" b="27305"/>
            <wp:docPr id="49" name="Graphique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D5CA3" w:rsidRDefault="00FD5CA3" w:rsidP="005D1CFF">
      <w:pPr>
        <w:pStyle w:val="ONUME"/>
        <w:numPr>
          <w:ilvl w:val="0"/>
          <w:numId w:val="0"/>
        </w:numPr>
      </w:pPr>
      <w:r w:rsidRPr="00F33FD8">
        <w:rPr>
          <w:noProof/>
          <w:lang w:val="en-US" w:eastAsia="en-US"/>
        </w:rPr>
        <mc:AlternateContent>
          <mc:Choice Requires="wps">
            <w:drawing>
              <wp:anchor distT="0" distB="0" distL="114300" distR="114300" simplePos="0" relativeHeight="251679744" behindDoc="0" locked="0" layoutInCell="1" allowOverlap="1" wp14:anchorId="26865906" wp14:editId="0B12127A">
                <wp:simplePos x="0" y="0"/>
                <wp:positionH relativeFrom="column">
                  <wp:posOffset>152136</wp:posOffset>
                </wp:positionH>
                <wp:positionV relativeFrom="paragraph">
                  <wp:posOffset>57150</wp:posOffset>
                </wp:positionV>
                <wp:extent cx="57150" cy="58420"/>
                <wp:effectExtent l="0" t="0" r="0" b="0"/>
                <wp:wrapNone/>
                <wp:docPr id="46"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800080"/>
                        </a:solidFill>
                        <a:ln w="25400" cap="flat" cmpd="sng" algn="ctr">
                          <a:noFill/>
                          <a:prstDash val="solid"/>
                        </a:ln>
                        <a:effectLst/>
                      </wps:spPr>
                      <wps:bodyPr/>
                    </wps:wsp>
                  </a:graphicData>
                </a:graphic>
              </wp:anchor>
            </w:drawing>
          </mc:Choice>
          <mc:Fallback>
            <w:pict>
              <v:rect id="Rectangle 1" o:spid="_x0000_s1026" style="position:absolute;margin-left:12pt;margin-top:4.5pt;width:4.5pt;height:4.6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" fillcolor="purple" stroked="f" strokeweight="2pt"/>
            </w:pict>
          </mc:Fallback>
        </mc:AlternateContent>
      </w:r>
    </w:p>
    <w:p w:rsidR="00FD5CA3" w:rsidRPr="00E474B5" w:rsidRDefault="00FD5CA3" w:rsidP="00FD5CA3">
      <w:pPr>
        <w:pStyle w:val="ONUMFS"/>
        <w:numPr>
          <w:ilvl w:val="0"/>
          <w:numId w:val="6"/>
        </w:numPr>
      </w:pPr>
      <w:r>
        <w:t>E</w:t>
      </w:r>
      <w:r w:rsidRPr="00E474B5">
        <w:t>n</w:t>
      </w:r>
      <w:r>
        <w:t> </w:t>
      </w:r>
      <w:r w:rsidRPr="00E474B5">
        <w:t xml:space="preserve">2014, </w:t>
      </w:r>
      <w:r>
        <w:t xml:space="preserve">lorsque l’Union européenne était </w:t>
      </w:r>
      <w:r w:rsidRPr="00BF652B">
        <w:t>désignée dans un enregistrement international</w:t>
      </w:r>
      <w:r>
        <w:t>, 71,7%</w:t>
      </w:r>
      <w:r w:rsidRPr="00E474B5">
        <w:t xml:space="preserve"> </w:t>
      </w:r>
      <w:r>
        <w:t>des enregistrements internationaux provenant des États</w:t>
      </w:r>
      <w:r>
        <w:noBreakHyphen/>
        <w:t>Unis d’Amérique contenaient une revendication de priorité,</w:t>
      </w:r>
      <w:r w:rsidRPr="00E474B5">
        <w:t xml:space="preserve"> </w:t>
      </w:r>
      <w:r>
        <w:t xml:space="preserve">contre </w:t>
      </w:r>
      <w:r w:rsidRPr="00E474B5">
        <w:t>21</w:t>
      </w:r>
      <w:r>
        <w:t>,</w:t>
      </w:r>
      <w:r w:rsidRPr="00E474B5">
        <w:t>5</w:t>
      </w:r>
      <w:r>
        <w:t>%</w:t>
      </w:r>
      <w:r w:rsidRPr="00E474B5">
        <w:t xml:space="preserve"> </w:t>
      </w:r>
      <w:r>
        <w:t>de ceux qui provenaient d’Allemagne</w:t>
      </w:r>
      <w:r w:rsidRPr="00E474B5">
        <w:t>, 14</w:t>
      </w:r>
      <w:r>
        <w:t>,</w:t>
      </w:r>
      <w:r w:rsidRPr="00E474B5">
        <w:t>1</w:t>
      </w:r>
      <w:r>
        <w:t>%</w:t>
      </w:r>
      <w:r w:rsidRPr="00E474B5">
        <w:t xml:space="preserve"> </w:t>
      </w:r>
      <w:r>
        <w:t>de ceux qui provenaient de Suisse</w:t>
      </w:r>
      <w:r w:rsidRPr="00E474B5">
        <w:t>, 90</w:t>
      </w:r>
      <w:r>
        <w:t>%</w:t>
      </w:r>
      <w:r w:rsidRPr="00E474B5">
        <w:t xml:space="preserve"> </w:t>
      </w:r>
      <w:r>
        <w:t>de ceux qui provenaient de la République de Corée et</w:t>
      </w:r>
      <w:r w:rsidR="004675A2">
        <w:t> </w:t>
      </w:r>
      <w:r w:rsidRPr="00E474B5">
        <w:t>81</w:t>
      </w:r>
      <w:r>
        <w:t>,</w:t>
      </w:r>
      <w:r w:rsidRPr="00E474B5">
        <w:t>3</w:t>
      </w:r>
      <w:r>
        <w:t>%</w:t>
      </w:r>
      <w:r w:rsidRPr="00E474B5">
        <w:t xml:space="preserve"> </w:t>
      </w:r>
      <w:r>
        <w:t xml:space="preserve">de ceux qui provenaient de </w:t>
      </w:r>
      <w:r w:rsidRPr="00E474B5">
        <w:t>Chin</w:t>
      </w:r>
      <w:r>
        <w:t>e</w:t>
      </w:r>
      <w:r w:rsidRPr="00E474B5">
        <w:t>.</w:t>
      </w:r>
    </w:p>
    <w:p w:rsidR="00AD60F6" w:rsidRDefault="00AD60F6">
      <w:r>
        <w:br w:type="page"/>
      </w:r>
    </w:p>
    <w:p w:rsidR="00FD5CA3" w:rsidRPr="00E474B5" w:rsidRDefault="00FD5CA3" w:rsidP="00FD5CA3">
      <w:pPr>
        <w:pStyle w:val="ONUMFS"/>
        <w:numPr>
          <w:ilvl w:val="0"/>
          <w:numId w:val="6"/>
        </w:numPr>
      </w:pPr>
      <w:r>
        <w:lastRenderedPageBreak/>
        <w:t>La même année</w:t>
      </w:r>
      <w:r w:rsidRPr="00E474B5">
        <w:t xml:space="preserve">, </w:t>
      </w:r>
      <w:r>
        <w:t>lorsque la République de Corée</w:t>
      </w:r>
      <w:r w:rsidRPr="00E474B5">
        <w:t xml:space="preserve"> </w:t>
      </w:r>
      <w:r>
        <w:t xml:space="preserve">était </w:t>
      </w:r>
      <w:r w:rsidRPr="00BF652B">
        <w:t>désignée dans un enregistrement international</w:t>
      </w:r>
      <w:r w:rsidRPr="00E474B5">
        <w:t>, 17</w:t>
      </w:r>
      <w:r>
        <w:t>%</w:t>
      </w:r>
      <w:r w:rsidRPr="00E474B5">
        <w:t xml:space="preserve"> </w:t>
      </w:r>
      <w:r>
        <w:t>des enregistrements internationaux provenant de la Suisse contenaient une revendication de priorité</w:t>
      </w:r>
      <w:r w:rsidRPr="00E474B5">
        <w:t xml:space="preserve">, </w:t>
      </w:r>
      <w:r>
        <w:t>contre</w:t>
      </w:r>
      <w:r w:rsidRPr="00E474B5">
        <w:t xml:space="preserve"> 45</w:t>
      </w:r>
      <w:r>
        <w:t>,</w:t>
      </w:r>
      <w:r w:rsidRPr="00E474B5">
        <w:t>5</w:t>
      </w:r>
      <w:r>
        <w:t>%</w:t>
      </w:r>
      <w:r w:rsidRPr="00E474B5">
        <w:t xml:space="preserve"> </w:t>
      </w:r>
      <w:r>
        <w:t>de ceux qui provenaient d’Allemagne</w:t>
      </w:r>
      <w:r w:rsidRPr="00E474B5">
        <w:t>, 80</w:t>
      </w:r>
      <w:r>
        <w:t>%</w:t>
      </w:r>
      <w:r w:rsidRPr="00E474B5">
        <w:t xml:space="preserve"> </w:t>
      </w:r>
      <w:r>
        <w:t>de ceux qui provenaient des Pays</w:t>
      </w:r>
      <w:r>
        <w:noBreakHyphen/>
        <w:t>Bas</w:t>
      </w:r>
      <w:r w:rsidRPr="00E474B5">
        <w:t>, 54</w:t>
      </w:r>
      <w:r>
        <w:t>,</w:t>
      </w:r>
      <w:r w:rsidRPr="00E474B5">
        <w:t>8</w:t>
      </w:r>
      <w:r>
        <w:t>%</w:t>
      </w:r>
      <w:r w:rsidRPr="00E474B5">
        <w:t xml:space="preserve"> </w:t>
      </w:r>
      <w:r>
        <w:t>de ceux qui provenaient d’Italie</w:t>
      </w:r>
      <w:r w:rsidRPr="00E474B5">
        <w:t xml:space="preserve">, </w:t>
      </w:r>
      <w:r>
        <w:t>et</w:t>
      </w:r>
      <w:r w:rsidRPr="00E474B5">
        <w:t xml:space="preserve"> 78</w:t>
      </w:r>
      <w:r>
        <w:t>,</w:t>
      </w:r>
      <w:r w:rsidRPr="00E474B5">
        <w:t>6</w:t>
      </w:r>
      <w:r>
        <w:t>%</w:t>
      </w:r>
      <w:r w:rsidRPr="00E474B5">
        <w:t xml:space="preserve"> </w:t>
      </w:r>
      <w:r>
        <w:t>de ceux qui provenaient des États</w:t>
      </w:r>
      <w:r>
        <w:noBreakHyphen/>
        <w:t>Unis d’Amérique</w:t>
      </w:r>
      <w:r w:rsidRPr="00E474B5">
        <w:t>.</w:t>
      </w:r>
    </w:p>
    <w:p w:rsidR="00FD5CA3" w:rsidRDefault="00FD5CA3" w:rsidP="005D1CFF">
      <w:pPr>
        <w:pStyle w:val="ONUME"/>
        <w:numPr>
          <w:ilvl w:val="0"/>
          <w:numId w:val="0"/>
        </w:numPr>
      </w:pPr>
      <w:r>
        <w:rPr>
          <w:noProof/>
          <w:lang w:val="en-US" w:eastAsia="en-US"/>
        </w:rPr>
        <mc:AlternateContent>
          <mc:Choice Requires="wps">
            <w:drawing>
              <wp:anchor distT="0" distB="0" distL="114300" distR="114300" simplePos="0" relativeHeight="251708416" behindDoc="0" locked="0" layoutInCell="1" allowOverlap="1" wp14:anchorId="4F5B76E2" wp14:editId="02ECAE85">
                <wp:simplePos x="0" y="0"/>
                <wp:positionH relativeFrom="column">
                  <wp:posOffset>5085715</wp:posOffset>
                </wp:positionH>
                <wp:positionV relativeFrom="paragraph">
                  <wp:posOffset>2807970</wp:posOffset>
                </wp:positionV>
                <wp:extent cx="535305" cy="248920"/>
                <wp:effectExtent l="0" t="0" r="0" b="0"/>
                <wp:wrapNone/>
                <wp:docPr id="280" name="Zone de texte 280"/>
                <wp:cNvGraphicFramePr/>
                <a:graphic xmlns:a="http://schemas.openxmlformats.org/drawingml/2006/main">
                  <a:graphicData uri="http://schemas.microsoft.com/office/word/2010/wordprocessingShape">
                    <wps:wsp>
                      <wps:cNvSpPr txBox="1"/>
                      <wps:spPr>
                        <a:xfrm>
                          <a:off x="0" y="0"/>
                          <a:ext cx="535305"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CA3" w:rsidRDefault="00FD5CA3" w:rsidP="00746947">
                            <w:r>
                              <w:t>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0" o:spid="_x0000_s1042" type="#_x0000_t202" style="position:absolute;margin-left:400.45pt;margin-top:221.1pt;width:42.15pt;height:19.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" filled="f" stroked="f" strokeweight=".5pt">
                <v:textbox>
                  <w:txbxContent>
                    <w:p w:rsidR="00FD5CA3" w:rsidRDefault="00FD5CA3" w:rsidP="00746947">
                      <w:r>
                        <w:t>IT</w:t>
                      </w:r>
                    </w:p>
                  </w:txbxContent>
                </v:textbox>
              </v:shape>
            </w:pict>
          </mc:Fallback>
        </mc:AlternateContent>
      </w:r>
      <w:r>
        <w:rPr>
          <w:noProof/>
          <w:lang w:val="en-US" w:eastAsia="en-US"/>
        </w:rPr>
        <mc:AlternateContent>
          <mc:Choice Requires="wps">
            <w:drawing>
              <wp:anchor distT="0" distB="0" distL="114300" distR="114300" simplePos="0" relativeHeight="251707392" behindDoc="0" locked="0" layoutInCell="1" allowOverlap="1" wp14:anchorId="4CEFE5CE" wp14:editId="2A4FE03D">
                <wp:simplePos x="0" y="0"/>
                <wp:positionH relativeFrom="column">
                  <wp:posOffset>4480728</wp:posOffset>
                </wp:positionH>
                <wp:positionV relativeFrom="paragraph">
                  <wp:posOffset>2807251</wp:posOffset>
                </wp:positionV>
                <wp:extent cx="535305" cy="248920"/>
                <wp:effectExtent l="0" t="0" r="0" b="0"/>
                <wp:wrapNone/>
                <wp:docPr id="279" name="Zone de texte 279"/>
                <wp:cNvGraphicFramePr/>
                <a:graphic xmlns:a="http://schemas.openxmlformats.org/drawingml/2006/main">
                  <a:graphicData uri="http://schemas.microsoft.com/office/word/2010/wordprocessingShape">
                    <wps:wsp>
                      <wps:cNvSpPr txBox="1"/>
                      <wps:spPr>
                        <a:xfrm>
                          <a:off x="0" y="0"/>
                          <a:ext cx="535305"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CA3" w:rsidRDefault="00FD5CA3" w:rsidP="00746947">
                            <w:r>
                              <w:t>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9" o:spid="_x0000_s1043" type="#_x0000_t202" style="position:absolute;margin-left:352.8pt;margin-top:221.05pt;width:42.15pt;height:19.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" filled="f" stroked="f" strokeweight=".5pt">
                <v:textbox>
                  <w:txbxContent>
                    <w:p w:rsidR="00FD5CA3" w:rsidRDefault="00FD5CA3" w:rsidP="00746947">
                      <w:r>
                        <w:t>NL</w:t>
                      </w:r>
                    </w:p>
                  </w:txbxContent>
                </v:textbox>
              </v:shape>
            </w:pict>
          </mc:Fallback>
        </mc:AlternateContent>
      </w:r>
      <w:r>
        <w:rPr>
          <w:noProof/>
          <w:lang w:val="en-US" w:eastAsia="en-US"/>
        </w:rPr>
        <mc:AlternateContent>
          <mc:Choice Requires="wps">
            <w:drawing>
              <wp:anchor distT="0" distB="0" distL="114300" distR="114300" simplePos="0" relativeHeight="251706368" behindDoc="0" locked="0" layoutInCell="1" allowOverlap="1" wp14:anchorId="555A4AD1" wp14:editId="03F518C9">
                <wp:simplePos x="0" y="0"/>
                <wp:positionH relativeFrom="column">
                  <wp:posOffset>3792220</wp:posOffset>
                </wp:positionH>
                <wp:positionV relativeFrom="paragraph">
                  <wp:posOffset>2815698</wp:posOffset>
                </wp:positionV>
                <wp:extent cx="535305" cy="249339"/>
                <wp:effectExtent l="0" t="0" r="0" b="0"/>
                <wp:wrapNone/>
                <wp:docPr id="278" name="Zone de texte 278"/>
                <wp:cNvGraphicFramePr/>
                <a:graphic xmlns:a="http://schemas.openxmlformats.org/drawingml/2006/main">
                  <a:graphicData uri="http://schemas.microsoft.com/office/word/2010/wordprocessingShape">
                    <wps:wsp>
                      <wps:cNvSpPr txBox="1"/>
                      <wps:spPr>
                        <a:xfrm>
                          <a:off x="0" y="0"/>
                          <a:ext cx="535305" cy="2493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CA3" w:rsidRDefault="00FD5CA3" w:rsidP="00746947">
                            <w:r>
                              <w:t>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8" o:spid="_x0000_s1044" type="#_x0000_t202" style="position:absolute;margin-left:298.6pt;margin-top:221.7pt;width:42.15pt;height:19.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" filled="f" stroked="f" strokeweight=".5pt">
                <v:textbox>
                  <w:txbxContent>
                    <w:p w:rsidR="00FD5CA3" w:rsidRDefault="00FD5CA3" w:rsidP="00746947">
                      <w:r>
                        <w:t>FR</w:t>
                      </w:r>
                    </w:p>
                  </w:txbxContent>
                </v:textbox>
              </v:shape>
            </w:pict>
          </mc:Fallback>
        </mc:AlternateContent>
      </w:r>
      <w:r>
        <w:rPr>
          <w:noProof/>
          <w:lang w:val="en-US" w:eastAsia="en-US"/>
        </w:rPr>
        <mc:AlternateContent>
          <mc:Choice Requires="wps">
            <w:drawing>
              <wp:anchor distT="0" distB="0" distL="114300" distR="114300" simplePos="0" relativeHeight="251705344" behindDoc="0" locked="0" layoutInCell="1" allowOverlap="1" wp14:anchorId="6CC476DD" wp14:editId="4810DDB1">
                <wp:simplePos x="0" y="0"/>
                <wp:positionH relativeFrom="column">
                  <wp:posOffset>3075940</wp:posOffset>
                </wp:positionH>
                <wp:positionV relativeFrom="paragraph">
                  <wp:posOffset>2816225</wp:posOffset>
                </wp:positionV>
                <wp:extent cx="535305" cy="231775"/>
                <wp:effectExtent l="0" t="0" r="0" b="0"/>
                <wp:wrapNone/>
                <wp:docPr id="277" name="Zone de texte 277"/>
                <wp:cNvGraphicFramePr/>
                <a:graphic xmlns:a="http://schemas.openxmlformats.org/drawingml/2006/main">
                  <a:graphicData uri="http://schemas.microsoft.com/office/word/2010/wordprocessingShape">
                    <wps:wsp>
                      <wps:cNvSpPr txBox="1"/>
                      <wps:spPr>
                        <a:xfrm>
                          <a:off x="0" y="0"/>
                          <a:ext cx="535305" cy="23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CA3" w:rsidRDefault="00FD5CA3" w:rsidP="00746947">
                            <w:r>
                              <w: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7" o:spid="_x0000_s1045" type="#_x0000_t202" style="position:absolute;margin-left:242.2pt;margin-top:221.75pt;width:42.15pt;height:18.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" filled="f" stroked="f" strokeweight=".5pt">
                <v:textbox>
                  <w:txbxContent>
                    <w:p w:rsidR="00FD5CA3" w:rsidRDefault="00FD5CA3" w:rsidP="00746947">
                      <w:r>
                        <w:t>CH</w:t>
                      </w:r>
                    </w:p>
                  </w:txbxContent>
                </v:textbox>
              </v:shape>
            </w:pict>
          </mc:Fallback>
        </mc:AlternateContent>
      </w:r>
      <w:r>
        <w:rPr>
          <w:noProof/>
          <w:lang w:val="en-US" w:eastAsia="en-US"/>
        </w:rPr>
        <mc:AlternateContent>
          <mc:Choice Requires="wps">
            <w:drawing>
              <wp:anchor distT="0" distB="0" distL="114300" distR="114300" simplePos="0" relativeHeight="251704320" behindDoc="0" locked="0" layoutInCell="1" allowOverlap="1" wp14:anchorId="4A15AE3C" wp14:editId="3CCA12F5">
                <wp:simplePos x="0" y="0"/>
                <wp:positionH relativeFrom="column">
                  <wp:posOffset>2377440</wp:posOffset>
                </wp:positionH>
                <wp:positionV relativeFrom="paragraph">
                  <wp:posOffset>2816225</wp:posOffset>
                </wp:positionV>
                <wp:extent cx="535305" cy="231775"/>
                <wp:effectExtent l="0" t="0" r="0" b="0"/>
                <wp:wrapNone/>
                <wp:docPr id="276" name="Zone de texte 276"/>
                <wp:cNvGraphicFramePr/>
                <a:graphic xmlns:a="http://schemas.openxmlformats.org/drawingml/2006/main">
                  <a:graphicData uri="http://schemas.microsoft.com/office/word/2010/wordprocessingShape">
                    <wps:wsp>
                      <wps:cNvSpPr txBox="1"/>
                      <wps:spPr>
                        <a:xfrm>
                          <a:off x="0" y="0"/>
                          <a:ext cx="535305" cy="23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CA3" w:rsidRDefault="00FD5CA3" w:rsidP="00746947">
                            <w:r>
                              <w:t>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6" o:spid="_x0000_s1046" type="#_x0000_t202" style="position:absolute;margin-left:187.2pt;margin-top:221.75pt;width:42.15pt;height:18.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" filled="f" stroked="f" strokeweight=".5pt">
                <v:textbox>
                  <w:txbxContent>
                    <w:p w:rsidR="00FD5CA3" w:rsidRDefault="00FD5CA3" w:rsidP="00746947">
                      <w:r>
                        <w:t>JP</w:t>
                      </w:r>
                    </w:p>
                  </w:txbxContent>
                </v:textbox>
              </v:shape>
            </w:pict>
          </mc:Fallback>
        </mc:AlternateContent>
      </w:r>
      <w:r>
        <w:rPr>
          <w:noProof/>
          <w:lang w:val="en-US" w:eastAsia="en-US"/>
        </w:rPr>
        <mc:AlternateContent>
          <mc:Choice Requires="wps">
            <w:drawing>
              <wp:anchor distT="0" distB="0" distL="114300" distR="114300" simplePos="0" relativeHeight="251701248" behindDoc="0" locked="0" layoutInCell="1" allowOverlap="1" wp14:anchorId="2F460EB5" wp14:editId="2DAEF718">
                <wp:simplePos x="0" y="0"/>
                <wp:positionH relativeFrom="column">
                  <wp:posOffset>304800</wp:posOffset>
                </wp:positionH>
                <wp:positionV relativeFrom="paragraph">
                  <wp:posOffset>2824480</wp:posOffset>
                </wp:positionV>
                <wp:extent cx="535305" cy="249555"/>
                <wp:effectExtent l="0" t="0" r="0" b="0"/>
                <wp:wrapNone/>
                <wp:docPr id="273" name="Zone de texte 273"/>
                <wp:cNvGraphicFramePr/>
                <a:graphic xmlns:a="http://schemas.openxmlformats.org/drawingml/2006/main">
                  <a:graphicData uri="http://schemas.microsoft.com/office/word/2010/wordprocessingShape">
                    <wps:wsp>
                      <wps:cNvSpPr txBox="1"/>
                      <wps:spPr>
                        <a:xfrm>
                          <a:off x="0" y="0"/>
                          <a:ext cx="53530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CA3" w:rsidRDefault="00FD5CA3" w:rsidP="00746947">
                            <w:r>
                              <w:t>KR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3" o:spid="_x0000_s1047" type="#_x0000_t202" style="position:absolute;margin-left:24pt;margin-top:222.4pt;width:42.15pt;height:19.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" filled="f" stroked="f" strokeweight=".5pt">
                <v:textbox>
                  <w:txbxContent>
                    <w:p w:rsidR="00FD5CA3" w:rsidRDefault="00FD5CA3" w:rsidP="00746947">
                      <w:r>
                        <w:t>KR</w:t>
                      </w:r>
                    </w:p>
                  </w:txbxContent>
                </v:textbox>
              </v:shape>
            </w:pict>
          </mc:Fallback>
        </mc:AlternateContent>
      </w:r>
      <w:r>
        <w:rPr>
          <w:noProof/>
          <w:lang w:val="en-US" w:eastAsia="en-US"/>
        </w:rPr>
        <mc:AlternateContent>
          <mc:Choice Requires="wps">
            <w:drawing>
              <wp:anchor distT="0" distB="0" distL="114300" distR="114300" simplePos="0" relativeHeight="251703296" behindDoc="0" locked="0" layoutInCell="1" allowOverlap="1" wp14:anchorId="2C4A162F" wp14:editId="3141C0F9">
                <wp:simplePos x="0" y="0"/>
                <wp:positionH relativeFrom="column">
                  <wp:posOffset>1691640</wp:posOffset>
                </wp:positionH>
                <wp:positionV relativeFrom="paragraph">
                  <wp:posOffset>2822879</wp:posOffset>
                </wp:positionV>
                <wp:extent cx="535305" cy="249555"/>
                <wp:effectExtent l="0" t="0" r="0" b="0"/>
                <wp:wrapNone/>
                <wp:docPr id="275" name="Zone de texte 275"/>
                <wp:cNvGraphicFramePr/>
                <a:graphic xmlns:a="http://schemas.openxmlformats.org/drawingml/2006/main">
                  <a:graphicData uri="http://schemas.microsoft.com/office/word/2010/wordprocessingShape">
                    <wps:wsp>
                      <wps:cNvSpPr txBox="1"/>
                      <wps:spPr>
                        <a:xfrm>
                          <a:off x="0" y="0"/>
                          <a:ext cx="53530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CA3" w:rsidRDefault="00FD5CA3" w:rsidP="00746947">
                            <w:r>
                              <w:t>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5" o:spid="_x0000_s1048" type="#_x0000_t202" style="position:absolute;margin-left:133.2pt;margin-top:222.25pt;width:42.15pt;height:19.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" filled="f" stroked="f" strokeweight=".5pt">
                <v:textbox>
                  <w:txbxContent>
                    <w:p w:rsidR="00FD5CA3" w:rsidRDefault="00FD5CA3" w:rsidP="00746947">
                      <w:r>
                        <w:t>DE</w:t>
                      </w:r>
                    </w:p>
                  </w:txbxContent>
                </v:textbox>
              </v:shape>
            </w:pict>
          </mc:Fallback>
        </mc:AlternateContent>
      </w:r>
      <w:r>
        <w:rPr>
          <w:noProof/>
          <w:lang w:val="en-US" w:eastAsia="en-US"/>
        </w:rPr>
        <mc:AlternateContent>
          <mc:Choice Requires="wps">
            <w:drawing>
              <wp:anchor distT="0" distB="0" distL="114300" distR="114300" simplePos="0" relativeHeight="251702272" behindDoc="0" locked="0" layoutInCell="1" allowOverlap="1" wp14:anchorId="4294D744" wp14:editId="63131821">
                <wp:simplePos x="0" y="0"/>
                <wp:positionH relativeFrom="column">
                  <wp:posOffset>1005954</wp:posOffset>
                </wp:positionH>
                <wp:positionV relativeFrom="paragraph">
                  <wp:posOffset>2817003</wp:posOffset>
                </wp:positionV>
                <wp:extent cx="535305" cy="249555"/>
                <wp:effectExtent l="0" t="0" r="0" b="0"/>
                <wp:wrapNone/>
                <wp:docPr id="274" name="Zone de texte 274"/>
                <wp:cNvGraphicFramePr/>
                <a:graphic xmlns:a="http://schemas.openxmlformats.org/drawingml/2006/main">
                  <a:graphicData uri="http://schemas.microsoft.com/office/word/2010/wordprocessingShape">
                    <wps:wsp>
                      <wps:cNvSpPr txBox="1"/>
                      <wps:spPr>
                        <a:xfrm>
                          <a:off x="0" y="0"/>
                          <a:ext cx="53530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CA3" w:rsidRDefault="00FD5CA3" w:rsidP="00746947">
                            <w:r>
                              <w: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4" o:spid="_x0000_s1049" type="#_x0000_t202" style="position:absolute;margin-left:79.2pt;margin-top:221.8pt;width:42.15pt;height:19.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" filled="f" stroked="f" strokeweight=".5pt">
                <v:textbox>
                  <w:txbxContent>
                    <w:p w:rsidR="00FD5CA3" w:rsidRDefault="00FD5CA3" w:rsidP="00746947">
                      <w:r>
                        <w:t>US</w:t>
                      </w:r>
                    </w:p>
                  </w:txbxContent>
                </v:textbox>
              </v:shape>
            </w:pict>
          </mc:Fallback>
        </mc:AlternateContent>
      </w:r>
      <w:r>
        <w:rPr>
          <w:noProof/>
          <w:lang w:val="en-US" w:eastAsia="en-US"/>
        </w:rPr>
        <w:drawing>
          <wp:inline distT="0" distB="0" distL="0" distR="0" wp14:anchorId="6E918E51" wp14:editId="610D9B95">
            <wp:extent cx="5940425" cy="2730852"/>
            <wp:effectExtent l="0" t="0" r="22225" b="12700"/>
            <wp:docPr id="50" name="Graphique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D5CA3" w:rsidRDefault="00FD5CA3" w:rsidP="005D1CFF">
      <w:pPr>
        <w:pStyle w:val="ONUME"/>
        <w:numPr>
          <w:ilvl w:val="0"/>
          <w:numId w:val="0"/>
        </w:numPr>
      </w:pPr>
      <w:r w:rsidRPr="000D628C">
        <w:rPr>
          <w:noProof/>
          <w:lang w:val="en-US" w:eastAsia="en-US"/>
        </w:rPr>
        <mc:AlternateContent>
          <mc:Choice Requires="wps">
            <w:drawing>
              <wp:anchor distT="0" distB="0" distL="114300" distR="114300" simplePos="0" relativeHeight="251699200" behindDoc="0" locked="0" layoutInCell="1" allowOverlap="1" wp14:anchorId="62167B05" wp14:editId="137A4B22">
                <wp:simplePos x="0" y="0"/>
                <wp:positionH relativeFrom="column">
                  <wp:posOffset>3740150</wp:posOffset>
                </wp:positionH>
                <wp:positionV relativeFrom="paragraph">
                  <wp:posOffset>18679</wp:posOffset>
                </wp:positionV>
                <wp:extent cx="57150" cy="58420"/>
                <wp:effectExtent l="0" t="0" r="0" b="0"/>
                <wp:wrapNone/>
                <wp:docPr id="271"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0070C0"/>
                        </a:solidFill>
                        <a:ln w="25400" cap="flat" cmpd="sng" algn="ctr">
                          <a:noFill/>
                          <a:prstDash val="solid"/>
                        </a:ln>
                        <a:effectLst/>
                      </wps:spPr>
                      <wps:bodyPr/>
                    </wps:wsp>
                  </a:graphicData>
                </a:graphic>
              </wp:anchor>
            </w:drawing>
          </mc:Choice>
          <mc:Fallback>
            <w:pict>
              <v:rect id="Rectangle 1" o:spid="_x0000_s1026" style="position:absolute;margin-left:294.5pt;margin-top:1.45pt;width:4.5pt;height:4.6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" fillcolor="#0070c0" stroked="f" strokeweight="2pt"/>
            </w:pict>
          </mc:Fallback>
        </mc:AlternateContent>
      </w:r>
      <w:r w:rsidRPr="000D628C">
        <w:rPr>
          <w:noProof/>
          <w:lang w:val="en-US" w:eastAsia="en-US"/>
        </w:rPr>
        <mc:AlternateContent>
          <mc:Choice Requires="wps">
            <w:drawing>
              <wp:anchor distT="0" distB="0" distL="114300" distR="114300" simplePos="0" relativeHeight="251700224" behindDoc="0" locked="0" layoutInCell="1" allowOverlap="1" wp14:anchorId="55A1026F" wp14:editId="1CE7472D">
                <wp:simplePos x="0" y="0"/>
                <wp:positionH relativeFrom="column">
                  <wp:posOffset>5017135</wp:posOffset>
                </wp:positionH>
                <wp:positionV relativeFrom="paragraph">
                  <wp:posOffset>11801</wp:posOffset>
                </wp:positionV>
                <wp:extent cx="57150" cy="58420"/>
                <wp:effectExtent l="0" t="0" r="0" b="0"/>
                <wp:wrapNone/>
                <wp:docPr id="272"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92D050"/>
                        </a:solidFill>
                        <a:ln w="25400" cap="flat" cmpd="sng" algn="ctr">
                          <a:noFill/>
                          <a:prstDash val="solid"/>
                        </a:ln>
                        <a:effectLst/>
                      </wps:spPr>
                      <wps:bodyPr/>
                    </wps:wsp>
                  </a:graphicData>
                </a:graphic>
              </wp:anchor>
            </w:drawing>
          </mc:Choice>
          <mc:Fallback>
            <w:pict>
              <v:rect id="Rectangle 1" o:spid="_x0000_s1026" style="position:absolute;margin-left:395.05pt;margin-top:.95pt;width:4.5pt;height:4.6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" fillcolor="#92d050" stroked="f" strokeweight="2pt"/>
            </w:pict>
          </mc:Fallback>
        </mc:AlternateContent>
      </w:r>
      <w:r w:rsidRPr="000D628C">
        <w:rPr>
          <w:noProof/>
          <w:lang w:val="en-US" w:eastAsia="en-US"/>
        </w:rPr>
        <mc:AlternateContent>
          <mc:Choice Requires="wps">
            <w:drawing>
              <wp:anchor distT="0" distB="0" distL="114300" distR="114300" simplePos="0" relativeHeight="251696128" behindDoc="0" locked="0" layoutInCell="1" allowOverlap="1" wp14:anchorId="6FA23D92" wp14:editId="3E20FB08">
                <wp:simplePos x="0" y="0"/>
                <wp:positionH relativeFrom="column">
                  <wp:posOffset>4428490</wp:posOffset>
                </wp:positionH>
                <wp:positionV relativeFrom="paragraph">
                  <wp:posOffset>9261</wp:posOffset>
                </wp:positionV>
                <wp:extent cx="57150" cy="58420"/>
                <wp:effectExtent l="0" t="0" r="0" b="0"/>
                <wp:wrapNone/>
                <wp:docPr id="268"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chemeClr val="bg1">
                            <a:lumMod val="65000"/>
                          </a:schemeClr>
                        </a:solidFill>
                        <a:ln w="25400" cap="flat" cmpd="sng" algn="ctr">
                          <a:noFill/>
                          <a:prstDash val="solid"/>
                        </a:ln>
                        <a:effectLst/>
                      </wps:spPr>
                      <wps:bodyPr/>
                    </wps:wsp>
                  </a:graphicData>
                </a:graphic>
              </wp:anchor>
            </w:drawing>
          </mc:Choice>
          <mc:Fallback>
            <w:pict>
              <v:rect id="Rectangle 1" o:spid="_x0000_s1026" style="position:absolute;margin-left:348.7pt;margin-top:.75pt;width:4.5pt;height:4.6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" fillcolor="#a5a5a5 [2092]" stroked="f" strokeweight="2pt"/>
            </w:pict>
          </mc:Fallback>
        </mc:AlternateContent>
      </w:r>
      <w:r w:rsidRPr="000D628C">
        <w:rPr>
          <w:noProof/>
          <w:lang w:val="en-US" w:eastAsia="en-US"/>
        </w:rPr>
        <mc:AlternateContent>
          <mc:Choice Requires="wps">
            <w:drawing>
              <wp:anchor distT="0" distB="0" distL="114300" distR="114300" simplePos="0" relativeHeight="251695104" behindDoc="0" locked="0" layoutInCell="1" allowOverlap="1" wp14:anchorId="124B3874" wp14:editId="6AC165BF">
                <wp:simplePos x="0" y="0"/>
                <wp:positionH relativeFrom="column">
                  <wp:posOffset>3023235</wp:posOffset>
                </wp:positionH>
                <wp:positionV relativeFrom="paragraph">
                  <wp:posOffset>19421</wp:posOffset>
                </wp:positionV>
                <wp:extent cx="57150" cy="58420"/>
                <wp:effectExtent l="0" t="0" r="0" b="0"/>
                <wp:wrapNone/>
                <wp:docPr id="267"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FF0000"/>
                        </a:solidFill>
                        <a:ln w="25400" cap="flat" cmpd="sng" algn="ctr">
                          <a:noFill/>
                          <a:prstDash val="solid"/>
                        </a:ln>
                        <a:effectLst/>
                      </wps:spPr>
                      <wps:bodyPr/>
                    </wps:wsp>
                  </a:graphicData>
                </a:graphic>
              </wp:anchor>
            </w:drawing>
          </mc:Choice>
          <mc:Fallback>
            <w:pict>
              <v:rect id="Rectangle 1" o:spid="_x0000_s1026" style="position:absolute;margin-left:238.05pt;margin-top:1.55pt;width:4.5pt;height:4.6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" fillcolor="red" stroked="f" strokeweight="2pt"/>
            </w:pict>
          </mc:Fallback>
        </mc:AlternateContent>
      </w:r>
      <w:r w:rsidRPr="000D628C">
        <w:rPr>
          <w:noProof/>
          <w:lang w:val="en-US" w:eastAsia="en-US"/>
        </w:rPr>
        <mc:AlternateContent>
          <mc:Choice Requires="wps">
            <w:drawing>
              <wp:anchor distT="0" distB="0" distL="114300" distR="114300" simplePos="0" relativeHeight="251698176" behindDoc="0" locked="0" layoutInCell="1" allowOverlap="1" wp14:anchorId="186945A7" wp14:editId="19A1D569">
                <wp:simplePos x="0" y="0"/>
                <wp:positionH relativeFrom="column">
                  <wp:posOffset>2324735</wp:posOffset>
                </wp:positionH>
                <wp:positionV relativeFrom="paragraph">
                  <wp:posOffset>28946</wp:posOffset>
                </wp:positionV>
                <wp:extent cx="57150" cy="58420"/>
                <wp:effectExtent l="0" t="0" r="0" b="0"/>
                <wp:wrapNone/>
                <wp:docPr id="270"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chemeClr val="accent5">
                            <a:lumMod val="40000"/>
                            <a:lumOff val="60000"/>
                          </a:schemeClr>
                        </a:solidFill>
                        <a:ln w="25400" cap="flat" cmpd="sng" algn="ctr">
                          <a:noFill/>
                          <a:prstDash val="solid"/>
                        </a:ln>
                        <a:effectLst/>
                      </wps:spPr>
                      <wps:bodyPr/>
                    </wps:wsp>
                  </a:graphicData>
                </a:graphic>
              </wp:anchor>
            </w:drawing>
          </mc:Choice>
          <mc:Fallback>
            <w:pict>
              <v:rect id="Rectangle 1" o:spid="_x0000_s1026" style="position:absolute;margin-left:183.05pt;margin-top:2.3pt;width:4.5pt;height:4.6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" fillcolor="#b6dde8 [1304]" stroked="f" strokeweight="2pt"/>
            </w:pict>
          </mc:Fallback>
        </mc:AlternateContent>
      </w:r>
      <w:r w:rsidRPr="000D628C">
        <w:rPr>
          <w:noProof/>
          <w:lang w:val="en-US" w:eastAsia="en-US"/>
        </w:rPr>
        <mc:AlternateContent>
          <mc:Choice Requires="wps">
            <w:drawing>
              <wp:anchor distT="0" distB="0" distL="114300" distR="114300" simplePos="0" relativeHeight="251697152" behindDoc="0" locked="0" layoutInCell="1" allowOverlap="1" wp14:anchorId="7084EA65" wp14:editId="362108F2">
                <wp:simplePos x="0" y="0"/>
                <wp:positionH relativeFrom="column">
                  <wp:posOffset>1633220</wp:posOffset>
                </wp:positionH>
                <wp:positionV relativeFrom="paragraph">
                  <wp:posOffset>30109</wp:posOffset>
                </wp:positionV>
                <wp:extent cx="57150" cy="58420"/>
                <wp:effectExtent l="0" t="0" r="0" b="0"/>
                <wp:wrapNone/>
                <wp:docPr id="269"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FFC000"/>
                        </a:solidFill>
                        <a:ln w="25400" cap="flat" cmpd="sng" algn="ctr">
                          <a:noFill/>
                          <a:prstDash val="solid"/>
                        </a:ln>
                        <a:effectLst/>
                      </wps:spPr>
                      <wps:bodyPr/>
                    </wps:wsp>
                  </a:graphicData>
                </a:graphic>
              </wp:anchor>
            </w:drawing>
          </mc:Choice>
          <mc:Fallback>
            <w:pict>
              <v:rect id="Rectangle 1" o:spid="_x0000_s1026" style="position:absolute;margin-left:128.6pt;margin-top:2.35pt;width:4.5pt;height:4.6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" fillcolor="#ffc000" stroked="f" strokeweight="2pt"/>
            </w:pict>
          </mc:Fallback>
        </mc:AlternateContent>
      </w:r>
      <w:r w:rsidRPr="000D628C">
        <w:rPr>
          <w:noProof/>
          <w:lang w:val="en-US" w:eastAsia="en-US"/>
        </w:rPr>
        <mc:AlternateContent>
          <mc:Choice Requires="wps">
            <w:drawing>
              <wp:anchor distT="0" distB="0" distL="114300" distR="114300" simplePos="0" relativeHeight="251694080" behindDoc="0" locked="0" layoutInCell="1" allowOverlap="1" wp14:anchorId="2C61071A" wp14:editId="215A4C76">
                <wp:simplePos x="0" y="0"/>
                <wp:positionH relativeFrom="column">
                  <wp:posOffset>941705</wp:posOffset>
                </wp:positionH>
                <wp:positionV relativeFrom="paragraph">
                  <wp:posOffset>32756</wp:posOffset>
                </wp:positionV>
                <wp:extent cx="57150" cy="58420"/>
                <wp:effectExtent l="0" t="0" r="0" b="0"/>
                <wp:wrapNone/>
                <wp:docPr id="266"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800080"/>
                        </a:solidFill>
                        <a:ln w="25400" cap="flat" cmpd="sng" algn="ctr">
                          <a:noFill/>
                          <a:prstDash val="solid"/>
                        </a:ln>
                        <a:effectLst/>
                      </wps:spPr>
                      <wps:bodyPr/>
                    </wps:wsp>
                  </a:graphicData>
                </a:graphic>
              </wp:anchor>
            </w:drawing>
          </mc:Choice>
          <mc:Fallback>
            <w:pict>
              <v:rect id="Rectangle 1" o:spid="_x0000_s1026" style="position:absolute;margin-left:74.15pt;margin-top:2.6pt;width:4.5pt;height:4.6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" fillcolor="purple" stroked="f" strokeweight="2pt"/>
            </w:pict>
          </mc:Fallback>
        </mc:AlternateContent>
      </w:r>
      <w:r w:rsidRPr="000D628C">
        <w:rPr>
          <w:noProof/>
          <w:lang w:val="en-US" w:eastAsia="en-US"/>
        </w:rPr>
        <mc:AlternateContent>
          <mc:Choice Requires="wps">
            <w:drawing>
              <wp:anchor distT="0" distB="0" distL="114300" distR="114300" simplePos="0" relativeHeight="251693056" behindDoc="0" locked="0" layoutInCell="1" allowOverlap="1" wp14:anchorId="20340071" wp14:editId="0601C406">
                <wp:simplePos x="0" y="0"/>
                <wp:positionH relativeFrom="column">
                  <wp:posOffset>226060</wp:posOffset>
                </wp:positionH>
                <wp:positionV relativeFrom="paragraph">
                  <wp:posOffset>35296</wp:posOffset>
                </wp:positionV>
                <wp:extent cx="57150" cy="58420"/>
                <wp:effectExtent l="0" t="0" r="0" b="0"/>
                <wp:wrapNone/>
                <wp:docPr id="265"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009999"/>
                        </a:solidFill>
                        <a:ln w="25400" cap="flat" cmpd="sng" algn="ctr">
                          <a:noFill/>
                          <a:prstDash val="solid"/>
                        </a:ln>
                        <a:effectLst/>
                      </wps:spPr>
                      <wps:bodyPr/>
                    </wps:wsp>
                  </a:graphicData>
                </a:graphic>
              </wp:anchor>
            </w:drawing>
          </mc:Choice>
          <mc:Fallback>
            <w:pict>
              <v:rect id="Rectangle 1" o:spid="_x0000_s1026" style="position:absolute;margin-left:17.8pt;margin-top:2.8pt;width:4.5pt;height:4.6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" fillcolor="#099" stroked="f" strokeweight="2pt"/>
            </w:pict>
          </mc:Fallback>
        </mc:AlternateContent>
      </w:r>
    </w:p>
    <w:p w:rsidR="00FD5CA3" w:rsidRPr="00E474B5" w:rsidRDefault="00FD5CA3" w:rsidP="00FD5CA3">
      <w:pPr>
        <w:pStyle w:val="ONUMFS"/>
        <w:numPr>
          <w:ilvl w:val="0"/>
          <w:numId w:val="6"/>
        </w:numPr>
      </w:pPr>
      <w:r>
        <w:t>E</w:t>
      </w:r>
      <w:r w:rsidRPr="00E474B5">
        <w:t>n</w:t>
      </w:r>
      <w:r>
        <w:t> </w:t>
      </w:r>
      <w:r w:rsidRPr="00E474B5">
        <w:t>201</w:t>
      </w:r>
      <w:r>
        <w:t>5</w:t>
      </w:r>
      <w:r w:rsidRPr="00E474B5">
        <w:t xml:space="preserve">, </w:t>
      </w:r>
      <w:r>
        <w:t xml:space="preserve">lorsque l’Union européenne était </w:t>
      </w:r>
      <w:r w:rsidRPr="00BF652B">
        <w:t>désignée dans un enregistrement international</w:t>
      </w:r>
      <w:r>
        <w:t>, 94,</w:t>
      </w:r>
      <w:r w:rsidRPr="00E474B5">
        <w:t>3</w:t>
      </w:r>
      <w:r>
        <w:t>% des enregistrements internationaux provenant de la République de Corée</w:t>
      </w:r>
      <w:r w:rsidRPr="00E474B5">
        <w:t xml:space="preserve"> </w:t>
      </w:r>
      <w:r>
        <w:t>contenaient une revendication de priorité</w:t>
      </w:r>
      <w:r w:rsidRPr="00E474B5">
        <w:t xml:space="preserve">, </w:t>
      </w:r>
      <w:r>
        <w:t>contre</w:t>
      </w:r>
      <w:r w:rsidRPr="00E474B5">
        <w:t xml:space="preserve"> </w:t>
      </w:r>
      <w:r>
        <w:t>74,</w:t>
      </w:r>
      <w:r w:rsidRPr="00E474B5">
        <w:t>4</w:t>
      </w:r>
      <w:r>
        <w:t>%</w:t>
      </w:r>
      <w:r w:rsidRPr="00E474B5">
        <w:t xml:space="preserve"> </w:t>
      </w:r>
      <w:r>
        <w:t>de ceux qui provenaient des États</w:t>
      </w:r>
      <w:r>
        <w:noBreakHyphen/>
        <w:t>Unis d’Amérique</w:t>
      </w:r>
      <w:r w:rsidRPr="00E474B5">
        <w:t>, 23</w:t>
      </w:r>
      <w:r>
        <w:t>,</w:t>
      </w:r>
      <w:r w:rsidRPr="00E474B5">
        <w:t>6</w:t>
      </w:r>
      <w:r>
        <w:t>%</w:t>
      </w:r>
      <w:r w:rsidRPr="00E474B5">
        <w:t xml:space="preserve"> </w:t>
      </w:r>
      <w:r>
        <w:t>de ceux qui provenaient d’Allemagne</w:t>
      </w:r>
      <w:r w:rsidRPr="00E474B5">
        <w:t>, 72</w:t>
      </w:r>
      <w:r>
        <w:t>,</w:t>
      </w:r>
      <w:r w:rsidRPr="00E474B5">
        <w:t>3</w:t>
      </w:r>
      <w:r>
        <w:t>%</w:t>
      </w:r>
      <w:r w:rsidRPr="00E474B5">
        <w:t xml:space="preserve"> </w:t>
      </w:r>
      <w:r>
        <w:t>de ceux qui provenaient du Japon et</w:t>
      </w:r>
      <w:r w:rsidRPr="00E474B5">
        <w:t xml:space="preserve"> 9</w:t>
      </w:r>
      <w:r>
        <w:t>,</w:t>
      </w:r>
      <w:r w:rsidRPr="00E474B5">
        <w:t>8</w:t>
      </w:r>
      <w:r>
        <w:t>%</w:t>
      </w:r>
      <w:r w:rsidRPr="00E474B5">
        <w:t xml:space="preserve"> </w:t>
      </w:r>
      <w:r>
        <w:t>de ceux qui provenaient de Suisse</w:t>
      </w:r>
      <w:r w:rsidRPr="00E474B5">
        <w:t>.</w:t>
      </w:r>
    </w:p>
    <w:p w:rsidR="00FD5CA3" w:rsidRPr="00E474B5" w:rsidRDefault="00FD5CA3" w:rsidP="00FD5CA3">
      <w:pPr>
        <w:pStyle w:val="ONUMFS"/>
        <w:numPr>
          <w:ilvl w:val="0"/>
          <w:numId w:val="6"/>
        </w:numPr>
      </w:pPr>
      <w:r>
        <w:t>La même année</w:t>
      </w:r>
      <w:r w:rsidRPr="00E474B5">
        <w:t xml:space="preserve">, </w:t>
      </w:r>
      <w:r>
        <w:t>lorsque la République de Corée</w:t>
      </w:r>
      <w:r w:rsidRPr="00E474B5">
        <w:t xml:space="preserve"> </w:t>
      </w:r>
      <w:r>
        <w:t xml:space="preserve">était </w:t>
      </w:r>
      <w:r w:rsidRPr="00BF652B">
        <w:t>désignée dans un enregistrement international</w:t>
      </w:r>
      <w:r w:rsidRPr="00E474B5">
        <w:t>,</w:t>
      </w:r>
      <w:r>
        <w:t xml:space="preserve"> 94% des enregistrements internationaux provenant des Pays</w:t>
      </w:r>
      <w:r>
        <w:noBreakHyphen/>
        <w:t>Bas</w:t>
      </w:r>
      <w:r w:rsidRPr="00E474B5">
        <w:t xml:space="preserve"> </w:t>
      </w:r>
      <w:r>
        <w:t>contenaient une revendication de priorité,</w:t>
      </w:r>
      <w:r w:rsidRPr="00E474B5">
        <w:t xml:space="preserve"> co</w:t>
      </w:r>
      <w:r>
        <w:t>ntre</w:t>
      </w:r>
      <w:r w:rsidRPr="00E474B5">
        <w:t xml:space="preserve"> 48</w:t>
      </w:r>
      <w:r>
        <w:t>,</w:t>
      </w:r>
      <w:r w:rsidRPr="00E474B5">
        <w:t>8</w:t>
      </w:r>
      <w:r>
        <w:t>%</w:t>
      </w:r>
      <w:r w:rsidRPr="00E474B5">
        <w:t xml:space="preserve"> </w:t>
      </w:r>
      <w:r>
        <w:t>de ceux qui provenaient d’Allemagne</w:t>
      </w:r>
      <w:r w:rsidRPr="00E474B5">
        <w:t>, 86</w:t>
      </w:r>
      <w:r>
        <w:t>,</w:t>
      </w:r>
      <w:r w:rsidRPr="00E474B5">
        <w:t>6</w:t>
      </w:r>
      <w:r>
        <w:t>%</w:t>
      </w:r>
      <w:r w:rsidRPr="00E474B5">
        <w:t xml:space="preserve"> </w:t>
      </w:r>
      <w:r>
        <w:t>de ceux qui provenaient des États</w:t>
      </w:r>
      <w:r>
        <w:noBreakHyphen/>
        <w:t>Unis d’Amérique</w:t>
      </w:r>
      <w:r w:rsidRPr="00E474B5">
        <w:t>, 35</w:t>
      </w:r>
      <w:r>
        <w:t>,</w:t>
      </w:r>
      <w:r w:rsidRPr="00E474B5">
        <w:t>4</w:t>
      </w:r>
      <w:r>
        <w:t>%</w:t>
      </w:r>
      <w:r w:rsidRPr="00E474B5">
        <w:t xml:space="preserve"> </w:t>
      </w:r>
      <w:r>
        <w:t xml:space="preserve">de ceux qui provenaient de </w:t>
      </w:r>
      <w:r w:rsidRPr="00E474B5">
        <w:t xml:space="preserve">France </w:t>
      </w:r>
      <w:r>
        <w:t>et</w:t>
      </w:r>
      <w:r w:rsidRPr="00E474B5">
        <w:t xml:space="preserve"> 73</w:t>
      </w:r>
      <w:r>
        <w:t>,</w:t>
      </w:r>
      <w:r w:rsidRPr="00E474B5">
        <w:t>3</w:t>
      </w:r>
      <w:r>
        <w:t>%</w:t>
      </w:r>
      <w:r w:rsidRPr="00E474B5">
        <w:t xml:space="preserve"> </w:t>
      </w:r>
      <w:r>
        <w:t>de ceux qui provenaient du Japon</w:t>
      </w:r>
      <w:r w:rsidRPr="00E474B5">
        <w:t>.</w:t>
      </w:r>
    </w:p>
    <w:p w:rsidR="00FD5CA3" w:rsidRPr="00E474B5" w:rsidRDefault="00FD5CA3" w:rsidP="00FD5CA3">
      <w:pPr>
        <w:pStyle w:val="ONUMFS"/>
        <w:numPr>
          <w:ilvl w:val="0"/>
          <w:numId w:val="6"/>
        </w:numPr>
      </w:pPr>
      <w:r>
        <w:t>Toujours en </w:t>
      </w:r>
      <w:r w:rsidRPr="00E474B5">
        <w:t xml:space="preserve">2015, </w:t>
      </w:r>
      <w:r>
        <w:t>lorsque le Japon</w:t>
      </w:r>
      <w:r w:rsidRPr="00E474B5">
        <w:t xml:space="preserve"> </w:t>
      </w:r>
      <w:r>
        <w:t xml:space="preserve">était </w:t>
      </w:r>
      <w:r w:rsidRPr="00BF652B">
        <w:t>désigné dans un enregistrement international</w:t>
      </w:r>
      <w:r w:rsidRPr="00E474B5">
        <w:t>, 88</w:t>
      </w:r>
      <w:r>
        <w:t>,</w:t>
      </w:r>
      <w:r w:rsidRPr="00E474B5">
        <w:t>4</w:t>
      </w:r>
      <w:r>
        <w:t>% des enregistrements internationaux provenant des États</w:t>
      </w:r>
      <w:r>
        <w:noBreakHyphen/>
        <w:t>Unis d’Amérique</w:t>
      </w:r>
      <w:r w:rsidRPr="00E474B5">
        <w:t xml:space="preserve"> </w:t>
      </w:r>
      <w:r>
        <w:t>contenaient une revendication de priorité</w:t>
      </w:r>
      <w:r w:rsidRPr="00E474B5">
        <w:t xml:space="preserve">, </w:t>
      </w:r>
      <w:r>
        <w:t xml:space="preserve">contre </w:t>
      </w:r>
      <w:r w:rsidRPr="00E474B5">
        <w:t>48</w:t>
      </w:r>
      <w:r>
        <w:t>,</w:t>
      </w:r>
      <w:r w:rsidRPr="00E474B5">
        <w:t>8</w:t>
      </w:r>
      <w:r>
        <w:t>%</w:t>
      </w:r>
      <w:r w:rsidRPr="00E474B5">
        <w:t xml:space="preserve"> </w:t>
      </w:r>
      <w:r>
        <w:t>de ceux qui provenaient d’Allemagne</w:t>
      </w:r>
      <w:r w:rsidRPr="00E474B5">
        <w:t>, 50</w:t>
      </w:r>
      <w:r>
        <w:t>,</w:t>
      </w:r>
      <w:r w:rsidRPr="00E474B5">
        <w:t>7</w:t>
      </w:r>
      <w:r>
        <w:t>%</w:t>
      </w:r>
      <w:r w:rsidRPr="00E474B5">
        <w:t xml:space="preserve"> </w:t>
      </w:r>
      <w:r>
        <w:t xml:space="preserve">de ceux qui provenaient de </w:t>
      </w:r>
      <w:r w:rsidRPr="00E474B5">
        <w:t>France, 91</w:t>
      </w:r>
      <w:r>
        <w:t>,</w:t>
      </w:r>
      <w:r w:rsidRPr="00E474B5">
        <w:t>2</w:t>
      </w:r>
      <w:r>
        <w:t>%</w:t>
      </w:r>
      <w:r w:rsidRPr="00E474B5">
        <w:t xml:space="preserve"> </w:t>
      </w:r>
      <w:r>
        <w:t>de ceux qui provenaient des Pays</w:t>
      </w:r>
      <w:r>
        <w:noBreakHyphen/>
        <w:t>Bas et</w:t>
      </w:r>
      <w:r w:rsidRPr="00E474B5">
        <w:t xml:space="preserve"> 35</w:t>
      </w:r>
      <w:r>
        <w:t>,</w:t>
      </w:r>
      <w:r w:rsidRPr="00E474B5">
        <w:t>2</w:t>
      </w:r>
      <w:r>
        <w:t>%</w:t>
      </w:r>
      <w:r w:rsidRPr="00E474B5">
        <w:t xml:space="preserve"> </w:t>
      </w:r>
      <w:r>
        <w:t>de ceux qui provenaient de Suisse</w:t>
      </w:r>
      <w:r w:rsidRPr="00E474B5">
        <w:t>.</w:t>
      </w:r>
    </w:p>
    <w:p w:rsidR="00FD5CA3" w:rsidRPr="00E474B5" w:rsidRDefault="00FD5CA3" w:rsidP="00FD5CA3">
      <w:pPr>
        <w:pStyle w:val="ONUMFS"/>
        <w:numPr>
          <w:ilvl w:val="0"/>
          <w:numId w:val="6"/>
        </w:numPr>
      </w:pPr>
      <w:r>
        <w:t>Enfin, cette année</w:t>
      </w:r>
      <w:r>
        <w:noBreakHyphen/>
        <w:t>là</w:t>
      </w:r>
      <w:r w:rsidRPr="00E474B5">
        <w:t xml:space="preserve">, </w:t>
      </w:r>
      <w:r>
        <w:t>lorsque les</w:t>
      </w:r>
      <w:r w:rsidRPr="00E474B5">
        <w:t xml:space="preserve"> </w:t>
      </w:r>
      <w:r>
        <w:t>États</w:t>
      </w:r>
      <w:r>
        <w:noBreakHyphen/>
        <w:t xml:space="preserve">Unis d’Amérique étaient </w:t>
      </w:r>
      <w:r w:rsidRPr="00BF652B">
        <w:t>désigné</w:t>
      </w:r>
      <w:r>
        <w:t>s</w:t>
      </w:r>
      <w:r w:rsidRPr="00BF652B">
        <w:t xml:space="preserve"> dans un enregistrement international</w:t>
      </w:r>
      <w:r w:rsidRPr="00E474B5">
        <w:t>, 67</w:t>
      </w:r>
      <w:r>
        <w:t>,</w:t>
      </w:r>
      <w:r w:rsidRPr="00E474B5">
        <w:t>5</w:t>
      </w:r>
      <w:r>
        <w:t>% des enregistrements internationaux provenant d’Italie</w:t>
      </w:r>
      <w:r w:rsidRPr="00E474B5">
        <w:t xml:space="preserve"> </w:t>
      </w:r>
      <w:r>
        <w:t>contenaient une revendication de priorité</w:t>
      </w:r>
      <w:r w:rsidRPr="00E474B5">
        <w:t xml:space="preserve">, </w:t>
      </w:r>
      <w:r>
        <w:t xml:space="preserve">contre </w:t>
      </w:r>
      <w:r w:rsidRPr="00E474B5">
        <w:t>62</w:t>
      </w:r>
      <w:r>
        <w:t>,</w:t>
      </w:r>
      <w:r w:rsidRPr="00E474B5">
        <w:t>3</w:t>
      </w:r>
      <w:r>
        <w:t>%</w:t>
      </w:r>
      <w:r w:rsidRPr="00E474B5">
        <w:t xml:space="preserve"> </w:t>
      </w:r>
      <w:r>
        <w:t>de ceux qui provenaient d’Allemagne</w:t>
      </w:r>
      <w:r w:rsidRPr="00E474B5">
        <w:t>, 50</w:t>
      </w:r>
      <w:r>
        <w:t>%</w:t>
      </w:r>
      <w:r w:rsidRPr="00E474B5">
        <w:t xml:space="preserve"> </w:t>
      </w:r>
      <w:r>
        <w:t xml:space="preserve">de ceux qui provenaient de </w:t>
      </w:r>
      <w:r w:rsidRPr="00E474B5">
        <w:t>France, 68</w:t>
      </w:r>
      <w:r>
        <w:t>,</w:t>
      </w:r>
      <w:r w:rsidRPr="00E474B5">
        <w:t>3</w:t>
      </w:r>
      <w:r>
        <w:t>%</w:t>
      </w:r>
      <w:r w:rsidRPr="00E474B5">
        <w:t xml:space="preserve"> </w:t>
      </w:r>
      <w:r>
        <w:t>de ceux qui provenaient du Japon et</w:t>
      </w:r>
      <w:r w:rsidRPr="00E474B5">
        <w:t xml:space="preserve"> 78</w:t>
      </w:r>
      <w:r>
        <w:t>,</w:t>
      </w:r>
      <w:r w:rsidRPr="00E474B5">
        <w:t>7</w:t>
      </w:r>
      <w:r>
        <w:t>%</w:t>
      </w:r>
      <w:r w:rsidRPr="00E474B5">
        <w:t xml:space="preserve"> </w:t>
      </w:r>
      <w:r>
        <w:t>de ceux qui provenaient des Pays</w:t>
      </w:r>
      <w:r>
        <w:noBreakHyphen/>
        <w:t>Bas</w:t>
      </w:r>
      <w:r w:rsidRPr="00E474B5">
        <w:t>.</w:t>
      </w:r>
    </w:p>
    <w:p w:rsidR="00FD5CA3" w:rsidRDefault="00FD5CA3" w:rsidP="005D1CFF">
      <w:pPr>
        <w:pStyle w:val="ONUME"/>
        <w:numPr>
          <w:ilvl w:val="0"/>
          <w:numId w:val="0"/>
        </w:numPr>
      </w:pPr>
      <w:r w:rsidRPr="001030DE">
        <w:rPr>
          <w:noProof/>
          <w:lang w:val="en-US" w:eastAsia="en-US"/>
        </w:rPr>
        <w:lastRenderedPageBreak/>
        <mc:AlternateContent>
          <mc:Choice Requires="wps">
            <w:drawing>
              <wp:anchor distT="0" distB="0" distL="114300" distR="114300" simplePos="0" relativeHeight="251711488" behindDoc="0" locked="0" layoutInCell="1" allowOverlap="1" wp14:anchorId="0CC9CCE9" wp14:editId="34C6B8FF">
                <wp:simplePos x="0" y="0"/>
                <wp:positionH relativeFrom="column">
                  <wp:posOffset>2936240</wp:posOffset>
                </wp:positionH>
                <wp:positionV relativeFrom="paragraph">
                  <wp:posOffset>3059430</wp:posOffset>
                </wp:positionV>
                <wp:extent cx="57150" cy="58420"/>
                <wp:effectExtent l="0" t="0" r="0" b="0"/>
                <wp:wrapNone/>
                <wp:docPr id="283"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FF0000"/>
                        </a:solidFill>
                        <a:ln w="25400" cap="flat" cmpd="sng" algn="ctr">
                          <a:noFill/>
                          <a:prstDash val="solid"/>
                        </a:ln>
                        <a:effectLst/>
                      </wps:spPr>
                      <wps:bodyPr/>
                    </wps:wsp>
                  </a:graphicData>
                </a:graphic>
              </wp:anchor>
            </w:drawing>
          </mc:Choice>
          <mc:Fallback>
            <w:pict>
              <v:rect id="Rectangle 1" o:spid="_x0000_s1026" style="position:absolute;margin-left:231.2pt;margin-top:240.9pt;width:4.5pt;height:4.6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" fillcolor="red" stroked="f" strokeweight="2pt"/>
            </w:pict>
          </mc:Fallback>
        </mc:AlternateContent>
      </w:r>
      <w:r>
        <w:rPr>
          <w:noProof/>
          <w:lang w:val="en-US" w:eastAsia="en-US"/>
        </w:rPr>
        <mc:AlternateContent>
          <mc:Choice Requires="wps">
            <w:drawing>
              <wp:anchor distT="0" distB="0" distL="114300" distR="114300" simplePos="0" relativeHeight="251721728" behindDoc="0" locked="0" layoutInCell="1" allowOverlap="1" wp14:anchorId="46B3EAE0" wp14:editId="7F465DDA">
                <wp:simplePos x="0" y="0"/>
                <wp:positionH relativeFrom="column">
                  <wp:posOffset>2993390</wp:posOffset>
                </wp:positionH>
                <wp:positionV relativeFrom="paragraph">
                  <wp:posOffset>2959735</wp:posOffset>
                </wp:positionV>
                <wp:extent cx="535305" cy="249555"/>
                <wp:effectExtent l="0" t="0" r="0" b="0"/>
                <wp:wrapNone/>
                <wp:docPr id="306" name="Zone de texte 306"/>
                <wp:cNvGraphicFramePr/>
                <a:graphic xmlns:a="http://schemas.openxmlformats.org/drawingml/2006/main">
                  <a:graphicData uri="http://schemas.microsoft.com/office/word/2010/wordprocessingShape">
                    <wps:wsp>
                      <wps:cNvSpPr txBox="1"/>
                      <wps:spPr>
                        <a:xfrm>
                          <a:off x="0" y="0"/>
                          <a:ext cx="53530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CA3" w:rsidRDefault="00FD5CA3" w:rsidP="001030DE">
                            <w:r>
                              <w: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6" o:spid="_x0000_s1050" type="#_x0000_t202" style="position:absolute;margin-left:235.7pt;margin-top:233.05pt;width:42.15pt;height:19.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" filled="f" stroked="f" strokeweight=".5pt">
                <v:textbox>
                  <w:txbxContent>
                    <w:p w:rsidR="00FD5CA3" w:rsidRDefault="00FD5CA3" w:rsidP="001030DE">
                      <w:r>
                        <w:t>CH</w:t>
                      </w:r>
                    </w:p>
                  </w:txbxContent>
                </v:textbox>
              </v:shape>
            </w:pict>
          </mc:Fallback>
        </mc:AlternateContent>
      </w:r>
      <w:r>
        <w:rPr>
          <w:noProof/>
          <w:lang w:val="en-US" w:eastAsia="en-US"/>
        </w:rPr>
        <mc:AlternateContent>
          <mc:Choice Requires="wps">
            <w:drawing>
              <wp:anchor distT="0" distB="0" distL="114300" distR="114300" simplePos="0" relativeHeight="251723776" behindDoc="0" locked="0" layoutInCell="1" allowOverlap="1" wp14:anchorId="498B632A" wp14:editId="03681C8D">
                <wp:simplePos x="0" y="0"/>
                <wp:positionH relativeFrom="column">
                  <wp:posOffset>4387850</wp:posOffset>
                </wp:positionH>
                <wp:positionV relativeFrom="paragraph">
                  <wp:posOffset>2950210</wp:posOffset>
                </wp:positionV>
                <wp:extent cx="535305" cy="249555"/>
                <wp:effectExtent l="0" t="0" r="0" b="0"/>
                <wp:wrapNone/>
                <wp:docPr id="309" name="Zone de texte 309"/>
                <wp:cNvGraphicFramePr/>
                <a:graphic xmlns:a="http://schemas.openxmlformats.org/drawingml/2006/main">
                  <a:graphicData uri="http://schemas.microsoft.com/office/word/2010/wordprocessingShape">
                    <wps:wsp>
                      <wps:cNvSpPr txBox="1"/>
                      <wps:spPr>
                        <a:xfrm>
                          <a:off x="0" y="0"/>
                          <a:ext cx="53530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CA3" w:rsidRDefault="00FD5CA3" w:rsidP="001030DE">
                            <w: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9" o:spid="_x0000_s1051" type="#_x0000_t202" style="position:absolute;margin-left:345.5pt;margin-top:232.3pt;width:42.15pt;height:19.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" filled="f" stroked="f" strokeweight=".5pt">
                <v:textbox>
                  <w:txbxContent>
                    <w:p w:rsidR="00FD5CA3" w:rsidRDefault="00FD5CA3" w:rsidP="001030DE">
                      <w:r>
                        <w:t>SI</w:t>
                      </w:r>
                    </w:p>
                  </w:txbxContent>
                </v:textbox>
              </v:shape>
            </w:pict>
          </mc:Fallback>
        </mc:AlternateContent>
      </w:r>
      <w:r w:rsidRPr="001030DE">
        <w:rPr>
          <w:noProof/>
          <w:lang w:val="en-US" w:eastAsia="en-US"/>
        </w:rPr>
        <mc:AlternateContent>
          <mc:Choice Requires="wps">
            <w:drawing>
              <wp:anchor distT="0" distB="0" distL="114300" distR="114300" simplePos="0" relativeHeight="251715584" behindDoc="0" locked="0" layoutInCell="1" allowOverlap="1" wp14:anchorId="4C1BFBFA" wp14:editId="689E8CD8">
                <wp:simplePos x="0" y="0"/>
                <wp:positionH relativeFrom="column">
                  <wp:posOffset>4331335</wp:posOffset>
                </wp:positionH>
                <wp:positionV relativeFrom="paragraph">
                  <wp:posOffset>3051175</wp:posOffset>
                </wp:positionV>
                <wp:extent cx="57150" cy="58420"/>
                <wp:effectExtent l="0" t="0" r="0" b="0"/>
                <wp:wrapNone/>
                <wp:docPr id="287"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7500CC"/>
                        </a:solidFill>
                        <a:ln w="25400" cap="flat" cmpd="sng" algn="ctr">
                          <a:noFill/>
                          <a:prstDash val="solid"/>
                        </a:ln>
                        <a:effectLst/>
                      </wps:spPr>
                      <wps:bodyPr/>
                    </wps:wsp>
                  </a:graphicData>
                </a:graphic>
              </wp:anchor>
            </w:drawing>
          </mc:Choice>
          <mc:Fallback>
            <w:pict>
              <v:rect id="Rectangle 1" o:spid="_x0000_s1026" style="position:absolute;margin-left:341.05pt;margin-top:240.25pt;width:4.5pt;height:4.6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" fillcolor="#7500cc" stroked="f" strokeweight="2pt"/>
            </w:pict>
          </mc:Fallback>
        </mc:AlternateContent>
      </w:r>
      <w:r>
        <w:rPr>
          <w:noProof/>
          <w:lang w:val="en-US" w:eastAsia="en-US"/>
        </w:rPr>
        <mc:AlternateContent>
          <mc:Choice Requires="wps">
            <w:drawing>
              <wp:anchor distT="0" distB="0" distL="114300" distR="114300" simplePos="0" relativeHeight="251724800" behindDoc="0" locked="0" layoutInCell="1" allowOverlap="1" wp14:anchorId="258E314F" wp14:editId="5B065A52">
                <wp:simplePos x="0" y="0"/>
                <wp:positionH relativeFrom="column">
                  <wp:posOffset>4997186</wp:posOffset>
                </wp:positionH>
                <wp:positionV relativeFrom="paragraph">
                  <wp:posOffset>2957830</wp:posOffset>
                </wp:positionV>
                <wp:extent cx="535305" cy="249555"/>
                <wp:effectExtent l="0" t="0" r="0" b="0"/>
                <wp:wrapNone/>
                <wp:docPr id="310" name="Zone de texte 310"/>
                <wp:cNvGraphicFramePr/>
                <a:graphic xmlns:a="http://schemas.openxmlformats.org/drawingml/2006/main">
                  <a:graphicData uri="http://schemas.microsoft.com/office/word/2010/wordprocessingShape">
                    <wps:wsp>
                      <wps:cNvSpPr txBox="1"/>
                      <wps:spPr>
                        <a:xfrm>
                          <a:off x="0" y="0"/>
                          <a:ext cx="53530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CA3" w:rsidRDefault="00FD5CA3" w:rsidP="001030DE">
                            <w:r>
                              <w:t>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0" o:spid="_x0000_s1052" type="#_x0000_t202" style="position:absolute;margin-left:393.5pt;margin-top:232.9pt;width:42.15pt;height:19.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" filled="f" stroked="f" strokeweight=".5pt">
                <v:textbox>
                  <w:txbxContent>
                    <w:p w:rsidR="00FD5CA3" w:rsidRDefault="00FD5CA3" w:rsidP="001030DE">
                      <w:r>
                        <w:t>IT</w:t>
                      </w:r>
                    </w:p>
                  </w:txbxContent>
                </v:textbox>
              </v:shape>
            </w:pict>
          </mc:Fallback>
        </mc:AlternateContent>
      </w:r>
      <w:r>
        <w:rPr>
          <w:noProof/>
          <w:lang w:val="en-US" w:eastAsia="en-US"/>
        </w:rPr>
        <mc:AlternateContent>
          <mc:Choice Requires="wps">
            <w:drawing>
              <wp:anchor distT="0" distB="0" distL="114300" distR="114300" simplePos="0" relativeHeight="251726848" behindDoc="0" locked="0" layoutInCell="1" allowOverlap="1" wp14:anchorId="1DC3E597" wp14:editId="7F4B979C">
                <wp:simplePos x="0" y="0"/>
                <wp:positionH relativeFrom="column">
                  <wp:posOffset>5571861</wp:posOffset>
                </wp:positionH>
                <wp:positionV relativeFrom="paragraph">
                  <wp:posOffset>2959735</wp:posOffset>
                </wp:positionV>
                <wp:extent cx="535305" cy="249555"/>
                <wp:effectExtent l="0" t="0" r="0" b="0"/>
                <wp:wrapNone/>
                <wp:docPr id="312" name="Zone de texte 312"/>
                <wp:cNvGraphicFramePr/>
                <a:graphic xmlns:a="http://schemas.openxmlformats.org/drawingml/2006/main">
                  <a:graphicData uri="http://schemas.microsoft.com/office/word/2010/wordprocessingShape">
                    <wps:wsp>
                      <wps:cNvSpPr txBox="1"/>
                      <wps:spPr>
                        <a:xfrm>
                          <a:off x="0" y="0"/>
                          <a:ext cx="53530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CA3" w:rsidRDefault="00FD5CA3" w:rsidP="0010355D">
                            <w:r>
                              <w:t>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2" o:spid="_x0000_s1053" type="#_x0000_t202" style="position:absolute;margin-left:438.75pt;margin-top:233.05pt;width:42.15pt;height:19.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" filled="f" stroked="f" strokeweight=".5pt">
                <v:textbox>
                  <w:txbxContent>
                    <w:p w:rsidR="00FD5CA3" w:rsidRDefault="00FD5CA3" w:rsidP="0010355D">
                      <w:r>
                        <w:t>FR</w:t>
                      </w:r>
                    </w:p>
                  </w:txbxContent>
                </v:textbox>
              </v:shape>
            </w:pict>
          </mc:Fallback>
        </mc:AlternateContent>
      </w:r>
      <w:r>
        <w:rPr>
          <w:noProof/>
          <w:lang w:val="en-US" w:eastAsia="en-US"/>
        </w:rPr>
        <mc:AlternateContent>
          <mc:Choice Requires="wps">
            <w:drawing>
              <wp:anchor distT="0" distB="0" distL="114300" distR="114300" simplePos="0" relativeHeight="251717632" behindDoc="0" locked="0" layoutInCell="1" allowOverlap="1" wp14:anchorId="12044000" wp14:editId="4817EAEF">
                <wp:simplePos x="0" y="0"/>
                <wp:positionH relativeFrom="column">
                  <wp:posOffset>247386</wp:posOffset>
                </wp:positionH>
                <wp:positionV relativeFrom="paragraph">
                  <wp:posOffset>2967355</wp:posOffset>
                </wp:positionV>
                <wp:extent cx="535305" cy="249555"/>
                <wp:effectExtent l="0" t="0" r="0" b="0"/>
                <wp:wrapNone/>
                <wp:docPr id="302" name="Zone de texte 302"/>
                <wp:cNvGraphicFramePr/>
                <a:graphic xmlns:a="http://schemas.openxmlformats.org/drawingml/2006/main">
                  <a:graphicData uri="http://schemas.microsoft.com/office/word/2010/wordprocessingShape">
                    <wps:wsp>
                      <wps:cNvSpPr txBox="1"/>
                      <wps:spPr>
                        <a:xfrm>
                          <a:off x="0" y="0"/>
                          <a:ext cx="53530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CA3" w:rsidRDefault="00FD5CA3" w:rsidP="001030DE">
                            <w:r>
                              <w:t>KR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2" o:spid="_x0000_s1054" type="#_x0000_t202" style="position:absolute;margin-left:19.5pt;margin-top:233.65pt;width:42.15pt;height:19.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" filled="f" stroked="f" strokeweight=".5pt">
                <v:textbox>
                  <w:txbxContent>
                    <w:p w:rsidR="00FD5CA3" w:rsidRDefault="00FD5CA3" w:rsidP="001030DE">
                      <w:r>
                        <w:t>KR</w:t>
                      </w:r>
                    </w:p>
                  </w:txbxContent>
                </v:textbox>
              </v:shape>
            </w:pict>
          </mc:Fallback>
        </mc:AlternateContent>
      </w:r>
      <w:r w:rsidRPr="001030DE">
        <w:rPr>
          <w:noProof/>
          <w:lang w:val="en-US" w:eastAsia="en-US"/>
        </w:rPr>
        <mc:AlternateContent>
          <mc:Choice Requires="wps">
            <w:drawing>
              <wp:anchor distT="0" distB="0" distL="114300" distR="114300" simplePos="0" relativeHeight="251712512" behindDoc="0" locked="0" layoutInCell="1" allowOverlap="1" wp14:anchorId="589CAFBC" wp14:editId="0E0EA221">
                <wp:simplePos x="0" y="0"/>
                <wp:positionH relativeFrom="column">
                  <wp:posOffset>3647440</wp:posOffset>
                </wp:positionH>
                <wp:positionV relativeFrom="paragraph">
                  <wp:posOffset>3057525</wp:posOffset>
                </wp:positionV>
                <wp:extent cx="57150" cy="58420"/>
                <wp:effectExtent l="0" t="0" r="0" b="0"/>
                <wp:wrapNone/>
                <wp:docPr id="284"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chemeClr val="bg1">
                            <a:lumMod val="65000"/>
                          </a:schemeClr>
                        </a:solidFill>
                        <a:ln w="25400" cap="flat" cmpd="sng" algn="ctr">
                          <a:noFill/>
                          <a:prstDash val="solid"/>
                        </a:ln>
                        <a:effectLst/>
                      </wps:spPr>
                      <wps:bodyPr/>
                    </wps:wsp>
                  </a:graphicData>
                </a:graphic>
              </wp:anchor>
            </w:drawing>
          </mc:Choice>
          <mc:Fallback>
            <w:pict>
              <v:rect id="Rectangle 1" o:spid="_x0000_s1026" style="position:absolute;margin-left:287.2pt;margin-top:240.75pt;width:4.5pt;height:4.6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" fillcolor="#a5a5a5 [2092]" stroked="f" strokeweight="2pt"/>
            </w:pict>
          </mc:Fallback>
        </mc:AlternateContent>
      </w:r>
      <w:r>
        <w:rPr>
          <w:noProof/>
          <w:lang w:val="en-US" w:eastAsia="en-US"/>
        </w:rPr>
        <mc:AlternateContent>
          <mc:Choice Requires="wps">
            <w:drawing>
              <wp:anchor distT="0" distB="0" distL="114300" distR="114300" simplePos="0" relativeHeight="251722752" behindDoc="0" locked="0" layoutInCell="1" allowOverlap="1" wp14:anchorId="626E95DE" wp14:editId="4778433C">
                <wp:simplePos x="0" y="0"/>
                <wp:positionH relativeFrom="column">
                  <wp:posOffset>3695700</wp:posOffset>
                </wp:positionH>
                <wp:positionV relativeFrom="paragraph">
                  <wp:posOffset>2957830</wp:posOffset>
                </wp:positionV>
                <wp:extent cx="535305" cy="249555"/>
                <wp:effectExtent l="0" t="0" r="0" b="0"/>
                <wp:wrapNone/>
                <wp:docPr id="308" name="Zone de texte 308"/>
                <wp:cNvGraphicFramePr/>
                <a:graphic xmlns:a="http://schemas.openxmlformats.org/drawingml/2006/main">
                  <a:graphicData uri="http://schemas.microsoft.com/office/word/2010/wordprocessingShape">
                    <wps:wsp>
                      <wps:cNvSpPr txBox="1"/>
                      <wps:spPr>
                        <a:xfrm>
                          <a:off x="0" y="0"/>
                          <a:ext cx="53530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CA3" w:rsidRDefault="00FD5CA3" w:rsidP="001030DE">
                            <w:r>
                              <w:t>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8" o:spid="_x0000_s1055" type="#_x0000_t202" style="position:absolute;margin-left:291pt;margin-top:232.9pt;width:42.15pt;height:19.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" filled="f" stroked="f" strokeweight=".5pt">
                <v:textbox>
                  <w:txbxContent>
                    <w:p w:rsidR="00FD5CA3" w:rsidRDefault="00FD5CA3" w:rsidP="001030DE">
                      <w:r>
                        <w:t>NL</w:t>
                      </w:r>
                    </w:p>
                  </w:txbxContent>
                </v:textbox>
              </v:shape>
            </w:pict>
          </mc:Fallback>
        </mc:AlternateContent>
      </w:r>
      <w:r>
        <w:rPr>
          <w:noProof/>
          <w:lang w:val="en-US" w:eastAsia="en-US"/>
        </w:rPr>
        <mc:AlternateContent>
          <mc:Choice Requires="wps">
            <w:drawing>
              <wp:anchor distT="0" distB="0" distL="114300" distR="114300" simplePos="0" relativeHeight="251720704" behindDoc="0" locked="0" layoutInCell="1" allowOverlap="1" wp14:anchorId="6BB8299D" wp14:editId="13215D8E">
                <wp:simplePos x="0" y="0"/>
                <wp:positionH relativeFrom="column">
                  <wp:posOffset>2286000</wp:posOffset>
                </wp:positionH>
                <wp:positionV relativeFrom="paragraph">
                  <wp:posOffset>2957830</wp:posOffset>
                </wp:positionV>
                <wp:extent cx="535305" cy="249555"/>
                <wp:effectExtent l="0" t="0" r="0" b="0"/>
                <wp:wrapNone/>
                <wp:docPr id="305" name="Zone de texte 305"/>
                <wp:cNvGraphicFramePr/>
                <a:graphic xmlns:a="http://schemas.openxmlformats.org/drawingml/2006/main">
                  <a:graphicData uri="http://schemas.microsoft.com/office/word/2010/wordprocessingShape">
                    <wps:wsp>
                      <wps:cNvSpPr txBox="1"/>
                      <wps:spPr>
                        <a:xfrm>
                          <a:off x="0" y="0"/>
                          <a:ext cx="53530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CA3" w:rsidRDefault="00FD5CA3" w:rsidP="001030DE">
                            <w:r>
                              <w: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5" o:spid="_x0000_s1056" type="#_x0000_t202" style="position:absolute;margin-left:180pt;margin-top:232.9pt;width:42.15pt;height:19.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" filled="f" stroked="f" strokeweight=".5pt">
                <v:textbox>
                  <w:txbxContent>
                    <w:p w:rsidR="00FD5CA3" w:rsidRDefault="00FD5CA3" w:rsidP="001030DE">
                      <w:r>
                        <w:t>US</w:t>
                      </w:r>
                    </w:p>
                  </w:txbxContent>
                </v:textbox>
              </v:shape>
            </w:pict>
          </mc:Fallback>
        </mc:AlternateContent>
      </w:r>
      <w:r>
        <w:rPr>
          <w:noProof/>
          <w:lang w:val="en-US" w:eastAsia="en-US"/>
        </w:rPr>
        <mc:AlternateContent>
          <mc:Choice Requires="wps">
            <w:drawing>
              <wp:anchor distT="0" distB="0" distL="114300" distR="114300" simplePos="0" relativeHeight="251719680" behindDoc="0" locked="0" layoutInCell="1" allowOverlap="1" wp14:anchorId="020ECB42" wp14:editId="0C985F13">
                <wp:simplePos x="0" y="0"/>
                <wp:positionH relativeFrom="column">
                  <wp:posOffset>1590675</wp:posOffset>
                </wp:positionH>
                <wp:positionV relativeFrom="paragraph">
                  <wp:posOffset>2959735</wp:posOffset>
                </wp:positionV>
                <wp:extent cx="535305" cy="249555"/>
                <wp:effectExtent l="0" t="0" r="0" b="0"/>
                <wp:wrapNone/>
                <wp:docPr id="304" name="Zone de texte 304"/>
                <wp:cNvGraphicFramePr/>
                <a:graphic xmlns:a="http://schemas.openxmlformats.org/drawingml/2006/main">
                  <a:graphicData uri="http://schemas.microsoft.com/office/word/2010/wordprocessingShape">
                    <wps:wsp>
                      <wps:cNvSpPr txBox="1"/>
                      <wps:spPr>
                        <a:xfrm>
                          <a:off x="0" y="0"/>
                          <a:ext cx="53530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CA3" w:rsidRDefault="00FD5CA3" w:rsidP="001030DE">
                            <w:r>
                              <w:t>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4" o:spid="_x0000_s1057" type="#_x0000_t202" style="position:absolute;margin-left:125.25pt;margin-top:233.05pt;width:42.15pt;height:19.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" filled="f" stroked="f" strokeweight=".5pt">
                <v:textbox>
                  <w:txbxContent>
                    <w:p w:rsidR="00FD5CA3" w:rsidRDefault="00FD5CA3" w:rsidP="001030DE">
                      <w:r>
                        <w:t>JP</w:t>
                      </w:r>
                    </w:p>
                  </w:txbxContent>
                </v:textbox>
              </v:shape>
            </w:pict>
          </mc:Fallback>
        </mc:AlternateContent>
      </w:r>
      <w:r>
        <w:rPr>
          <w:noProof/>
          <w:lang w:val="en-US" w:eastAsia="en-US"/>
        </w:rPr>
        <mc:AlternateContent>
          <mc:Choice Requires="wps">
            <w:drawing>
              <wp:anchor distT="0" distB="0" distL="114300" distR="114300" simplePos="0" relativeHeight="251718656" behindDoc="0" locked="0" layoutInCell="1" allowOverlap="1" wp14:anchorId="4C8402F1" wp14:editId="7F71BA5E">
                <wp:simplePos x="0" y="0"/>
                <wp:positionH relativeFrom="column">
                  <wp:posOffset>895350</wp:posOffset>
                </wp:positionH>
                <wp:positionV relativeFrom="paragraph">
                  <wp:posOffset>2959735</wp:posOffset>
                </wp:positionV>
                <wp:extent cx="535305" cy="249555"/>
                <wp:effectExtent l="0" t="0" r="0" b="0"/>
                <wp:wrapNone/>
                <wp:docPr id="303" name="Zone de texte 303"/>
                <wp:cNvGraphicFramePr/>
                <a:graphic xmlns:a="http://schemas.openxmlformats.org/drawingml/2006/main">
                  <a:graphicData uri="http://schemas.microsoft.com/office/word/2010/wordprocessingShape">
                    <wps:wsp>
                      <wps:cNvSpPr txBox="1"/>
                      <wps:spPr>
                        <a:xfrm>
                          <a:off x="0" y="0"/>
                          <a:ext cx="53530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CA3" w:rsidRDefault="00FD5CA3" w:rsidP="001030DE">
                            <w:r>
                              <w:t>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3" o:spid="_x0000_s1058" type="#_x0000_t202" style="position:absolute;margin-left:70.5pt;margin-top:233.05pt;width:42.15pt;height:19.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" filled="f" stroked="f" strokeweight=".5pt">
                <v:textbox>
                  <w:txbxContent>
                    <w:p w:rsidR="00FD5CA3" w:rsidRDefault="00FD5CA3" w:rsidP="001030DE">
                      <w:r>
                        <w:t>DE</w:t>
                      </w:r>
                    </w:p>
                  </w:txbxContent>
                </v:textbox>
              </v:shape>
            </w:pict>
          </mc:Fallback>
        </mc:AlternateContent>
      </w:r>
      <w:r w:rsidRPr="001030DE">
        <w:rPr>
          <w:noProof/>
          <w:lang w:val="en-US" w:eastAsia="en-US"/>
        </w:rPr>
        <mc:AlternateContent>
          <mc:Choice Requires="wps">
            <w:drawing>
              <wp:anchor distT="0" distB="0" distL="114300" distR="114300" simplePos="0" relativeHeight="251710464" behindDoc="0" locked="0" layoutInCell="1" allowOverlap="1" wp14:anchorId="4907AF78" wp14:editId="46E36A15">
                <wp:simplePos x="0" y="0"/>
                <wp:positionH relativeFrom="column">
                  <wp:posOffset>846455</wp:posOffset>
                </wp:positionH>
                <wp:positionV relativeFrom="paragraph">
                  <wp:posOffset>3056255</wp:posOffset>
                </wp:positionV>
                <wp:extent cx="57150" cy="58420"/>
                <wp:effectExtent l="0" t="0" r="0" b="0"/>
                <wp:wrapNone/>
                <wp:docPr id="282"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FFC000"/>
                        </a:solidFill>
                        <a:ln w="25400" cap="flat" cmpd="sng" algn="ctr">
                          <a:noFill/>
                          <a:prstDash val="solid"/>
                        </a:ln>
                        <a:effectLst/>
                      </wps:spPr>
                      <wps:bodyPr/>
                    </wps:wsp>
                  </a:graphicData>
                </a:graphic>
              </wp:anchor>
            </w:drawing>
          </mc:Choice>
          <mc:Fallback>
            <w:pict>
              <v:rect id="Rectangle 1" o:spid="_x0000_s1026" style="position:absolute;margin-left:66.65pt;margin-top:240.65pt;width:4.5pt;height:4.6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" fillcolor="#ffc000" stroked="f" strokeweight="2pt"/>
            </w:pict>
          </mc:Fallback>
        </mc:AlternateContent>
      </w:r>
      <w:r w:rsidRPr="001030DE">
        <w:rPr>
          <w:noProof/>
          <w:lang w:val="en-US" w:eastAsia="en-US"/>
        </w:rPr>
        <mc:AlternateContent>
          <mc:Choice Requires="wps">
            <w:drawing>
              <wp:anchor distT="0" distB="0" distL="114300" distR="114300" simplePos="0" relativeHeight="251713536" behindDoc="0" locked="0" layoutInCell="1" allowOverlap="1" wp14:anchorId="1D697927" wp14:editId="7259989E">
                <wp:simplePos x="0" y="0"/>
                <wp:positionH relativeFrom="column">
                  <wp:posOffset>1537970</wp:posOffset>
                </wp:positionH>
                <wp:positionV relativeFrom="paragraph">
                  <wp:posOffset>3061970</wp:posOffset>
                </wp:positionV>
                <wp:extent cx="57150" cy="58420"/>
                <wp:effectExtent l="0" t="0" r="0" b="0"/>
                <wp:wrapNone/>
                <wp:docPr id="285"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chemeClr val="accent5">
                            <a:lumMod val="40000"/>
                            <a:lumOff val="60000"/>
                          </a:schemeClr>
                        </a:solidFill>
                        <a:ln w="25400" cap="flat" cmpd="sng" algn="ctr">
                          <a:noFill/>
                          <a:prstDash val="solid"/>
                        </a:ln>
                        <a:effectLst/>
                      </wps:spPr>
                      <wps:bodyPr/>
                    </wps:wsp>
                  </a:graphicData>
                </a:graphic>
              </wp:anchor>
            </w:drawing>
          </mc:Choice>
          <mc:Fallback>
            <w:pict>
              <v:rect id="Rectangle 1" o:spid="_x0000_s1026" style="position:absolute;margin-left:121.1pt;margin-top:241.1pt;width:4.5pt;height:4.6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" fillcolor="#b6dde8 [1304]" stroked="f" strokeweight="2pt"/>
            </w:pict>
          </mc:Fallback>
        </mc:AlternateContent>
      </w:r>
      <w:r w:rsidRPr="001030DE">
        <w:rPr>
          <w:noProof/>
          <w:lang w:val="en-US" w:eastAsia="en-US"/>
        </w:rPr>
        <mc:AlternateContent>
          <mc:Choice Requires="wps">
            <w:drawing>
              <wp:anchor distT="0" distB="0" distL="114300" distR="114300" simplePos="0" relativeHeight="251714560" behindDoc="0" locked="0" layoutInCell="1" allowOverlap="1" wp14:anchorId="7240E23A" wp14:editId="3E33BC70">
                <wp:simplePos x="0" y="0"/>
                <wp:positionH relativeFrom="column">
                  <wp:posOffset>2229485</wp:posOffset>
                </wp:positionH>
                <wp:positionV relativeFrom="paragraph">
                  <wp:posOffset>3061335</wp:posOffset>
                </wp:positionV>
                <wp:extent cx="57150" cy="58420"/>
                <wp:effectExtent l="0" t="0" r="0" b="0"/>
                <wp:wrapNone/>
                <wp:docPr id="286"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7030A0"/>
                        </a:solidFill>
                        <a:ln w="25400" cap="flat" cmpd="sng" algn="ctr">
                          <a:noFill/>
                          <a:prstDash val="solid"/>
                        </a:ln>
                        <a:effectLst/>
                      </wps:spPr>
                      <wps:bodyPr/>
                    </wps:wsp>
                  </a:graphicData>
                </a:graphic>
              </wp:anchor>
            </w:drawing>
          </mc:Choice>
          <mc:Fallback>
            <w:pict>
              <v:rect id="Rectangle 1" o:spid="_x0000_s1026" style="position:absolute;margin-left:175.55pt;margin-top:241.05pt;width:4.5pt;height:4.6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" fillcolor="#7030a0" stroked="f" strokeweight="2pt"/>
            </w:pict>
          </mc:Fallback>
        </mc:AlternateContent>
      </w:r>
      <w:r>
        <w:rPr>
          <w:noProof/>
          <w:lang w:val="en-US" w:eastAsia="en-US"/>
        </w:rPr>
        <w:drawing>
          <wp:inline distT="0" distB="0" distL="0" distR="0" wp14:anchorId="61D0E7C8" wp14:editId="2658CE5B">
            <wp:extent cx="5940425" cy="2890005"/>
            <wp:effectExtent l="0" t="0" r="22225" b="24765"/>
            <wp:docPr id="51" name="Graphique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D5CA3" w:rsidRDefault="00FD5CA3" w:rsidP="005D1CFF">
      <w:pPr>
        <w:pStyle w:val="ONUME"/>
        <w:numPr>
          <w:ilvl w:val="0"/>
          <w:numId w:val="0"/>
        </w:numPr>
      </w:pPr>
      <w:r w:rsidRPr="001030DE">
        <w:rPr>
          <w:noProof/>
          <w:lang w:val="en-US" w:eastAsia="en-US"/>
        </w:rPr>
        <mc:AlternateContent>
          <mc:Choice Requires="wps">
            <w:drawing>
              <wp:anchor distT="0" distB="0" distL="114300" distR="114300" simplePos="0" relativeHeight="251716608" behindDoc="0" locked="0" layoutInCell="1" allowOverlap="1" wp14:anchorId="37F145B6" wp14:editId="3E0C29FD">
                <wp:simplePos x="0" y="0"/>
                <wp:positionH relativeFrom="column">
                  <wp:posOffset>4946650</wp:posOffset>
                </wp:positionH>
                <wp:positionV relativeFrom="paragraph">
                  <wp:posOffset>5715</wp:posOffset>
                </wp:positionV>
                <wp:extent cx="57150" cy="58420"/>
                <wp:effectExtent l="0" t="0" r="0" b="0"/>
                <wp:wrapNone/>
                <wp:docPr id="295"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92D050"/>
                        </a:solidFill>
                        <a:ln w="25400" cap="flat" cmpd="sng" algn="ctr">
                          <a:noFill/>
                          <a:prstDash val="solid"/>
                        </a:ln>
                        <a:effectLst/>
                      </wps:spPr>
                      <wps:bodyPr/>
                    </wps:wsp>
                  </a:graphicData>
                </a:graphic>
              </wp:anchor>
            </w:drawing>
          </mc:Choice>
          <mc:Fallback>
            <w:pict>
              <v:rect id="Rectangle 1" o:spid="_x0000_s1026" style="position:absolute;margin-left:389.5pt;margin-top:.45pt;width:4.5pt;height:4.6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" fillcolor="#92d050" stroked="f" strokeweight="2pt"/>
            </w:pict>
          </mc:Fallback>
        </mc:AlternateContent>
      </w:r>
      <w:r w:rsidRPr="001030DE">
        <w:rPr>
          <w:noProof/>
          <w:lang w:val="en-US" w:eastAsia="en-US"/>
        </w:rPr>
        <mc:AlternateContent>
          <mc:Choice Requires="wps">
            <w:drawing>
              <wp:anchor distT="0" distB="0" distL="114300" distR="114300" simplePos="0" relativeHeight="251725824" behindDoc="0" locked="0" layoutInCell="1" allowOverlap="1" wp14:anchorId="73B3A4B3" wp14:editId="4DC26668">
                <wp:simplePos x="0" y="0"/>
                <wp:positionH relativeFrom="column">
                  <wp:posOffset>5524871</wp:posOffset>
                </wp:positionH>
                <wp:positionV relativeFrom="paragraph">
                  <wp:posOffset>-3175</wp:posOffset>
                </wp:positionV>
                <wp:extent cx="57150" cy="58420"/>
                <wp:effectExtent l="0" t="0" r="0" b="0"/>
                <wp:wrapNone/>
                <wp:docPr id="311"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0070C0"/>
                        </a:solidFill>
                        <a:ln w="25400" cap="flat" cmpd="sng" algn="ctr">
                          <a:noFill/>
                          <a:prstDash val="solid"/>
                        </a:ln>
                        <a:effectLst/>
                      </wps:spPr>
                      <wps:bodyPr/>
                    </wps:wsp>
                  </a:graphicData>
                </a:graphic>
              </wp:anchor>
            </w:drawing>
          </mc:Choice>
          <mc:Fallback>
            <w:pict>
              <v:rect id="Rectangle 1" o:spid="_x0000_s1026" style="position:absolute;margin-left:435.05pt;margin-top:-.25pt;width:4.5pt;height:4.6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" fillcolor="#0070c0" stroked="f" strokeweight="2pt"/>
            </w:pict>
          </mc:Fallback>
        </mc:AlternateContent>
      </w:r>
      <w:r w:rsidRPr="001030DE">
        <w:rPr>
          <w:noProof/>
          <w:lang w:val="en-US" w:eastAsia="en-US"/>
        </w:rPr>
        <mc:AlternateContent>
          <mc:Choice Requires="wps">
            <w:drawing>
              <wp:anchor distT="0" distB="0" distL="114300" distR="114300" simplePos="0" relativeHeight="251709440" behindDoc="0" locked="0" layoutInCell="1" allowOverlap="1" wp14:anchorId="35DF7587" wp14:editId="58AC9C66">
                <wp:simplePos x="0" y="0"/>
                <wp:positionH relativeFrom="column">
                  <wp:posOffset>197221</wp:posOffset>
                </wp:positionH>
                <wp:positionV relativeFrom="paragraph">
                  <wp:posOffset>12700</wp:posOffset>
                </wp:positionV>
                <wp:extent cx="57150" cy="58420"/>
                <wp:effectExtent l="0" t="0" r="0" b="0"/>
                <wp:wrapNone/>
                <wp:docPr id="281"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009999"/>
                        </a:solidFill>
                        <a:ln w="25400" cap="flat" cmpd="sng" algn="ctr">
                          <a:noFill/>
                          <a:prstDash val="solid"/>
                        </a:ln>
                        <a:effectLst/>
                      </wps:spPr>
                      <wps:bodyPr/>
                    </wps:wsp>
                  </a:graphicData>
                </a:graphic>
              </wp:anchor>
            </w:drawing>
          </mc:Choice>
          <mc:Fallback>
            <w:pict>
              <v:rect id="Rectangle 1" o:spid="_x0000_s1026" style="position:absolute;margin-left:15.55pt;margin-top:1pt;width:4.5pt;height:4.6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" fillcolor="#099" stroked="f" strokeweight="2pt"/>
            </w:pict>
          </mc:Fallback>
        </mc:AlternateContent>
      </w:r>
    </w:p>
    <w:p w:rsidR="00FD5CA3" w:rsidRPr="00E474B5" w:rsidRDefault="00FD5CA3" w:rsidP="00FD5CA3">
      <w:pPr>
        <w:pStyle w:val="ONUMFS"/>
        <w:numPr>
          <w:ilvl w:val="0"/>
          <w:numId w:val="6"/>
        </w:numPr>
      </w:pPr>
      <w:r>
        <w:t>E</w:t>
      </w:r>
      <w:r w:rsidRPr="00E474B5">
        <w:t>n</w:t>
      </w:r>
      <w:r>
        <w:t> </w:t>
      </w:r>
      <w:r w:rsidRPr="00E474B5">
        <w:t xml:space="preserve">2016, </w:t>
      </w:r>
      <w:r>
        <w:t xml:space="preserve">lorsque l’Union européenne était </w:t>
      </w:r>
      <w:r w:rsidRPr="00BF652B">
        <w:t>désignée dans un enregistrement international</w:t>
      </w:r>
      <w:r w:rsidRPr="00E474B5">
        <w:t>, 71</w:t>
      </w:r>
      <w:r>
        <w:t>,</w:t>
      </w:r>
      <w:r w:rsidRPr="00E474B5">
        <w:t>1</w:t>
      </w:r>
      <w:r>
        <w:t>% des enregistrements internationaux provenant de la République de Corée</w:t>
      </w:r>
      <w:r w:rsidRPr="00E474B5">
        <w:t xml:space="preserve"> </w:t>
      </w:r>
      <w:r>
        <w:t>contenaient une revendication de priorité,</w:t>
      </w:r>
      <w:r w:rsidRPr="00E474B5">
        <w:t xml:space="preserve"> </w:t>
      </w:r>
      <w:r>
        <w:t>contre</w:t>
      </w:r>
      <w:r w:rsidRPr="00E474B5">
        <w:t xml:space="preserve"> 37</w:t>
      </w:r>
      <w:r>
        <w:t>,</w:t>
      </w:r>
      <w:r w:rsidRPr="00E474B5">
        <w:t>5</w:t>
      </w:r>
      <w:r>
        <w:t>%</w:t>
      </w:r>
      <w:r w:rsidRPr="00E474B5">
        <w:t xml:space="preserve"> </w:t>
      </w:r>
      <w:r>
        <w:t>de ceux qui provenaient d’Allemagne</w:t>
      </w:r>
      <w:r w:rsidRPr="00E474B5">
        <w:t>, 62</w:t>
      </w:r>
      <w:r>
        <w:t>,</w:t>
      </w:r>
      <w:r w:rsidRPr="00E474B5">
        <w:t>5</w:t>
      </w:r>
      <w:r>
        <w:t>%</w:t>
      </w:r>
      <w:r w:rsidRPr="00E474B5">
        <w:t xml:space="preserve"> </w:t>
      </w:r>
      <w:r>
        <w:t>de ceux qui provenaient du Japon</w:t>
      </w:r>
      <w:r w:rsidRPr="00E474B5">
        <w:t>, 50</w:t>
      </w:r>
      <w:r>
        <w:t>%</w:t>
      </w:r>
      <w:r w:rsidRPr="00E474B5">
        <w:t xml:space="preserve"> </w:t>
      </w:r>
      <w:r>
        <w:t>de ceux qui provenaient des États</w:t>
      </w:r>
      <w:r>
        <w:noBreakHyphen/>
        <w:t>Unis d’Amérique</w:t>
      </w:r>
      <w:r w:rsidRPr="00E474B5">
        <w:t xml:space="preserve"> </w:t>
      </w:r>
      <w:r>
        <w:t xml:space="preserve">et </w:t>
      </w:r>
      <w:r w:rsidRPr="00E474B5">
        <w:t>7</w:t>
      </w:r>
      <w:r>
        <w:t>,</w:t>
      </w:r>
      <w:r w:rsidRPr="00E474B5">
        <w:t>7</w:t>
      </w:r>
      <w:r>
        <w:t>%</w:t>
      </w:r>
      <w:r w:rsidRPr="00E474B5">
        <w:t xml:space="preserve"> </w:t>
      </w:r>
      <w:r>
        <w:t>de ceux qui provenaient de Suisse</w:t>
      </w:r>
      <w:r w:rsidRPr="00E474B5">
        <w:t>.</w:t>
      </w:r>
    </w:p>
    <w:p w:rsidR="00FD5CA3" w:rsidRPr="00E474B5" w:rsidRDefault="00FD5CA3" w:rsidP="00FD5CA3">
      <w:pPr>
        <w:pStyle w:val="ONUMFS"/>
        <w:numPr>
          <w:ilvl w:val="0"/>
          <w:numId w:val="6"/>
        </w:numPr>
      </w:pPr>
      <w:r>
        <w:t>La même année</w:t>
      </w:r>
      <w:r w:rsidRPr="00E474B5">
        <w:t xml:space="preserve">, </w:t>
      </w:r>
      <w:r>
        <w:t>lorsque la République de Corée</w:t>
      </w:r>
      <w:r w:rsidRPr="00E474B5">
        <w:t xml:space="preserve"> </w:t>
      </w:r>
      <w:r>
        <w:t xml:space="preserve">était </w:t>
      </w:r>
      <w:r w:rsidRPr="00BF652B">
        <w:t>désignée dans un enregistrement international</w:t>
      </w:r>
      <w:r w:rsidRPr="00E474B5">
        <w:t>, 88</w:t>
      </w:r>
      <w:r>
        <w:t>,</w:t>
      </w:r>
      <w:r w:rsidRPr="00E474B5">
        <w:t>2</w:t>
      </w:r>
      <w:r>
        <w:t>% des enregistrements internationaux provenant des Pays</w:t>
      </w:r>
      <w:r>
        <w:noBreakHyphen/>
        <w:t>Bas</w:t>
      </w:r>
      <w:r w:rsidRPr="00E474B5">
        <w:t xml:space="preserve"> </w:t>
      </w:r>
      <w:r>
        <w:t>contenaient une revendication de priorité,</w:t>
      </w:r>
      <w:r w:rsidRPr="00E474B5">
        <w:t xml:space="preserve"> </w:t>
      </w:r>
      <w:r>
        <w:t>contre</w:t>
      </w:r>
      <w:r w:rsidRPr="00E474B5">
        <w:t xml:space="preserve"> 72</w:t>
      </w:r>
      <w:r>
        <w:t>,</w:t>
      </w:r>
      <w:r w:rsidRPr="00E474B5">
        <w:t>7</w:t>
      </w:r>
      <w:r>
        <w:t>%</w:t>
      </w:r>
      <w:r w:rsidRPr="00E474B5">
        <w:t xml:space="preserve"> </w:t>
      </w:r>
      <w:r>
        <w:t>de ceux qui provenaient des États</w:t>
      </w:r>
      <w:r>
        <w:noBreakHyphen/>
        <w:t>Unis d’Amérique</w:t>
      </w:r>
      <w:r w:rsidRPr="00E474B5">
        <w:t>, 85</w:t>
      </w:r>
      <w:r>
        <w:t>,</w:t>
      </w:r>
      <w:r w:rsidRPr="00E474B5">
        <w:t>7</w:t>
      </w:r>
      <w:r>
        <w:t>%</w:t>
      </w:r>
      <w:r w:rsidRPr="00E474B5">
        <w:t xml:space="preserve"> </w:t>
      </w:r>
      <w:r>
        <w:t>de ceux qui provenaient du Japon</w:t>
      </w:r>
      <w:r w:rsidRPr="00E474B5">
        <w:t>, 38</w:t>
      </w:r>
      <w:r>
        <w:t>,</w:t>
      </w:r>
      <w:r w:rsidRPr="00E474B5">
        <w:t>5</w:t>
      </w:r>
      <w:r>
        <w:t>%</w:t>
      </w:r>
      <w:r w:rsidRPr="00E474B5">
        <w:t xml:space="preserve"> </w:t>
      </w:r>
      <w:r>
        <w:t>de ceux qui provenaient de la République de</w:t>
      </w:r>
      <w:r w:rsidR="004675A2">
        <w:t> </w:t>
      </w:r>
      <w:r>
        <w:t>Corée et</w:t>
      </w:r>
      <w:r w:rsidRPr="00E474B5">
        <w:t xml:space="preserve"> 7</w:t>
      </w:r>
      <w:r>
        <w:t>,</w:t>
      </w:r>
      <w:r w:rsidRPr="00E474B5">
        <w:t>8</w:t>
      </w:r>
      <w:r>
        <w:t>%</w:t>
      </w:r>
      <w:r w:rsidRPr="00E474B5">
        <w:t xml:space="preserve"> </w:t>
      </w:r>
      <w:r>
        <w:t>de ceux qui provenaient de Suisse</w:t>
      </w:r>
      <w:r w:rsidRPr="00E474B5">
        <w:t>.</w:t>
      </w:r>
    </w:p>
    <w:p w:rsidR="00FD5CA3" w:rsidRPr="00E474B5" w:rsidRDefault="00FD5CA3" w:rsidP="00FD5CA3">
      <w:pPr>
        <w:pStyle w:val="ONUMFS"/>
        <w:numPr>
          <w:ilvl w:val="0"/>
          <w:numId w:val="6"/>
        </w:numPr>
      </w:pPr>
      <w:r>
        <w:t>Également au début de </w:t>
      </w:r>
      <w:r w:rsidRPr="00E474B5">
        <w:t xml:space="preserve">2016, </w:t>
      </w:r>
      <w:r>
        <w:t>lorsque le Japon</w:t>
      </w:r>
      <w:r w:rsidRPr="00E474B5">
        <w:t xml:space="preserve"> </w:t>
      </w:r>
      <w:r>
        <w:t xml:space="preserve">était </w:t>
      </w:r>
      <w:r w:rsidRPr="00BF652B">
        <w:t>désigné dans un enregistrement international</w:t>
      </w:r>
      <w:r w:rsidRPr="00E474B5">
        <w:t>, 45</w:t>
      </w:r>
      <w:r>
        <w:t>,</w:t>
      </w:r>
      <w:r w:rsidRPr="00E474B5">
        <w:t>7</w:t>
      </w:r>
      <w:r>
        <w:t>% des enregistrements internationaux provenant de la République de Corée</w:t>
      </w:r>
      <w:r w:rsidRPr="00E474B5">
        <w:t xml:space="preserve"> </w:t>
      </w:r>
      <w:r>
        <w:t>contenaient une revendication de priorité,</w:t>
      </w:r>
      <w:r w:rsidRPr="00E474B5">
        <w:t xml:space="preserve"> </w:t>
      </w:r>
      <w:r>
        <w:t>contre</w:t>
      </w:r>
      <w:r w:rsidRPr="00E474B5">
        <w:t xml:space="preserve"> 88</w:t>
      </w:r>
      <w:r>
        <w:t>,</w:t>
      </w:r>
      <w:r w:rsidRPr="00E474B5">
        <w:t>2</w:t>
      </w:r>
      <w:r>
        <w:t>%</w:t>
      </w:r>
      <w:r w:rsidRPr="00E474B5">
        <w:t xml:space="preserve"> </w:t>
      </w:r>
      <w:r>
        <w:t>de ceux qui provenaient des Pays</w:t>
      </w:r>
      <w:r>
        <w:noBreakHyphen/>
        <w:t>Bas</w:t>
      </w:r>
      <w:r w:rsidRPr="00E474B5">
        <w:t>, 81</w:t>
      </w:r>
      <w:r>
        <w:t>,</w:t>
      </w:r>
      <w:r w:rsidRPr="00E474B5">
        <w:t>8</w:t>
      </w:r>
      <w:r>
        <w:t>%</w:t>
      </w:r>
      <w:r w:rsidRPr="00E474B5">
        <w:t xml:space="preserve"> </w:t>
      </w:r>
      <w:r>
        <w:t>de ceux qui provenaient des États</w:t>
      </w:r>
      <w:r>
        <w:noBreakHyphen/>
        <w:t>Unis d’Amérique</w:t>
      </w:r>
      <w:r w:rsidRPr="00E474B5">
        <w:t>, 26</w:t>
      </w:r>
      <w:r>
        <w:t>,</w:t>
      </w:r>
      <w:r w:rsidRPr="00E474B5">
        <w:t>3</w:t>
      </w:r>
      <w:r>
        <w:t>%</w:t>
      </w:r>
      <w:r w:rsidRPr="00E474B5">
        <w:t xml:space="preserve"> </w:t>
      </w:r>
      <w:r>
        <w:t>de ceux qui provenaient de Suisse</w:t>
      </w:r>
      <w:r w:rsidRPr="00E474B5">
        <w:t xml:space="preserve"> </w:t>
      </w:r>
      <w:r>
        <w:t>et</w:t>
      </w:r>
      <w:r w:rsidRPr="00E474B5">
        <w:t xml:space="preserve"> 71</w:t>
      </w:r>
      <w:r>
        <w:t>,</w:t>
      </w:r>
      <w:r w:rsidRPr="00E474B5">
        <w:t>4</w:t>
      </w:r>
      <w:r>
        <w:t>%</w:t>
      </w:r>
      <w:r w:rsidRPr="00E474B5">
        <w:t xml:space="preserve"> </w:t>
      </w:r>
      <w:r>
        <w:t>de ceux qui provenaient des États</w:t>
      </w:r>
      <w:r>
        <w:noBreakHyphen/>
        <w:t>Unis d’Amérique</w:t>
      </w:r>
      <w:r w:rsidRPr="00E474B5">
        <w:t>.</w:t>
      </w:r>
    </w:p>
    <w:p w:rsidR="00FD5CA3" w:rsidRPr="00E474B5" w:rsidRDefault="00FD5CA3" w:rsidP="00FD5CA3">
      <w:pPr>
        <w:pStyle w:val="ONUMFS"/>
        <w:numPr>
          <w:ilvl w:val="0"/>
          <w:numId w:val="6"/>
        </w:numPr>
      </w:pPr>
      <w:r>
        <w:t>Enfin, e</w:t>
      </w:r>
      <w:r w:rsidRPr="00E474B5">
        <w:t>n</w:t>
      </w:r>
      <w:r>
        <w:t> </w:t>
      </w:r>
      <w:r w:rsidRPr="00E474B5">
        <w:t xml:space="preserve">2016, </w:t>
      </w:r>
      <w:r>
        <w:t>lorsque les</w:t>
      </w:r>
      <w:r w:rsidRPr="00E474B5">
        <w:t xml:space="preserve"> </w:t>
      </w:r>
      <w:r>
        <w:t>États</w:t>
      </w:r>
      <w:r>
        <w:noBreakHyphen/>
        <w:t xml:space="preserve">Unis d’Amérique étaient </w:t>
      </w:r>
      <w:r w:rsidRPr="00BF652B">
        <w:t>désigné</w:t>
      </w:r>
      <w:r>
        <w:t>s</w:t>
      </w:r>
      <w:r w:rsidRPr="00BF652B">
        <w:t xml:space="preserve"> dans un enregistrement international</w:t>
      </w:r>
      <w:r w:rsidRPr="00E474B5">
        <w:t>, 81</w:t>
      </w:r>
      <w:r>
        <w:t>,</w:t>
      </w:r>
      <w:r w:rsidRPr="00E474B5">
        <w:t>4</w:t>
      </w:r>
      <w:r>
        <w:t>% des enregistrements internationaux provenant de la République de Corée</w:t>
      </w:r>
      <w:r w:rsidRPr="00E474B5">
        <w:t xml:space="preserve"> </w:t>
      </w:r>
      <w:r>
        <w:t>contenaient une revendication de priorité,</w:t>
      </w:r>
      <w:r w:rsidRPr="00E474B5">
        <w:t xml:space="preserve"> </w:t>
      </w:r>
      <w:r>
        <w:t>contre</w:t>
      </w:r>
      <w:r w:rsidRPr="00E474B5">
        <w:t xml:space="preserve"> 80</w:t>
      </w:r>
      <w:r>
        <w:t>,</w:t>
      </w:r>
      <w:r w:rsidRPr="00E474B5">
        <w:t>8</w:t>
      </w:r>
      <w:r>
        <w:t>%</w:t>
      </w:r>
      <w:r w:rsidRPr="00E474B5">
        <w:t xml:space="preserve"> </w:t>
      </w:r>
      <w:r>
        <w:t>de ceux qui provenaient des Pays</w:t>
      </w:r>
      <w:r>
        <w:noBreakHyphen/>
        <w:t>Bas</w:t>
      </w:r>
      <w:r w:rsidRPr="00E474B5">
        <w:t>, 50</w:t>
      </w:r>
      <w:r>
        <w:t>%</w:t>
      </w:r>
      <w:r w:rsidRPr="00E474B5">
        <w:t xml:space="preserve"> </w:t>
      </w:r>
      <w:r>
        <w:t>de ceux qui provenaient d’Italie</w:t>
      </w:r>
      <w:r w:rsidRPr="00E474B5">
        <w:t>, 50</w:t>
      </w:r>
      <w:r>
        <w:t>%</w:t>
      </w:r>
      <w:r w:rsidRPr="00E474B5">
        <w:t xml:space="preserve"> </w:t>
      </w:r>
      <w:r>
        <w:t xml:space="preserve">de ceux qui provenaient de </w:t>
      </w:r>
      <w:r w:rsidRPr="00E474B5">
        <w:t xml:space="preserve">France </w:t>
      </w:r>
      <w:r>
        <w:t>et</w:t>
      </w:r>
      <w:r w:rsidRPr="00E474B5">
        <w:t xml:space="preserve"> 41</w:t>
      </w:r>
      <w:r>
        <w:t>,</w:t>
      </w:r>
      <w:r w:rsidRPr="00E474B5">
        <w:t>7</w:t>
      </w:r>
      <w:r>
        <w:t>%</w:t>
      </w:r>
      <w:r w:rsidRPr="00E474B5">
        <w:t xml:space="preserve"> </w:t>
      </w:r>
      <w:r>
        <w:t>de ceux qui provenaient du Japon</w:t>
      </w:r>
      <w:r w:rsidRPr="00E474B5">
        <w:t>.</w:t>
      </w:r>
    </w:p>
    <w:p w:rsidR="00FD5CA3" w:rsidRDefault="00FD5CA3" w:rsidP="005D1CFF">
      <w:pPr>
        <w:pStyle w:val="Heading3"/>
      </w:pPr>
      <w:r>
        <w:t>Tendances en matière de revendications de priorité</w:t>
      </w:r>
    </w:p>
    <w:p w:rsidR="00FD5CA3" w:rsidRPr="00602E94" w:rsidRDefault="00FD5CA3" w:rsidP="005D1CFF"/>
    <w:p w:rsidR="00FD5CA3" w:rsidRPr="00E474B5" w:rsidRDefault="00FD5CA3" w:rsidP="00FD5CA3">
      <w:pPr>
        <w:pStyle w:val="ONUMFS"/>
        <w:numPr>
          <w:ilvl w:val="0"/>
          <w:numId w:val="6"/>
        </w:numPr>
      </w:pPr>
      <w:r>
        <w:t>Une tendance claire se dégage de l’étude des enregistrements internationaux provenant de la République de Corée : la quasi</w:t>
      </w:r>
      <w:r>
        <w:noBreakHyphen/>
        <w:t xml:space="preserve">totalité de ces enregistrements </w:t>
      </w:r>
      <w:proofErr w:type="gramStart"/>
      <w:r>
        <w:t>revendiquent</w:t>
      </w:r>
      <w:proofErr w:type="gramEnd"/>
      <w:r>
        <w:t xml:space="preserve"> une priorité.  À l’inverse</w:t>
      </w:r>
      <w:r w:rsidRPr="00E474B5">
        <w:t xml:space="preserve">, </w:t>
      </w:r>
      <w:r>
        <w:t>il convient de noter que</w:t>
      </w:r>
      <w:r w:rsidRPr="00E474B5">
        <w:t xml:space="preserve"> </w:t>
      </w:r>
      <w:r>
        <w:t>la part des revendications de priorité dans les enregistrements internationaux provenant de Suisse est nettement inf</w:t>
      </w:r>
      <w:r w:rsidRPr="00882267">
        <w:t>érieure à celle de la majorité des</w:t>
      </w:r>
      <w:r>
        <w:t xml:space="preserve"> principaux déposants</w:t>
      </w:r>
      <w:r w:rsidRPr="00E474B5">
        <w:t>.</w:t>
      </w:r>
    </w:p>
    <w:p w:rsidR="00FD5CA3" w:rsidRPr="00E474B5" w:rsidRDefault="00FD5CA3" w:rsidP="00FD5CA3">
      <w:pPr>
        <w:pStyle w:val="ONUMFS"/>
        <w:numPr>
          <w:ilvl w:val="0"/>
          <w:numId w:val="6"/>
        </w:numPr>
      </w:pPr>
      <w:r>
        <w:t>On peut aussi constater que les revendications de priorité</w:t>
      </w:r>
      <w:r w:rsidRPr="00E474B5">
        <w:t xml:space="preserve"> </w:t>
      </w:r>
      <w:r w:rsidRPr="006E2287">
        <w:t xml:space="preserve">hors </w:t>
      </w:r>
      <w:r w:rsidRPr="009F4FD2">
        <w:t>membres de l</w:t>
      </w:r>
      <w:r>
        <w:t>’</w:t>
      </w:r>
      <w:r w:rsidRPr="009F4FD2">
        <w:t>Union de</w:t>
      </w:r>
      <w:r w:rsidR="00BE1211">
        <w:t> </w:t>
      </w:r>
      <w:r>
        <w:t>La Haye</w:t>
      </w:r>
      <w:r w:rsidRPr="00E474B5">
        <w:t xml:space="preserve"> </w:t>
      </w:r>
      <w:r>
        <w:t>étaient bien entendu assez</w:t>
      </w:r>
      <w:r w:rsidRPr="00E474B5">
        <w:t xml:space="preserve"> rare</w:t>
      </w:r>
      <w:r>
        <w:t>s</w:t>
      </w:r>
      <w:r w:rsidRPr="00E474B5">
        <w:t xml:space="preserve">, </w:t>
      </w:r>
      <w:r>
        <w:t>mais qu’elles existaient.  Ainsi</w:t>
      </w:r>
      <w:r w:rsidRPr="00E474B5">
        <w:t xml:space="preserve">, </w:t>
      </w:r>
      <w:r>
        <w:t>e</w:t>
      </w:r>
      <w:r w:rsidRPr="00E474B5">
        <w:t>n</w:t>
      </w:r>
      <w:r>
        <w:t> </w:t>
      </w:r>
      <w:r w:rsidRPr="00E474B5">
        <w:t xml:space="preserve">2014, 2015 </w:t>
      </w:r>
      <w:r>
        <w:t>et au premier trimestre de </w:t>
      </w:r>
      <w:r w:rsidRPr="00E474B5">
        <w:t xml:space="preserve">2016, 36, 18 </w:t>
      </w:r>
      <w:r>
        <w:t>et deux enregistrements internationaux</w:t>
      </w:r>
      <w:r w:rsidRPr="00E474B5">
        <w:t>, respective</w:t>
      </w:r>
      <w:r>
        <w:t xml:space="preserve">ment, </w:t>
      </w:r>
      <w:r>
        <w:lastRenderedPageBreak/>
        <w:t xml:space="preserve">revendiquaient </w:t>
      </w:r>
      <w:r w:rsidRPr="009F4FD2">
        <w:t>la priorité d</w:t>
      </w:r>
      <w:r>
        <w:t>’</w:t>
      </w:r>
      <w:r w:rsidRPr="009F4FD2">
        <w:t xml:space="preserve">un dépôt antérieur </w:t>
      </w:r>
      <w:r>
        <w:t>auprès de l’</w:t>
      </w:r>
      <w:r w:rsidRPr="009F4FD2">
        <w:t>Office d</w:t>
      </w:r>
      <w:r>
        <w:t>’</w:t>
      </w:r>
      <w:r w:rsidRPr="009F4FD2">
        <w:t>État de la propriété intellectuelle de la République populaire de Chine</w:t>
      </w:r>
      <w:r>
        <w:t xml:space="preserve"> (SIPO)</w:t>
      </w:r>
      <w:r w:rsidRPr="00E474B5">
        <w:t xml:space="preserve">. </w:t>
      </w:r>
      <w:r w:rsidRPr="00FE234A">
        <w:t xml:space="preserve"> </w:t>
      </w:r>
      <w:r>
        <w:t>Par ailleurs</w:t>
      </w:r>
      <w:r w:rsidRPr="00E474B5">
        <w:t xml:space="preserve">, </w:t>
      </w:r>
      <w:r>
        <w:t>e</w:t>
      </w:r>
      <w:r w:rsidRPr="00E474B5">
        <w:t>n</w:t>
      </w:r>
      <w:r>
        <w:t> </w:t>
      </w:r>
      <w:r w:rsidRPr="00E474B5">
        <w:t xml:space="preserve">2014, 2015 </w:t>
      </w:r>
      <w:r>
        <w:t>et au premier trimestre de </w:t>
      </w:r>
      <w:r w:rsidRPr="00E474B5">
        <w:t>2016,</w:t>
      </w:r>
      <w:r>
        <w:t xml:space="preserve"> six</w:t>
      </w:r>
      <w:r w:rsidRPr="00E474B5">
        <w:t>,</w:t>
      </w:r>
      <w:r>
        <w:t xml:space="preserve"> deux et un </w:t>
      </w:r>
      <w:proofErr w:type="gramStart"/>
      <w:r>
        <w:t>enregistrements</w:t>
      </w:r>
      <w:proofErr w:type="gramEnd"/>
      <w:r>
        <w:t xml:space="preserve"> internationaux, respectivement, revendiquaient une priorité</w:t>
      </w:r>
      <w:r w:rsidRPr="00E474B5">
        <w:t xml:space="preserve"> </w:t>
      </w:r>
      <w:r>
        <w:t xml:space="preserve">auprès du </w:t>
      </w:r>
      <w:r w:rsidRPr="00863787">
        <w:t>Service fédéral de la propriété intellectuelle</w:t>
      </w:r>
      <w:r w:rsidR="00B2021F">
        <w:t> </w:t>
      </w:r>
      <w:r>
        <w:t>(ROSPATENT).</w:t>
      </w:r>
    </w:p>
    <w:p w:rsidR="00FD5CA3" w:rsidRDefault="00FD5CA3" w:rsidP="00FD5CA3">
      <w:pPr>
        <w:pStyle w:val="ONUMFS"/>
        <w:numPr>
          <w:ilvl w:val="0"/>
          <w:numId w:val="6"/>
        </w:numPr>
      </w:pPr>
      <w:r>
        <w:t>Enfin</w:t>
      </w:r>
      <w:r w:rsidRPr="00E474B5">
        <w:t>,</w:t>
      </w:r>
      <w:r>
        <w:t xml:space="preserve"> pour faire une parenthèse</w:t>
      </w:r>
      <w:r w:rsidRPr="00E474B5">
        <w:t>,</w:t>
      </w:r>
      <w:r>
        <w:t xml:space="preserve"> on peut observer qu’un nombre relativement élevé</w:t>
      </w:r>
      <w:r w:rsidRPr="00E474B5">
        <w:t xml:space="preserve"> </w:t>
      </w:r>
      <w:r>
        <w:t>de revendications de priorité liées à une demande internationale antérieure étaient contenues dans les enregistrements internationaux désignant les États</w:t>
      </w:r>
      <w:r>
        <w:noBreakHyphen/>
        <w:t xml:space="preserve">Unis d’Amérique en 2015, ce qui pouvait s’expliquer par le </w:t>
      </w:r>
      <w:r w:rsidR="00B04C63">
        <w:t xml:space="preserve">fait </w:t>
      </w:r>
      <w:r>
        <w:t xml:space="preserve">que l’Acte de 1999 </w:t>
      </w:r>
      <w:r w:rsidR="00B04C63">
        <w:t xml:space="preserve">est </w:t>
      </w:r>
      <w:r>
        <w:t xml:space="preserve">entré en vigueur </w:t>
      </w:r>
      <w:r w:rsidR="00B04C63">
        <w:t>pour les États</w:t>
      </w:r>
      <w:r w:rsidR="00B04C63">
        <w:noBreakHyphen/>
        <w:t xml:space="preserve">Unis d’Amérique </w:t>
      </w:r>
      <w:r>
        <w:t>le</w:t>
      </w:r>
      <w:r w:rsidR="00B6535C">
        <w:t> </w:t>
      </w:r>
      <w:r>
        <w:t xml:space="preserve">13 mai 2015, et </w:t>
      </w:r>
      <w:r w:rsidR="00B04C63">
        <w:t>qu</w:t>
      </w:r>
      <w:r w:rsidR="00037FB6">
        <w:t>e</w:t>
      </w:r>
      <w:r w:rsidR="00B04C63">
        <w:t xml:space="preserve"> </w:t>
      </w:r>
      <w:r>
        <w:t xml:space="preserve">les </w:t>
      </w:r>
      <w:r w:rsidRPr="008059B2">
        <w:t>titulaires d</w:t>
      </w:r>
      <w:r>
        <w:t>’</w:t>
      </w:r>
      <w:r w:rsidRPr="008059B2">
        <w:t>enregistrements internationaux</w:t>
      </w:r>
      <w:r>
        <w:t xml:space="preserve"> antérieurs souhaitaient étendre la protection dont ils bénéficiaient aux États</w:t>
      </w:r>
      <w:r>
        <w:noBreakHyphen/>
        <w:t>Unis d’Amérique.  Il convient de souligner qu’au premier trimestre de 2016, aucun des enregistrements internationaux désignant les États</w:t>
      </w:r>
      <w:r>
        <w:noBreakHyphen/>
        <w:t>Unis d’Amérique ne contenait de revendication de priorité portant sur une demande internationale antérieure.</w:t>
      </w:r>
    </w:p>
    <w:p w:rsidR="00FD5CA3" w:rsidRDefault="00FD5CA3" w:rsidP="005D1CFF">
      <w:pPr>
        <w:pStyle w:val="Heading2"/>
      </w:pPr>
      <w:r>
        <w:t>Publication des enregistrements internationaux</w:t>
      </w:r>
    </w:p>
    <w:p w:rsidR="00FD5CA3" w:rsidRPr="00602E94" w:rsidRDefault="00FD5CA3" w:rsidP="005D1CFF"/>
    <w:p w:rsidR="00FD5CA3" w:rsidRPr="00E474B5" w:rsidRDefault="00FD5CA3" w:rsidP="00FD5CA3">
      <w:pPr>
        <w:pStyle w:val="ONUMFS"/>
        <w:numPr>
          <w:ilvl w:val="0"/>
          <w:numId w:val="6"/>
        </w:numPr>
      </w:pPr>
      <w:r>
        <w:t>Le</w:t>
      </w:r>
      <w:r w:rsidRPr="00E474B5">
        <w:t xml:space="preserve"> cycle </w:t>
      </w:r>
      <w:r>
        <w:t>hebdomadaire de</w:t>
      </w:r>
      <w:r w:rsidRPr="00E474B5">
        <w:t xml:space="preserve"> publication </w:t>
      </w:r>
      <w:r>
        <w:t>du</w:t>
      </w:r>
      <w:r w:rsidRPr="00E474B5">
        <w:t xml:space="preserve"> </w:t>
      </w:r>
      <w:r w:rsidRPr="00E4393A">
        <w:rPr>
          <w:i/>
        </w:rPr>
        <w:t xml:space="preserve">Bulletin des dessins et modèles internationaux </w:t>
      </w:r>
      <w:r>
        <w:t>a été introduit en </w:t>
      </w:r>
      <w:r w:rsidRPr="00E474B5">
        <w:t xml:space="preserve">2012, </w:t>
      </w:r>
      <w:r>
        <w:t>rendant l’option de publication immédiate plus attrayante pour les utilisateurs.  E</w:t>
      </w:r>
      <w:r w:rsidRPr="00E474B5">
        <w:t>n</w:t>
      </w:r>
      <w:r>
        <w:t> </w:t>
      </w:r>
      <w:r w:rsidRPr="00E474B5">
        <w:t xml:space="preserve">2014, </w:t>
      </w:r>
      <w:r>
        <w:t xml:space="preserve">la </w:t>
      </w:r>
      <w:r w:rsidRPr="00E474B5">
        <w:t xml:space="preserve">publication immédiate </w:t>
      </w:r>
      <w:r>
        <w:t>a été demandée pour</w:t>
      </w:r>
      <w:r w:rsidRPr="00E474B5">
        <w:t xml:space="preserve"> 53</w:t>
      </w:r>
      <w:r>
        <w:t>,</w:t>
      </w:r>
      <w:r w:rsidRPr="00E474B5">
        <w:t>9</w:t>
      </w:r>
      <w:r>
        <w:t>%</w:t>
      </w:r>
      <w:r w:rsidRPr="00E474B5">
        <w:t xml:space="preserve"> </w:t>
      </w:r>
      <w:r>
        <w:t>des enregistrements internationaux</w:t>
      </w:r>
      <w:r w:rsidRPr="00E474B5">
        <w:t xml:space="preserve">, </w:t>
      </w:r>
      <w:r>
        <w:t>alors qu’en </w:t>
      </w:r>
      <w:r w:rsidRPr="00E474B5">
        <w:t xml:space="preserve">2015, </w:t>
      </w:r>
      <w:r>
        <w:t>ce chiffre était de</w:t>
      </w:r>
      <w:r w:rsidRPr="00E474B5">
        <w:t xml:space="preserve"> 50</w:t>
      </w:r>
      <w:r>
        <w:t>,</w:t>
      </w:r>
      <w:r w:rsidRPr="00E474B5">
        <w:t>1</w:t>
      </w:r>
      <w:r>
        <w:t>%</w:t>
      </w:r>
      <w:r w:rsidRPr="00E474B5">
        <w:t>.</w:t>
      </w:r>
    </w:p>
    <w:p w:rsidR="00FD5CA3" w:rsidRPr="00E474B5" w:rsidRDefault="00FD5CA3" w:rsidP="00FD5CA3">
      <w:pPr>
        <w:pStyle w:val="ONUMFS"/>
        <w:numPr>
          <w:ilvl w:val="0"/>
          <w:numId w:val="6"/>
        </w:numPr>
      </w:pPr>
      <w:r>
        <w:t>E</w:t>
      </w:r>
      <w:r w:rsidRPr="00E474B5">
        <w:t>n</w:t>
      </w:r>
      <w:r>
        <w:t> </w:t>
      </w:r>
      <w:r w:rsidRPr="00E474B5">
        <w:t>2014, 38,4</w:t>
      </w:r>
      <w:r>
        <w:t>%</w:t>
      </w:r>
      <w:r w:rsidRPr="00E474B5">
        <w:t xml:space="preserve"> </w:t>
      </w:r>
      <w:r>
        <w:t>des enregistrements internationaux</w:t>
      </w:r>
      <w:r w:rsidRPr="00E474B5">
        <w:t xml:space="preserve"> </w:t>
      </w:r>
      <w:r>
        <w:t xml:space="preserve">faisaient l’objet d’une </w:t>
      </w:r>
      <w:r w:rsidRPr="00E474B5">
        <w:t>publication</w:t>
      </w:r>
      <w:r w:rsidR="007E0A96">
        <w:t xml:space="preserve"> standard</w:t>
      </w:r>
      <w:r w:rsidRPr="00E474B5">
        <w:t xml:space="preserve">, </w:t>
      </w:r>
      <w:r>
        <w:t>tandis qu’en </w:t>
      </w:r>
      <w:r w:rsidRPr="00E474B5">
        <w:t>2015</w:t>
      </w:r>
      <w:r>
        <w:t>, ce chiffre était de</w:t>
      </w:r>
      <w:r w:rsidRPr="00E474B5">
        <w:t xml:space="preserve"> 40</w:t>
      </w:r>
      <w:r>
        <w:t>%</w:t>
      </w:r>
      <w:r w:rsidRPr="00E474B5">
        <w:t xml:space="preserve">.  </w:t>
      </w:r>
      <w:r>
        <w:t>E</w:t>
      </w:r>
      <w:r w:rsidRPr="00E474B5">
        <w:t>n</w:t>
      </w:r>
      <w:r>
        <w:t> </w:t>
      </w:r>
      <w:r w:rsidRPr="00E474B5">
        <w:t xml:space="preserve">2014, </w:t>
      </w:r>
      <w:r>
        <w:t>un ajournement de</w:t>
      </w:r>
      <w:r w:rsidRPr="00E474B5">
        <w:t xml:space="preserve"> publication </w:t>
      </w:r>
      <w:r>
        <w:t>avait été demandé pour</w:t>
      </w:r>
      <w:r w:rsidRPr="00E474B5">
        <w:t xml:space="preserve"> 7</w:t>
      </w:r>
      <w:r>
        <w:t>,</w:t>
      </w:r>
      <w:r w:rsidRPr="00E474B5">
        <w:t>7</w:t>
      </w:r>
      <w:r>
        <w:t>%</w:t>
      </w:r>
      <w:r w:rsidRPr="00E474B5">
        <w:t xml:space="preserve"> </w:t>
      </w:r>
      <w:r>
        <w:t>des enregistrements internationaux, contre 9,9% en </w:t>
      </w:r>
      <w:r w:rsidRPr="00E474B5">
        <w:t>2015.</w:t>
      </w:r>
    </w:p>
    <w:p w:rsidR="00FD5CA3" w:rsidRPr="00E474B5" w:rsidRDefault="00FD5CA3" w:rsidP="00FD5CA3">
      <w:pPr>
        <w:pStyle w:val="ONUMFS"/>
        <w:numPr>
          <w:ilvl w:val="0"/>
          <w:numId w:val="6"/>
        </w:numPr>
      </w:pPr>
      <w:r>
        <w:t>Au cours des trois premiers mois de </w:t>
      </w:r>
      <w:r w:rsidRPr="00E474B5">
        <w:t>2016, 47</w:t>
      </w:r>
      <w:r>
        <w:t>,</w:t>
      </w:r>
      <w:r w:rsidRPr="00E474B5">
        <w:t>9</w:t>
      </w:r>
      <w:r>
        <w:t>%</w:t>
      </w:r>
      <w:r w:rsidRPr="00E474B5">
        <w:t xml:space="preserve"> </w:t>
      </w:r>
      <w:r>
        <w:t>des enregistrements internationaux</w:t>
      </w:r>
      <w:r w:rsidRPr="00E474B5">
        <w:t xml:space="preserve"> </w:t>
      </w:r>
      <w:r>
        <w:t>faisaient l’objet d’une publication immédiate</w:t>
      </w:r>
      <w:r w:rsidRPr="00E474B5">
        <w:t>, 45</w:t>
      </w:r>
      <w:r>
        <w:t>,</w:t>
      </w:r>
      <w:r w:rsidRPr="00E474B5">
        <w:t>6</w:t>
      </w:r>
      <w:r>
        <w:t>%</w:t>
      </w:r>
      <w:r w:rsidRPr="00E474B5">
        <w:t xml:space="preserve"> </w:t>
      </w:r>
      <w:r>
        <w:t>d’une</w:t>
      </w:r>
      <w:r w:rsidRPr="00E474B5">
        <w:t xml:space="preserve"> publication</w:t>
      </w:r>
      <w:r w:rsidR="007E0A96">
        <w:t xml:space="preserve"> standard</w:t>
      </w:r>
      <w:r>
        <w:t xml:space="preserve"> et</w:t>
      </w:r>
      <w:r w:rsidRPr="00E474B5">
        <w:t xml:space="preserve"> 6</w:t>
      </w:r>
      <w:r>
        <w:t>,</w:t>
      </w:r>
      <w:r w:rsidRPr="00E474B5">
        <w:t>5</w:t>
      </w:r>
      <w:r>
        <w:t>%</w:t>
      </w:r>
      <w:r w:rsidRPr="00E474B5">
        <w:t xml:space="preserve"> </w:t>
      </w:r>
      <w:r>
        <w:t>d’une</w:t>
      </w:r>
      <w:r w:rsidRPr="00E474B5">
        <w:t xml:space="preserve"> publication</w:t>
      </w:r>
      <w:r>
        <w:t xml:space="preserve"> ajournée</w:t>
      </w:r>
      <w:r w:rsidRPr="00E474B5">
        <w:t>.</w:t>
      </w:r>
    </w:p>
    <w:p w:rsidR="00FD5CA3" w:rsidRPr="00E474B5" w:rsidRDefault="00FD5CA3" w:rsidP="00FD5CA3">
      <w:pPr>
        <w:pStyle w:val="ONUMFS"/>
        <w:numPr>
          <w:ilvl w:val="0"/>
          <w:numId w:val="6"/>
        </w:numPr>
      </w:pPr>
      <w:r>
        <w:t>Il est probable que</w:t>
      </w:r>
      <w:r w:rsidRPr="00E474B5">
        <w:t xml:space="preserve"> </w:t>
      </w:r>
      <w:r>
        <w:t>la part des</w:t>
      </w:r>
      <w:r w:rsidRPr="00E474B5">
        <w:t xml:space="preserve"> publications</w:t>
      </w:r>
      <w:r>
        <w:t xml:space="preserve"> ajournées restera faible puisqu’un certain nombre de</w:t>
      </w:r>
      <w:r w:rsidRPr="00E474B5">
        <w:t xml:space="preserve"> </w:t>
      </w:r>
      <w:r>
        <w:t>parties contractantes, y compris les États</w:t>
      </w:r>
      <w:r>
        <w:noBreakHyphen/>
        <w:t>Unis d’Amérique, qui sont fréquemment désignées dans les enregistrements internationaux, ont fait des déclarations en vertu de l’a</w:t>
      </w:r>
      <w:r w:rsidRPr="00E474B5">
        <w:t>rticle</w:t>
      </w:r>
      <w:r>
        <w:t> 11.</w:t>
      </w:r>
      <w:r w:rsidRPr="00E474B5">
        <w:t>1</w:t>
      </w:r>
      <w:r>
        <w:t>)</w:t>
      </w:r>
      <w:r w:rsidRPr="00E474B5">
        <w:t xml:space="preserve">b) </w:t>
      </w:r>
      <w:r>
        <w:t>de l’Acte de </w:t>
      </w:r>
      <w:r w:rsidRPr="00E474B5">
        <w:t>1999</w:t>
      </w:r>
      <w:r>
        <w:t> concernant l’interdiction de l’ajournement des publications.</w:t>
      </w:r>
    </w:p>
    <w:p w:rsidR="00FD5CA3" w:rsidRPr="0025759D" w:rsidRDefault="00FD5CA3" w:rsidP="005D1CFF">
      <w:pPr>
        <w:pStyle w:val="Heading1"/>
      </w:pPr>
      <w:r w:rsidRPr="0025759D">
        <w:t>IV.</w:t>
      </w:r>
      <w:r>
        <w:tab/>
        <w:t>A</w:t>
      </w:r>
      <w:r w:rsidRPr="00575C16">
        <w:t xml:space="preserve">utodésignation </w:t>
      </w:r>
      <w:r>
        <w:t>et “familles de désignation”</w:t>
      </w:r>
      <w:r w:rsidRPr="0025759D">
        <w:t xml:space="preserve"> </w:t>
      </w:r>
      <w:r>
        <w:t>dans les enregistrements internationaux</w:t>
      </w:r>
    </w:p>
    <w:p w:rsidR="00FD5CA3" w:rsidRDefault="00FD5CA3" w:rsidP="005D1CFF">
      <w:pPr>
        <w:pStyle w:val="Heading2"/>
      </w:pPr>
      <w:r>
        <w:t>Autodésignations de “nouvelles” parties contractantes comparées</w:t>
      </w:r>
      <w:r w:rsidRPr="00175D8C">
        <w:t xml:space="preserve"> aux par</w:t>
      </w:r>
      <w:r>
        <w:t>ties contractantes “traditionnelles”</w:t>
      </w:r>
    </w:p>
    <w:p w:rsidR="00FD5CA3" w:rsidRDefault="00FD5CA3" w:rsidP="005D1CFF">
      <w:pPr>
        <w:pStyle w:val="Heading3"/>
      </w:pPr>
      <w:proofErr w:type="spellStart"/>
      <w:r>
        <w:t>Autodésignation</w:t>
      </w:r>
      <w:proofErr w:type="spellEnd"/>
      <w:r>
        <w:t xml:space="preserve"> par pays</w:t>
      </w:r>
      <w:r w:rsidR="007E0A96">
        <w:t xml:space="preserve"> d’adresse du</w:t>
      </w:r>
      <w:r>
        <w:t xml:space="preserve"> titulaire de l’enregistrement international</w:t>
      </w:r>
    </w:p>
    <w:p w:rsidR="00FD5CA3" w:rsidRPr="004B1A07" w:rsidRDefault="00FD5CA3" w:rsidP="005D1CFF"/>
    <w:p w:rsidR="00FD5CA3" w:rsidRPr="00E474B5" w:rsidRDefault="00FD5CA3" w:rsidP="00FD5CA3">
      <w:pPr>
        <w:pStyle w:val="ONUMFS"/>
        <w:numPr>
          <w:ilvl w:val="0"/>
          <w:numId w:val="6"/>
        </w:numPr>
      </w:pPr>
      <w:r>
        <w:t>Conformément au</w:t>
      </w:r>
      <w:r w:rsidRPr="007478CF">
        <w:t xml:space="preserve"> système de </w:t>
      </w:r>
      <w:r>
        <w:t>La Haye</w:t>
      </w:r>
      <w:r w:rsidRPr="00E474B5">
        <w:t xml:space="preserve">, </w:t>
      </w:r>
      <w:r w:rsidRPr="007478CF">
        <w:t xml:space="preserve">la </w:t>
      </w:r>
      <w:r w:rsidRPr="00E474B5">
        <w:t>“</w:t>
      </w:r>
      <w:r w:rsidRPr="007478CF">
        <w:t>partie contractante du titulaire</w:t>
      </w:r>
      <w:r w:rsidRPr="00E474B5">
        <w:t xml:space="preserve">” </w:t>
      </w:r>
      <w:r>
        <w:t>de l’enregistrement</w:t>
      </w:r>
      <w:r w:rsidRPr="00E474B5">
        <w:t xml:space="preserve"> international </w:t>
      </w:r>
      <w:r>
        <w:t>peut aussi être désignée</w:t>
      </w:r>
      <w:r w:rsidRPr="00BC5E27">
        <w:rPr>
          <w:rStyle w:val="FootnoteReference"/>
        </w:rPr>
        <w:footnoteReference w:id="11"/>
      </w:r>
      <w:r w:rsidRPr="00E474B5">
        <w:t xml:space="preserve">.  </w:t>
      </w:r>
      <w:r>
        <w:t>Cette</w:t>
      </w:r>
      <w:r w:rsidRPr="00E474B5">
        <w:t xml:space="preserve"> possibilité</w:t>
      </w:r>
      <w:r>
        <w:t xml:space="preserve"> est largement utilisée</w:t>
      </w:r>
      <w:r w:rsidRPr="00E474B5">
        <w:t xml:space="preserve"> </w:t>
      </w:r>
      <w:r>
        <w:t>par les utilisateurs de certains membres traditionnels du système de La Haye, comme par exemple les utilisateurs ayant une adresse en Suisse ou dans un État membre de l’Union européenne.</w:t>
      </w:r>
    </w:p>
    <w:p w:rsidR="00FD5CA3" w:rsidRPr="00E474B5" w:rsidRDefault="00FD5CA3" w:rsidP="00FD5CA3">
      <w:pPr>
        <w:pStyle w:val="ONUMFS"/>
        <w:numPr>
          <w:ilvl w:val="0"/>
          <w:numId w:val="6"/>
        </w:numPr>
      </w:pPr>
      <w:r>
        <w:lastRenderedPageBreak/>
        <w:t>Pour ce qui est des</w:t>
      </w:r>
      <w:r w:rsidRPr="00E474B5">
        <w:t xml:space="preserve"> </w:t>
      </w:r>
      <w:r>
        <w:t>États membres de l’Union européenne</w:t>
      </w:r>
      <w:r w:rsidRPr="00E474B5">
        <w:t xml:space="preserve">, </w:t>
      </w:r>
      <w:r>
        <w:t>et aux fins du présent</w:t>
      </w:r>
      <w:r w:rsidRPr="00E474B5">
        <w:t xml:space="preserve"> document</w:t>
      </w:r>
      <w:r>
        <w:t>, l</w:t>
      </w:r>
      <w:r w:rsidRPr="00E474B5">
        <w:t xml:space="preserve">e concept </w:t>
      </w:r>
      <w:r>
        <w:t>d’</w:t>
      </w:r>
      <w:proofErr w:type="spellStart"/>
      <w:r>
        <w:t>autodé</w:t>
      </w:r>
      <w:r w:rsidRPr="00E474B5">
        <w:t>signation</w:t>
      </w:r>
      <w:proofErr w:type="spellEnd"/>
      <w:r w:rsidRPr="00E474B5">
        <w:t xml:space="preserve"> </w:t>
      </w:r>
      <w:r>
        <w:t>comprend à la fois les</w:t>
      </w:r>
      <w:r w:rsidRPr="00E474B5">
        <w:t xml:space="preserve"> désignations</w:t>
      </w:r>
      <w:r>
        <w:t xml:space="preserve"> de l’Union européenne et celles de l’État concerné</w:t>
      </w:r>
      <w:r w:rsidRPr="00E474B5">
        <w:t xml:space="preserve"> (</w:t>
      </w:r>
      <w:r>
        <w:t>c’est</w:t>
      </w:r>
      <w:r>
        <w:noBreakHyphen/>
        <w:t>à</w:t>
      </w:r>
      <w:r>
        <w:noBreakHyphen/>
        <w:t>dire</w:t>
      </w:r>
      <w:r w:rsidRPr="00E474B5">
        <w:t>,</w:t>
      </w:r>
      <w:r>
        <w:t> l</w:t>
      </w:r>
      <w:r w:rsidRPr="00E474B5">
        <w:t xml:space="preserve">e </w:t>
      </w:r>
      <w:r>
        <w:t>pays</w:t>
      </w:r>
      <w:r w:rsidR="007E0A96">
        <w:t xml:space="preserve"> d’adresse du</w:t>
      </w:r>
      <w:r>
        <w:t xml:space="preserve"> titulaire</w:t>
      </w:r>
      <w:r w:rsidRPr="00E474B5">
        <w:t xml:space="preserve">) </w:t>
      </w:r>
      <w:r>
        <w:t>qui est lui</w:t>
      </w:r>
      <w:r>
        <w:noBreakHyphen/>
        <w:t>même une partie contractante.  De plus, on observe qu’un enregistrement international peut désigner à la fois l’Union européenne et n’importe lequel de ses États membres étant une partie contractante.</w:t>
      </w:r>
    </w:p>
    <w:p w:rsidR="00FD5CA3" w:rsidRPr="00E474B5" w:rsidRDefault="00FD5CA3" w:rsidP="00FD5CA3">
      <w:pPr>
        <w:pStyle w:val="ONUMFS"/>
        <w:numPr>
          <w:ilvl w:val="0"/>
          <w:numId w:val="6"/>
        </w:numPr>
      </w:pPr>
      <w:r>
        <w:t>Par ailleurs</w:t>
      </w:r>
      <w:r w:rsidRPr="00E474B5">
        <w:t xml:space="preserve">, </w:t>
      </w:r>
      <w:r>
        <w:t>l</w:t>
      </w:r>
      <w:r w:rsidRPr="00E474B5">
        <w:t xml:space="preserve">e concept </w:t>
      </w:r>
      <w:r>
        <w:t>d’</w:t>
      </w:r>
      <w:proofErr w:type="spellStart"/>
      <w:r>
        <w:t>auto</w:t>
      </w:r>
      <w:r w:rsidRPr="00E474B5">
        <w:t>d</w:t>
      </w:r>
      <w:r>
        <w:t>é</w:t>
      </w:r>
      <w:r w:rsidRPr="00E474B5">
        <w:t>signation</w:t>
      </w:r>
      <w:proofErr w:type="spellEnd"/>
      <w:r w:rsidRPr="00E474B5">
        <w:t xml:space="preserve"> </w:t>
      </w:r>
      <w:r>
        <w:t xml:space="preserve">appliqué au Benelux comprend, aux fins du présent document, à la fois les </w:t>
      </w:r>
      <w:r w:rsidRPr="00E474B5">
        <w:t>désignations</w:t>
      </w:r>
      <w:r>
        <w:t xml:space="preserve"> de</w:t>
      </w:r>
      <w:r w:rsidRPr="00E474B5">
        <w:t xml:space="preserve"> </w:t>
      </w:r>
      <w:r>
        <w:t>l’</w:t>
      </w:r>
      <w:r w:rsidRPr="00E474B5">
        <w:t xml:space="preserve">Union </w:t>
      </w:r>
      <w:r>
        <w:t>européenne et du</w:t>
      </w:r>
      <w:r w:rsidRPr="00E474B5">
        <w:t xml:space="preserve"> Benelux </w:t>
      </w:r>
      <w:r>
        <w:t>par les titulaires ayant une adresse en Belgique, aux Pays</w:t>
      </w:r>
      <w:r>
        <w:noBreakHyphen/>
        <w:t>Bas ou au Luxembourg.</w:t>
      </w:r>
    </w:p>
    <w:p w:rsidR="00FD5CA3" w:rsidRDefault="00FD5CA3" w:rsidP="005D1CFF">
      <w:pPr>
        <w:pStyle w:val="Heading3"/>
      </w:pPr>
      <w:r>
        <w:t>Famille de l’Europe géographique</w:t>
      </w:r>
      <w:r w:rsidRPr="00BC5E27">
        <w:rPr>
          <w:rStyle w:val="FootnoteReference"/>
        </w:rPr>
        <w:footnoteReference w:id="12"/>
      </w:r>
      <w:r>
        <w:t xml:space="preserve"> au titre du système de La Haye</w:t>
      </w:r>
    </w:p>
    <w:p w:rsidR="00FD5CA3" w:rsidRPr="00BC5E27" w:rsidRDefault="00FD5CA3" w:rsidP="005D1CFF"/>
    <w:p w:rsidR="00FD5CA3" w:rsidRDefault="00FD5CA3" w:rsidP="005D1CFF">
      <w:pPr>
        <w:pStyle w:val="ONUME"/>
        <w:numPr>
          <w:ilvl w:val="0"/>
          <w:numId w:val="0"/>
        </w:numPr>
        <w:rPr>
          <w:i/>
          <w:u w:val="single"/>
        </w:rPr>
      </w:pPr>
      <w:r>
        <w:rPr>
          <w:noProof/>
          <w:lang w:val="en-US" w:eastAsia="en-US"/>
        </w:rPr>
        <mc:AlternateContent>
          <mc:Choice Requires="wps">
            <w:drawing>
              <wp:anchor distT="0" distB="0" distL="114300" distR="114300" simplePos="0" relativeHeight="251729920" behindDoc="0" locked="0" layoutInCell="1" allowOverlap="1" wp14:anchorId="70F8E585" wp14:editId="178A11CF">
                <wp:simplePos x="0" y="0"/>
                <wp:positionH relativeFrom="column">
                  <wp:posOffset>280670</wp:posOffset>
                </wp:positionH>
                <wp:positionV relativeFrom="paragraph">
                  <wp:posOffset>3076575</wp:posOffset>
                </wp:positionV>
                <wp:extent cx="428625" cy="249555"/>
                <wp:effectExtent l="0" t="0" r="0" b="0"/>
                <wp:wrapNone/>
                <wp:docPr id="315" name="Zone de texte 315"/>
                <wp:cNvGraphicFramePr/>
                <a:graphic xmlns:a="http://schemas.openxmlformats.org/drawingml/2006/main">
                  <a:graphicData uri="http://schemas.microsoft.com/office/word/2010/wordprocessingShape">
                    <wps:wsp>
                      <wps:cNvSpPr txBox="1"/>
                      <wps:spPr>
                        <a:xfrm>
                          <a:off x="0" y="0"/>
                          <a:ext cx="42862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CA3" w:rsidRDefault="00FD5CA3" w:rsidP="00250556">
                            <w:r>
                              <w: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5" o:spid="_x0000_s1059" type="#_x0000_t202" style="position:absolute;margin-left:22.1pt;margin-top:242.25pt;width:33.75pt;height:19.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" filled="f" stroked="f" strokeweight=".5pt">
                <v:textbox>
                  <w:txbxContent>
                    <w:p w:rsidR="00FD5CA3" w:rsidRDefault="00FD5CA3" w:rsidP="00250556">
                      <w:r>
                        <w:t>EM</w:t>
                      </w:r>
                    </w:p>
                  </w:txbxContent>
                </v:textbox>
              </v:shape>
            </w:pict>
          </mc:Fallback>
        </mc:AlternateContent>
      </w:r>
      <w:r>
        <w:rPr>
          <w:noProof/>
          <w:lang w:val="en-US" w:eastAsia="en-US"/>
        </w:rPr>
        <mc:AlternateContent>
          <mc:Choice Requires="wps">
            <w:drawing>
              <wp:anchor distT="0" distB="0" distL="114300" distR="114300" simplePos="0" relativeHeight="251730944" behindDoc="0" locked="0" layoutInCell="1" allowOverlap="1" wp14:anchorId="26D9FAA8" wp14:editId="1371CB50">
                <wp:simplePos x="0" y="0"/>
                <wp:positionH relativeFrom="column">
                  <wp:posOffset>995045</wp:posOffset>
                </wp:positionH>
                <wp:positionV relativeFrom="paragraph">
                  <wp:posOffset>3078480</wp:posOffset>
                </wp:positionV>
                <wp:extent cx="457200" cy="249555"/>
                <wp:effectExtent l="0" t="0" r="0" b="0"/>
                <wp:wrapNone/>
                <wp:docPr id="316" name="Zone de texte 316"/>
                <wp:cNvGraphicFramePr/>
                <a:graphic xmlns:a="http://schemas.openxmlformats.org/drawingml/2006/main">
                  <a:graphicData uri="http://schemas.microsoft.com/office/word/2010/wordprocessingShape">
                    <wps:wsp>
                      <wps:cNvSpPr txBox="1"/>
                      <wps:spPr>
                        <a:xfrm>
                          <a:off x="0" y="0"/>
                          <a:ext cx="457200"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CA3" w:rsidRDefault="00FD5CA3" w:rsidP="00250556">
                            <w:r>
                              <w:t>BX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6" o:spid="_x0000_s1060" type="#_x0000_t202" style="position:absolute;margin-left:78.35pt;margin-top:242.4pt;width:36pt;height:19.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" filled="f" stroked="f" strokeweight=".5pt">
                <v:textbox>
                  <w:txbxContent>
                    <w:p w:rsidR="00FD5CA3" w:rsidRDefault="00FD5CA3" w:rsidP="00250556">
                      <w:r>
                        <w:t>BX</w:t>
                      </w:r>
                    </w:p>
                  </w:txbxContent>
                </v:textbox>
              </v:shape>
            </w:pict>
          </mc:Fallback>
        </mc:AlternateContent>
      </w:r>
      <w:r w:rsidR="00AA7E26">
        <w:rPr>
          <w:noProof/>
          <w:lang w:val="en-US" w:eastAsia="en-US"/>
        </w:rPr>
        <w:t>–</w:t>
      </w:r>
      <w:r>
        <w:rPr>
          <w:noProof/>
          <w:lang w:val="en-US" w:eastAsia="en-US"/>
        </w:rPr>
        <w:drawing>
          <wp:inline distT="0" distB="0" distL="0" distR="0" wp14:anchorId="0F916C18" wp14:editId="58EC98C1">
            <wp:extent cx="3873092" cy="2963867"/>
            <wp:effectExtent l="0" t="0" r="13335" b="27305"/>
            <wp:docPr id="292" name="Chart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D5CA3" w:rsidRPr="005E07B6" w:rsidRDefault="00FD5CA3" w:rsidP="005D1CFF">
      <w:pPr>
        <w:pStyle w:val="ONUME"/>
        <w:numPr>
          <w:ilvl w:val="0"/>
          <w:numId w:val="0"/>
        </w:numPr>
      </w:pPr>
      <w:r w:rsidRPr="00250556">
        <w:rPr>
          <w:noProof/>
          <w:lang w:val="en-US" w:eastAsia="en-US"/>
        </w:rPr>
        <mc:AlternateContent>
          <mc:Choice Requires="wps">
            <w:drawing>
              <wp:anchor distT="0" distB="0" distL="114300" distR="114300" simplePos="0" relativeHeight="251728896" behindDoc="0" locked="0" layoutInCell="1" allowOverlap="1" wp14:anchorId="07ACFB42" wp14:editId="122FCFF9">
                <wp:simplePos x="0" y="0"/>
                <wp:positionH relativeFrom="column">
                  <wp:posOffset>941705</wp:posOffset>
                </wp:positionH>
                <wp:positionV relativeFrom="paragraph">
                  <wp:posOffset>25400</wp:posOffset>
                </wp:positionV>
                <wp:extent cx="57150" cy="58420"/>
                <wp:effectExtent l="0" t="0" r="19050" b="17780"/>
                <wp:wrapNone/>
                <wp:docPr id="314"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FFFFB3"/>
                        </a:solidFill>
                        <a:ln w="12700" cap="flat" cmpd="sng" algn="ctr">
                          <a:solidFill>
                            <a:schemeClr val="bg1">
                              <a:lumMod val="50000"/>
                            </a:schemeClr>
                          </a:solidFill>
                          <a:prstDash val="solid"/>
                        </a:ln>
                        <a:effectLst/>
                      </wps:spPr>
                      <wps:bodyPr/>
                    </wps:wsp>
                  </a:graphicData>
                </a:graphic>
              </wp:anchor>
            </w:drawing>
          </mc:Choice>
          <mc:Fallback>
            <w:pict>
              <v:rect id="Rectangle 1" o:spid="_x0000_s1026" style="position:absolute;margin-left:74.15pt;margin-top:2pt;width:4.5pt;height:4.6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" fillcolor="#ffffb3" strokecolor="#7f7f7f [1612]" strokeweight="1pt"/>
            </w:pict>
          </mc:Fallback>
        </mc:AlternateContent>
      </w:r>
      <w:r w:rsidRPr="00250556">
        <w:rPr>
          <w:noProof/>
          <w:lang w:val="en-US" w:eastAsia="en-US"/>
        </w:rPr>
        <mc:AlternateContent>
          <mc:Choice Requires="wps">
            <w:drawing>
              <wp:anchor distT="0" distB="0" distL="114300" distR="114300" simplePos="0" relativeHeight="251727872" behindDoc="0" locked="0" layoutInCell="1" allowOverlap="1" wp14:anchorId="4F4A3163" wp14:editId="6C558A10">
                <wp:simplePos x="0" y="0"/>
                <wp:positionH relativeFrom="column">
                  <wp:posOffset>226060</wp:posOffset>
                </wp:positionH>
                <wp:positionV relativeFrom="paragraph">
                  <wp:posOffset>26035</wp:posOffset>
                </wp:positionV>
                <wp:extent cx="57150" cy="58420"/>
                <wp:effectExtent l="0" t="0" r="0" b="0"/>
                <wp:wrapNone/>
                <wp:docPr id="313"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00B0F0"/>
                        </a:solidFill>
                        <a:ln w="25400" cap="flat" cmpd="sng" algn="ctr">
                          <a:noFill/>
                          <a:prstDash val="solid"/>
                        </a:ln>
                        <a:effectLst/>
                      </wps:spPr>
                      <wps:bodyPr/>
                    </wps:wsp>
                  </a:graphicData>
                </a:graphic>
              </wp:anchor>
            </w:drawing>
          </mc:Choice>
          <mc:Fallback>
            <w:pict>
              <v:rect id="Rectangle 1" o:spid="_x0000_s1026" style="position:absolute;margin-left:17.8pt;margin-top:2.05pt;width:4.5pt;height:4.6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" fillcolor="#00b0f0" stroked="f" strokeweight="2pt"/>
            </w:pict>
          </mc:Fallback>
        </mc:AlternateContent>
      </w:r>
    </w:p>
    <w:p w:rsidR="00FD5CA3" w:rsidRPr="00E474B5" w:rsidRDefault="00FD5CA3" w:rsidP="00FD5CA3">
      <w:pPr>
        <w:pStyle w:val="ONUMFS"/>
        <w:numPr>
          <w:ilvl w:val="0"/>
          <w:numId w:val="6"/>
        </w:numPr>
      </w:pPr>
      <w:r>
        <w:t>On peut observer qu’en </w:t>
      </w:r>
      <w:r w:rsidRPr="00E474B5">
        <w:t xml:space="preserve">2014, </w:t>
      </w:r>
      <w:r>
        <w:t>les titulaires ayant une</w:t>
      </w:r>
      <w:r w:rsidRPr="00E474B5">
        <w:t xml:space="preserve"> adresse </w:t>
      </w:r>
      <w:r>
        <w:t>e</w:t>
      </w:r>
      <w:r w:rsidRPr="00E474B5">
        <w:t xml:space="preserve">n France </w:t>
      </w:r>
      <w:r>
        <w:t>étaient ceux qui faisaient le plus d’</w:t>
      </w:r>
      <w:proofErr w:type="spellStart"/>
      <w:r>
        <w:t>autodésignations</w:t>
      </w:r>
      <w:proofErr w:type="spellEnd"/>
      <w:r>
        <w:t xml:space="preserve">, puisque 72,3% des enregistrements internationaux provenant de France contenaient une </w:t>
      </w:r>
      <w:proofErr w:type="spellStart"/>
      <w:r>
        <w:t>autodésignation</w:t>
      </w:r>
      <w:proofErr w:type="spellEnd"/>
      <w:r>
        <w:t xml:space="preserve"> de l’Union européenne, et 14,5% contenaient une </w:t>
      </w:r>
      <w:proofErr w:type="spellStart"/>
      <w:r>
        <w:t>autodésignation</w:t>
      </w:r>
      <w:proofErr w:type="spellEnd"/>
      <w:r>
        <w:t xml:space="preserve"> de la France, ce qui représentait au total 86,8% de l’ensemble des enregistrements internationaux, étant entendu qu’une partie de ceux</w:t>
      </w:r>
      <w:r>
        <w:noBreakHyphen/>
        <w:t>ci pouvaient désigner à la fois la France et l’Union européenne.</w:t>
      </w:r>
    </w:p>
    <w:p w:rsidR="00FD5CA3" w:rsidRDefault="00FD5CA3" w:rsidP="00FD5CA3">
      <w:pPr>
        <w:pStyle w:val="ONUMFS"/>
        <w:numPr>
          <w:ilvl w:val="0"/>
          <w:numId w:val="6"/>
        </w:numPr>
      </w:pPr>
      <w:r>
        <w:t>E</w:t>
      </w:r>
      <w:r w:rsidRPr="00E474B5">
        <w:t>n</w:t>
      </w:r>
      <w:r>
        <w:t> </w:t>
      </w:r>
      <w:r w:rsidRPr="00E474B5">
        <w:t xml:space="preserve">2014, </w:t>
      </w:r>
      <w:r>
        <w:t>la grande majorité</w:t>
      </w:r>
      <w:r w:rsidRPr="00E474B5">
        <w:t xml:space="preserve"> (84</w:t>
      </w:r>
      <w:r>
        <w:t>,</w:t>
      </w:r>
      <w:r w:rsidRPr="00E474B5">
        <w:t>4</w:t>
      </w:r>
      <w:r>
        <w:t>%</w:t>
      </w:r>
      <w:r w:rsidRPr="00E474B5">
        <w:t xml:space="preserve">) </w:t>
      </w:r>
      <w:r>
        <w:t>des enregistrements internationaux provenant de la Suisse désignaient ce pays.  Par rapport à d’autres membres</w:t>
      </w:r>
      <w:r w:rsidRPr="00E474B5">
        <w:t xml:space="preserve"> “tradition</w:t>
      </w:r>
      <w:r>
        <w:t>nels</w:t>
      </w:r>
      <w:r w:rsidRPr="00E474B5">
        <w:t xml:space="preserve">” </w:t>
      </w:r>
      <w:r>
        <w:t>du système de</w:t>
      </w:r>
      <w:r w:rsidR="007A1035">
        <w:t> </w:t>
      </w:r>
      <w:r>
        <w:t>La Haye</w:t>
      </w:r>
      <w:r w:rsidRPr="00E474B5">
        <w:t xml:space="preserve">, </w:t>
      </w:r>
      <w:r>
        <w:t>on constate que seuls 15,4% des enregistrements internationaux provenant de</w:t>
      </w:r>
      <w:r w:rsidR="007A1035">
        <w:t> </w:t>
      </w:r>
      <w:r>
        <w:t xml:space="preserve">Turquie contenaient une </w:t>
      </w:r>
      <w:proofErr w:type="spellStart"/>
      <w:r>
        <w:t>autodésignation</w:t>
      </w:r>
      <w:proofErr w:type="spellEnd"/>
      <w:r>
        <w:t xml:space="preserve"> de la Turquie.</w:t>
      </w:r>
    </w:p>
    <w:p w:rsidR="00FD5CA3" w:rsidRDefault="00FD5CA3" w:rsidP="005D1CFF">
      <w:pPr>
        <w:pStyle w:val="ONUMFS"/>
        <w:numPr>
          <w:ilvl w:val="0"/>
          <w:numId w:val="0"/>
        </w:numPr>
      </w:pPr>
      <w:r w:rsidRPr="00250556">
        <w:rPr>
          <w:noProof/>
          <w:lang w:val="en-US" w:eastAsia="en-US"/>
        </w:rPr>
        <w:lastRenderedPageBreak/>
        <mc:AlternateContent>
          <mc:Choice Requires="wps">
            <w:drawing>
              <wp:anchor distT="0" distB="0" distL="114300" distR="114300" simplePos="0" relativeHeight="251736064" behindDoc="0" locked="0" layoutInCell="1" allowOverlap="1" wp14:anchorId="289E859E" wp14:editId="6478D756">
                <wp:simplePos x="0" y="0"/>
                <wp:positionH relativeFrom="column">
                  <wp:posOffset>375920</wp:posOffset>
                </wp:positionH>
                <wp:positionV relativeFrom="paragraph">
                  <wp:posOffset>3043184</wp:posOffset>
                </wp:positionV>
                <wp:extent cx="428625" cy="249555"/>
                <wp:effectExtent l="0" t="0" r="0" b="0"/>
                <wp:wrapNone/>
                <wp:docPr id="321" name="Zone de texte 321"/>
                <wp:cNvGraphicFramePr/>
                <a:graphic xmlns:a="http://schemas.openxmlformats.org/drawingml/2006/main">
                  <a:graphicData uri="http://schemas.microsoft.com/office/word/2010/wordprocessingShape">
                    <wps:wsp>
                      <wps:cNvSpPr txBox="1"/>
                      <wps:spPr>
                        <a:xfrm>
                          <a:off x="0" y="0"/>
                          <a:ext cx="42862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CA3" w:rsidRDefault="00FD5CA3" w:rsidP="00250556">
                            <w:r>
                              <w: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1" o:spid="_x0000_s1061" type="#_x0000_t202" style="position:absolute;margin-left:29.6pt;margin-top:239.6pt;width:33.75pt;height:19.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" filled="f" stroked="f" strokeweight=".5pt">
                <v:textbox>
                  <w:txbxContent>
                    <w:p w:rsidR="00FD5CA3" w:rsidRDefault="00FD5CA3" w:rsidP="00250556">
                      <w:r>
                        <w:t>EM</w:t>
                      </w:r>
                    </w:p>
                  </w:txbxContent>
                </v:textbox>
              </v:shape>
            </w:pict>
          </mc:Fallback>
        </mc:AlternateContent>
      </w:r>
      <w:r w:rsidRPr="00250556">
        <w:rPr>
          <w:noProof/>
          <w:lang w:val="en-US" w:eastAsia="en-US"/>
        </w:rPr>
        <mc:AlternateContent>
          <mc:Choice Requires="wps">
            <w:drawing>
              <wp:anchor distT="0" distB="0" distL="114300" distR="114300" simplePos="0" relativeHeight="251737088" behindDoc="0" locked="0" layoutInCell="1" allowOverlap="1" wp14:anchorId="0AE9EF63" wp14:editId="4B916714">
                <wp:simplePos x="0" y="0"/>
                <wp:positionH relativeFrom="column">
                  <wp:posOffset>1090295</wp:posOffset>
                </wp:positionH>
                <wp:positionV relativeFrom="paragraph">
                  <wp:posOffset>3045089</wp:posOffset>
                </wp:positionV>
                <wp:extent cx="457200" cy="249555"/>
                <wp:effectExtent l="0" t="0" r="0" b="0"/>
                <wp:wrapNone/>
                <wp:docPr id="322" name="Zone de texte 322"/>
                <wp:cNvGraphicFramePr/>
                <a:graphic xmlns:a="http://schemas.openxmlformats.org/drawingml/2006/main">
                  <a:graphicData uri="http://schemas.microsoft.com/office/word/2010/wordprocessingShape">
                    <wps:wsp>
                      <wps:cNvSpPr txBox="1"/>
                      <wps:spPr>
                        <a:xfrm>
                          <a:off x="0" y="0"/>
                          <a:ext cx="457200"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CA3" w:rsidRDefault="00FD5CA3" w:rsidP="00250556">
                            <w:r>
                              <w:t>BX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2" o:spid="_x0000_s1062" type="#_x0000_t202" style="position:absolute;margin-left:85.85pt;margin-top:239.75pt;width:36pt;height:19.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" filled="f" stroked="f" strokeweight=".5pt">
                <v:textbox>
                  <w:txbxContent>
                    <w:p w:rsidR="00FD5CA3" w:rsidRDefault="00FD5CA3" w:rsidP="00250556">
                      <w:r>
                        <w:t>BX</w:t>
                      </w:r>
                    </w:p>
                  </w:txbxContent>
                </v:textbox>
              </v:shape>
            </w:pict>
          </mc:Fallback>
        </mc:AlternateContent>
      </w:r>
      <w:r>
        <w:rPr>
          <w:noProof/>
          <w:lang w:val="en-US" w:eastAsia="en-US"/>
        </w:rPr>
        <w:drawing>
          <wp:inline distT="0" distB="0" distL="0" distR="0" wp14:anchorId="242C5A5C" wp14:editId="54934B12">
            <wp:extent cx="3871504" cy="2963867"/>
            <wp:effectExtent l="0" t="0" r="15240" b="27305"/>
            <wp:docPr id="293" name="Chart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D5CA3" w:rsidRDefault="00FD5CA3" w:rsidP="005D1CFF">
      <w:pPr>
        <w:pStyle w:val="ONUME"/>
        <w:numPr>
          <w:ilvl w:val="0"/>
          <w:numId w:val="0"/>
        </w:numPr>
      </w:pPr>
      <w:r w:rsidRPr="00250556">
        <w:rPr>
          <w:noProof/>
          <w:lang w:val="en-US" w:eastAsia="en-US"/>
        </w:rPr>
        <mc:AlternateContent>
          <mc:Choice Requires="wps">
            <w:drawing>
              <wp:anchor distT="0" distB="0" distL="114300" distR="114300" simplePos="0" relativeHeight="251739136" behindDoc="0" locked="0" layoutInCell="1" allowOverlap="1" wp14:anchorId="31B3CE9A" wp14:editId="5A09B459">
                <wp:simplePos x="0" y="0"/>
                <wp:positionH relativeFrom="column">
                  <wp:posOffset>1036955</wp:posOffset>
                </wp:positionH>
                <wp:positionV relativeFrom="paragraph">
                  <wp:posOffset>6614</wp:posOffset>
                </wp:positionV>
                <wp:extent cx="57150" cy="58420"/>
                <wp:effectExtent l="0" t="0" r="19050" b="17780"/>
                <wp:wrapNone/>
                <wp:docPr id="324"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FFFFB3"/>
                        </a:solidFill>
                        <a:ln w="12700" cap="flat" cmpd="sng" algn="ctr">
                          <a:solidFill>
                            <a:schemeClr val="bg1">
                              <a:lumMod val="50000"/>
                            </a:schemeClr>
                          </a:solidFill>
                          <a:prstDash val="solid"/>
                        </a:ln>
                        <a:effectLst/>
                      </wps:spPr>
                      <wps:bodyPr/>
                    </wps:wsp>
                  </a:graphicData>
                </a:graphic>
              </wp:anchor>
            </w:drawing>
          </mc:Choice>
          <mc:Fallback>
            <w:pict>
              <v:rect id="Rectangle 1" o:spid="_x0000_s1026" style="position:absolute;margin-left:81.65pt;margin-top:.5pt;width:4.5pt;height:4.6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" fillcolor="#ffffb3" strokecolor="#7f7f7f [1612]" strokeweight="1pt"/>
            </w:pict>
          </mc:Fallback>
        </mc:AlternateContent>
      </w:r>
      <w:r w:rsidRPr="00250556">
        <w:rPr>
          <w:noProof/>
          <w:lang w:val="en-US" w:eastAsia="en-US"/>
        </w:rPr>
        <mc:AlternateContent>
          <mc:Choice Requires="wps">
            <w:drawing>
              <wp:anchor distT="0" distB="0" distL="114300" distR="114300" simplePos="0" relativeHeight="251738112" behindDoc="0" locked="0" layoutInCell="1" allowOverlap="1" wp14:anchorId="4158A255" wp14:editId="00587538">
                <wp:simplePos x="0" y="0"/>
                <wp:positionH relativeFrom="column">
                  <wp:posOffset>321310</wp:posOffset>
                </wp:positionH>
                <wp:positionV relativeFrom="paragraph">
                  <wp:posOffset>7249</wp:posOffset>
                </wp:positionV>
                <wp:extent cx="57150" cy="58420"/>
                <wp:effectExtent l="0" t="0" r="0" b="0"/>
                <wp:wrapNone/>
                <wp:docPr id="323"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00B0F0"/>
                        </a:solidFill>
                        <a:ln w="25400" cap="flat" cmpd="sng" algn="ctr">
                          <a:noFill/>
                          <a:prstDash val="solid"/>
                        </a:ln>
                        <a:effectLst/>
                      </wps:spPr>
                      <wps:bodyPr/>
                    </wps:wsp>
                  </a:graphicData>
                </a:graphic>
              </wp:anchor>
            </w:drawing>
          </mc:Choice>
          <mc:Fallback>
            <w:pict>
              <v:rect id="Rectangle 1" o:spid="_x0000_s1026" style="position:absolute;margin-left:25.3pt;margin-top:.55pt;width:4.5pt;height:4.6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" fillcolor="#00b0f0" stroked="f" strokeweight="2pt"/>
            </w:pict>
          </mc:Fallback>
        </mc:AlternateContent>
      </w:r>
    </w:p>
    <w:p w:rsidR="00FD5CA3" w:rsidRPr="00E474B5" w:rsidRDefault="00FD5CA3" w:rsidP="00FD5CA3">
      <w:pPr>
        <w:pStyle w:val="ONUMFS"/>
        <w:numPr>
          <w:ilvl w:val="0"/>
          <w:numId w:val="6"/>
        </w:numPr>
      </w:pPr>
      <w:r>
        <w:t>E</w:t>
      </w:r>
      <w:r w:rsidRPr="00E474B5">
        <w:t>n</w:t>
      </w:r>
      <w:r>
        <w:t> </w:t>
      </w:r>
      <w:r w:rsidRPr="00E474B5">
        <w:t xml:space="preserve">2015, </w:t>
      </w:r>
      <w:r>
        <w:t>la part d’</w:t>
      </w:r>
      <w:proofErr w:type="spellStart"/>
      <w:r>
        <w:t>autodésignations</w:t>
      </w:r>
      <w:proofErr w:type="spellEnd"/>
      <w:r>
        <w:t xml:space="preserve"> dans les enregistrements internationaux restait élevée, mis à part pour ceux qui provenaient de Turquie, desquels seuls 9,3% contenaient une </w:t>
      </w:r>
      <w:proofErr w:type="spellStart"/>
      <w:r>
        <w:t>autodésignation</w:t>
      </w:r>
      <w:proofErr w:type="spellEnd"/>
      <w:r>
        <w:t>.</w:t>
      </w:r>
    </w:p>
    <w:p w:rsidR="00FD5CA3" w:rsidRDefault="00FD5CA3" w:rsidP="005D1CFF">
      <w:pPr>
        <w:pStyle w:val="ONUME"/>
        <w:numPr>
          <w:ilvl w:val="0"/>
          <w:numId w:val="0"/>
        </w:numPr>
      </w:pPr>
      <w:r w:rsidRPr="00250556">
        <w:rPr>
          <w:noProof/>
          <w:lang w:val="en-US" w:eastAsia="en-US"/>
        </w:rPr>
        <mc:AlternateContent>
          <mc:Choice Requires="wps">
            <w:drawing>
              <wp:anchor distT="0" distB="0" distL="114300" distR="114300" simplePos="0" relativeHeight="251734016" behindDoc="0" locked="0" layoutInCell="1" allowOverlap="1" wp14:anchorId="5C958CC1" wp14:editId="7045B6C8">
                <wp:simplePos x="0" y="0"/>
                <wp:positionH relativeFrom="column">
                  <wp:posOffset>435610</wp:posOffset>
                </wp:positionH>
                <wp:positionV relativeFrom="paragraph">
                  <wp:posOffset>3061335</wp:posOffset>
                </wp:positionV>
                <wp:extent cx="428625" cy="249555"/>
                <wp:effectExtent l="0" t="0" r="0" b="0"/>
                <wp:wrapNone/>
                <wp:docPr id="319" name="Zone de texte 319"/>
                <wp:cNvGraphicFramePr/>
                <a:graphic xmlns:a="http://schemas.openxmlformats.org/drawingml/2006/main">
                  <a:graphicData uri="http://schemas.microsoft.com/office/word/2010/wordprocessingShape">
                    <wps:wsp>
                      <wps:cNvSpPr txBox="1"/>
                      <wps:spPr>
                        <a:xfrm>
                          <a:off x="0" y="0"/>
                          <a:ext cx="42862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CA3" w:rsidRDefault="00FD5CA3" w:rsidP="00250556">
                            <w:r>
                              <w: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9" o:spid="_x0000_s1063" type="#_x0000_t202" style="position:absolute;margin-left:34.3pt;margin-top:241.05pt;width:33.75pt;height:19.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" filled="f" stroked="f" strokeweight=".5pt">
                <v:textbox>
                  <w:txbxContent>
                    <w:p w:rsidR="00FD5CA3" w:rsidRDefault="00FD5CA3" w:rsidP="00250556">
                      <w:r>
                        <w:t>EM</w:t>
                      </w:r>
                    </w:p>
                  </w:txbxContent>
                </v:textbox>
              </v:shape>
            </w:pict>
          </mc:Fallback>
        </mc:AlternateContent>
      </w:r>
      <w:r w:rsidRPr="00250556">
        <w:rPr>
          <w:noProof/>
          <w:lang w:val="en-US" w:eastAsia="en-US"/>
        </w:rPr>
        <mc:AlternateContent>
          <mc:Choice Requires="wps">
            <w:drawing>
              <wp:anchor distT="0" distB="0" distL="114300" distR="114300" simplePos="0" relativeHeight="251735040" behindDoc="0" locked="0" layoutInCell="1" allowOverlap="1" wp14:anchorId="3D8209BF" wp14:editId="40BCBE3A">
                <wp:simplePos x="0" y="0"/>
                <wp:positionH relativeFrom="column">
                  <wp:posOffset>1168664</wp:posOffset>
                </wp:positionH>
                <wp:positionV relativeFrom="paragraph">
                  <wp:posOffset>3060065</wp:posOffset>
                </wp:positionV>
                <wp:extent cx="457200" cy="249555"/>
                <wp:effectExtent l="0" t="0" r="0" b="0"/>
                <wp:wrapNone/>
                <wp:docPr id="320" name="Zone de texte 320"/>
                <wp:cNvGraphicFramePr/>
                <a:graphic xmlns:a="http://schemas.openxmlformats.org/drawingml/2006/main">
                  <a:graphicData uri="http://schemas.microsoft.com/office/word/2010/wordprocessingShape">
                    <wps:wsp>
                      <wps:cNvSpPr txBox="1"/>
                      <wps:spPr>
                        <a:xfrm>
                          <a:off x="0" y="0"/>
                          <a:ext cx="457200"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CA3" w:rsidRDefault="00FD5CA3" w:rsidP="00250556">
                            <w:r>
                              <w:t>BX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0" o:spid="_x0000_s1064" type="#_x0000_t202" style="position:absolute;margin-left:92pt;margin-top:240.95pt;width:36pt;height:19.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" filled="f" stroked="f" strokeweight=".5pt">
                <v:textbox>
                  <w:txbxContent>
                    <w:p w:rsidR="00FD5CA3" w:rsidRDefault="00FD5CA3" w:rsidP="00250556">
                      <w:r>
                        <w:t>BX</w:t>
                      </w:r>
                    </w:p>
                  </w:txbxContent>
                </v:textbox>
              </v:shape>
            </w:pict>
          </mc:Fallback>
        </mc:AlternateContent>
      </w:r>
      <w:r>
        <w:rPr>
          <w:noProof/>
          <w:lang w:val="en-US" w:eastAsia="en-US"/>
        </w:rPr>
        <w:drawing>
          <wp:inline distT="0" distB="0" distL="0" distR="0" wp14:anchorId="23DA88BF" wp14:editId="11BCBA6B">
            <wp:extent cx="3873092" cy="2963865"/>
            <wp:effectExtent l="0" t="0" r="13335" b="27305"/>
            <wp:docPr id="294" name="Chart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D5CA3" w:rsidRDefault="00FD5CA3" w:rsidP="005D1CFF">
      <w:pPr>
        <w:pStyle w:val="ONUME"/>
        <w:numPr>
          <w:ilvl w:val="0"/>
          <w:numId w:val="0"/>
        </w:numPr>
      </w:pPr>
      <w:r w:rsidRPr="00250556">
        <w:rPr>
          <w:noProof/>
          <w:lang w:val="en-US" w:eastAsia="en-US"/>
        </w:rPr>
        <mc:AlternateContent>
          <mc:Choice Requires="wps">
            <w:drawing>
              <wp:anchor distT="0" distB="0" distL="114300" distR="114300" simplePos="0" relativeHeight="251732992" behindDoc="0" locked="0" layoutInCell="1" allowOverlap="1" wp14:anchorId="104842BC" wp14:editId="3F34F20D">
                <wp:simplePos x="0" y="0"/>
                <wp:positionH relativeFrom="column">
                  <wp:posOffset>1097544</wp:posOffset>
                </wp:positionH>
                <wp:positionV relativeFrom="paragraph">
                  <wp:posOffset>22225</wp:posOffset>
                </wp:positionV>
                <wp:extent cx="57150" cy="58420"/>
                <wp:effectExtent l="0" t="0" r="19050" b="17780"/>
                <wp:wrapNone/>
                <wp:docPr id="318"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FFFFB3"/>
                        </a:solidFill>
                        <a:ln w="12700" cap="flat" cmpd="sng" algn="ctr">
                          <a:solidFill>
                            <a:schemeClr val="bg1">
                              <a:lumMod val="50000"/>
                            </a:schemeClr>
                          </a:solidFill>
                          <a:prstDash val="solid"/>
                        </a:ln>
                        <a:effectLst/>
                      </wps:spPr>
                      <wps:bodyPr/>
                    </wps:wsp>
                  </a:graphicData>
                </a:graphic>
              </wp:anchor>
            </w:drawing>
          </mc:Choice>
          <mc:Fallback>
            <w:pict>
              <v:rect id="Rectangle 1" o:spid="_x0000_s1026" style="position:absolute;margin-left:86.4pt;margin-top:1.75pt;width:4.5pt;height:4.6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" fillcolor="#ffffb3" strokecolor="#7f7f7f [1612]" strokeweight="1pt"/>
            </w:pict>
          </mc:Fallback>
        </mc:AlternateContent>
      </w:r>
      <w:r w:rsidRPr="00250556">
        <w:rPr>
          <w:noProof/>
          <w:lang w:val="en-US" w:eastAsia="en-US"/>
        </w:rPr>
        <mc:AlternateContent>
          <mc:Choice Requires="wps">
            <w:drawing>
              <wp:anchor distT="0" distB="0" distL="114300" distR="114300" simplePos="0" relativeHeight="251731968" behindDoc="0" locked="0" layoutInCell="1" allowOverlap="1" wp14:anchorId="6D36A8B3" wp14:editId="64F2BBE8">
                <wp:simplePos x="0" y="0"/>
                <wp:positionH relativeFrom="column">
                  <wp:posOffset>378460</wp:posOffset>
                </wp:positionH>
                <wp:positionV relativeFrom="paragraph">
                  <wp:posOffset>22860</wp:posOffset>
                </wp:positionV>
                <wp:extent cx="57150" cy="58420"/>
                <wp:effectExtent l="0" t="0" r="0" b="0"/>
                <wp:wrapNone/>
                <wp:docPr id="317"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00B0F0"/>
                        </a:solidFill>
                        <a:ln w="25400" cap="flat" cmpd="sng" algn="ctr">
                          <a:noFill/>
                          <a:prstDash val="solid"/>
                        </a:ln>
                        <a:effectLst/>
                      </wps:spPr>
                      <wps:bodyPr/>
                    </wps:wsp>
                  </a:graphicData>
                </a:graphic>
              </wp:anchor>
            </w:drawing>
          </mc:Choice>
          <mc:Fallback>
            <w:pict>
              <v:rect id="Rectangle 1" o:spid="_x0000_s1026" style="position:absolute;margin-left:29.8pt;margin-top:1.8pt;width:4.5pt;height:4.6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" fillcolor="#00b0f0" stroked="f" strokeweight="2pt"/>
            </w:pict>
          </mc:Fallback>
        </mc:AlternateContent>
      </w:r>
    </w:p>
    <w:p w:rsidR="00FD5CA3" w:rsidRPr="00E474B5" w:rsidRDefault="00FD5CA3" w:rsidP="00FD5CA3">
      <w:pPr>
        <w:pStyle w:val="ONUMFS"/>
        <w:numPr>
          <w:ilvl w:val="0"/>
          <w:numId w:val="6"/>
        </w:numPr>
      </w:pPr>
      <w:r>
        <w:t>Au premier trimestre de </w:t>
      </w:r>
      <w:r w:rsidRPr="00E474B5">
        <w:t xml:space="preserve">2016, </w:t>
      </w:r>
      <w:r>
        <w:t>on pouvait observer que la part d’</w:t>
      </w:r>
      <w:proofErr w:type="spellStart"/>
      <w:r>
        <w:t>autodésignations</w:t>
      </w:r>
      <w:proofErr w:type="spellEnd"/>
      <w:r>
        <w:t xml:space="preserve"> en France (37,3%) avait augmenté par rapport à celle de l’Union européenne</w:t>
      </w:r>
      <w:r w:rsidRPr="00E474B5">
        <w:t xml:space="preserve"> (48</w:t>
      </w:r>
      <w:r>
        <w:t>%</w:t>
      </w:r>
      <w:r w:rsidRPr="00E474B5">
        <w:t xml:space="preserve">) </w:t>
      </w:r>
      <w:r>
        <w:t xml:space="preserve">dans les enregistrements internationaux provenant de </w:t>
      </w:r>
      <w:r w:rsidRPr="00E474B5">
        <w:t>France</w:t>
      </w:r>
      <w:r>
        <w:t>.  Pour le reste</w:t>
      </w:r>
      <w:r w:rsidRPr="00E474B5">
        <w:t xml:space="preserve">, </w:t>
      </w:r>
      <w:r>
        <w:t>la proportion d’</w:t>
      </w:r>
      <w:proofErr w:type="spellStart"/>
      <w:r>
        <w:t>autodésignation</w:t>
      </w:r>
      <w:proofErr w:type="spellEnd"/>
      <w:r>
        <w:t xml:space="preserve"> semblait être stable et aucune autre évolution concernant les </w:t>
      </w:r>
      <w:proofErr w:type="spellStart"/>
      <w:r>
        <w:t>autodésignations</w:t>
      </w:r>
      <w:proofErr w:type="spellEnd"/>
      <w:r>
        <w:t xml:space="preserve"> dans la famille de l’Europe géographique n’avait été observée</w:t>
      </w:r>
      <w:r w:rsidRPr="00E474B5">
        <w:t>.</w:t>
      </w:r>
    </w:p>
    <w:p w:rsidR="00FD5CA3" w:rsidRPr="00946848" w:rsidRDefault="00FD5CA3" w:rsidP="007353D7">
      <w:pPr>
        <w:pStyle w:val="Heading3"/>
        <w:keepLines/>
      </w:pPr>
      <w:r w:rsidRPr="00946848">
        <w:lastRenderedPageBreak/>
        <w:t>Union européenne</w:t>
      </w:r>
    </w:p>
    <w:p w:rsidR="00FD5CA3" w:rsidRPr="00D41298" w:rsidRDefault="00FD5CA3" w:rsidP="007353D7">
      <w:pPr>
        <w:keepNext/>
        <w:keepLines/>
      </w:pPr>
    </w:p>
    <w:p w:rsidR="00FD5CA3" w:rsidRPr="00D41298" w:rsidRDefault="00FD5CA3" w:rsidP="007353D7">
      <w:pPr>
        <w:pStyle w:val="ONUMFS"/>
        <w:keepNext/>
        <w:keepLines/>
        <w:numPr>
          <w:ilvl w:val="0"/>
          <w:numId w:val="6"/>
        </w:numPr>
      </w:pPr>
      <w:r w:rsidRPr="00D41298">
        <w:rPr>
          <w:color w:val="000000"/>
        </w:rPr>
        <w:t>Il est rappelé que toute désignation de l’Union européenne dans un enregistrement international couvre l’ensemble du territoire de l’Union européenne</w:t>
      </w:r>
      <w:r w:rsidRPr="00D41298">
        <w:rPr>
          <w:rStyle w:val="FootnoteReference"/>
          <w:color w:val="000000"/>
        </w:rPr>
        <w:footnoteReference w:id="13"/>
      </w:r>
      <w:r w:rsidRPr="00D41298">
        <w:rPr>
          <w:color w:val="000000"/>
        </w:rPr>
        <w:t>, y compris les États membres qui ne sont pas partie</w:t>
      </w:r>
      <w:r>
        <w:rPr>
          <w:color w:val="000000"/>
        </w:rPr>
        <w:t>s</w:t>
      </w:r>
      <w:r w:rsidRPr="00D41298">
        <w:rPr>
          <w:color w:val="000000"/>
        </w:rPr>
        <w:t xml:space="preserve"> à l’Acte de 1999.</w:t>
      </w:r>
    </w:p>
    <w:p w:rsidR="00FD5CA3" w:rsidRPr="00D41298" w:rsidRDefault="00FD5CA3" w:rsidP="004336E0">
      <w:pPr>
        <w:pStyle w:val="ONUME"/>
        <w:numPr>
          <w:ilvl w:val="0"/>
          <w:numId w:val="0"/>
        </w:numPr>
      </w:pPr>
      <w:r w:rsidRPr="00D41298">
        <w:rPr>
          <w:noProof/>
          <w:lang w:val="en-US" w:eastAsia="en-US"/>
        </w:rPr>
        <mc:AlternateContent>
          <mc:Choice Requires="wps">
            <w:drawing>
              <wp:anchor distT="0" distB="0" distL="114300" distR="114300" simplePos="0" relativeHeight="251741184" behindDoc="0" locked="0" layoutInCell="1" allowOverlap="1" wp14:anchorId="2450E555" wp14:editId="4E7ABF1A">
                <wp:simplePos x="0" y="0"/>
                <wp:positionH relativeFrom="column">
                  <wp:posOffset>473710</wp:posOffset>
                </wp:positionH>
                <wp:positionV relativeFrom="paragraph">
                  <wp:posOffset>2416175</wp:posOffset>
                </wp:positionV>
                <wp:extent cx="57150" cy="58420"/>
                <wp:effectExtent l="0" t="0" r="0" b="0"/>
                <wp:wrapNone/>
                <wp:docPr id="326"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00B0F0"/>
                        </a:solidFill>
                        <a:ln w="25400" cap="flat" cmpd="sng" algn="ctr">
                          <a:noFill/>
                          <a:prstDash val="solid"/>
                        </a:ln>
                        <a:effectLst/>
                      </wps:spPr>
                      <wps:txbx>
                        <w:txbxContent>
                          <w:p w:rsidR="00FD5CA3" w:rsidRDefault="00FD5CA3" w:rsidP="00A144D1">
                            <w:pPr>
                              <w:jc w:val="center"/>
                            </w:pPr>
                          </w:p>
                        </w:txbxContent>
                      </wps:txbx>
                      <wps:bodyPr/>
                    </wps:wsp>
                  </a:graphicData>
                </a:graphic>
              </wp:anchor>
            </w:drawing>
          </mc:Choice>
          <mc:Fallback>
            <w:pict>
              <v:rect id="Rectangle 1" o:spid="_x0000_s1065" style="position:absolute;margin-left:37.3pt;margin-top:190.25pt;width:4.5pt;height:4.6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" fillcolor="#00b0f0" stroked="f" strokeweight="2pt">
                <v:textbox>
                  <w:txbxContent>
                    <w:p w:rsidR="00FD5CA3" w:rsidRDefault="00FD5CA3" w:rsidP="00A144D1">
                      <w:pPr>
                        <w:jc w:val="center"/>
                      </w:pPr>
                    </w:p>
                  </w:txbxContent>
                </v:textbox>
              </v:rect>
            </w:pict>
          </mc:Fallback>
        </mc:AlternateContent>
      </w:r>
      <w:r w:rsidRPr="00D41298">
        <w:rPr>
          <w:noProof/>
          <w:lang w:val="en-US" w:eastAsia="en-US"/>
        </w:rPr>
        <mc:AlternateContent>
          <mc:Choice Requires="wps">
            <w:drawing>
              <wp:anchor distT="0" distB="0" distL="114300" distR="114300" simplePos="0" relativeHeight="251742208" behindDoc="0" locked="0" layoutInCell="1" allowOverlap="1" wp14:anchorId="56021E63" wp14:editId="2A54A2EB">
                <wp:simplePos x="0" y="0"/>
                <wp:positionH relativeFrom="column">
                  <wp:posOffset>1189355</wp:posOffset>
                </wp:positionH>
                <wp:positionV relativeFrom="paragraph">
                  <wp:posOffset>2415540</wp:posOffset>
                </wp:positionV>
                <wp:extent cx="57150" cy="58420"/>
                <wp:effectExtent l="0" t="0" r="19050" b="17780"/>
                <wp:wrapNone/>
                <wp:docPr id="327"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FFFFB3"/>
                        </a:solidFill>
                        <a:ln w="12700" cap="flat" cmpd="sng" algn="ctr">
                          <a:solidFill>
                            <a:schemeClr val="bg1">
                              <a:lumMod val="50000"/>
                            </a:schemeClr>
                          </a:solidFill>
                          <a:prstDash val="solid"/>
                        </a:ln>
                        <a:effectLst/>
                      </wps:spPr>
                      <wps:txbx>
                        <w:txbxContent>
                          <w:p w:rsidR="00FD5CA3" w:rsidRDefault="00FD5CA3" w:rsidP="00A144D1">
                            <w:pPr>
                              <w:jc w:val="center"/>
                            </w:pPr>
                          </w:p>
                        </w:txbxContent>
                      </wps:txbx>
                      <wps:bodyPr/>
                    </wps:wsp>
                  </a:graphicData>
                </a:graphic>
              </wp:anchor>
            </w:drawing>
          </mc:Choice>
          <mc:Fallback>
            <w:pict>
              <v:rect id="_x0000_s1066" style="position:absolute;margin-left:93.65pt;margin-top:190.2pt;width:4.5pt;height:4.6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" fillcolor="#ffffb3" strokecolor="#7f7f7f [1612]" strokeweight="1pt">
                <v:textbox>
                  <w:txbxContent>
                    <w:p w:rsidR="00FD5CA3" w:rsidRDefault="00FD5CA3" w:rsidP="00A144D1">
                      <w:pPr>
                        <w:jc w:val="center"/>
                      </w:pPr>
                    </w:p>
                  </w:txbxContent>
                </v:textbox>
              </v:rect>
            </w:pict>
          </mc:Fallback>
        </mc:AlternateContent>
      </w:r>
      <w:r w:rsidRPr="00D41298">
        <w:rPr>
          <w:noProof/>
          <w:lang w:val="en-US" w:eastAsia="en-US"/>
        </w:rPr>
        <mc:AlternateContent>
          <mc:Choice Requires="wps">
            <w:drawing>
              <wp:anchor distT="0" distB="0" distL="114300" distR="114300" simplePos="0" relativeHeight="251743232" behindDoc="0" locked="0" layoutInCell="1" allowOverlap="1" wp14:anchorId="0BFADAE1" wp14:editId="31ABA47C">
                <wp:simplePos x="0" y="0"/>
                <wp:positionH relativeFrom="column">
                  <wp:posOffset>528320</wp:posOffset>
                </wp:positionH>
                <wp:positionV relativeFrom="paragraph">
                  <wp:posOffset>2316480</wp:posOffset>
                </wp:positionV>
                <wp:extent cx="428625" cy="249555"/>
                <wp:effectExtent l="0" t="0" r="0" b="0"/>
                <wp:wrapNone/>
                <wp:docPr id="328" name="Zone de texte 328"/>
                <wp:cNvGraphicFramePr/>
                <a:graphic xmlns:a="http://schemas.openxmlformats.org/drawingml/2006/main">
                  <a:graphicData uri="http://schemas.microsoft.com/office/word/2010/wordprocessingShape">
                    <wps:wsp>
                      <wps:cNvSpPr txBox="1"/>
                      <wps:spPr>
                        <a:xfrm>
                          <a:off x="0" y="0"/>
                          <a:ext cx="42862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CA3" w:rsidRDefault="00FD5CA3" w:rsidP="00A75277">
                            <w:r>
                              <w: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8" o:spid="_x0000_s1067" type="#_x0000_t202" style="position:absolute;margin-left:41.6pt;margin-top:182.4pt;width:33.75pt;height:19.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" filled="f" stroked="f" strokeweight=".5pt">
                <v:textbox>
                  <w:txbxContent>
                    <w:p w:rsidR="00FD5CA3" w:rsidRDefault="00FD5CA3" w:rsidP="00A75277">
                      <w:r>
                        <w:t>EM</w:t>
                      </w:r>
                    </w:p>
                  </w:txbxContent>
                </v:textbox>
              </v:shape>
            </w:pict>
          </mc:Fallback>
        </mc:AlternateContent>
      </w:r>
      <w:r w:rsidRPr="00D41298">
        <w:rPr>
          <w:noProof/>
          <w:lang w:val="en-US" w:eastAsia="en-US"/>
        </w:rPr>
        <mc:AlternateContent>
          <mc:Choice Requires="wps">
            <w:drawing>
              <wp:anchor distT="0" distB="0" distL="114300" distR="114300" simplePos="0" relativeHeight="251744256" behindDoc="0" locked="0" layoutInCell="1" allowOverlap="1" wp14:anchorId="20D1EC1C" wp14:editId="305BB774">
                <wp:simplePos x="0" y="0"/>
                <wp:positionH relativeFrom="column">
                  <wp:posOffset>1242695</wp:posOffset>
                </wp:positionH>
                <wp:positionV relativeFrom="paragraph">
                  <wp:posOffset>2318385</wp:posOffset>
                </wp:positionV>
                <wp:extent cx="457200" cy="249555"/>
                <wp:effectExtent l="0" t="0" r="0" b="0"/>
                <wp:wrapNone/>
                <wp:docPr id="329" name="Zone de texte 329"/>
                <wp:cNvGraphicFramePr/>
                <a:graphic xmlns:a="http://schemas.openxmlformats.org/drawingml/2006/main">
                  <a:graphicData uri="http://schemas.microsoft.com/office/word/2010/wordprocessingShape">
                    <wps:wsp>
                      <wps:cNvSpPr txBox="1"/>
                      <wps:spPr>
                        <a:xfrm>
                          <a:off x="0" y="0"/>
                          <a:ext cx="457200"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CA3" w:rsidRDefault="00FD5CA3" w:rsidP="00A75277">
                            <w:r>
                              <w:t>BX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9" o:spid="_x0000_s1068" type="#_x0000_t202" style="position:absolute;margin-left:97.85pt;margin-top:182.55pt;width:36pt;height:19.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" filled="f" stroked="f" strokeweight=".5pt">
                <v:textbox>
                  <w:txbxContent>
                    <w:p w:rsidR="00FD5CA3" w:rsidRDefault="00FD5CA3" w:rsidP="00A75277">
                      <w:r>
                        <w:t>BX</w:t>
                      </w:r>
                    </w:p>
                  </w:txbxContent>
                </v:textbox>
              </v:shape>
            </w:pict>
          </mc:Fallback>
        </mc:AlternateContent>
      </w:r>
      <w:r w:rsidRPr="00D41298">
        <w:rPr>
          <w:noProof/>
          <w:lang w:val="en-US" w:eastAsia="en-US"/>
        </w:rPr>
        <w:drawing>
          <wp:inline distT="0" distB="0" distL="0" distR="0" wp14:anchorId="4999A958" wp14:editId="27026465">
            <wp:extent cx="5940425" cy="2257425"/>
            <wp:effectExtent l="0" t="0" r="22225" b="28575"/>
            <wp:docPr id="325" name="Chart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D5CA3" w:rsidRPr="00D41298" w:rsidRDefault="00FD5CA3" w:rsidP="004336E0">
      <w:pPr>
        <w:rPr>
          <w:i/>
          <w:u w:val="single"/>
        </w:rPr>
      </w:pPr>
    </w:p>
    <w:p w:rsidR="00FD5CA3" w:rsidRPr="00D41298" w:rsidRDefault="00FD5CA3" w:rsidP="004336E0">
      <w:pPr>
        <w:pStyle w:val="ONUME"/>
        <w:numPr>
          <w:ilvl w:val="0"/>
          <w:numId w:val="0"/>
        </w:numPr>
      </w:pPr>
    </w:p>
    <w:p w:rsidR="00FD5CA3" w:rsidRPr="00D41298" w:rsidRDefault="00FD5CA3" w:rsidP="004336E0">
      <w:pPr>
        <w:pStyle w:val="ONUME"/>
        <w:numPr>
          <w:ilvl w:val="0"/>
          <w:numId w:val="0"/>
        </w:numPr>
        <w:rPr>
          <w:u w:val="single"/>
        </w:rPr>
      </w:pPr>
      <w:r w:rsidRPr="00D41298">
        <w:rPr>
          <w:noProof/>
          <w:lang w:val="en-US" w:eastAsia="en-US"/>
        </w:rPr>
        <w:drawing>
          <wp:inline distT="0" distB="0" distL="0" distR="0" wp14:anchorId="21D23ED9" wp14:editId="19C1E19A">
            <wp:extent cx="5940425" cy="2310130"/>
            <wp:effectExtent l="0" t="0" r="22225" b="13970"/>
            <wp:docPr id="330" name="Chart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D5CA3" w:rsidRPr="00D41298" w:rsidRDefault="00FD5CA3" w:rsidP="00FD5CA3">
      <w:pPr>
        <w:pStyle w:val="ONUMFS"/>
        <w:numPr>
          <w:ilvl w:val="0"/>
          <w:numId w:val="6"/>
        </w:numPr>
      </w:pPr>
      <w:r w:rsidRPr="00D41298">
        <w:rPr>
          <w:color w:val="000000"/>
        </w:rPr>
        <w:t>Le pourcentage d’</w:t>
      </w:r>
      <w:proofErr w:type="spellStart"/>
      <w:r w:rsidRPr="00D41298">
        <w:rPr>
          <w:color w:val="000000"/>
        </w:rPr>
        <w:t>autodésignations</w:t>
      </w:r>
      <w:proofErr w:type="spellEnd"/>
      <w:r w:rsidRPr="00D41298">
        <w:rPr>
          <w:color w:val="000000"/>
        </w:rPr>
        <w:t xml:space="preserve"> de l’Union européenne s’est maintenu à un niveau très élevé, à la fois en ce qui concerne les enregistrements internationaux émanant d</w:t>
      </w:r>
      <w:r>
        <w:rPr>
          <w:color w:val="000000"/>
        </w:rPr>
        <w:t>es</w:t>
      </w:r>
      <w:r w:rsidRPr="00D41298">
        <w:rPr>
          <w:color w:val="000000"/>
        </w:rPr>
        <w:t xml:space="preserve"> État</w:t>
      </w:r>
      <w:r>
        <w:rPr>
          <w:color w:val="000000"/>
        </w:rPr>
        <w:t>s</w:t>
      </w:r>
      <w:r w:rsidRPr="00D41298">
        <w:rPr>
          <w:color w:val="000000"/>
        </w:rPr>
        <w:t xml:space="preserve"> membre</w:t>
      </w:r>
      <w:r>
        <w:rPr>
          <w:color w:val="000000"/>
        </w:rPr>
        <w:t>s</w:t>
      </w:r>
      <w:r w:rsidRPr="00D41298">
        <w:rPr>
          <w:color w:val="000000"/>
        </w:rPr>
        <w:t xml:space="preserve"> de l’Union européenne </w:t>
      </w:r>
      <w:r>
        <w:rPr>
          <w:color w:val="000000"/>
        </w:rPr>
        <w:t>qui sont</w:t>
      </w:r>
      <w:r w:rsidR="007E0A96">
        <w:rPr>
          <w:color w:val="000000"/>
        </w:rPr>
        <w:t xml:space="preserve"> aussi individuellement</w:t>
      </w:r>
      <w:r w:rsidRPr="00D41298">
        <w:rPr>
          <w:color w:val="000000"/>
        </w:rPr>
        <w:t xml:space="preserve"> partie</w:t>
      </w:r>
      <w:r>
        <w:rPr>
          <w:color w:val="000000"/>
        </w:rPr>
        <w:t>s</w:t>
      </w:r>
      <w:r w:rsidRPr="00D41298">
        <w:rPr>
          <w:color w:val="000000"/>
        </w:rPr>
        <w:t xml:space="preserve"> à l’Acte de 1999 et ceux émanant d</w:t>
      </w:r>
      <w:r>
        <w:rPr>
          <w:color w:val="000000"/>
        </w:rPr>
        <w:t>es</w:t>
      </w:r>
      <w:r w:rsidRPr="00D41298">
        <w:rPr>
          <w:color w:val="000000"/>
        </w:rPr>
        <w:t xml:space="preserve"> État</w:t>
      </w:r>
      <w:r>
        <w:rPr>
          <w:color w:val="000000"/>
        </w:rPr>
        <w:t>s</w:t>
      </w:r>
      <w:r w:rsidRPr="00D41298">
        <w:rPr>
          <w:color w:val="000000"/>
        </w:rPr>
        <w:t xml:space="preserve"> membre</w:t>
      </w:r>
      <w:r>
        <w:rPr>
          <w:color w:val="000000"/>
        </w:rPr>
        <w:t>s</w:t>
      </w:r>
      <w:r w:rsidRPr="00D41298">
        <w:rPr>
          <w:color w:val="000000"/>
        </w:rPr>
        <w:t xml:space="preserve"> de l’Union européenne </w:t>
      </w:r>
      <w:r>
        <w:rPr>
          <w:color w:val="000000"/>
        </w:rPr>
        <w:t>qui n’en s</w:t>
      </w:r>
      <w:r w:rsidRPr="00D41298">
        <w:rPr>
          <w:color w:val="000000"/>
        </w:rPr>
        <w:t>on</w:t>
      </w:r>
      <w:r>
        <w:rPr>
          <w:color w:val="000000"/>
        </w:rPr>
        <w:t>t pas</w:t>
      </w:r>
      <w:r w:rsidRPr="00D41298">
        <w:rPr>
          <w:color w:val="000000"/>
        </w:rPr>
        <w:t xml:space="preserve"> partie</w:t>
      </w:r>
      <w:r>
        <w:rPr>
          <w:color w:val="000000"/>
        </w:rPr>
        <w:t>s</w:t>
      </w:r>
      <w:r w:rsidRPr="00D41298">
        <w:rPr>
          <w:color w:val="000000"/>
        </w:rPr>
        <w:t xml:space="preserve"> (c’est</w:t>
      </w:r>
      <w:r w:rsidRPr="00D41298">
        <w:rPr>
          <w:color w:val="000000"/>
        </w:rPr>
        <w:noBreakHyphen/>
        <w:t>à</w:t>
      </w:r>
      <w:r w:rsidRPr="00D41298">
        <w:rPr>
          <w:color w:val="000000"/>
        </w:rPr>
        <w:noBreakHyphen/>
        <w:t>dire l’Autriche, Chypre, l’Irlande, Malte, le Portugal, la République tchèque, le Royaume</w:t>
      </w:r>
      <w:r w:rsidRPr="00D41298">
        <w:rPr>
          <w:color w:val="000000"/>
        </w:rPr>
        <w:noBreakHyphen/>
        <w:t>Uni, la Slovaquie et la Suède).</w:t>
      </w:r>
    </w:p>
    <w:p w:rsidR="00FD5CA3" w:rsidRPr="00D41298" w:rsidRDefault="00FD5CA3" w:rsidP="004336E0">
      <w:pPr>
        <w:pStyle w:val="Heading3"/>
        <w:keepLines/>
      </w:pPr>
      <w:r w:rsidRPr="00D41298">
        <w:rPr>
          <w:color w:val="000000"/>
        </w:rPr>
        <w:lastRenderedPageBreak/>
        <w:t>Nouvelles parties contractantes</w:t>
      </w:r>
    </w:p>
    <w:p w:rsidR="00FD5CA3" w:rsidRPr="00D41298" w:rsidRDefault="00FD5CA3" w:rsidP="004336E0">
      <w:pPr>
        <w:keepNext/>
        <w:keepLines/>
      </w:pPr>
    </w:p>
    <w:p w:rsidR="00FD5CA3" w:rsidRPr="00D41298" w:rsidRDefault="00FD5CA3" w:rsidP="004336E0">
      <w:pPr>
        <w:pStyle w:val="ONUME"/>
        <w:keepNext/>
        <w:keepLines/>
        <w:numPr>
          <w:ilvl w:val="0"/>
          <w:numId w:val="0"/>
        </w:numPr>
      </w:pPr>
      <w:r w:rsidRPr="00D41298">
        <w:rPr>
          <w:noProof/>
          <w:lang w:val="en-US" w:eastAsia="en-US"/>
        </w:rPr>
        <mc:AlternateContent>
          <mc:Choice Requires="wps">
            <w:drawing>
              <wp:anchor distT="0" distB="0" distL="114300" distR="114300" simplePos="0" relativeHeight="251745280" behindDoc="0" locked="0" layoutInCell="1" allowOverlap="1" wp14:anchorId="3E25685A" wp14:editId="3C210FED">
                <wp:simplePos x="0" y="0"/>
                <wp:positionH relativeFrom="column">
                  <wp:posOffset>668655</wp:posOffset>
                </wp:positionH>
                <wp:positionV relativeFrom="paragraph">
                  <wp:posOffset>3134360</wp:posOffset>
                </wp:positionV>
                <wp:extent cx="57150" cy="58420"/>
                <wp:effectExtent l="0" t="0" r="0" b="0"/>
                <wp:wrapNone/>
                <wp:docPr id="335"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31859C"/>
                        </a:solidFill>
                        <a:ln w="25400" cap="flat" cmpd="sng" algn="ctr">
                          <a:noFill/>
                          <a:prstDash val="solid"/>
                        </a:ln>
                        <a:effectLst/>
                      </wps:spPr>
                      <wps:txbx>
                        <w:txbxContent>
                          <w:p w:rsidR="00FD5CA3" w:rsidRDefault="00FD5CA3" w:rsidP="00E149D8">
                            <w:pPr>
                              <w:jc w:val="center"/>
                            </w:pPr>
                          </w:p>
                        </w:txbxContent>
                      </wps:txbx>
                      <wps:bodyPr/>
                    </wps:wsp>
                  </a:graphicData>
                </a:graphic>
              </wp:anchor>
            </w:drawing>
          </mc:Choice>
          <mc:Fallback>
            <w:pict>
              <v:rect id="_x0000_s1069" style="position:absolute;margin-left:52.65pt;margin-top:246.8pt;width:4.5pt;height:4.6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" fillcolor="#31859c" stroked="f" strokeweight="2pt">
                <v:textbox>
                  <w:txbxContent>
                    <w:p w:rsidR="00FD5CA3" w:rsidRDefault="00FD5CA3" w:rsidP="00E149D8">
                      <w:pPr>
                        <w:jc w:val="center"/>
                      </w:pPr>
                    </w:p>
                  </w:txbxContent>
                </v:textbox>
              </v:rect>
            </w:pict>
          </mc:Fallback>
        </mc:AlternateContent>
      </w:r>
      <w:r w:rsidRPr="00D41298">
        <w:rPr>
          <w:noProof/>
          <w:lang w:val="en-US" w:eastAsia="en-US"/>
        </w:rPr>
        <mc:AlternateContent>
          <mc:Choice Requires="wps">
            <w:drawing>
              <wp:anchor distT="0" distB="0" distL="114300" distR="114300" simplePos="0" relativeHeight="251746304" behindDoc="0" locked="0" layoutInCell="1" allowOverlap="1" wp14:anchorId="5B6CB8A9" wp14:editId="74F502C2">
                <wp:simplePos x="0" y="0"/>
                <wp:positionH relativeFrom="column">
                  <wp:posOffset>1384300</wp:posOffset>
                </wp:positionH>
                <wp:positionV relativeFrom="paragraph">
                  <wp:posOffset>3133725</wp:posOffset>
                </wp:positionV>
                <wp:extent cx="57150" cy="58420"/>
                <wp:effectExtent l="0" t="0" r="0" b="0"/>
                <wp:wrapNone/>
                <wp:docPr id="336"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chemeClr val="accent5">
                            <a:lumMod val="40000"/>
                            <a:lumOff val="60000"/>
                          </a:schemeClr>
                        </a:solidFill>
                        <a:ln w="12700" cap="flat" cmpd="sng" algn="ctr">
                          <a:noFill/>
                          <a:prstDash val="solid"/>
                        </a:ln>
                        <a:effectLst/>
                      </wps:spPr>
                      <wps:txbx>
                        <w:txbxContent>
                          <w:p w:rsidR="00FD5CA3" w:rsidRDefault="00FD5CA3" w:rsidP="00E149D8">
                            <w:pPr>
                              <w:jc w:val="center"/>
                            </w:pPr>
                          </w:p>
                        </w:txbxContent>
                      </wps:txbx>
                      <wps:bodyPr/>
                    </wps:wsp>
                  </a:graphicData>
                </a:graphic>
              </wp:anchor>
            </w:drawing>
          </mc:Choice>
          <mc:Fallback>
            <w:pict>
              <v:rect id="_x0000_s1070" style="position:absolute;margin-left:109pt;margin-top:246.75pt;width:4.5pt;height:4.6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" fillcolor="#b6dde8 [1304]" stroked="f" strokeweight="1pt">
                <v:textbox>
                  <w:txbxContent>
                    <w:p w:rsidR="00FD5CA3" w:rsidRDefault="00FD5CA3" w:rsidP="00E149D8">
                      <w:pPr>
                        <w:jc w:val="center"/>
                      </w:pPr>
                    </w:p>
                  </w:txbxContent>
                </v:textbox>
              </v:rect>
            </w:pict>
          </mc:Fallback>
        </mc:AlternateContent>
      </w:r>
      <w:r w:rsidRPr="00D41298">
        <w:rPr>
          <w:noProof/>
          <w:lang w:val="en-US" w:eastAsia="en-US"/>
        </w:rPr>
        <mc:AlternateContent>
          <mc:Choice Requires="wps">
            <w:drawing>
              <wp:anchor distT="0" distB="0" distL="114300" distR="114300" simplePos="0" relativeHeight="251747328" behindDoc="0" locked="0" layoutInCell="1" allowOverlap="1" wp14:anchorId="7677C4BC" wp14:editId="6BC34EAA">
                <wp:simplePos x="0" y="0"/>
                <wp:positionH relativeFrom="column">
                  <wp:posOffset>723265</wp:posOffset>
                </wp:positionH>
                <wp:positionV relativeFrom="paragraph">
                  <wp:posOffset>3034665</wp:posOffset>
                </wp:positionV>
                <wp:extent cx="428625" cy="249555"/>
                <wp:effectExtent l="0" t="0" r="0" b="0"/>
                <wp:wrapNone/>
                <wp:docPr id="337" name="Zone de texte 337"/>
                <wp:cNvGraphicFramePr/>
                <a:graphic xmlns:a="http://schemas.openxmlformats.org/drawingml/2006/main">
                  <a:graphicData uri="http://schemas.microsoft.com/office/word/2010/wordprocessingShape">
                    <wps:wsp>
                      <wps:cNvSpPr txBox="1"/>
                      <wps:spPr>
                        <a:xfrm>
                          <a:off x="0" y="0"/>
                          <a:ext cx="42862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CA3" w:rsidRDefault="00FD5CA3" w:rsidP="00BA437D">
                            <w:r>
                              <w:t>KR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37" o:spid="_x0000_s1071" type="#_x0000_t202" style="position:absolute;margin-left:56.95pt;margin-top:238.95pt;width:33.75pt;height:19.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" filled="f" stroked="f" strokeweight=".5pt">
                <v:textbox>
                  <w:txbxContent>
                    <w:p w:rsidR="00FD5CA3" w:rsidRDefault="00FD5CA3" w:rsidP="00BA437D">
                      <w:r>
                        <w:t>KR</w:t>
                      </w:r>
                    </w:p>
                  </w:txbxContent>
                </v:textbox>
              </v:shape>
            </w:pict>
          </mc:Fallback>
        </mc:AlternateContent>
      </w:r>
      <w:r w:rsidRPr="00D41298">
        <w:rPr>
          <w:noProof/>
          <w:lang w:val="en-US" w:eastAsia="en-US"/>
        </w:rPr>
        <mc:AlternateContent>
          <mc:Choice Requires="wps">
            <w:drawing>
              <wp:anchor distT="0" distB="0" distL="114300" distR="114300" simplePos="0" relativeHeight="251748352" behindDoc="0" locked="0" layoutInCell="1" allowOverlap="1" wp14:anchorId="3EADBF07" wp14:editId="2A863F58">
                <wp:simplePos x="0" y="0"/>
                <wp:positionH relativeFrom="column">
                  <wp:posOffset>1437640</wp:posOffset>
                </wp:positionH>
                <wp:positionV relativeFrom="paragraph">
                  <wp:posOffset>3036570</wp:posOffset>
                </wp:positionV>
                <wp:extent cx="457200" cy="249555"/>
                <wp:effectExtent l="0" t="0" r="0" b="0"/>
                <wp:wrapNone/>
                <wp:docPr id="338" name="Zone de texte 338"/>
                <wp:cNvGraphicFramePr/>
                <a:graphic xmlns:a="http://schemas.openxmlformats.org/drawingml/2006/main">
                  <a:graphicData uri="http://schemas.microsoft.com/office/word/2010/wordprocessingShape">
                    <wps:wsp>
                      <wps:cNvSpPr txBox="1"/>
                      <wps:spPr>
                        <a:xfrm>
                          <a:off x="0" y="0"/>
                          <a:ext cx="457200"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CA3" w:rsidRDefault="00FD5CA3" w:rsidP="00BA437D">
                            <w:r>
                              <w:t>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38" o:spid="_x0000_s1072" type="#_x0000_t202" style="position:absolute;margin-left:113.2pt;margin-top:239.1pt;width:36pt;height:19.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" filled="f" stroked="f" strokeweight=".5pt">
                <v:textbox>
                  <w:txbxContent>
                    <w:p w:rsidR="00FD5CA3" w:rsidRDefault="00FD5CA3" w:rsidP="00BA437D">
                      <w:r>
                        <w:t>JP</w:t>
                      </w:r>
                    </w:p>
                  </w:txbxContent>
                </v:textbox>
              </v:shape>
            </w:pict>
          </mc:Fallback>
        </mc:AlternateContent>
      </w:r>
      <w:r w:rsidRPr="00D41298">
        <w:rPr>
          <w:noProof/>
          <w:lang w:val="en-US" w:eastAsia="en-US"/>
        </w:rPr>
        <mc:AlternateContent>
          <mc:Choice Requires="wps">
            <w:drawing>
              <wp:anchor distT="0" distB="0" distL="114300" distR="114300" simplePos="0" relativeHeight="251749376" behindDoc="0" locked="0" layoutInCell="1" allowOverlap="1" wp14:anchorId="7B38D79A" wp14:editId="4EB41778">
                <wp:simplePos x="0" y="0"/>
                <wp:positionH relativeFrom="column">
                  <wp:posOffset>1973580</wp:posOffset>
                </wp:positionH>
                <wp:positionV relativeFrom="paragraph">
                  <wp:posOffset>3129280</wp:posOffset>
                </wp:positionV>
                <wp:extent cx="57150" cy="58420"/>
                <wp:effectExtent l="0" t="0" r="0" b="0"/>
                <wp:wrapNone/>
                <wp:docPr id="339" name="Rectangle 1"/>
                <wp:cNvGraphicFramePr/>
                <a:graphic xmlns:a="http://schemas.openxmlformats.org/drawingml/2006/main">
                  <a:graphicData uri="http://schemas.microsoft.com/office/word/2010/wordprocessingShape">
                    <wps:wsp>
                      <wps:cNvSpPr/>
                      <wps:spPr>
                        <a:xfrm>
                          <a:off x="0" y="0"/>
                          <a:ext cx="57150" cy="58420"/>
                        </a:xfrm>
                        <a:prstGeom prst="rect">
                          <a:avLst/>
                        </a:prstGeom>
                        <a:solidFill>
                          <a:srgbClr val="7030A0"/>
                        </a:solidFill>
                        <a:ln w="12700" cap="flat" cmpd="sng" algn="ctr">
                          <a:noFill/>
                          <a:prstDash val="solid"/>
                        </a:ln>
                        <a:effectLst/>
                      </wps:spPr>
                      <wps:bodyPr/>
                    </wps:wsp>
                  </a:graphicData>
                </a:graphic>
              </wp:anchor>
            </w:drawing>
          </mc:Choice>
          <mc:Fallback>
            <w:pict>
              <v:rect id="Rectangle 1" o:spid="_x0000_s1026" style="position:absolute;margin-left:155.4pt;margin-top:246.4pt;width:4.5pt;height:4.6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" fillcolor="#7030a0" stroked="f" strokeweight="1pt"/>
            </w:pict>
          </mc:Fallback>
        </mc:AlternateContent>
      </w:r>
      <w:r w:rsidRPr="00D41298">
        <w:rPr>
          <w:noProof/>
          <w:lang w:val="en-US" w:eastAsia="en-US"/>
        </w:rPr>
        <mc:AlternateContent>
          <mc:Choice Requires="wps">
            <w:drawing>
              <wp:anchor distT="0" distB="0" distL="114300" distR="114300" simplePos="0" relativeHeight="251750400" behindDoc="0" locked="0" layoutInCell="1" allowOverlap="1" wp14:anchorId="6DF53F6A" wp14:editId="748ECA21">
                <wp:simplePos x="0" y="0"/>
                <wp:positionH relativeFrom="column">
                  <wp:posOffset>2026920</wp:posOffset>
                </wp:positionH>
                <wp:positionV relativeFrom="paragraph">
                  <wp:posOffset>3032315</wp:posOffset>
                </wp:positionV>
                <wp:extent cx="457200" cy="249555"/>
                <wp:effectExtent l="0" t="0" r="0" b="0"/>
                <wp:wrapNone/>
                <wp:docPr id="340" name="Zone de texte 340"/>
                <wp:cNvGraphicFramePr/>
                <a:graphic xmlns:a="http://schemas.openxmlformats.org/drawingml/2006/main">
                  <a:graphicData uri="http://schemas.microsoft.com/office/word/2010/wordprocessingShape">
                    <wps:wsp>
                      <wps:cNvSpPr txBox="1"/>
                      <wps:spPr>
                        <a:xfrm>
                          <a:off x="0" y="0"/>
                          <a:ext cx="457200"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CA3" w:rsidRDefault="00FD5CA3" w:rsidP="00BA437D">
                            <w:r>
                              <w: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40" o:spid="_x0000_s1073" type="#_x0000_t202" style="position:absolute;margin-left:159.6pt;margin-top:238.75pt;width:36pt;height:19.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" filled="f" stroked="f" strokeweight=".5pt">
                <v:textbox>
                  <w:txbxContent>
                    <w:p w:rsidR="00FD5CA3" w:rsidRDefault="00FD5CA3" w:rsidP="00BA437D">
                      <w:r>
                        <w:t>US</w:t>
                      </w:r>
                    </w:p>
                  </w:txbxContent>
                </v:textbox>
              </v:shape>
            </w:pict>
          </mc:Fallback>
        </mc:AlternateContent>
      </w:r>
      <w:r w:rsidRPr="00D41298">
        <w:rPr>
          <w:noProof/>
          <w:lang w:val="en-US" w:eastAsia="en-US"/>
        </w:rPr>
        <w:drawing>
          <wp:inline distT="0" distB="0" distL="0" distR="0" wp14:anchorId="24ED4129" wp14:editId="3CE98E66">
            <wp:extent cx="3891242" cy="2960218"/>
            <wp:effectExtent l="0" t="0" r="14605" b="12065"/>
            <wp:docPr id="341" name="Chart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D5CA3" w:rsidRPr="00D41298" w:rsidRDefault="00FD5CA3" w:rsidP="004336E0">
      <w:pPr>
        <w:pStyle w:val="ONUME"/>
        <w:numPr>
          <w:ilvl w:val="0"/>
          <w:numId w:val="0"/>
        </w:numPr>
      </w:pPr>
    </w:p>
    <w:p w:rsidR="00FD5CA3" w:rsidRPr="00D41298" w:rsidRDefault="00FD5CA3" w:rsidP="00FD5CA3">
      <w:pPr>
        <w:pStyle w:val="ONUMFS"/>
        <w:numPr>
          <w:ilvl w:val="0"/>
          <w:numId w:val="6"/>
        </w:numPr>
      </w:pPr>
      <w:r w:rsidRPr="00D41298">
        <w:rPr>
          <w:color w:val="000000"/>
        </w:rPr>
        <w:t xml:space="preserve">En 2015, </w:t>
      </w:r>
      <w:r>
        <w:rPr>
          <w:color w:val="000000"/>
        </w:rPr>
        <w:t>s’agissant d</w:t>
      </w:r>
      <w:r w:rsidRPr="00D41298">
        <w:rPr>
          <w:color w:val="000000"/>
        </w:rPr>
        <w:t>es titulaires ayant une adresse aux États</w:t>
      </w:r>
      <w:r w:rsidRPr="00D41298">
        <w:rPr>
          <w:color w:val="000000"/>
        </w:rPr>
        <w:noBreakHyphen/>
        <w:t>Unis d’Amérique, au Japon ou en République de Corée, le pourcentage d’</w:t>
      </w:r>
      <w:proofErr w:type="spellStart"/>
      <w:r w:rsidRPr="00D41298">
        <w:rPr>
          <w:color w:val="000000"/>
        </w:rPr>
        <w:t>autodésignations</w:t>
      </w:r>
      <w:proofErr w:type="spellEnd"/>
      <w:r w:rsidRPr="00D41298">
        <w:rPr>
          <w:color w:val="000000"/>
        </w:rPr>
        <w:t xml:space="preserve"> </w:t>
      </w:r>
      <w:r>
        <w:rPr>
          <w:color w:val="000000"/>
        </w:rPr>
        <w:t>était</w:t>
      </w:r>
      <w:r w:rsidRPr="00D41298">
        <w:rPr>
          <w:color w:val="000000"/>
        </w:rPr>
        <w:t xml:space="preserve"> très faible.  </w:t>
      </w:r>
      <w:r>
        <w:rPr>
          <w:color w:val="000000"/>
        </w:rPr>
        <w:t xml:space="preserve">Seuls </w:t>
      </w:r>
      <w:r w:rsidRPr="00D41298">
        <w:rPr>
          <w:color w:val="000000"/>
        </w:rPr>
        <w:t>9,6% des enregistrements internationaux émanant des États</w:t>
      </w:r>
      <w:r w:rsidRPr="00D41298">
        <w:rPr>
          <w:color w:val="000000"/>
        </w:rPr>
        <w:noBreakHyphen/>
        <w:t xml:space="preserve">Unis d’Amérique, 1,2% de ceux émanant de la République de Corée et 13,7% de ceux émanant du Japon contenaient une </w:t>
      </w:r>
      <w:proofErr w:type="spellStart"/>
      <w:r w:rsidRPr="00D41298">
        <w:rPr>
          <w:color w:val="000000"/>
        </w:rPr>
        <w:t>autodésignation</w:t>
      </w:r>
      <w:proofErr w:type="spellEnd"/>
      <w:r w:rsidRPr="00D41298">
        <w:rPr>
          <w:color w:val="000000"/>
        </w:rPr>
        <w:t>.</w:t>
      </w:r>
    </w:p>
    <w:p w:rsidR="00FD5CA3" w:rsidRPr="00D41298" w:rsidRDefault="00FD5CA3" w:rsidP="00FD5CA3">
      <w:pPr>
        <w:pStyle w:val="ONUMFS"/>
        <w:numPr>
          <w:ilvl w:val="0"/>
          <w:numId w:val="6"/>
        </w:numPr>
      </w:pPr>
      <w:r w:rsidRPr="00D41298">
        <w:rPr>
          <w:color w:val="000000"/>
        </w:rPr>
        <w:t>Au premier trimestre</w:t>
      </w:r>
      <w:r>
        <w:rPr>
          <w:color w:val="000000"/>
        </w:rPr>
        <w:t> </w:t>
      </w:r>
      <w:r w:rsidRPr="00D41298">
        <w:rPr>
          <w:color w:val="000000"/>
        </w:rPr>
        <w:t>2016, les États</w:t>
      </w:r>
      <w:r w:rsidRPr="00D41298">
        <w:rPr>
          <w:color w:val="000000"/>
        </w:rPr>
        <w:noBreakHyphen/>
        <w:t xml:space="preserve">Unis d’Amérique </w:t>
      </w:r>
      <w:r>
        <w:rPr>
          <w:color w:val="000000"/>
        </w:rPr>
        <w:t>ét</w:t>
      </w:r>
      <w:r w:rsidRPr="00D41298">
        <w:rPr>
          <w:color w:val="000000"/>
        </w:rPr>
        <w:t>ai</w:t>
      </w:r>
      <w:r>
        <w:rPr>
          <w:color w:val="000000"/>
        </w:rPr>
        <w:t>en</w:t>
      </w:r>
      <w:r w:rsidRPr="00D41298">
        <w:rPr>
          <w:color w:val="000000"/>
        </w:rPr>
        <w:t xml:space="preserve">t </w:t>
      </w:r>
      <w:proofErr w:type="spellStart"/>
      <w:r w:rsidRPr="00D41298">
        <w:rPr>
          <w:color w:val="000000"/>
        </w:rPr>
        <w:t>audodésigné</w:t>
      </w:r>
      <w:r>
        <w:rPr>
          <w:color w:val="000000"/>
        </w:rPr>
        <w:t>s</w:t>
      </w:r>
      <w:proofErr w:type="spellEnd"/>
      <w:r w:rsidRPr="00D41298">
        <w:rPr>
          <w:color w:val="000000"/>
        </w:rPr>
        <w:t xml:space="preserve"> dans 6,9% des enregistrements internationaux, tandis que le pourcentage correspondant pour le Japon était de 17,2%.  Aucun des enregistrements internationaux émanant de la République de</w:t>
      </w:r>
      <w:r w:rsidR="007D67E1">
        <w:rPr>
          <w:color w:val="000000"/>
        </w:rPr>
        <w:t> </w:t>
      </w:r>
      <w:r w:rsidRPr="00D41298">
        <w:rPr>
          <w:color w:val="000000"/>
        </w:rPr>
        <w:t>Corée ne contenait d’</w:t>
      </w:r>
      <w:proofErr w:type="spellStart"/>
      <w:r w:rsidRPr="00D41298">
        <w:rPr>
          <w:color w:val="000000"/>
        </w:rPr>
        <w:t>autodésignation</w:t>
      </w:r>
      <w:proofErr w:type="spellEnd"/>
      <w:r w:rsidRPr="00D41298">
        <w:rPr>
          <w:color w:val="000000"/>
        </w:rPr>
        <w:t>.</w:t>
      </w:r>
    </w:p>
    <w:p w:rsidR="00FD5CA3" w:rsidRPr="00D41298" w:rsidRDefault="00FD5CA3" w:rsidP="00FD5CA3">
      <w:pPr>
        <w:pStyle w:val="ONUMFS"/>
        <w:numPr>
          <w:ilvl w:val="0"/>
          <w:numId w:val="6"/>
        </w:numPr>
      </w:pPr>
      <w:r w:rsidRPr="00D41298">
        <w:rPr>
          <w:color w:val="000000"/>
        </w:rPr>
        <w:t>On peut conclure que les enregistrements internationaux d’origine “traditionnelle” utilisent souvent cette possibilité d’</w:t>
      </w:r>
      <w:proofErr w:type="spellStart"/>
      <w:r w:rsidRPr="00D41298">
        <w:rPr>
          <w:color w:val="000000"/>
        </w:rPr>
        <w:t>autodésignation</w:t>
      </w:r>
      <w:proofErr w:type="spellEnd"/>
      <w:r w:rsidRPr="00D41298">
        <w:rPr>
          <w:color w:val="000000"/>
        </w:rPr>
        <w:t xml:space="preserve"> selon le système de La Haye et qu’ils peuvent ainsi par exemple bénéficier de la gestion ultérieure de l’enregistrement international, </w:t>
      </w:r>
      <w:r>
        <w:rPr>
          <w:color w:val="000000"/>
        </w:rPr>
        <w:t>notamment le</w:t>
      </w:r>
      <w:r w:rsidRPr="00D41298">
        <w:rPr>
          <w:color w:val="000000"/>
        </w:rPr>
        <w:t xml:space="preserve"> renouvellement d’un seul enregistrement international, plutôt que </w:t>
      </w:r>
      <w:r>
        <w:rPr>
          <w:color w:val="000000"/>
        </w:rPr>
        <w:t>de gérer</w:t>
      </w:r>
      <w:r w:rsidRPr="00D41298">
        <w:rPr>
          <w:color w:val="000000"/>
        </w:rPr>
        <w:t xml:space="preserve"> plusieurs enregistrements (régionaux ou nationaux).</w:t>
      </w:r>
    </w:p>
    <w:p w:rsidR="00FD5CA3" w:rsidRPr="00D41298" w:rsidRDefault="00FD5CA3" w:rsidP="00FD5CA3">
      <w:pPr>
        <w:pStyle w:val="ONUMFS"/>
        <w:numPr>
          <w:ilvl w:val="0"/>
          <w:numId w:val="6"/>
        </w:numPr>
      </w:pPr>
      <w:r w:rsidRPr="00D41298">
        <w:rPr>
          <w:color w:val="000000"/>
        </w:rPr>
        <w:t xml:space="preserve">Par ailleurs, </w:t>
      </w:r>
      <w:r>
        <w:rPr>
          <w:color w:val="000000"/>
        </w:rPr>
        <w:t xml:space="preserve">cette option est moins souvent utilisée pour </w:t>
      </w:r>
      <w:r w:rsidRPr="00D41298">
        <w:rPr>
          <w:color w:val="000000"/>
        </w:rPr>
        <w:t>les enregistrements internationaux émanant de nouvelle</w:t>
      </w:r>
      <w:r>
        <w:rPr>
          <w:color w:val="000000"/>
        </w:rPr>
        <w:t>s</w:t>
      </w:r>
      <w:r w:rsidRPr="00D41298">
        <w:rPr>
          <w:color w:val="000000"/>
        </w:rPr>
        <w:t xml:space="preserve"> partie</w:t>
      </w:r>
      <w:r>
        <w:rPr>
          <w:color w:val="000000"/>
        </w:rPr>
        <w:t>s</w:t>
      </w:r>
      <w:r w:rsidRPr="00D41298">
        <w:rPr>
          <w:color w:val="000000"/>
        </w:rPr>
        <w:t xml:space="preserve"> contractante</w:t>
      </w:r>
      <w:r>
        <w:rPr>
          <w:color w:val="000000"/>
        </w:rPr>
        <w:t>s</w:t>
      </w:r>
      <w:r w:rsidRPr="00D41298">
        <w:rPr>
          <w:color w:val="000000"/>
        </w:rPr>
        <w:t>, telle</w:t>
      </w:r>
      <w:r>
        <w:rPr>
          <w:color w:val="000000"/>
        </w:rPr>
        <w:t>s</w:t>
      </w:r>
      <w:r w:rsidRPr="00D41298">
        <w:rPr>
          <w:color w:val="000000"/>
        </w:rPr>
        <w:t xml:space="preserve"> que les États</w:t>
      </w:r>
      <w:r w:rsidRPr="00D41298">
        <w:rPr>
          <w:color w:val="000000"/>
        </w:rPr>
        <w:noBreakHyphen/>
        <w:t>Unis d’Amérique, le Japon ou la République de Corée.  Comme indiqué précédemment,</w:t>
      </w:r>
      <w:r w:rsidR="00206FBF">
        <w:rPr>
          <w:color w:val="000000"/>
        </w:rPr>
        <w:t xml:space="preserve"> </w:t>
      </w:r>
      <w:r w:rsidRPr="00D41298">
        <w:rPr>
          <w:color w:val="000000"/>
        </w:rPr>
        <w:t>KIPO est souvent l’</w:t>
      </w:r>
      <w:r w:rsidR="000A076A">
        <w:rPr>
          <w:color w:val="000000"/>
        </w:rPr>
        <w:t>O</w:t>
      </w:r>
      <w:r w:rsidRPr="00D41298">
        <w:rPr>
          <w:color w:val="000000"/>
        </w:rPr>
        <w:t>ffice du premier dépôt dont la priorité est revendiquée dans un enregistrement international émanant de la République de</w:t>
      </w:r>
      <w:r w:rsidR="007D67E1">
        <w:rPr>
          <w:color w:val="000000"/>
        </w:rPr>
        <w:t> </w:t>
      </w:r>
      <w:r w:rsidRPr="00D41298">
        <w:rPr>
          <w:color w:val="000000"/>
        </w:rPr>
        <w:t xml:space="preserve">Corée, </w:t>
      </w:r>
      <w:r>
        <w:rPr>
          <w:color w:val="000000"/>
        </w:rPr>
        <w:t xml:space="preserve">et </w:t>
      </w:r>
      <w:r w:rsidRPr="00D41298">
        <w:rPr>
          <w:color w:val="000000"/>
        </w:rPr>
        <w:t xml:space="preserve">c’est pourquoi une </w:t>
      </w:r>
      <w:proofErr w:type="spellStart"/>
      <w:r w:rsidRPr="00D41298">
        <w:rPr>
          <w:color w:val="000000"/>
        </w:rPr>
        <w:t>autodésignation</w:t>
      </w:r>
      <w:proofErr w:type="spellEnd"/>
      <w:r w:rsidRPr="00D41298">
        <w:rPr>
          <w:color w:val="000000"/>
        </w:rPr>
        <w:t xml:space="preserve"> dans un enregistrement international </w:t>
      </w:r>
      <w:r w:rsidR="0057574F">
        <w:rPr>
          <w:color w:val="000000"/>
        </w:rPr>
        <w:t xml:space="preserve">ne </w:t>
      </w:r>
      <w:r w:rsidRPr="00D41298">
        <w:rPr>
          <w:color w:val="000000"/>
        </w:rPr>
        <w:t xml:space="preserve">serait </w:t>
      </w:r>
      <w:r w:rsidR="0057574F">
        <w:rPr>
          <w:color w:val="000000"/>
        </w:rPr>
        <w:t>pas nécessaire</w:t>
      </w:r>
      <w:r w:rsidRPr="00D41298">
        <w:rPr>
          <w:color w:val="000000"/>
        </w:rPr>
        <w:t xml:space="preserve"> dans ce</w:t>
      </w:r>
      <w:r>
        <w:rPr>
          <w:color w:val="000000"/>
        </w:rPr>
        <w:t>s</w:t>
      </w:r>
      <w:r w:rsidRPr="00D41298">
        <w:rPr>
          <w:color w:val="000000"/>
        </w:rPr>
        <w:t xml:space="preserve"> cas.</w:t>
      </w:r>
    </w:p>
    <w:p w:rsidR="00FD5CA3" w:rsidRPr="00D41298" w:rsidRDefault="00FD5CA3" w:rsidP="004336E0">
      <w:pPr>
        <w:pStyle w:val="Heading3"/>
      </w:pPr>
      <w:r w:rsidRPr="00D41298">
        <w:lastRenderedPageBreak/>
        <w:t>Pourcentage d’</w:t>
      </w:r>
      <w:proofErr w:type="spellStart"/>
      <w:r w:rsidRPr="00D41298">
        <w:t>autodésignations</w:t>
      </w:r>
      <w:proofErr w:type="spellEnd"/>
      <w:r w:rsidRPr="00D41298">
        <w:t xml:space="preserve"> par partie contractante désignée</w:t>
      </w:r>
    </w:p>
    <w:p w:rsidR="00FD5CA3" w:rsidRPr="00D41298" w:rsidRDefault="00FD5CA3" w:rsidP="004336E0">
      <w:pPr>
        <w:keepNext/>
      </w:pPr>
    </w:p>
    <w:p w:rsidR="00FD5CA3" w:rsidRPr="00D41298" w:rsidRDefault="00FD5CA3" w:rsidP="004336E0">
      <w:pPr>
        <w:pStyle w:val="ONUME"/>
        <w:numPr>
          <w:ilvl w:val="0"/>
          <w:numId w:val="0"/>
        </w:numPr>
      </w:pPr>
      <w:r w:rsidRPr="00D41298">
        <w:rPr>
          <w:noProof/>
          <w:lang w:val="en-US" w:eastAsia="en-US"/>
        </w:rPr>
        <w:drawing>
          <wp:inline distT="0" distB="0" distL="0" distR="0" wp14:anchorId="4328ACDE" wp14:editId="0A7C86B6">
            <wp:extent cx="5940425" cy="2341245"/>
            <wp:effectExtent l="0" t="0" r="22225" b="20955"/>
            <wp:docPr id="342" name="Chart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D5CA3" w:rsidRPr="00D41298" w:rsidRDefault="00FD5CA3" w:rsidP="00FD5CA3">
      <w:pPr>
        <w:pStyle w:val="ONUMFS"/>
        <w:numPr>
          <w:ilvl w:val="0"/>
          <w:numId w:val="6"/>
        </w:numPr>
        <w:rPr>
          <w:lang w:eastAsia="en-US"/>
        </w:rPr>
      </w:pPr>
      <w:r w:rsidRPr="00D41298">
        <w:rPr>
          <w:color w:val="000000"/>
          <w:lang w:eastAsia="en-US"/>
        </w:rPr>
        <w:t>Le</w:t>
      </w:r>
      <w:r>
        <w:rPr>
          <w:color w:val="000000"/>
          <w:lang w:eastAsia="en-US"/>
        </w:rPr>
        <w:t>s</w:t>
      </w:r>
      <w:r w:rsidRPr="00D41298">
        <w:rPr>
          <w:color w:val="000000"/>
          <w:lang w:eastAsia="en-US"/>
        </w:rPr>
        <w:t xml:space="preserve"> pourcentage</w:t>
      </w:r>
      <w:r>
        <w:rPr>
          <w:color w:val="000000"/>
          <w:lang w:eastAsia="en-US"/>
        </w:rPr>
        <w:t>s</w:t>
      </w:r>
      <w:r w:rsidRPr="00D41298">
        <w:rPr>
          <w:color w:val="000000"/>
          <w:lang w:eastAsia="en-US"/>
        </w:rPr>
        <w:t xml:space="preserve"> le</w:t>
      </w:r>
      <w:r>
        <w:rPr>
          <w:color w:val="000000"/>
          <w:lang w:eastAsia="en-US"/>
        </w:rPr>
        <w:t>s</w:t>
      </w:r>
      <w:r w:rsidRPr="00D41298">
        <w:rPr>
          <w:color w:val="000000"/>
          <w:lang w:eastAsia="en-US"/>
        </w:rPr>
        <w:t xml:space="preserve"> plus élevé</w:t>
      </w:r>
      <w:r>
        <w:rPr>
          <w:color w:val="000000"/>
          <w:lang w:eastAsia="en-US"/>
        </w:rPr>
        <w:t>s</w:t>
      </w:r>
      <w:r w:rsidRPr="00D41298">
        <w:rPr>
          <w:color w:val="000000"/>
          <w:lang w:eastAsia="en-US"/>
        </w:rPr>
        <w:t xml:space="preserve"> d’</w:t>
      </w:r>
      <w:proofErr w:type="spellStart"/>
      <w:r w:rsidRPr="00D41298">
        <w:rPr>
          <w:color w:val="000000"/>
          <w:lang w:eastAsia="en-US"/>
        </w:rPr>
        <w:t>autodésignations</w:t>
      </w:r>
      <w:proofErr w:type="spellEnd"/>
      <w:r w:rsidRPr="00D41298">
        <w:rPr>
          <w:color w:val="000000"/>
          <w:lang w:eastAsia="en-US"/>
        </w:rPr>
        <w:t xml:space="preserve"> pour l’ensemble des enregistrements internationaux concern</w:t>
      </w:r>
      <w:r>
        <w:rPr>
          <w:color w:val="000000"/>
          <w:lang w:eastAsia="en-US"/>
        </w:rPr>
        <w:t>ent</w:t>
      </w:r>
      <w:r w:rsidRPr="00D41298">
        <w:rPr>
          <w:color w:val="000000"/>
          <w:lang w:eastAsia="en-US"/>
        </w:rPr>
        <w:t xml:space="preserve"> la Suisse et l’Union européenne.  Cependant, ces dernières années, le pourcentage d’</w:t>
      </w:r>
      <w:proofErr w:type="spellStart"/>
      <w:r w:rsidRPr="00D41298">
        <w:rPr>
          <w:color w:val="000000"/>
          <w:lang w:eastAsia="en-US"/>
        </w:rPr>
        <w:t>autodésignations</w:t>
      </w:r>
      <w:proofErr w:type="spellEnd"/>
      <w:r w:rsidRPr="00D41298">
        <w:rPr>
          <w:color w:val="000000"/>
          <w:lang w:eastAsia="en-US"/>
        </w:rPr>
        <w:t xml:space="preserve"> de l’Union européenne a reculé (passant de 52,4% en 2014 à 42,8% en 2015).</w:t>
      </w:r>
      <w:r w:rsidRPr="00D41298">
        <w:rPr>
          <w:color w:val="000000"/>
        </w:rPr>
        <w:t xml:space="preserve">  </w:t>
      </w:r>
      <w:r w:rsidRPr="00D41298">
        <w:rPr>
          <w:color w:val="000000"/>
          <w:lang w:eastAsia="en-US"/>
        </w:rPr>
        <w:t>Au premier trimestre</w:t>
      </w:r>
      <w:r>
        <w:rPr>
          <w:color w:val="000000"/>
          <w:lang w:eastAsia="en-US"/>
        </w:rPr>
        <w:t> </w:t>
      </w:r>
      <w:r w:rsidRPr="00D41298">
        <w:rPr>
          <w:color w:val="000000"/>
          <w:lang w:eastAsia="en-US"/>
        </w:rPr>
        <w:t>2016, le pourcentage d’</w:t>
      </w:r>
      <w:proofErr w:type="spellStart"/>
      <w:r w:rsidRPr="00D41298">
        <w:rPr>
          <w:color w:val="000000"/>
          <w:lang w:eastAsia="en-US"/>
        </w:rPr>
        <w:t>autodésignations</w:t>
      </w:r>
      <w:proofErr w:type="spellEnd"/>
      <w:r w:rsidRPr="00D41298">
        <w:rPr>
          <w:color w:val="000000"/>
          <w:lang w:eastAsia="en-US"/>
        </w:rPr>
        <w:t xml:space="preserve"> dans les enregistrements internationaux désignant l’Union européenne a déjà chuté à 36,3%.</w:t>
      </w:r>
    </w:p>
    <w:p w:rsidR="00FD5CA3" w:rsidRPr="00D41298" w:rsidRDefault="00FD5CA3" w:rsidP="00FD5CA3">
      <w:pPr>
        <w:pStyle w:val="ONUMFS"/>
        <w:numPr>
          <w:ilvl w:val="0"/>
          <w:numId w:val="6"/>
        </w:numPr>
        <w:rPr>
          <w:lang w:eastAsia="en-US"/>
        </w:rPr>
      </w:pPr>
      <w:r w:rsidRPr="00D41298">
        <w:rPr>
          <w:color w:val="000000"/>
          <w:lang w:eastAsia="en-US"/>
        </w:rPr>
        <w:t xml:space="preserve">Par ailleurs, </w:t>
      </w:r>
      <w:r>
        <w:rPr>
          <w:color w:val="000000"/>
          <w:lang w:eastAsia="en-US"/>
        </w:rPr>
        <w:t xml:space="preserve">il semblerait que </w:t>
      </w:r>
      <w:r w:rsidRPr="00D41298">
        <w:rPr>
          <w:color w:val="000000"/>
          <w:lang w:eastAsia="en-US"/>
        </w:rPr>
        <w:t>le pourcentage d’</w:t>
      </w:r>
      <w:proofErr w:type="spellStart"/>
      <w:r w:rsidRPr="00D41298">
        <w:rPr>
          <w:color w:val="000000"/>
          <w:lang w:eastAsia="en-US"/>
        </w:rPr>
        <w:t>autodésignations</w:t>
      </w:r>
      <w:proofErr w:type="spellEnd"/>
      <w:r w:rsidRPr="00D41298">
        <w:rPr>
          <w:color w:val="000000"/>
          <w:lang w:eastAsia="en-US"/>
        </w:rPr>
        <w:t xml:space="preserve"> de la Suisse </w:t>
      </w:r>
      <w:r>
        <w:rPr>
          <w:color w:val="000000"/>
          <w:lang w:eastAsia="en-US"/>
        </w:rPr>
        <w:t>soit en train d’</w:t>
      </w:r>
      <w:r w:rsidRPr="00D41298">
        <w:rPr>
          <w:color w:val="000000"/>
          <w:lang w:eastAsia="en-US"/>
        </w:rPr>
        <w:t>augmenter (passant de 30,2% en 2014 à 34,7% en 2015 et à 39,2% au premier trimestre</w:t>
      </w:r>
      <w:r>
        <w:rPr>
          <w:color w:val="000000"/>
          <w:lang w:eastAsia="en-US"/>
        </w:rPr>
        <w:t> </w:t>
      </w:r>
      <w:r w:rsidRPr="00D41298">
        <w:rPr>
          <w:color w:val="000000"/>
          <w:lang w:eastAsia="en-US"/>
        </w:rPr>
        <w:t>2016).</w:t>
      </w:r>
    </w:p>
    <w:p w:rsidR="00FD5CA3" w:rsidRPr="00D41298" w:rsidRDefault="00FD5CA3" w:rsidP="00FD5CA3">
      <w:pPr>
        <w:pStyle w:val="ONUMFS"/>
        <w:numPr>
          <w:ilvl w:val="0"/>
          <w:numId w:val="6"/>
        </w:numPr>
        <w:rPr>
          <w:lang w:eastAsia="en-US"/>
        </w:rPr>
      </w:pPr>
      <w:r w:rsidRPr="00D41298">
        <w:rPr>
          <w:color w:val="000000"/>
          <w:lang w:eastAsia="en-US"/>
        </w:rPr>
        <w:t>En ce qui concerne les nouvelles parties contractantes, le pourcentage d’</w:t>
      </w:r>
      <w:proofErr w:type="spellStart"/>
      <w:r w:rsidRPr="00D41298">
        <w:rPr>
          <w:color w:val="000000"/>
          <w:lang w:eastAsia="en-US"/>
        </w:rPr>
        <w:t>autodésignations</w:t>
      </w:r>
      <w:proofErr w:type="spellEnd"/>
      <w:r w:rsidRPr="00D41298">
        <w:rPr>
          <w:color w:val="000000"/>
          <w:lang w:eastAsia="en-US"/>
        </w:rPr>
        <w:t xml:space="preserve"> est très faible.  En 2015, seul</w:t>
      </w:r>
      <w:r>
        <w:rPr>
          <w:color w:val="000000"/>
          <w:lang w:eastAsia="en-US"/>
        </w:rPr>
        <w:t>s</w:t>
      </w:r>
      <w:r w:rsidRPr="00D41298">
        <w:rPr>
          <w:color w:val="000000"/>
          <w:lang w:eastAsia="en-US"/>
        </w:rPr>
        <w:t xml:space="preserve"> 2,2% des désignations des États</w:t>
      </w:r>
      <w:r w:rsidRPr="00D41298">
        <w:rPr>
          <w:color w:val="000000"/>
          <w:lang w:eastAsia="en-US"/>
        </w:rPr>
        <w:noBreakHyphen/>
        <w:t>Unis d’Amérique, 0,7% des désignations de la République de Corée et 3,1% des désignations du</w:t>
      </w:r>
      <w:r w:rsidR="007D67E1">
        <w:rPr>
          <w:color w:val="000000"/>
          <w:lang w:eastAsia="en-US"/>
        </w:rPr>
        <w:t> </w:t>
      </w:r>
      <w:r w:rsidRPr="00D41298">
        <w:rPr>
          <w:color w:val="000000"/>
          <w:lang w:eastAsia="en-US"/>
        </w:rPr>
        <w:t xml:space="preserve">Japon étaient des </w:t>
      </w:r>
      <w:proofErr w:type="spellStart"/>
      <w:r w:rsidRPr="00D41298">
        <w:rPr>
          <w:color w:val="000000"/>
          <w:lang w:eastAsia="en-US"/>
        </w:rPr>
        <w:t>autodésignations</w:t>
      </w:r>
      <w:proofErr w:type="spellEnd"/>
      <w:r w:rsidRPr="00D41298">
        <w:rPr>
          <w:color w:val="000000"/>
          <w:lang w:eastAsia="en-US"/>
        </w:rPr>
        <w:t>.  Au premier trimestre</w:t>
      </w:r>
      <w:r>
        <w:rPr>
          <w:color w:val="000000"/>
          <w:lang w:eastAsia="en-US"/>
        </w:rPr>
        <w:t> </w:t>
      </w:r>
      <w:r w:rsidRPr="00D41298">
        <w:rPr>
          <w:color w:val="000000"/>
          <w:lang w:eastAsia="en-US"/>
        </w:rPr>
        <w:t>2016, 0,9% des désignations des</w:t>
      </w:r>
      <w:r w:rsidR="007D67E1">
        <w:rPr>
          <w:color w:val="000000"/>
          <w:lang w:eastAsia="en-US"/>
        </w:rPr>
        <w:t> </w:t>
      </w:r>
      <w:r w:rsidRPr="00D41298">
        <w:rPr>
          <w:color w:val="000000"/>
          <w:lang w:eastAsia="en-US"/>
        </w:rPr>
        <w:t>États</w:t>
      </w:r>
      <w:r w:rsidRPr="00D41298">
        <w:rPr>
          <w:color w:val="000000"/>
          <w:lang w:eastAsia="en-US"/>
        </w:rPr>
        <w:noBreakHyphen/>
        <w:t xml:space="preserve">Unis d’Amérique et 3,4% des désignations du Japon étaient des </w:t>
      </w:r>
      <w:proofErr w:type="spellStart"/>
      <w:r w:rsidRPr="00D41298">
        <w:rPr>
          <w:color w:val="000000"/>
          <w:lang w:eastAsia="en-US"/>
        </w:rPr>
        <w:t>autodésignations</w:t>
      </w:r>
      <w:proofErr w:type="spellEnd"/>
      <w:r w:rsidRPr="00D41298">
        <w:rPr>
          <w:color w:val="000000"/>
          <w:lang w:eastAsia="en-US"/>
        </w:rPr>
        <w:t xml:space="preserve">, tandis qu’aucune des désignations de la République de Corée n’était une </w:t>
      </w:r>
      <w:proofErr w:type="spellStart"/>
      <w:r w:rsidRPr="00D41298">
        <w:rPr>
          <w:color w:val="000000"/>
          <w:lang w:eastAsia="en-US"/>
        </w:rPr>
        <w:t>autodésignation</w:t>
      </w:r>
      <w:proofErr w:type="spellEnd"/>
      <w:r w:rsidRPr="00D41298">
        <w:rPr>
          <w:color w:val="000000"/>
          <w:lang w:eastAsia="en-US"/>
        </w:rPr>
        <w:t>.</w:t>
      </w:r>
    </w:p>
    <w:p w:rsidR="00FD5CA3" w:rsidRPr="00D41298" w:rsidRDefault="00FD5CA3" w:rsidP="00FD5CA3">
      <w:pPr>
        <w:pStyle w:val="ONUMFS"/>
        <w:numPr>
          <w:ilvl w:val="0"/>
          <w:numId w:val="6"/>
        </w:numPr>
      </w:pPr>
      <w:r>
        <w:rPr>
          <w:color w:val="000000"/>
        </w:rPr>
        <w:t>Le pourcentage décroissant d’</w:t>
      </w:r>
      <w:proofErr w:type="spellStart"/>
      <w:r w:rsidRPr="00D41298">
        <w:rPr>
          <w:color w:val="000000"/>
        </w:rPr>
        <w:t>autodésignations</w:t>
      </w:r>
      <w:proofErr w:type="spellEnd"/>
      <w:r w:rsidRPr="00D41298">
        <w:rPr>
          <w:color w:val="000000"/>
        </w:rPr>
        <w:t xml:space="preserve"> de l’Union européenne s’explique en grande partie par l’augmentation de l’activité de dépôt chez les nouvelles parties contractantes de l’Acte de 1999, qui désignent l’Union européenne.  Par conséquent, le pourcentage d’enregistrements internationaux émanant de l’Union européenne a reculé, en particulier en ce qui concerne l’Allemagne (passant de 23,3% en 2014 à 16,3</w:t>
      </w:r>
      <w:r w:rsidR="00206FBF">
        <w:rPr>
          <w:color w:val="000000"/>
        </w:rPr>
        <w:t>%</w:t>
      </w:r>
      <w:r w:rsidRPr="00D41298">
        <w:rPr>
          <w:color w:val="000000"/>
        </w:rPr>
        <w:t xml:space="preserve"> en 2015 et à 12,6% en 2016), tandis que le pourcentage de désignations de l’Union européenne est resté stable (avec 75,7% en 2014, 74,8% en 2015 et 76,5% en 2016;  </w:t>
      </w:r>
      <w:r w:rsidR="000A076A">
        <w:rPr>
          <w:color w:val="000000"/>
        </w:rPr>
        <w:t xml:space="preserve">se référer aux </w:t>
      </w:r>
      <w:r w:rsidRPr="00D41298">
        <w:rPr>
          <w:color w:val="000000"/>
        </w:rPr>
        <w:t>paragraphes 7 à</w:t>
      </w:r>
      <w:r>
        <w:rPr>
          <w:color w:val="000000"/>
        </w:rPr>
        <w:t> </w:t>
      </w:r>
      <w:r w:rsidRPr="00D41298">
        <w:rPr>
          <w:color w:val="000000"/>
        </w:rPr>
        <w:t>9 et</w:t>
      </w:r>
      <w:r w:rsidR="000A076A">
        <w:rPr>
          <w:color w:val="000000"/>
        </w:rPr>
        <w:t> </w:t>
      </w:r>
      <w:r w:rsidRPr="00D41298">
        <w:rPr>
          <w:color w:val="000000"/>
        </w:rPr>
        <w:t>13 à</w:t>
      </w:r>
      <w:r>
        <w:rPr>
          <w:color w:val="000000"/>
        </w:rPr>
        <w:t> </w:t>
      </w:r>
      <w:r w:rsidRPr="00D41298">
        <w:rPr>
          <w:color w:val="000000"/>
        </w:rPr>
        <w:t>15 du présent document).  Inversement, le pourcentage croissant d’</w:t>
      </w:r>
      <w:proofErr w:type="spellStart"/>
      <w:r w:rsidRPr="00D41298">
        <w:rPr>
          <w:color w:val="000000"/>
        </w:rPr>
        <w:t>autodésignations</w:t>
      </w:r>
      <w:proofErr w:type="spellEnd"/>
      <w:r w:rsidRPr="00D41298">
        <w:rPr>
          <w:color w:val="000000"/>
        </w:rPr>
        <w:t xml:space="preserve"> de la</w:t>
      </w:r>
      <w:r w:rsidR="007D67E1">
        <w:rPr>
          <w:color w:val="000000"/>
        </w:rPr>
        <w:t> </w:t>
      </w:r>
      <w:r w:rsidRPr="00D41298">
        <w:rPr>
          <w:color w:val="000000"/>
        </w:rPr>
        <w:t>Suisse s’explique en partie par le nombre croissant d’enregistrements internationaux émanant de la Suisse, qui a dépassé l’Allemagne en 2015, associé au recul progressif de son pourcentage global de désignations (</w:t>
      </w:r>
      <w:r>
        <w:rPr>
          <w:color w:val="000000"/>
        </w:rPr>
        <w:t xml:space="preserve">qui est </w:t>
      </w:r>
      <w:r w:rsidRPr="00D41298">
        <w:rPr>
          <w:color w:val="000000"/>
        </w:rPr>
        <w:t>pass</w:t>
      </w:r>
      <w:r>
        <w:rPr>
          <w:color w:val="000000"/>
        </w:rPr>
        <w:t>é</w:t>
      </w:r>
      <w:r w:rsidRPr="00D41298">
        <w:rPr>
          <w:color w:val="000000"/>
        </w:rPr>
        <w:t xml:space="preserve"> de 64,4% en </w:t>
      </w:r>
      <w:r>
        <w:rPr>
          <w:color w:val="000000"/>
        </w:rPr>
        <w:t>2014</w:t>
      </w:r>
      <w:r w:rsidRPr="00D41298">
        <w:rPr>
          <w:color w:val="000000"/>
        </w:rPr>
        <w:t xml:space="preserve"> à 46,9% en 2015 et à</w:t>
      </w:r>
      <w:r w:rsidR="004675A2">
        <w:rPr>
          <w:color w:val="000000"/>
        </w:rPr>
        <w:t> </w:t>
      </w:r>
      <w:r w:rsidRPr="00D41298">
        <w:rPr>
          <w:color w:val="000000"/>
        </w:rPr>
        <w:t>44,1% en 2016).</w:t>
      </w:r>
    </w:p>
    <w:p w:rsidR="00FD5CA3" w:rsidRPr="00D41298" w:rsidRDefault="00FD5CA3" w:rsidP="00FD5CA3">
      <w:pPr>
        <w:pStyle w:val="ONUMFS"/>
        <w:numPr>
          <w:ilvl w:val="0"/>
          <w:numId w:val="6"/>
        </w:numPr>
      </w:pPr>
      <w:r w:rsidRPr="00D41298">
        <w:rPr>
          <w:color w:val="000000"/>
        </w:rPr>
        <w:t>En outre, le faible pourcentage d’</w:t>
      </w:r>
      <w:proofErr w:type="spellStart"/>
      <w:r w:rsidRPr="00D41298">
        <w:rPr>
          <w:color w:val="000000"/>
        </w:rPr>
        <w:t>autodésignations</w:t>
      </w:r>
      <w:proofErr w:type="spellEnd"/>
      <w:r w:rsidRPr="00D41298">
        <w:rPr>
          <w:color w:val="000000"/>
        </w:rPr>
        <w:t xml:space="preserve"> dans les enregistrements internationaux désignant la République de Corée peut s’expliquer par le nombre élevé de revendications de priorité d’un dépôt antérieur auprès de</w:t>
      </w:r>
      <w:r w:rsidR="00206FBF">
        <w:rPr>
          <w:color w:val="000000"/>
        </w:rPr>
        <w:t xml:space="preserve"> KIPO</w:t>
      </w:r>
      <w:r w:rsidRPr="00D41298">
        <w:rPr>
          <w:color w:val="000000"/>
        </w:rPr>
        <w:t xml:space="preserve"> dans ces enregistrements internationaux.</w:t>
      </w:r>
    </w:p>
    <w:p w:rsidR="00FD5CA3" w:rsidRPr="00D41298" w:rsidRDefault="00FD5CA3" w:rsidP="004336E0">
      <w:pPr>
        <w:pStyle w:val="Heading2"/>
        <w:keepLines/>
      </w:pPr>
      <w:r w:rsidRPr="00D41298">
        <w:lastRenderedPageBreak/>
        <w:t>“</w:t>
      </w:r>
      <w:r>
        <w:t>F</w:t>
      </w:r>
      <w:r w:rsidRPr="00D41298">
        <w:t>amilles de désignations” dans les enregistrements internationaux</w:t>
      </w:r>
    </w:p>
    <w:p w:rsidR="00FD5CA3" w:rsidRPr="00D41298" w:rsidRDefault="00FD5CA3" w:rsidP="004336E0">
      <w:pPr>
        <w:keepNext/>
        <w:keepLines/>
      </w:pPr>
    </w:p>
    <w:p w:rsidR="00FD5CA3" w:rsidRPr="00D41298" w:rsidRDefault="00FD5CA3" w:rsidP="00FD5CA3">
      <w:pPr>
        <w:pStyle w:val="ONUMFS"/>
        <w:keepNext/>
        <w:keepLines/>
        <w:numPr>
          <w:ilvl w:val="0"/>
          <w:numId w:val="6"/>
        </w:numPr>
      </w:pPr>
      <w:r w:rsidRPr="00D41298">
        <w:rPr>
          <w:color w:val="000000"/>
        </w:rPr>
        <w:t>Compte tenu de la disparition d’un épicentre dans le système de La Haye, qui se situait en Europe, au profit d’une couverture plus étendue, il pourrait être utile de s’intéresser aux “familles de désignations” récemment formées dans les enregistrements internationaux.</w:t>
      </w:r>
    </w:p>
    <w:p w:rsidR="00FD5CA3" w:rsidRPr="00D41298" w:rsidRDefault="00FD5CA3" w:rsidP="004336E0">
      <w:pPr>
        <w:pStyle w:val="ONUME"/>
        <w:numPr>
          <w:ilvl w:val="0"/>
          <w:numId w:val="0"/>
        </w:numPr>
      </w:pPr>
      <w:r w:rsidRPr="00D41298">
        <w:rPr>
          <w:noProof/>
          <w:lang w:val="en-US" w:eastAsia="en-US"/>
        </w:rPr>
        <w:drawing>
          <wp:inline distT="0" distB="0" distL="0" distR="0" wp14:anchorId="6648A139" wp14:editId="0B5DEEE3">
            <wp:extent cx="2647785" cy="2957885"/>
            <wp:effectExtent l="0" t="0" r="19685" b="13970"/>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D41298">
        <w:tab/>
      </w:r>
      <w:r w:rsidRPr="00D41298">
        <w:rPr>
          <w:noProof/>
          <w:lang w:val="en-US" w:eastAsia="en-US"/>
        </w:rPr>
        <w:drawing>
          <wp:inline distT="0" distB="0" distL="0" distR="0" wp14:anchorId="2DA23283" wp14:editId="4278A055">
            <wp:extent cx="2743200" cy="2941982"/>
            <wp:effectExtent l="0" t="0" r="19050" b="10795"/>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D5CA3" w:rsidRPr="00D41298" w:rsidRDefault="00FD5CA3" w:rsidP="00FD5CA3">
      <w:pPr>
        <w:pStyle w:val="ONUMFS"/>
        <w:numPr>
          <w:ilvl w:val="0"/>
          <w:numId w:val="6"/>
        </w:numPr>
      </w:pPr>
      <w:r w:rsidRPr="00D41298">
        <w:rPr>
          <w:color w:val="000000"/>
        </w:rPr>
        <w:t>Le premier groupe de “familles de désignations” correspond à la “famille géographique européenne”.  Les parties contractantes les plus fréquemment désignées dans ce groupe sont la Suisse, la Turquie et l’Union européenne.  En 2014, 2015 et au premier trimestre 2016, ce sont respectivement 663, 732 et 179</w:t>
      </w:r>
      <w:r>
        <w:rPr>
          <w:color w:val="000000"/>
        </w:rPr>
        <w:t> </w:t>
      </w:r>
      <w:r w:rsidRPr="00D41298">
        <w:rPr>
          <w:color w:val="000000"/>
        </w:rPr>
        <w:t>enregistrements internationaux qui contenaient des désignations de ces trois parties contractantes au moins.  Ces enregistrements internationaux contenaient</w:t>
      </w:r>
      <w:r w:rsidR="004D1393">
        <w:rPr>
          <w:color w:val="000000"/>
        </w:rPr>
        <w:t xml:space="preserve"> en moyenne, par année, 5,3, 5,1</w:t>
      </w:r>
      <w:r w:rsidRPr="00D41298">
        <w:rPr>
          <w:color w:val="000000"/>
        </w:rPr>
        <w:t xml:space="preserve"> et 4,1</w:t>
      </w:r>
      <w:r>
        <w:rPr>
          <w:color w:val="000000"/>
        </w:rPr>
        <w:t> </w:t>
      </w:r>
      <w:r w:rsidRPr="00D41298">
        <w:rPr>
          <w:color w:val="000000"/>
        </w:rPr>
        <w:t>dessins et modèles, respectivement.</w:t>
      </w:r>
    </w:p>
    <w:p w:rsidR="00FD5CA3" w:rsidRPr="00D41298" w:rsidRDefault="00FD5CA3" w:rsidP="004336E0">
      <w:pPr>
        <w:pStyle w:val="ONUME"/>
        <w:numPr>
          <w:ilvl w:val="0"/>
          <w:numId w:val="0"/>
        </w:numPr>
        <w:rPr>
          <w:lang w:eastAsia="en-US"/>
        </w:rPr>
      </w:pPr>
      <w:r w:rsidRPr="00D41298">
        <w:rPr>
          <w:noProof/>
          <w:lang w:val="en-US" w:eastAsia="en-US"/>
        </w:rPr>
        <w:drawing>
          <wp:inline distT="0" distB="0" distL="0" distR="0" wp14:anchorId="28ABC76E" wp14:editId="610E85AD">
            <wp:extent cx="3976968" cy="2857500"/>
            <wp:effectExtent l="0" t="0" r="2413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D5CA3" w:rsidRPr="00D41298" w:rsidRDefault="00FD5CA3" w:rsidP="00FD5CA3">
      <w:pPr>
        <w:pStyle w:val="ONUMFS"/>
        <w:numPr>
          <w:ilvl w:val="0"/>
          <w:numId w:val="6"/>
        </w:numPr>
        <w:rPr>
          <w:color w:val="000000"/>
        </w:rPr>
      </w:pPr>
      <w:r w:rsidRPr="00D41298">
        <w:rPr>
          <w:color w:val="000000"/>
        </w:rPr>
        <w:t>En ce qui concerne la “famille géographique européenne”, il semblerait que la grande majorité des enregistrements internationaux soient des premiers dépôts.  Le pourcentage de revendications de priorité dans cette famille est faible et stable, avec 13,3% des enregistrements internationaux contenant une revendication de priorité en 2014, 12,8% en 2015 et</w:t>
      </w:r>
      <w:r w:rsidR="007D67E1">
        <w:rPr>
          <w:color w:val="000000"/>
        </w:rPr>
        <w:t> </w:t>
      </w:r>
      <w:r w:rsidRPr="00D41298">
        <w:rPr>
          <w:color w:val="000000"/>
        </w:rPr>
        <w:t>14,5% au premier trimestre</w:t>
      </w:r>
      <w:r>
        <w:rPr>
          <w:color w:val="000000"/>
        </w:rPr>
        <w:t> </w:t>
      </w:r>
      <w:r w:rsidRPr="00D41298">
        <w:rPr>
          <w:color w:val="000000"/>
        </w:rPr>
        <w:t>2016.</w:t>
      </w:r>
    </w:p>
    <w:p w:rsidR="00FD5CA3" w:rsidRPr="00D41298" w:rsidRDefault="00FD5CA3" w:rsidP="004336E0">
      <w:pPr>
        <w:pStyle w:val="ONUME"/>
        <w:numPr>
          <w:ilvl w:val="0"/>
          <w:numId w:val="0"/>
        </w:numPr>
        <w:rPr>
          <w:lang w:eastAsia="en-US"/>
        </w:rPr>
      </w:pPr>
      <w:r w:rsidRPr="00D41298">
        <w:rPr>
          <w:noProof/>
          <w:lang w:val="en-US" w:eastAsia="en-US"/>
        </w:rPr>
        <w:lastRenderedPageBreak/>
        <w:drawing>
          <wp:inline distT="0" distB="0" distL="0" distR="0" wp14:anchorId="052B18F7" wp14:editId="61696A69">
            <wp:extent cx="2691442" cy="2907102"/>
            <wp:effectExtent l="0" t="0" r="13970" b="2667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D41298">
        <w:rPr>
          <w:lang w:eastAsia="en-US"/>
        </w:rPr>
        <w:tab/>
      </w:r>
      <w:r w:rsidRPr="00D41298">
        <w:rPr>
          <w:noProof/>
          <w:lang w:val="en-US" w:eastAsia="en-US"/>
        </w:rPr>
        <w:drawing>
          <wp:inline distT="0" distB="0" distL="0" distR="0" wp14:anchorId="24241E34" wp14:editId="18A7857D">
            <wp:extent cx="2786332" cy="2915728"/>
            <wp:effectExtent l="0" t="0" r="14605" b="18415"/>
            <wp:docPr id="259" name="Chart 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D41298">
        <w:rPr>
          <w:lang w:eastAsia="en-US"/>
        </w:rPr>
        <w:tab/>
      </w:r>
    </w:p>
    <w:p w:rsidR="00FD5CA3" w:rsidRPr="00D41298" w:rsidRDefault="00FD5CA3" w:rsidP="00FD5CA3">
      <w:pPr>
        <w:pStyle w:val="ONUMFS"/>
        <w:numPr>
          <w:ilvl w:val="0"/>
          <w:numId w:val="6"/>
        </w:numPr>
      </w:pPr>
      <w:r w:rsidRPr="00D41298">
        <w:rPr>
          <w:color w:val="000000"/>
        </w:rPr>
        <w:t>Le second groupe de “familles de désignations” correspond à la “famille américano</w:t>
      </w:r>
      <w:r w:rsidRPr="00D41298">
        <w:rPr>
          <w:color w:val="000000"/>
        </w:rPr>
        <w:noBreakHyphen/>
        <w:t>asiatique”, que l’on peut considérer comme comprenant, outre les États</w:t>
      </w:r>
      <w:r w:rsidRPr="00D41298">
        <w:rPr>
          <w:color w:val="000000"/>
        </w:rPr>
        <w:noBreakHyphen/>
        <w:t>Unis d’Amérique, le Japon et la République de Corée, d’autres pays asiatiques fréquemment désignés, tels que Singapour.  Les parties contractantes les plus fréquemment désignées dans ce groupe sont les États</w:t>
      </w:r>
      <w:r w:rsidRPr="00D41298">
        <w:rPr>
          <w:color w:val="000000"/>
        </w:rPr>
        <w:noBreakHyphen/>
        <w:t>Unis d’Amérique, le Japon et la République de Corée.  En 2015 et au premier trimestre</w:t>
      </w:r>
      <w:r>
        <w:rPr>
          <w:color w:val="000000"/>
        </w:rPr>
        <w:t> </w:t>
      </w:r>
      <w:r w:rsidRPr="00D41298">
        <w:rPr>
          <w:color w:val="000000"/>
        </w:rPr>
        <w:t>2016, ce sont respectivement 181 et 44</w:t>
      </w:r>
      <w:r>
        <w:rPr>
          <w:color w:val="000000"/>
        </w:rPr>
        <w:t> </w:t>
      </w:r>
      <w:r w:rsidRPr="00D41298">
        <w:rPr>
          <w:color w:val="000000"/>
        </w:rPr>
        <w:t>enregistrements internationaux qui contenaient des désignations de ces trois parties contractantes au moins.  Ces enregistrements internationaux contenaient en moyenne, par année, 1,8 et 1,5</w:t>
      </w:r>
      <w:r>
        <w:rPr>
          <w:color w:val="000000"/>
        </w:rPr>
        <w:t> </w:t>
      </w:r>
      <w:r w:rsidRPr="00D41298">
        <w:rPr>
          <w:color w:val="000000"/>
        </w:rPr>
        <w:t>dessins et modèles, respectivement.</w:t>
      </w:r>
    </w:p>
    <w:p w:rsidR="00FD5CA3" w:rsidRPr="00D41298" w:rsidRDefault="00FD5CA3" w:rsidP="004336E0">
      <w:pPr>
        <w:pStyle w:val="ONUME"/>
        <w:numPr>
          <w:ilvl w:val="0"/>
          <w:numId w:val="0"/>
        </w:numPr>
        <w:rPr>
          <w:lang w:eastAsia="en-US"/>
        </w:rPr>
      </w:pPr>
      <w:r w:rsidRPr="00D41298">
        <w:rPr>
          <w:noProof/>
          <w:lang w:val="en-US" w:eastAsia="en-US"/>
        </w:rPr>
        <w:drawing>
          <wp:inline distT="0" distB="0" distL="0" distR="0" wp14:anchorId="6DB8C2A8" wp14:editId="6410945A">
            <wp:extent cx="3992097" cy="2846293"/>
            <wp:effectExtent l="0" t="0" r="27940" b="11430"/>
            <wp:docPr id="301" name="Chart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D5CA3" w:rsidRPr="00D41298" w:rsidRDefault="00FD5CA3" w:rsidP="00FD5CA3">
      <w:pPr>
        <w:pStyle w:val="ONUMFS"/>
        <w:numPr>
          <w:ilvl w:val="0"/>
          <w:numId w:val="6"/>
        </w:numPr>
      </w:pPr>
      <w:r w:rsidRPr="00D41298">
        <w:rPr>
          <w:color w:val="000000"/>
        </w:rPr>
        <w:t>En 2015, en ce qui concerne la “famille américano</w:t>
      </w:r>
      <w:r w:rsidRPr="00D41298">
        <w:rPr>
          <w:color w:val="000000"/>
        </w:rPr>
        <w:noBreakHyphen/>
        <w:t>asiatique”, 60,9% des enregistrements internationaux contenaient une revendication de priorité, et au premier trimestre</w:t>
      </w:r>
      <w:r>
        <w:rPr>
          <w:color w:val="000000"/>
        </w:rPr>
        <w:t> </w:t>
      </w:r>
      <w:r w:rsidRPr="00D41298">
        <w:rPr>
          <w:color w:val="000000"/>
        </w:rPr>
        <w:t>2016, 45</w:t>
      </w:r>
      <w:r w:rsidR="004D1393">
        <w:rPr>
          <w:color w:val="000000"/>
        </w:rPr>
        <w:t>,5</w:t>
      </w:r>
      <w:r w:rsidRPr="00D41298">
        <w:rPr>
          <w:color w:val="000000"/>
        </w:rPr>
        <w:t>%.</w:t>
      </w:r>
    </w:p>
    <w:p w:rsidR="0003733E" w:rsidRDefault="0003733E">
      <w:pPr>
        <w:rPr>
          <w:bCs/>
          <w:iCs/>
          <w:caps/>
          <w:szCs w:val="28"/>
        </w:rPr>
      </w:pPr>
      <w:r>
        <w:br w:type="page"/>
      </w:r>
    </w:p>
    <w:p w:rsidR="00FD5CA3" w:rsidRPr="00D41298" w:rsidRDefault="00FD5CA3" w:rsidP="004336E0">
      <w:pPr>
        <w:pStyle w:val="Heading2"/>
      </w:pPr>
      <w:r>
        <w:lastRenderedPageBreak/>
        <w:t>Formation de n</w:t>
      </w:r>
      <w:r w:rsidRPr="00D41298">
        <w:t>ouvelles “familles de désignations”</w:t>
      </w:r>
    </w:p>
    <w:p w:rsidR="00FD5CA3" w:rsidRPr="00D41298" w:rsidRDefault="00FD5CA3" w:rsidP="004336E0"/>
    <w:p w:rsidR="00FD5CA3" w:rsidRPr="00D41298" w:rsidRDefault="00FD5CA3" w:rsidP="00FD5CA3">
      <w:pPr>
        <w:pStyle w:val="ONUMFS"/>
        <w:numPr>
          <w:ilvl w:val="0"/>
          <w:numId w:val="6"/>
        </w:numPr>
        <w:rPr>
          <w:rFonts w:eastAsia="Times New Roman"/>
          <w:lang w:eastAsia="en-US"/>
        </w:rPr>
      </w:pPr>
      <w:r w:rsidRPr="00D41298">
        <w:rPr>
          <w:color w:val="000000"/>
        </w:rPr>
        <w:t>Il se pourrait que d’autres “familles de désignations” se forment à l’avenir, comprenant par exemple au moins les trois parties contractantes susmentionnées de la “famille américano</w:t>
      </w:r>
      <w:r w:rsidRPr="00D41298">
        <w:rPr>
          <w:color w:val="000000"/>
        </w:rPr>
        <w:noBreakHyphen/>
        <w:t>asiatique” et l’Union européenne.  Il est cependant encore trop tôt pour prévoir les stratégies de dépôt des utilisateurs du système de La Haye, que l’on découvrira</w:t>
      </w:r>
      <w:r w:rsidR="00206FBF">
        <w:rPr>
          <w:color w:val="000000"/>
        </w:rPr>
        <w:t xml:space="preserve"> vraisemblablement</w:t>
      </w:r>
      <w:r w:rsidRPr="00D41298">
        <w:rPr>
          <w:color w:val="000000"/>
        </w:rPr>
        <w:t xml:space="preserve"> dans les années à venir.</w:t>
      </w:r>
    </w:p>
    <w:p w:rsidR="00FD5CA3" w:rsidRPr="00D41298" w:rsidRDefault="00FD5CA3" w:rsidP="004336E0">
      <w:pPr>
        <w:pStyle w:val="Heading1"/>
        <w:rPr>
          <w:lang w:eastAsia="en-US"/>
        </w:rPr>
      </w:pPr>
      <w:r w:rsidRPr="00D41298">
        <w:rPr>
          <w:color w:val="000000"/>
          <w:lang w:eastAsia="en-US"/>
        </w:rPr>
        <w:t>V.</w:t>
      </w:r>
      <w:r w:rsidRPr="00D41298">
        <w:rPr>
          <w:color w:val="000000"/>
          <w:lang w:eastAsia="en-US"/>
        </w:rPr>
        <w:tab/>
        <w:t>Autres considérations</w:t>
      </w:r>
    </w:p>
    <w:p w:rsidR="00FD5CA3" w:rsidRPr="00D41298" w:rsidRDefault="00FD5CA3" w:rsidP="004336E0">
      <w:pPr>
        <w:rPr>
          <w:lang w:eastAsia="en-US"/>
        </w:rPr>
      </w:pPr>
    </w:p>
    <w:p w:rsidR="00FD5CA3" w:rsidRPr="00D41298" w:rsidRDefault="00FD5CA3" w:rsidP="00FD5CA3">
      <w:pPr>
        <w:pStyle w:val="ONUMFS"/>
        <w:numPr>
          <w:ilvl w:val="0"/>
          <w:numId w:val="6"/>
        </w:numPr>
      </w:pPr>
      <w:r w:rsidRPr="00D41298">
        <w:rPr>
          <w:color w:val="000000"/>
        </w:rPr>
        <w:t>Compte tenu des adhésions récentes et futures au système de La Haye de certaines des zones de commerce les plus importantes au monde, il faudra plus de temps pour assimiler la croissance et la complexité accrue du système.</w:t>
      </w:r>
    </w:p>
    <w:p w:rsidR="00FD5CA3" w:rsidRPr="00D41298" w:rsidRDefault="00FD5CA3" w:rsidP="00FD5CA3">
      <w:pPr>
        <w:pStyle w:val="ONUMFS"/>
        <w:numPr>
          <w:ilvl w:val="0"/>
          <w:numId w:val="6"/>
        </w:numPr>
        <w:rPr>
          <w:lang w:eastAsia="en-US"/>
        </w:rPr>
      </w:pPr>
      <w:r w:rsidRPr="00D41298">
        <w:rPr>
          <w:color w:val="000000"/>
          <w:lang w:eastAsia="en-US"/>
        </w:rPr>
        <w:t xml:space="preserve">Il semblerait que, en réponse à l’expansion géographique du système de La Haye, les utilisateurs </w:t>
      </w:r>
      <w:r>
        <w:rPr>
          <w:color w:val="000000"/>
          <w:lang w:eastAsia="en-US"/>
        </w:rPr>
        <w:t>soient en train d’adopter</w:t>
      </w:r>
      <w:r w:rsidRPr="00D41298">
        <w:rPr>
          <w:color w:val="000000"/>
          <w:lang w:eastAsia="en-US"/>
        </w:rPr>
        <w:t xml:space="preserve"> différentes stratégies de dépôt, </w:t>
      </w:r>
      <w:r>
        <w:rPr>
          <w:color w:val="000000"/>
          <w:lang w:eastAsia="en-US"/>
        </w:rPr>
        <w:t>par exemple</w:t>
      </w:r>
      <w:r w:rsidRPr="00D41298">
        <w:rPr>
          <w:color w:val="000000"/>
          <w:lang w:eastAsia="en-US"/>
        </w:rPr>
        <w:t xml:space="preserve"> en utilisant la demande internationale moins comme un premier dépôt, en incluant moins de dessins et modèles dans les enregistrements internationaux ou </w:t>
      </w:r>
      <w:r>
        <w:rPr>
          <w:color w:val="000000"/>
          <w:lang w:eastAsia="en-US"/>
        </w:rPr>
        <w:t>en formant des</w:t>
      </w:r>
      <w:r w:rsidRPr="00D41298">
        <w:rPr>
          <w:color w:val="000000"/>
          <w:lang w:eastAsia="en-US"/>
        </w:rPr>
        <w:t xml:space="preserve"> familles de désignations.  Il semblerait en outre que les utilisateurs du système tiennent compte des déclarations faites par les parties contractantes, telles que la déclaration faite en vertu de l’article 13.1) de l’Acte de 1999 concernant l’unité de dessin ou modèle, au moment du dépôt des demandes internationales.</w:t>
      </w:r>
    </w:p>
    <w:p w:rsidR="00FD5CA3" w:rsidRPr="00D41298" w:rsidRDefault="00FD5CA3" w:rsidP="00FD5CA3">
      <w:pPr>
        <w:pStyle w:val="ONUMFS"/>
        <w:numPr>
          <w:ilvl w:val="0"/>
          <w:numId w:val="6"/>
        </w:numPr>
        <w:rPr>
          <w:lang w:eastAsia="en-US"/>
        </w:rPr>
      </w:pPr>
      <w:r w:rsidRPr="00D41298">
        <w:rPr>
          <w:color w:val="000000"/>
          <w:lang w:eastAsia="en-US"/>
        </w:rPr>
        <w:t xml:space="preserve">Il va de soi que, </w:t>
      </w:r>
      <w:r>
        <w:rPr>
          <w:color w:val="000000"/>
          <w:lang w:eastAsia="en-US"/>
        </w:rPr>
        <w:t>outre</w:t>
      </w:r>
      <w:r w:rsidRPr="00D41298">
        <w:rPr>
          <w:color w:val="000000"/>
          <w:lang w:eastAsia="en-US"/>
        </w:rPr>
        <w:t xml:space="preserve"> ces déclarations, la possibilité d’un refus dans une partie contractante aura une incidence sur les stratégies de dépôt des utilisateurs du système.  En particulier, l’augmentation prévue du nombre de refus émis par les </w:t>
      </w:r>
      <w:r w:rsidR="000A076A">
        <w:rPr>
          <w:color w:val="000000"/>
          <w:lang w:eastAsia="en-US"/>
        </w:rPr>
        <w:t>O</w:t>
      </w:r>
      <w:r w:rsidRPr="00D41298">
        <w:rPr>
          <w:color w:val="000000"/>
          <w:lang w:eastAsia="en-US"/>
        </w:rPr>
        <w:t>ffices procédant à un examen, ainsi que leurs motifs, seront surveillés de près par le Bureau international.  Au moment de l’établissement du présent document, le nombre de refus reçus d’</w:t>
      </w:r>
      <w:r w:rsidR="000A076A">
        <w:rPr>
          <w:color w:val="000000"/>
          <w:lang w:eastAsia="en-US"/>
        </w:rPr>
        <w:t>O</w:t>
      </w:r>
      <w:r w:rsidRPr="00D41298">
        <w:rPr>
          <w:color w:val="000000"/>
          <w:lang w:eastAsia="en-US"/>
        </w:rPr>
        <w:t>ffices procédant à un examen autres que</w:t>
      </w:r>
      <w:r w:rsidR="00206FBF">
        <w:rPr>
          <w:color w:val="000000"/>
          <w:lang w:eastAsia="en-US"/>
        </w:rPr>
        <w:t xml:space="preserve"> KIPO</w:t>
      </w:r>
      <w:r w:rsidRPr="00D41298">
        <w:rPr>
          <w:color w:val="000000"/>
          <w:lang w:eastAsia="en-US"/>
        </w:rPr>
        <w:t xml:space="preserve"> était trop faible pour </w:t>
      </w:r>
      <w:r>
        <w:rPr>
          <w:color w:val="000000"/>
          <w:lang w:eastAsia="en-US"/>
        </w:rPr>
        <w:t xml:space="preserve">pouvoir </w:t>
      </w:r>
      <w:r w:rsidRPr="00D41298">
        <w:rPr>
          <w:color w:val="000000"/>
          <w:lang w:eastAsia="en-US"/>
        </w:rPr>
        <w:t xml:space="preserve">constituer une base solide </w:t>
      </w:r>
      <w:r>
        <w:rPr>
          <w:color w:val="000000"/>
          <w:lang w:eastAsia="en-US"/>
        </w:rPr>
        <w:t xml:space="preserve">pour </w:t>
      </w:r>
      <w:r w:rsidRPr="00D41298">
        <w:rPr>
          <w:color w:val="000000"/>
          <w:lang w:eastAsia="en-US"/>
        </w:rPr>
        <w:t>analyse</w:t>
      </w:r>
      <w:r>
        <w:rPr>
          <w:color w:val="000000"/>
          <w:lang w:eastAsia="en-US"/>
        </w:rPr>
        <w:t>r l</w:t>
      </w:r>
      <w:r w:rsidRPr="00D41298">
        <w:rPr>
          <w:color w:val="000000"/>
          <w:lang w:eastAsia="en-US"/>
        </w:rPr>
        <w:t xml:space="preserve">es motifs de refus.  </w:t>
      </w:r>
      <w:r w:rsidRPr="00D41298">
        <w:rPr>
          <w:rFonts w:eastAsia="Times New Roman"/>
          <w:color w:val="000000"/>
          <w:lang w:eastAsia="en-US"/>
        </w:rPr>
        <w:t xml:space="preserve">Compte tenu du nombre croissant d’enregistrements internationaux désignant des parties contractantes dotées d’un </w:t>
      </w:r>
      <w:r w:rsidR="000A076A">
        <w:rPr>
          <w:rFonts w:eastAsia="Times New Roman"/>
          <w:color w:val="000000"/>
          <w:lang w:eastAsia="en-US"/>
        </w:rPr>
        <w:t>O</w:t>
      </w:r>
      <w:r w:rsidRPr="00D41298">
        <w:rPr>
          <w:rFonts w:eastAsia="Times New Roman"/>
          <w:color w:val="000000"/>
          <w:lang w:eastAsia="en-US"/>
        </w:rPr>
        <w:t xml:space="preserve">ffice procédant à l’examen, le nombre de refus émis par ces </w:t>
      </w:r>
      <w:r w:rsidR="000A076A">
        <w:rPr>
          <w:rFonts w:eastAsia="Times New Roman"/>
          <w:color w:val="000000"/>
          <w:lang w:eastAsia="en-US"/>
        </w:rPr>
        <w:t>O</w:t>
      </w:r>
      <w:r w:rsidRPr="00D41298">
        <w:rPr>
          <w:rFonts w:eastAsia="Times New Roman"/>
          <w:color w:val="000000"/>
          <w:lang w:eastAsia="en-US"/>
        </w:rPr>
        <w:t>ffices pourrait augmenter en proportion du nombre de désignations de ces parties contractantes.</w:t>
      </w:r>
    </w:p>
    <w:p w:rsidR="00FD5CA3" w:rsidRPr="00D41298" w:rsidRDefault="00FD5CA3" w:rsidP="00FD5CA3">
      <w:pPr>
        <w:pStyle w:val="ONUMFS"/>
        <w:numPr>
          <w:ilvl w:val="0"/>
          <w:numId w:val="6"/>
        </w:numPr>
        <w:rPr>
          <w:rFonts w:eastAsia="Times New Roman"/>
          <w:lang w:eastAsia="en-US"/>
        </w:rPr>
      </w:pPr>
      <w:r w:rsidRPr="00D41298">
        <w:rPr>
          <w:rFonts w:eastAsia="Times New Roman"/>
          <w:color w:val="000000"/>
          <w:lang w:eastAsia="en-US"/>
        </w:rPr>
        <w:t>Enfin, il faudra peut</w:t>
      </w:r>
      <w:r w:rsidRPr="00D41298">
        <w:rPr>
          <w:rFonts w:eastAsia="Times New Roman"/>
          <w:color w:val="000000"/>
          <w:lang w:eastAsia="en-US"/>
        </w:rPr>
        <w:noBreakHyphen/>
        <w:t xml:space="preserve">être plusieurs années pour que se dégagent des tendances en ce qui concerne les stratégies de dépôt dans le cadre du système de </w:t>
      </w:r>
      <w:r>
        <w:rPr>
          <w:rFonts w:eastAsia="Times New Roman"/>
          <w:color w:val="000000"/>
          <w:lang w:eastAsia="en-US"/>
        </w:rPr>
        <w:t>La Haye</w:t>
      </w:r>
      <w:r w:rsidRPr="00D41298">
        <w:rPr>
          <w:rFonts w:eastAsia="Times New Roman"/>
          <w:color w:val="000000"/>
          <w:lang w:eastAsia="en-US"/>
        </w:rPr>
        <w:t xml:space="preserve">.  Le Bureau international continuera de suivre l’évolution de ces tendances et partagera ses conclusions avec le groupe de travail lors de ses futures sessions.  </w:t>
      </w:r>
      <w:r w:rsidR="00271FA7" w:rsidRPr="00271FA7">
        <w:rPr>
          <w:rFonts w:eastAsia="Times New Roman"/>
          <w:color w:val="000000"/>
          <w:lang w:val="fr-CH" w:eastAsia="en-US"/>
        </w:rPr>
        <w:t>Il faudra encore du temps pour avoir une vue d’ensemble de la mutation du système de La Haye pour décider, en définitive, de la future direction que prendra ce système</w:t>
      </w:r>
      <w:r w:rsidRPr="00D41298">
        <w:rPr>
          <w:rFonts w:eastAsia="Times New Roman"/>
          <w:color w:val="000000"/>
          <w:lang w:eastAsia="en-US"/>
        </w:rPr>
        <w:t>.</w:t>
      </w:r>
    </w:p>
    <w:p w:rsidR="00FD5CA3" w:rsidRPr="00D41298" w:rsidRDefault="00FD5CA3" w:rsidP="00FD5CA3">
      <w:pPr>
        <w:pStyle w:val="ONUMFS"/>
        <w:numPr>
          <w:ilvl w:val="0"/>
          <w:numId w:val="6"/>
        </w:numPr>
        <w:ind w:left="5533"/>
        <w:rPr>
          <w:i/>
        </w:rPr>
      </w:pPr>
      <w:r w:rsidRPr="00D41298">
        <w:rPr>
          <w:i/>
          <w:color w:val="000000"/>
        </w:rPr>
        <w:t>Le groupe de travail est invité à prendre note des informations contenues dans le présent document et à faire part de ses observations à cet égard.</w:t>
      </w:r>
    </w:p>
    <w:p w:rsidR="00FD5CA3" w:rsidRPr="00D41298" w:rsidRDefault="00FD5CA3" w:rsidP="004336E0"/>
    <w:p w:rsidR="00FD5CA3" w:rsidRPr="00D41298" w:rsidRDefault="00FD5CA3" w:rsidP="004336E0"/>
    <w:p w:rsidR="00FD5CA3" w:rsidRPr="00D41298" w:rsidRDefault="00FD5CA3" w:rsidP="004336E0">
      <w:pPr>
        <w:pStyle w:val="Endofdocument-Annex"/>
        <w:rPr>
          <w:lang w:val="fr-FR"/>
        </w:rPr>
      </w:pPr>
      <w:r w:rsidRPr="00D41298">
        <w:rPr>
          <w:lang w:val="fr-FR"/>
        </w:rPr>
        <w:t>[Fin du document]</w:t>
      </w:r>
    </w:p>
    <w:sectPr w:rsidR="00FD5CA3" w:rsidRPr="00D41298" w:rsidSect="0027441B">
      <w:headerReference w:type="default" r:id="rId29"/>
      <w:footerReference w:type="first" r:id="rId30"/>
      <w:endnotePr>
        <w:numFmt w:val="decimal"/>
      </w:endnotePr>
      <w:pgSz w:w="11907" w:h="16840" w:code="9"/>
      <w:pgMar w:top="567" w:right="1134" w:bottom="1135" w:left="1418" w:header="510" w:footer="102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4972" w:rsidRDefault="006C4972">
      <w:r>
        <w:separator/>
      </w:r>
    </w:p>
  </w:endnote>
  <w:endnote w:type="continuationSeparator" w:id="0">
    <w:p w:rsidR="006C4972" w:rsidRDefault="006C4972" w:rsidP="003B38C1">
      <w:r>
        <w:separator/>
      </w:r>
    </w:p>
    <w:p w:rsidR="006C4972" w:rsidRPr="00B6535C" w:rsidRDefault="006C4972" w:rsidP="003B38C1">
      <w:pPr>
        <w:spacing w:after="60"/>
        <w:rPr>
          <w:sz w:val="17"/>
          <w:lang w:val="en-US"/>
        </w:rPr>
      </w:pPr>
      <w:r w:rsidRPr="00B6535C">
        <w:rPr>
          <w:sz w:val="17"/>
          <w:lang w:val="en-US"/>
        </w:rPr>
        <w:t>[Endnote continued from previous page]</w:t>
      </w:r>
    </w:p>
  </w:endnote>
  <w:endnote w:type="continuationNotice" w:id="1">
    <w:p w:rsidR="006C4972" w:rsidRPr="00B6535C" w:rsidRDefault="006C4972" w:rsidP="003B38C1">
      <w:pPr>
        <w:spacing w:before="60"/>
        <w:jc w:val="right"/>
        <w:rPr>
          <w:sz w:val="17"/>
          <w:szCs w:val="17"/>
          <w:lang w:val="en-US"/>
        </w:rPr>
      </w:pPr>
      <w:r w:rsidRPr="00B6535C">
        <w:rPr>
          <w:sz w:val="17"/>
          <w:szCs w:val="17"/>
          <w:lang w:val="en-US"/>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41B" w:rsidRPr="0027441B" w:rsidRDefault="0027441B" w:rsidP="0027441B">
    <w:pPr>
      <w:pStyle w:val="Footer"/>
      <w:tabs>
        <w:tab w:val="clear" w:pos="4320"/>
        <w:tab w:val="clear" w:pos="8640"/>
        <w:tab w:val="right" w:pos="8504"/>
      </w:tabs>
      <w:jc w:val="center"/>
      <w:rPr>
        <w:rFonts w:ascii="Times New Roman" w:hAnsi="Times New Roman" w:cs="Times New Roman"/>
        <w:b/>
        <w:sz w:val="24"/>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4972" w:rsidRDefault="006C4972">
      <w:r>
        <w:separator/>
      </w:r>
    </w:p>
  </w:footnote>
  <w:footnote w:type="continuationSeparator" w:id="0">
    <w:p w:rsidR="006C4972" w:rsidRDefault="006C4972" w:rsidP="008B60B2">
      <w:r>
        <w:separator/>
      </w:r>
    </w:p>
    <w:p w:rsidR="006C4972" w:rsidRPr="00B6535C" w:rsidRDefault="006C4972" w:rsidP="008B60B2">
      <w:pPr>
        <w:spacing w:after="60"/>
        <w:rPr>
          <w:sz w:val="17"/>
          <w:szCs w:val="17"/>
          <w:lang w:val="en-US"/>
        </w:rPr>
      </w:pPr>
      <w:r w:rsidRPr="00B6535C">
        <w:rPr>
          <w:sz w:val="17"/>
          <w:szCs w:val="17"/>
          <w:lang w:val="en-US"/>
        </w:rPr>
        <w:t>[Footnote continued from previous page]</w:t>
      </w:r>
    </w:p>
  </w:footnote>
  <w:footnote w:type="continuationNotice" w:id="1">
    <w:p w:rsidR="006C4972" w:rsidRPr="00B6535C" w:rsidRDefault="006C4972" w:rsidP="008B60B2">
      <w:pPr>
        <w:spacing w:before="60"/>
        <w:jc w:val="right"/>
        <w:rPr>
          <w:sz w:val="17"/>
          <w:szCs w:val="17"/>
          <w:lang w:val="en-US"/>
        </w:rPr>
      </w:pPr>
      <w:r w:rsidRPr="00B6535C">
        <w:rPr>
          <w:sz w:val="17"/>
          <w:szCs w:val="17"/>
          <w:lang w:val="en-US"/>
        </w:rPr>
        <w:t>[Footnote continued on next page]</w:t>
      </w:r>
    </w:p>
  </w:footnote>
  <w:footnote w:id="2">
    <w:p w:rsidR="008B11DD" w:rsidRPr="001E42EE" w:rsidRDefault="008B11DD" w:rsidP="00641DEF">
      <w:pPr>
        <w:pStyle w:val="FootnoteText"/>
      </w:pPr>
      <w:r w:rsidRPr="001E42EE">
        <w:rPr>
          <w:rStyle w:val="FootnoteReference"/>
        </w:rPr>
        <w:footnoteRef/>
      </w:r>
      <w:r w:rsidRPr="001E42EE">
        <w:tab/>
      </w:r>
      <w:r w:rsidR="000A076A">
        <w:t>Se référer à</w:t>
      </w:r>
      <w:r w:rsidR="00C30524" w:rsidRPr="00CB27A3">
        <w:t xml:space="preserve"> </w:t>
      </w:r>
      <w:hyperlink r:id="rId1" w:history="1">
        <w:r w:rsidR="00CB27A3" w:rsidRPr="00CB27A3">
          <w:rPr>
            <w:rStyle w:val="Hyperlink"/>
            <w:color w:val="auto"/>
            <w:u w:val="none"/>
          </w:rPr>
          <w:t>http://www.wipo.int/hague/fr/statistics/index.jsp</w:t>
        </w:r>
      </w:hyperlink>
      <w:r w:rsidRPr="00CB27A3">
        <w:rPr>
          <w:rStyle w:val="Hyperlink"/>
          <w:color w:val="auto"/>
          <w:u w:val="none"/>
        </w:rPr>
        <w:t>.</w:t>
      </w:r>
    </w:p>
  </w:footnote>
  <w:footnote w:id="3">
    <w:p w:rsidR="008B11DD" w:rsidRPr="001E42EE" w:rsidRDefault="008B11DD" w:rsidP="00641DEF">
      <w:pPr>
        <w:pStyle w:val="FootnoteText"/>
      </w:pPr>
      <w:r w:rsidRPr="001E42EE">
        <w:rPr>
          <w:rStyle w:val="FootnoteReference"/>
        </w:rPr>
        <w:footnoteRef/>
      </w:r>
      <w:r w:rsidRPr="001E42EE">
        <w:tab/>
      </w:r>
      <w:r w:rsidR="00C30524" w:rsidRPr="001E42EE">
        <w:t>Les données utilisées dans le présent document ont été extraites au début du mois d</w:t>
      </w:r>
      <w:r w:rsidR="00D01B67">
        <w:t>’</w:t>
      </w:r>
      <w:r w:rsidR="00D01B67" w:rsidRPr="001E42EE">
        <w:t>avril</w:t>
      </w:r>
      <w:r w:rsidR="00D01B67">
        <w:t> </w:t>
      </w:r>
      <w:r w:rsidR="00D01B67" w:rsidRPr="001E42EE">
        <w:t>20</w:t>
      </w:r>
      <w:r w:rsidR="00C30524" w:rsidRPr="001E42EE">
        <w:t>16.</w:t>
      </w:r>
      <w:r w:rsidR="004C7397" w:rsidRPr="004C7397">
        <w:t xml:space="preserve"> </w:t>
      </w:r>
      <w:r w:rsidR="00C30524" w:rsidRPr="001E42EE">
        <w:t xml:space="preserve"> Par conséquent, le nombre total définitif </w:t>
      </w:r>
      <w:r w:rsidR="0061595D">
        <w:t>d</w:t>
      </w:r>
      <w:r w:rsidR="00D01B67">
        <w:t>’</w:t>
      </w:r>
      <w:r w:rsidR="00326608" w:rsidRPr="001E42EE">
        <w:t>enregistrements internationaux</w:t>
      </w:r>
      <w:r w:rsidRPr="001E42EE">
        <w:t xml:space="preserve"> </w:t>
      </w:r>
      <w:r w:rsidR="0061595D">
        <w:t xml:space="preserve">dont </w:t>
      </w:r>
      <w:r w:rsidR="00F46425">
        <w:t>la date d</w:t>
      </w:r>
      <w:r w:rsidR="00D01B67">
        <w:t>’</w:t>
      </w:r>
      <w:r w:rsidR="00017589" w:rsidRPr="001E42EE">
        <w:t xml:space="preserve">enregistrement </w:t>
      </w:r>
      <w:r w:rsidR="00F46425">
        <w:t xml:space="preserve">international </w:t>
      </w:r>
      <w:r w:rsidR="00017589" w:rsidRPr="001E42EE">
        <w:t>se situe au premier trimestre de</w:t>
      </w:r>
      <w:r w:rsidR="004C7397">
        <w:t> </w:t>
      </w:r>
      <w:r w:rsidR="00017589" w:rsidRPr="001E42EE">
        <w:t xml:space="preserve">2016 </w:t>
      </w:r>
      <w:r w:rsidR="00F46425">
        <w:t xml:space="preserve">sera plus élevé </w:t>
      </w:r>
      <w:r w:rsidR="00017589" w:rsidRPr="001E42EE">
        <w:t>car de</w:t>
      </w:r>
      <w:r w:rsidR="00F46425">
        <w:t>s</w:t>
      </w:r>
      <w:r w:rsidR="00017589" w:rsidRPr="001E42EE">
        <w:t xml:space="preserve"> demandes d</w:t>
      </w:r>
      <w:r w:rsidR="00D01B67">
        <w:t>’</w:t>
      </w:r>
      <w:r w:rsidR="00017589" w:rsidRPr="001E42EE">
        <w:t>enregistrement international déposées durant cette période et toujours en instance au 3</w:t>
      </w:r>
      <w:r w:rsidR="00D01B67" w:rsidRPr="001E42EE">
        <w:t>1</w:t>
      </w:r>
      <w:r w:rsidR="00D01B67">
        <w:t> </w:t>
      </w:r>
      <w:r w:rsidR="00D01B67" w:rsidRPr="001E42EE">
        <w:t>mars</w:t>
      </w:r>
      <w:r w:rsidR="00D01B67">
        <w:t> </w:t>
      </w:r>
      <w:r w:rsidR="00D01B67" w:rsidRPr="001E42EE">
        <w:t>20</w:t>
      </w:r>
      <w:r w:rsidR="00017589" w:rsidRPr="001E42EE">
        <w:t xml:space="preserve">16 </w:t>
      </w:r>
      <w:r w:rsidR="0061595D">
        <w:t xml:space="preserve">vont devenir des </w:t>
      </w:r>
      <w:r w:rsidR="00017589" w:rsidRPr="001E42EE">
        <w:t>enregistrements.</w:t>
      </w:r>
    </w:p>
  </w:footnote>
  <w:footnote w:id="4">
    <w:p w:rsidR="008B11DD" w:rsidRPr="001E42EE" w:rsidRDefault="008B11DD" w:rsidP="00641DEF">
      <w:pPr>
        <w:pStyle w:val="FootnoteText"/>
        <w:rPr>
          <w:lang w:val="fr-CH"/>
        </w:rPr>
      </w:pPr>
      <w:r w:rsidRPr="001E42EE">
        <w:rPr>
          <w:rStyle w:val="FootnoteReference"/>
        </w:rPr>
        <w:footnoteRef/>
      </w:r>
      <w:r w:rsidRPr="001E42EE">
        <w:rPr>
          <w:lang w:val="fr-CH"/>
        </w:rPr>
        <w:tab/>
      </w:r>
      <w:r w:rsidR="00B032A3" w:rsidRPr="001E42EE">
        <w:rPr>
          <w:lang w:val="fr-CH"/>
        </w:rPr>
        <w:t>Mentionnons également que, durant le premier trimestre de</w:t>
      </w:r>
      <w:r w:rsidR="004C7397">
        <w:rPr>
          <w:lang w:val="fr-CH"/>
        </w:rPr>
        <w:t> </w:t>
      </w:r>
      <w:r w:rsidRPr="001E42EE">
        <w:t>2016, 1130 </w:t>
      </w:r>
      <w:r w:rsidR="00B032A3" w:rsidRPr="001E42EE">
        <w:t>enregistrements internationaux</w:t>
      </w:r>
      <w:r w:rsidR="009A071C" w:rsidRPr="001E42EE">
        <w:t xml:space="preserve"> ont déjà été inscrits au registre international mais que la date d</w:t>
      </w:r>
      <w:r w:rsidR="00D01B67">
        <w:t>’</w:t>
      </w:r>
      <w:r w:rsidR="009A071C" w:rsidRPr="001E42EE">
        <w:t>enregistrement international (c</w:t>
      </w:r>
      <w:r w:rsidR="00D01B67">
        <w:t>’</w:t>
      </w:r>
      <w:r w:rsidR="009A071C" w:rsidRPr="001E42EE">
        <w:t>est</w:t>
      </w:r>
      <w:r w:rsidR="00D01B67">
        <w:rPr>
          <w:szCs w:val="22"/>
        </w:rPr>
        <w:t>-</w:t>
      </w:r>
      <w:r w:rsidR="009A071C" w:rsidRPr="001E42EE">
        <w:rPr>
          <w:szCs w:val="22"/>
        </w:rPr>
        <w:t>à</w:t>
      </w:r>
      <w:r w:rsidR="00D01B67">
        <w:rPr>
          <w:szCs w:val="22"/>
        </w:rPr>
        <w:t>-</w:t>
      </w:r>
      <w:r w:rsidR="009A071C" w:rsidRPr="001E42EE">
        <w:rPr>
          <w:szCs w:val="22"/>
        </w:rPr>
        <w:t>dire, pour la plupart, la date de dépôt</w:t>
      </w:r>
      <w:r w:rsidR="009A071C" w:rsidRPr="001E42EE">
        <w:t>) est en</w:t>
      </w:r>
      <w:r w:rsidRPr="001E42EE">
        <w:t> 2015</w:t>
      </w:r>
      <w:r w:rsidR="0061595D" w:rsidRPr="0061595D">
        <w:t xml:space="preserve"> </w:t>
      </w:r>
      <w:r w:rsidR="0061595D">
        <w:t xml:space="preserve">pour </w:t>
      </w:r>
      <w:r w:rsidR="0061595D" w:rsidRPr="001E42EE">
        <w:t>378 d</w:t>
      </w:r>
      <w:r w:rsidR="00D01B67">
        <w:t>’</w:t>
      </w:r>
      <w:r w:rsidR="0061595D" w:rsidRPr="001E42EE">
        <w:t>entre eux</w:t>
      </w:r>
      <w:r w:rsidRPr="001E42EE">
        <w:t>.</w:t>
      </w:r>
    </w:p>
  </w:footnote>
  <w:footnote w:id="5">
    <w:p w:rsidR="0044274B" w:rsidRPr="001E42EE" w:rsidRDefault="0044274B" w:rsidP="00641DEF">
      <w:pPr>
        <w:pStyle w:val="FootnoteText"/>
        <w:rPr>
          <w:lang w:val="fr-CH"/>
        </w:rPr>
      </w:pPr>
      <w:r w:rsidRPr="001E42EE">
        <w:rPr>
          <w:rStyle w:val="FootnoteReference"/>
        </w:rPr>
        <w:footnoteRef/>
      </w:r>
      <w:r w:rsidRPr="001E42EE">
        <w:rPr>
          <w:lang w:val="fr-CH"/>
        </w:rPr>
        <w:tab/>
        <w:t>Il convient de noter qu</w:t>
      </w:r>
      <w:r w:rsidR="0008493C">
        <w:rPr>
          <w:lang w:val="fr-CH"/>
        </w:rPr>
        <w:t xml:space="preserve">e, </w:t>
      </w:r>
      <w:r w:rsidRPr="001E42EE">
        <w:rPr>
          <w:lang w:val="fr-CH"/>
        </w:rPr>
        <w:t>au premier</w:t>
      </w:r>
      <w:r w:rsidR="00C911A8">
        <w:rPr>
          <w:lang w:val="fr-CH"/>
        </w:rPr>
        <w:t> </w:t>
      </w:r>
      <w:r w:rsidRPr="001E42EE">
        <w:rPr>
          <w:lang w:val="fr-CH"/>
        </w:rPr>
        <w:t>trimestre de</w:t>
      </w:r>
      <w:r w:rsidR="004C7397">
        <w:rPr>
          <w:lang w:val="fr-CH"/>
        </w:rPr>
        <w:t> </w:t>
      </w:r>
      <w:r w:rsidRPr="001E42EE">
        <w:rPr>
          <w:lang w:val="fr-CH"/>
        </w:rPr>
        <w:t xml:space="preserve">2016, sur </w:t>
      </w:r>
      <w:r w:rsidR="00EF33DA">
        <w:rPr>
          <w:lang w:val="fr-CH"/>
        </w:rPr>
        <w:t>un</w:t>
      </w:r>
      <w:r w:rsidRPr="001E42EE">
        <w:rPr>
          <w:lang w:val="fr-CH"/>
        </w:rPr>
        <w:t xml:space="preserve"> total de</w:t>
      </w:r>
      <w:r w:rsidR="004C7397">
        <w:rPr>
          <w:lang w:val="fr-CH"/>
        </w:rPr>
        <w:t> </w:t>
      </w:r>
      <w:r w:rsidR="002F3B08">
        <w:rPr>
          <w:lang w:val="fr-CH"/>
        </w:rPr>
        <w:t>1451 </w:t>
      </w:r>
      <w:r w:rsidRPr="001E42EE">
        <w:rPr>
          <w:lang w:val="fr-CH"/>
        </w:rPr>
        <w:t>demandes internationales</w:t>
      </w:r>
      <w:r w:rsidR="00AC29A1" w:rsidRPr="001E42EE">
        <w:rPr>
          <w:lang w:val="fr-CH"/>
        </w:rPr>
        <w:t xml:space="preserve"> déposées, les pri</w:t>
      </w:r>
      <w:r w:rsidRPr="001E42EE">
        <w:rPr>
          <w:lang w:val="fr-CH"/>
        </w:rPr>
        <w:t>n</w:t>
      </w:r>
      <w:r w:rsidR="00AC29A1" w:rsidRPr="001E42EE">
        <w:rPr>
          <w:lang w:val="fr-CH"/>
        </w:rPr>
        <w:t>c</w:t>
      </w:r>
      <w:r w:rsidRPr="001E42EE">
        <w:rPr>
          <w:lang w:val="fr-CH"/>
        </w:rPr>
        <w:t>ipaux pays d</w:t>
      </w:r>
      <w:r w:rsidR="00D01B67">
        <w:rPr>
          <w:lang w:val="fr-CH"/>
        </w:rPr>
        <w:t>’</w:t>
      </w:r>
      <w:r w:rsidRPr="001E42EE">
        <w:rPr>
          <w:lang w:val="fr-CH"/>
        </w:rPr>
        <w:t>origine étaient la République de</w:t>
      </w:r>
      <w:r w:rsidR="00BE1211">
        <w:rPr>
          <w:lang w:val="fr-CH"/>
        </w:rPr>
        <w:t> </w:t>
      </w:r>
      <w:r w:rsidRPr="001E42EE">
        <w:rPr>
          <w:lang w:val="fr-CH"/>
        </w:rPr>
        <w:t>Corée (299), la Suisse (200), l</w:t>
      </w:r>
      <w:r w:rsidR="00D01B67">
        <w:rPr>
          <w:lang w:val="fr-CH"/>
        </w:rPr>
        <w:t>’</w:t>
      </w:r>
      <w:r w:rsidRPr="001E42EE">
        <w:rPr>
          <w:lang w:val="fr-CH"/>
        </w:rPr>
        <w:t>Allemagne (177), les</w:t>
      </w:r>
      <w:r w:rsidR="00BE1211">
        <w:rPr>
          <w:lang w:val="fr-CH"/>
        </w:rPr>
        <w:t> </w:t>
      </w:r>
      <w:r w:rsidRPr="001E42EE">
        <w:rPr>
          <w:lang w:val="fr-CH"/>
        </w:rPr>
        <w:t>États</w:t>
      </w:r>
      <w:r w:rsidR="00C911A8">
        <w:rPr>
          <w:lang w:val="fr-CH"/>
        </w:rPr>
        <w:noBreakHyphen/>
      </w:r>
      <w:r w:rsidRPr="001E42EE">
        <w:rPr>
          <w:lang w:val="fr-CH"/>
        </w:rPr>
        <w:t>Unis d</w:t>
      </w:r>
      <w:r w:rsidR="00D01B67">
        <w:rPr>
          <w:lang w:val="fr-CH"/>
        </w:rPr>
        <w:t>’</w:t>
      </w:r>
      <w:r w:rsidRPr="001E42EE">
        <w:rPr>
          <w:lang w:val="fr-CH"/>
        </w:rPr>
        <w:t>Amérique (118), la France (113), le Japon (73), les Pays</w:t>
      </w:r>
      <w:r w:rsidR="00C911A8">
        <w:rPr>
          <w:lang w:val="fr-CH"/>
        </w:rPr>
        <w:noBreakHyphen/>
      </w:r>
      <w:r w:rsidRPr="001E42EE">
        <w:rPr>
          <w:lang w:val="fr-CH"/>
        </w:rPr>
        <w:t>Bas (65), l</w:t>
      </w:r>
      <w:r w:rsidR="00D01B67">
        <w:rPr>
          <w:lang w:val="fr-CH"/>
        </w:rPr>
        <w:t>’</w:t>
      </w:r>
      <w:r w:rsidRPr="001E42EE">
        <w:rPr>
          <w:lang w:val="fr-CH"/>
        </w:rPr>
        <w:t>Italie (64), le Royaume</w:t>
      </w:r>
      <w:r w:rsidR="00C911A8">
        <w:rPr>
          <w:lang w:val="fr-CH"/>
        </w:rPr>
        <w:noBreakHyphen/>
      </w:r>
      <w:r w:rsidRPr="001E42EE">
        <w:rPr>
          <w:lang w:val="fr-CH"/>
        </w:rPr>
        <w:t>Uni (39) et la</w:t>
      </w:r>
      <w:r w:rsidR="00BE1211">
        <w:rPr>
          <w:lang w:val="fr-CH"/>
        </w:rPr>
        <w:t> </w:t>
      </w:r>
      <w:r w:rsidRPr="001E42EE">
        <w:rPr>
          <w:lang w:val="fr-CH"/>
        </w:rPr>
        <w:t>Turquie (36).</w:t>
      </w:r>
    </w:p>
  </w:footnote>
  <w:footnote w:id="6">
    <w:p w:rsidR="00FD5CA3" w:rsidRPr="0095444F" w:rsidRDefault="00FD5CA3" w:rsidP="00641DEF">
      <w:pPr>
        <w:pStyle w:val="FootnoteText"/>
      </w:pPr>
      <w:r>
        <w:rPr>
          <w:rStyle w:val="FootnoteReference"/>
        </w:rPr>
        <w:footnoteRef/>
      </w:r>
      <w:r>
        <w:tab/>
        <w:t>En ce qui concerne les demandes internationales déposées au cours du premier trimestre de</w:t>
      </w:r>
      <w:r w:rsidR="00BE1211">
        <w:t> </w:t>
      </w:r>
      <w:r>
        <w:t xml:space="preserve">2016, pour un total de </w:t>
      </w:r>
      <w:r w:rsidRPr="00075663">
        <w:t>5141</w:t>
      </w:r>
      <w:r>
        <w:t> dessins ou modèles dans les demandes internationales déposées, les principaux pays d’origine étaient l’Allemagne (914),</w:t>
      </w:r>
      <w:r w:rsidRPr="00B44FC3">
        <w:t xml:space="preserve"> </w:t>
      </w:r>
      <w:r>
        <w:t xml:space="preserve">la Suisse (822), les </w:t>
      </w:r>
      <w:r w:rsidRPr="00793FCA">
        <w:t>États</w:t>
      </w:r>
      <w:r>
        <w:noBreakHyphen/>
      </w:r>
      <w:r w:rsidRPr="00793FCA">
        <w:t>Unis d’Amérique</w:t>
      </w:r>
      <w:r>
        <w:t xml:space="preserve"> (453), les Pays</w:t>
      </w:r>
      <w:r>
        <w:noBreakHyphen/>
        <w:t>Bas (436),</w:t>
      </w:r>
      <w:r w:rsidRPr="00B44FC3">
        <w:t xml:space="preserve"> </w:t>
      </w:r>
      <w:r>
        <w:t>la République de</w:t>
      </w:r>
      <w:r w:rsidR="00BE1211">
        <w:t> </w:t>
      </w:r>
      <w:r>
        <w:t>Corée</w:t>
      </w:r>
      <w:r w:rsidR="00BE1211">
        <w:t> </w:t>
      </w:r>
      <w:r>
        <w:t>(393), la France (341), l’Italie (255),</w:t>
      </w:r>
      <w:r w:rsidRPr="00B44FC3">
        <w:t xml:space="preserve"> </w:t>
      </w:r>
      <w:r>
        <w:t>le Japon (176), la Turquie (156) et l’Autriche (143).</w:t>
      </w:r>
    </w:p>
  </w:footnote>
  <w:footnote w:id="7">
    <w:p w:rsidR="00FD5CA3" w:rsidRPr="0086527E" w:rsidRDefault="00FD5CA3" w:rsidP="00641DEF">
      <w:pPr>
        <w:pStyle w:val="FootnoteText"/>
      </w:pPr>
      <w:r>
        <w:rPr>
          <w:rStyle w:val="FootnoteReference"/>
        </w:rPr>
        <w:footnoteRef/>
      </w:r>
      <w:r>
        <w:tab/>
        <w:t>Parmi les nouvelles parties contractantes du système de La Haye, tant le Japon que les</w:t>
      </w:r>
      <w:r w:rsidR="00AD60F6">
        <w:t> </w:t>
      </w:r>
      <w:r>
        <w:t>États</w:t>
      </w:r>
      <w:r>
        <w:noBreakHyphen/>
        <w:t>Unis d’Amérique ont fait une déclaration concernant l’</w:t>
      </w:r>
      <w:r w:rsidRPr="00B7403C">
        <w:rPr>
          <w:noProof/>
        </w:rPr>
        <w:t>“unit</w:t>
      </w:r>
      <w:r>
        <w:rPr>
          <w:noProof/>
        </w:rPr>
        <w:t>é de dessin ou modèle</w:t>
      </w:r>
      <w:r w:rsidRPr="00B7403C">
        <w:rPr>
          <w:noProof/>
        </w:rPr>
        <w:t xml:space="preserve">” </w:t>
      </w:r>
      <w:r>
        <w:rPr>
          <w:noProof/>
        </w:rPr>
        <w:t>au titre de l’a</w:t>
      </w:r>
      <w:r w:rsidRPr="00B7403C">
        <w:rPr>
          <w:noProof/>
        </w:rPr>
        <w:t>rticle</w:t>
      </w:r>
      <w:r>
        <w:rPr>
          <w:noProof/>
        </w:rPr>
        <w:t> </w:t>
      </w:r>
      <w:r w:rsidRPr="00B7403C">
        <w:rPr>
          <w:noProof/>
        </w:rPr>
        <w:t>13</w:t>
      </w:r>
      <w:r>
        <w:rPr>
          <w:noProof/>
        </w:rPr>
        <w:t>.</w:t>
      </w:r>
      <w:r w:rsidRPr="00B7403C">
        <w:rPr>
          <w:noProof/>
        </w:rPr>
        <w:t xml:space="preserve">1) </w:t>
      </w:r>
      <w:r>
        <w:rPr>
          <w:noProof/>
        </w:rPr>
        <w:t>de l’Acte de</w:t>
      </w:r>
      <w:r w:rsidR="000A076A">
        <w:rPr>
          <w:noProof/>
        </w:rPr>
        <w:t> </w:t>
      </w:r>
      <w:r w:rsidRPr="00B7403C">
        <w:rPr>
          <w:noProof/>
        </w:rPr>
        <w:t xml:space="preserve">1999.  </w:t>
      </w:r>
      <w:r>
        <w:rPr>
          <w:noProof/>
        </w:rPr>
        <w:t xml:space="preserve">Toutefois, le </w:t>
      </w:r>
      <w:r w:rsidRPr="00B7403C">
        <w:rPr>
          <w:noProof/>
        </w:rPr>
        <w:t>Jap</w:t>
      </w:r>
      <w:r>
        <w:rPr>
          <w:noProof/>
        </w:rPr>
        <w:t>o</w:t>
      </w:r>
      <w:r w:rsidRPr="00B7403C">
        <w:rPr>
          <w:noProof/>
        </w:rPr>
        <w:t>n a</w:t>
      </w:r>
      <w:r>
        <w:rPr>
          <w:noProof/>
        </w:rPr>
        <w:t xml:space="preserve"> indiqué au Bureau international que l’Office des brevet</w:t>
      </w:r>
      <w:r w:rsidRPr="00B7403C">
        <w:rPr>
          <w:noProof/>
        </w:rPr>
        <w:t xml:space="preserve">s </w:t>
      </w:r>
      <w:r>
        <w:rPr>
          <w:noProof/>
        </w:rPr>
        <w:t xml:space="preserve">du Japon </w:t>
      </w:r>
      <w:r w:rsidRPr="00B7403C">
        <w:rPr>
          <w:noProof/>
        </w:rPr>
        <w:t xml:space="preserve">(JPO) </w:t>
      </w:r>
      <w:r>
        <w:rPr>
          <w:noProof/>
        </w:rPr>
        <w:t>n’émettrait pas de refus conformément à l’article </w:t>
      </w:r>
      <w:r w:rsidRPr="00B7403C">
        <w:rPr>
          <w:noProof/>
        </w:rPr>
        <w:t>13</w:t>
      </w:r>
      <w:r>
        <w:rPr>
          <w:noProof/>
        </w:rPr>
        <w:t>.</w:t>
      </w:r>
      <w:r w:rsidRPr="00B7403C">
        <w:rPr>
          <w:noProof/>
        </w:rPr>
        <w:t xml:space="preserve">2) </w:t>
      </w:r>
      <w:r>
        <w:rPr>
          <w:noProof/>
        </w:rPr>
        <w:t xml:space="preserve">de l’Acte de </w:t>
      </w:r>
      <w:r w:rsidRPr="00B7403C">
        <w:rPr>
          <w:noProof/>
        </w:rPr>
        <w:t>1999</w:t>
      </w:r>
      <w:r>
        <w:rPr>
          <w:noProof/>
        </w:rPr>
        <w:t>, mais procéderait à une division, uniquement au niveau de l’</w:t>
      </w:r>
      <w:r w:rsidR="000A076A">
        <w:rPr>
          <w:noProof/>
        </w:rPr>
        <w:t>O</w:t>
      </w:r>
      <w:r>
        <w:rPr>
          <w:noProof/>
        </w:rPr>
        <w:t>ffice, d’un enregistrement international contenant plusieurs dessins ou m</w:t>
      </w:r>
      <w:r w:rsidR="004675A2">
        <w:rPr>
          <w:noProof/>
        </w:rPr>
        <w:t>odèles aux fins de son examen.</w:t>
      </w:r>
    </w:p>
  </w:footnote>
  <w:footnote w:id="8">
    <w:p w:rsidR="00FD5CA3" w:rsidRPr="00630EE7" w:rsidRDefault="00FD5CA3" w:rsidP="00641DEF">
      <w:pPr>
        <w:pStyle w:val="FootnoteText"/>
      </w:pPr>
      <w:r>
        <w:rPr>
          <w:rStyle w:val="FootnoteReference"/>
        </w:rPr>
        <w:footnoteRef/>
      </w:r>
      <w:r>
        <w:tab/>
      </w:r>
      <w:r w:rsidRPr="00B7403C">
        <w:rPr>
          <w:noProof/>
        </w:rPr>
        <w:t>I</w:t>
      </w:r>
      <w:r>
        <w:rPr>
          <w:noProof/>
        </w:rPr>
        <w:t>l convient de noter que, conformément à l’a</w:t>
      </w:r>
      <w:r w:rsidRPr="00B7403C">
        <w:rPr>
          <w:noProof/>
        </w:rPr>
        <w:t>rticle</w:t>
      </w:r>
      <w:r>
        <w:rPr>
          <w:noProof/>
        </w:rPr>
        <w:t> </w:t>
      </w:r>
      <w:r w:rsidRPr="00B7403C">
        <w:rPr>
          <w:noProof/>
        </w:rPr>
        <w:t>13</w:t>
      </w:r>
      <w:r>
        <w:rPr>
          <w:noProof/>
        </w:rPr>
        <w:t>.</w:t>
      </w:r>
      <w:r w:rsidRPr="00B7403C">
        <w:rPr>
          <w:noProof/>
        </w:rPr>
        <w:t xml:space="preserve">1) </w:t>
      </w:r>
      <w:r>
        <w:rPr>
          <w:noProof/>
        </w:rPr>
        <w:t>de l’Acte de</w:t>
      </w:r>
      <w:r w:rsidR="00BE1211">
        <w:rPr>
          <w:noProof/>
        </w:rPr>
        <w:t> </w:t>
      </w:r>
      <w:r w:rsidRPr="00B7403C">
        <w:rPr>
          <w:noProof/>
        </w:rPr>
        <w:t>1999</w:t>
      </w:r>
      <w:r>
        <w:rPr>
          <w:noProof/>
        </w:rPr>
        <w:t xml:space="preserve">, </w:t>
      </w:r>
      <w:r w:rsidRPr="00B7403C">
        <w:rPr>
          <w:noProof/>
        </w:rPr>
        <w:t>“</w:t>
      </w:r>
      <w:r>
        <w:rPr>
          <w:noProof/>
        </w:rPr>
        <w:t>une telle déclaration n’</w:t>
      </w:r>
      <w:r w:rsidRPr="005514C3">
        <w:rPr>
          <w:noProof/>
        </w:rPr>
        <w:t>affecte pas le droit du dépos</w:t>
      </w:r>
      <w:r>
        <w:rPr>
          <w:noProof/>
        </w:rPr>
        <w:t>ant d’</w:t>
      </w:r>
      <w:r w:rsidRPr="005514C3">
        <w:rPr>
          <w:noProof/>
        </w:rPr>
        <w:t>une demand</w:t>
      </w:r>
      <w:r>
        <w:rPr>
          <w:noProof/>
        </w:rPr>
        <w:t>e internationale, même si celle</w:t>
      </w:r>
      <w:r>
        <w:rPr>
          <w:noProof/>
        </w:rPr>
        <w:noBreakHyphen/>
      </w:r>
      <w:r w:rsidRPr="005514C3">
        <w:rPr>
          <w:noProof/>
        </w:rPr>
        <w:t>ci désigne la Partie contractante qui a fait cette déclaration, d</w:t>
      </w:r>
      <w:r>
        <w:rPr>
          <w:noProof/>
        </w:rPr>
        <w:t>’</w:t>
      </w:r>
      <w:r w:rsidRPr="005514C3">
        <w:rPr>
          <w:noProof/>
        </w:rPr>
        <w:t>inclure plusieurs dessins ou modèles industriels dans cette demande conformément à l</w:t>
      </w:r>
      <w:r>
        <w:rPr>
          <w:noProof/>
        </w:rPr>
        <w:t>’</w:t>
      </w:r>
      <w:r w:rsidRPr="005514C3">
        <w:rPr>
          <w:noProof/>
        </w:rPr>
        <w:t>article</w:t>
      </w:r>
      <w:r>
        <w:rPr>
          <w:noProof/>
        </w:rPr>
        <w:t> </w:t>
      </w:r>
      <w:r w:rsidRPr="005514C3">
        <w:rPr>
          <w:noProof/>
        </w:rPr>
        <w:t>5.4)</w:t>
      </w:r>
      <w:r w:rsidRPr="00B7403C">
        <w:rPr>
          <w:noProof/>
        </w:rPr>
        <w:t>”.</w:t>
      </w:r>
    </w:p>
  </w:footnote>
  <w:footnote w:id="9">
    <w:p w:rsidR="00FD5CA3" w:rsidRPr="00E12A5D" w:rsidRDefault="00FD5CA3" w:rsidP="00641DEF">
      <w:pPr>
        <w:pStyle w:val="FootnoteText"/>
      </w:pPr>
      <w:r>
        <w:rPr>
          <w:rStyle w:val="FootnoteReference"/>
        </w:rPr>
        <w:footnoteRef/>
      </w:r>
      <w:r>
        <w:tab/>
        <w:t>En </w:t>
      </w:r>
      <w:r w:rsidRPr="00163310">
        <w:t xml:space="preserve">2014, </w:t>
      </w:r>
      <w:r>
        <w:t>seuls deux enregistrements internationaux émanaient du Japon, l’un contenant</w:t>
      </w:r>
      <w:r w:rsidR="000A076A">
        <w:t xml:space="preserve"> trois</w:t>
      </w:r>
      <w:r>
        <w:t> dessins ou modèles et l’autre, 17.</w:t>
      </w:r>
    </w:p>
  </w:footnote>
  <w:footnote w:id="10">
    <w:p w:rsidR="00FD5CA3" w:rsidRPr="00B36DD6" w:rsidRDefault="00FD5CA3" w:rsidP="00641DEF">
      <w:pPr>
        <w:pStyle w:val="FootnoteText"/>
      </w:pPr>
      <w:r>
        <w:rPr>
          <w:rStyle w:val="FootnoteReference"/>
        </w:rPr>
        <w:footnoteRef/>
      </w:r>
      <w:r>
        <w:tab/>
        <w:t>Si, dans la grande majorité des cas, la revendication de priorité est fondée sur un premier dépôt au niveau national ou régional, il existe également un nombre limité de cas dans lesquels le premier dépôt est une autre demande internationale selon le systè</w:t>
      </w:r>
      <w:r w:rsidR="004675A2">
        <w:t>me de La Haye.</w:t>
      </w:r>
    </w:p>
  </w:footnote>
  <w:footnote w:id="11">
    <w:p w:rsidR="00FD5CA3" w:rsidRPr="00AD23A2" w:rsidRDefault="00FD5CA3" w:rsidP="00641DEF">
      <w:pPr>
        <w:pStyle w:val="FootnoteText"/>
      </w:pPr>
      <w:r>
        <w:rPr>
          <w:rStyle w:val="FootnoteReference"/>
        </w:rPr>
        <w:footnoteRef/>
      </w:r>
      <w:r>
        <w:tab/>
        <w:t>Aucune des</w:t>
      </w:r>
      <w:r w:rsidRPr="007A0026">
        <w:t xml:space="preserve"> </w:t>
      </w:r>
      <w:r w:rsidRPr="00574417">
        <w:rPr>
          <w:noProof/>
        </w:rPr>
        <w:t>parties contractantes à l</w:t>
      </w:r>
      <w:r>
        <w:rPr>
          <w:noProof/>
        </w:rPr>
        <w:t>’</w:t>
      </w:r>
      <w:r w:rsidRPr="00574417">
        <w:rPr>
          <w:noProof/>
        </w:rPr>
        <w:t>Acte de</w:t>
      </w:r>
      <w:r w:rsidR="007A1035">
        <w:rPr>
          <w:noProof/>
        </w:rPr>
        <w:t> </w:t>
      </w:r>
      <w:r w:rsidRPr="00574417">
        <w:rPr>
          <w:noProof/>
        </w:rPr>
        <w:t xml:space="preserve">1999 </w:t>
      </w:r>
      <w:r>
        <w:rPr>
          <w:noProof/>
        </w:rPr>
        <w:t>n’a fait de déclaration en vertu de l’article 14.3) de l’Acte de</w:t>
      </w:r>
      <w:r w:rsidR="004675A2">
        <w:rPr>
          <w:noProof/>
        </w:rPr>
        <w:t> </w:t>
      </w:r>
      <w:r>
        <w:rPr>
          <w:noProof/>
        </w:rPr>
        <w:t xml:space="preserve">1999 </w:t>
      </w:r>
      <w:r w:rsidRPr="00574417">
        <w:rPr>
          <w:noProof/>
        </w:rPr>
        <w:t>interdi</w:t>
      </w:r>
      <w:r>
        <w:rPr>
          <w:noProof/>
        </w:rPr>
        <w:t>sa</w:t>
      </w:r>
      <w:r w:rsidRPr="00574417">
        <w:rPr>
          <w:noProof/>
        </w:rPr>
        <w:t>n</w:t>
      </w:r>
      <w:r>
        <w:rPr>
          <w:noProof/>
        </w:rPr>
        <w:t>t</w:t>
      </w:r>
      <w:r w:rsidRPr="00574417">
        <w:rPr>
          <w:noProof/>
        </w:rPr>
        <w:t xml:space="preserve"> au déposant de désigner sa partie contractante</w:t>
      </w:r>
      <w:r>
        <w:rPr>
          <w:noProof/>
        </w:rPr>
        <w:t>.</w:t>
      </w:r>
    </w:p>
  </w:footnote>
  <w:footnote w:id="12">
    <w:p w:rsidR="00FD5CA3" w:rsidRPr="00D6181E" w:rsidRDefault="00FD5CA3" w:rsidP="00641DEF">
      <w:pPr>
        <w:pStyle w:val="FootnoteText"/>
      </w:pPr>
      <w:r>
        <w:rPr>
          <w:rStyle w:val="FootnoteReference"/>
        </w:rPr>
        <w:footnoteRef/>
      </w:r>
      <w:r>
        <w:tab/>
        <w:t>Aux fins du présent document, “Famille de l’Europe géographique” fait référence aux pays d’Europe et aux pays voisins.</w:t>
      </w:r>
    </w:p>
  </w:footnote>
  <w:footnote w:id="13">
    <w:p w:rsidR="00FD5CA3" w:rsidRPr="00666959" w:rsidRDefault="00FD5CA3" w:rsidP="00641DEF">
      <w:pPr>
        <w:pStyle w:val="FootnoteText"/>
        <w:rPr>
          <w:lang w:val="fr-CH"/>
        </w:rPr>
      </w:pPr>
      <w:r>
        <w:rPr>
          <w:rStyle w:val="FootnoteReference"/>
        </w:rPr>
        <w:footnoteRef/>
      </w:r>
      <w:r>
        <w:rPr>
          <w:lang w:val="fr-CH"/>
        </w:rPr>
        <w:tab/>
      </w:r>
      <w:r>
        <w:rPr>
          <w:color w:val="000000"/>
          <w:lang w:val="fr-CH"/>
        </w:rPr>
        <w:t>Selon l’article 14 de l’</w:t>
      </w:r>
      <w:r w:rsidRPr="00A144D1">
        <w:rPr>
          <w:color w:val="000000"/>
          <w:lang w:val="fr-CH"/>
        </w:rPr>
        <w:t>Acte de 1999, la désignation de l</w:t>
      </w:r>
      <w:r>
        <w:rPr>
          <w:color w:val="000000"/>
          <w:lang w:val="fr-CH"/>
        </w:rPr>
        <w:t>’</w:t>
      </w:r>
      <w:r w:rsidRPr="00A144D1">
        <w:rPr>
          <w:color w:val="000000"/>
          <w:lang w:val="fr-CH"/>
        </w:rPr>
        <w:t xml:space="preserve">Union européenne dans un enregistrement international </w:t>
      </w:r>
      <w:r>
        <w:rPr>
          <w:color w:val="000000"/>
          <w:lang w:val="fr-CH"/>
        </w:rPr>
        <w:t>produit les mêmes effets qu’</w:t>
      </w:r>
      <w:r w:rsidRPr="00A144D1">
        <w:rPr>
          <w:color w:val="000000"/>
          <w:lang w:val="fr-CH"/>
        </w:rPr>
        <w:t>un dessin ou modèle commu</w:t>
      </w:r>
      <w:r>
        <w:rPr>
          <w:color w:val="000000"/>
          <w:lang w:val="fr-CH"/>
        </w:rPr>
        <w:t>nautaire</w:t>
      </w:r>
      <w:r w:rsidR="007E0A96">
        <w:rPr>
          <w:color w:val="000000"/>
          <w:lang w:val="fr-CH"/>
        </w:rPr>
        <w:t xml:space="preserve"> enregistré</w:t>
      </w:r>
      <w:r w:rsidR="00206FBF">
        <w:rPr>
          <w:color w:val="000000"/>
          <w:lang w:val="fr-CH"/>
        </w:rPr>
        <w:t xml:space="preserve"> (RCD)</w:t>
      </w:r>
      <w:r>
        <w:rPr>
          <w:color w:val="000000"/>
          <w:lang w:val="fr-CH"/>
        </w:rPr>
        <w:t xml:space="preserve"> sur le territoire de l’</w:t>
      </w:r>
      <w:r w:rsidRPr="00A144D1">
        <w:rPr>
          <w:color w:val="000000"/>
          <w:lang w:val="fr-CH"/>
        </w:rPr>
        <w:t>Union européenne.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1DD" w:rsidRDefault="003060C4" w:rsidP="002272F9">
    <w:pPr>
      <w:jc w:val="right"/>
    </w:pPr>
    <w:r>
      <w:t>H</w:t>
    </w:r>
    <w:r w:rsidR="008B11DD">
      <w:t>/LD/WG/6/5</w:t>
    </w:r>
  </w:p>
  <w:p w:rsidR="008B11DD" w:rsidRDefault="008B11DD" w:rsidP="002272F9">
    <w:pPr>
      <w:jc w:val="right"/>
    </w:pPr>
    <w:proofErr w:type="gramStart"/>
    <w:r>
      <w:t>page</w:t>
    </w:r>
    <w:proofErr w:type="gramEnd"/>
    <w:r>
      <w:t xml:space="preserve"> </w:t>
    </w:r>
    <w:r>
      <w:fldChar w:fldCharType="begin"/>
    </w:r>
    <w:r>
      <w:instrText xml:space="preserve"> PAGE  \* MERGEFORMAT </w:instrText>
    </w:r>
    <w:r>
      <w:fldChar w:fldCharType="separate"/>
    </w:r>
    <w:r w:rsidR="007312C6">
      <w:rPr>
        <w:noProof/>
      </w:rPr>
      <w:t>19</w:t>
    </w:r>
    <w:r>
      <w:fldChar w:fldCharType="end"/>
    </w:r>
  </w:p>
  <w:p w:rsidR="008B11DD" w:rsidRDefault="008B11DD" w:rsidP="002272F9">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164524A"/>
    <w:lvl w:ilvl="0">
      <w:start w:val="1"/>
      <w:numFmt w:val="decimal"/>
      <w:lvlText w:val="%1."/>
      <w:lvlJc w:val="left"/>
      <w:pPr>
        <w:tabs>
          <w:tab w:val="num" w:pos="360"/>
        </w:tabs>
        <w:ind w:left="360" w:hanging="360"/>
      </w:pPr>
    </w:lvl>
  </w:abstractNum>
  <w:abstractNum w:abstractNumId="1">
    <w:nsid w:val="028C5B1D"/>
    <w:multiLevelType w:val="hybridMultilevel"/>
    <w:tmpl w:val="591C01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
    <w:nsid w:val="169F744E"/>
    <w:multiLevelType w:val="hybridMultilevel"/>
    <w:tmpl w:val="25BE4146"/>
    <w:lvl w:ilvl="0" w:tplc="B6F6818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7D5000"/>
    <w:multiLevelType w:val="singleLevel"/>
    <w:tmpl w:val="0409000F"/>
    <w:lvl w:ilvl="0">
      <w:start w:val="1"/>
      <w:numFmt w:val="decimal"/>
      <w:lvlText w:val="%1."/>
      <w:lvlJc w:val="left"/>
      <w:pPr>
        <w:tabs>
          <w:tab w:val="num" w:pos="360"/>
        </w:tabs>
        <w:ind w:left="360" w:hanging="360"/>
      </w:pPr>
    </w:lvl>
  </w:abstractNum>
  <w:abstractNum w:abstractNumId="5">
    <w:nsid w:val="1C0D5D55"/>
    <w:multiLevelType w:val="hybridMultilevel"/>
    <w:tmpl w:val="7E028DD2"/>
    <w:lvl w:ilvl="0" w:tplc="0409000F">
      <w:start w:val="1"/>
      <w:numFmt w:val="decimal"/>
      <w:lvlText w:val="%1."/>
      <w:lvlJc w:val="left"/>
      <w:pPr>
        <w:ind w:left="8299" w:hanging="360"/>
      </w:pPr>
    </w:lvl>
    <w:lvl w:ilvl="1" w:tplc="04090019" w:tentative="1">
      <w:start w:val="1"/>
      <w:numFmt w:val="lowerLetter"/>
      <w:lvlText w:val="%2."/>
      <w:lvlJc w:val="left"/>
      <w:pPr>
        <w:ind w:left="9019" w:hanging="360"/>
      </w:pPr>
    </w:lvl>
    <w:lvl w:ilvl="2" w:tplc="0409001B" w:tentative="1">
      <w:start w:val="1"/>
      <w:numFmt w:val="lowerRoman"/>
      <w:lvlText w:val="%3."/>
      <w:lvlJc w:val="right"/>
      <w:pPr>
        <w:ind w:left="9739" w:hanging="180"/>
      </w:pPr>
    </w:lvl>
    <w:lvl w:ilvl="3" w:tplc="0409000F" w:tentative="1">
      <w:start w:val="1"/>
      <w:numFmt w:val="decimal"/>
      <w:lvlText w:val="%4."/>
      <w:lvlJc w:val="left"/>
      <w:pPr>
        <w:ind w:left="10459" w:hanging="360"/>
      </w:pPr>
    </w:lvl>
    <w:lvl w:ilvl="4" w:tplc="04090019" w:tentative="1">
      <w:start w:val="1"/>
      <w:numFmt w:val="lowerLetter"/>
      <w:lvlText w:val="%5."/>
      <w:lvlJc w:val="left"/>
      <w:pPr>
        <w:ind w:left="11179" w:hanging="360"/>
      </w:pPr>
    </w:lvl>
    <w:lvl w:ilvl="5" w:tplc="0409001B" w:tentative="1">
      <w:start w:val="1"/>
      <w:numFmt w:val="lowerRoman"/>
      <w:lvlText w:val="%6."/>
      <w:lvlJc w:val="right"/>
      <w:pPr>
        <w:ind w:left="11899" w:hanging="180"/>
      </w:pPr>
    </w:lvl>
    <w:lvl w:ilvl="6" w:tplc="0409000F" w:tentative="1">
      <w:start w:val="1"/>
      <w:numFmt w:val="decimal"/>
      <w:lvlText w:val="%7."/>
      <w:lvlJc w:val="left"/>
      <w:pPr>
        <w:ind w:left="12619" w:hanging="360"/>
      </w:pPr>
    </w:lvl>
    <w:lvl w:ilvl="7" w:tplc="04090019" w:tentative="1">
      <w:start w:val="1"/>
      <w:numFmt w:val="lowerLetter"/>
      <w:lvlText w:val="%8."/>
      <w:lvlJc w:val="left"/>
      <w:pPr>
        <w:ind w:left="13339" w:hanging="360"/>
      </w:pPr>
    </w:lvl>
    <w:lvl w:ilvl="8" w:tplc="0409001B" w:tentative="1">
      <w:start w:val="1"/>
      <w:numFmt w:val="lowerRoman"/>
      <w:lvlText w:val="%9."/>
      <w:lvlJc w:val="right"/>
      <w:pPr>
        <w:ind w:left="14059" w:hanging="180"/>
      </w:pPr>
    </w:lvl>
  </w:abstractNum>
  <w:abstractNum w:abstractNumId="6">
    <w:nsid w:val="1FA82F9F"/>
    <w:multiLevelType w:val="hybridMultilevel"/>
    <w:tmpl w:val="726892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8">
    <w:nsid w:val="20D70231"/>
    <w:multiLevelType w:val="hybridMultilevel"/>
    <w:tmpl w:val="90CE9FCC"/>
    <w:lvl w:ilvl="0" w:tplc="6E08A1E6">
      <w:start w:val="1"/>
      <w:numFmt w:val="bullet"/>
      <w:lvlText w:val="-"/>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6B456E"/>
    <w:multiLevelType w:val="hybridMultilevel"/>
    <w:tmpl w:val="1E7E3172"/>
    <w:lvl w:ilvl="0" w:tplc="43045082">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C11591"/>
    <w:multiLevelType w:val="multilevel"/>
    <w:tmpl w:val="2D20A25C"/>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5670E26"/>
    <w:multiLevelType w:val="hybridMultilevel"/>
    <w:tmpl w:val="D24ADB12"/>
    <w:lvl w:ilvl="0" w:tplc="22382A5E">
      <w:start w:val="1"/>
      <w:numFmt w:val="lowerRoman"/>
      <w:pStyle w:val="indenti"/>
      <w:lvlText w:val="(%1)"/>
      <w:lvlJc w:val="right"/>
      <w:pPr>
        <w:tabs>
          <w:tab w:val="num" w:pos="1985"/>
        </w:tabs>
        <w:ind w:left="0" w:firstLine="170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6C22BAF"/>
    <w:multiLevelType w:val="hybridMultilevel"/>
    <w:tmpl w:val="CCAEE014"/>
    <w:lvl w:ilvl="0" w:tplc="0409000F">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B45055"/>
    <w:multiLevelType w:val="hybridMultilevel"/>
    <w:tmpl w:val="0FD4A55A"/>
    <w:lvl w:ilvl="0" w:tplc="6E08A1E6">
      <w:start w:val="1"/>
      <w:numFmt w:val="bullet"/>
      <w:lvlText w:val="-"/>
      <w:lvlJc w:val="left"/>
      <w:pPr>
        <w:ind w:left="1890" w:hanging="360"/>
      </w:pPr>
      <w:rPr>
        <w:rFonts w:ascii="Times New Roman" w:hAnsi="Times New Roman"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4">
    <w:nsid w:val="2B905BE3"/>
    <w:multiLevelType w:val="hybridMultilevel"/>
    <w:tmpl w:val="9D240A94"/>
    <w:lvl w:ilvl="0" w:tplc="0409000F">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467991"/>
    <w:multiLevelType w:val="hybridMultilevel"/>
    <w:tmpl w:val="E5B614CA"/>
    <w:lvl w:ilvl="0" w:tplc="6936CE46">
      <w:numFmt w:val="bullet"/>
      <w:lvlText w:val=""/>
      <w:lvlJc w:val="left"/>
      <w:pPr>
        <w:ind w:left="1080" w:hanging="360"/>
      </w:pPr>
      <w:rPr>
        <w:rFonts w:ascii="Symbol" w:eastAsia="SimSu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F370312"/>
    <w:multiLevelType w:val="multilevel"/>
    <w:tmpl w:val="F82443DE"/>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3463AA9"/>
    <w:multiLevelType w:val="multilevel"/>
    <w:tmpl w:val="5B7C24E8"/>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CF71C6A"/>
    <w:multiLevelType w:val="hybridMultilevel"/>
    <w:tmpl w:val="13063400"/>
    <w:lvl w:ilvl="0" w:tplc="AD52B9C4">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49B85CC7"/>
    <w:multiLevelType w:val="hybridMultilevel"/>
    <w:tmpl w:val="9418C36C"/>
    <w:lvl w:ilvl="0" w:tplc="36A01B50">
      <w:start w:val="1"/>
      <w:numFmt w:val="upp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EC10073"/>
    <w:multiLevelType w:val="hybridMultilevel"/>
    <w:tmpl w:val="BDBEB4F6"/>
    <w:lvl w:ilvl="0" w:tplc="6E08A1E6">
      <w:start w:val="1"/>
      <w:numFmt w:val="bullet"/>
      <w:lvlText w:val="-"/>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4B12D1"/>
    <w:multiLevelType w:val="hybridMultilevel"/>
    <w:tmpl w:val="1A6A96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16023C1"/>
    <w:multiLevelType w:val="hybridMultilevel"/>
    <w:tmpl w:val="A9804402"/>
    <w:lvl w:ilvl="0" w:tplc="8C90130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A000544"/>
    <w:multiLevelType w:val="multilevel"/>
    <w:tmpl w:val="8216E6C8"/>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E424BF3"/>
    <w:multiLevelType w:val="hybridMultilevel"/>
    <w:tmpl w:val="01F676C6"/>
    <w:lvl w:ilvl="0" w:tplc="6E08A1E6">
      <w:start w:val="1"/>
      <w:numFmt w:val="bullet"/>
      <w:lvlText w:val="-"/>
      <w:lvlJc w:val="left"/>
      <w:pPr>
        <w:ind w:left="720" w:hanging="360"/>
      </w:pPr>
      <w:rPr>
        <w:rFonts w:ascii="Times New Roman" w:hAnsi="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0642BBD"/>
    <w:multiLevelType w:val="multilevel"/>
    <w:tmpl w:val="382690DE"/>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33E0597"/>
    <w:multiLevelType w:val="hybridMultilevel"/>
    <w:tmpl w:val="8BAA626E"/>
    <w:lvl w:ilvl="0" w:tplc="E1A04250">
      <w:start w:val="1"/>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9BE6FF5"/>
    <w:multiLevelType w:val="hybridMultilevel"/>
    <w:tmpl w:val="AC42D31E"/>
    <w:lvl w:ilvl="0" w:tplc="43045082">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A225CD1"/>
    <w:multiLevelType w:val="hybridMultilevel"/>
    <w:tmpl w:val="2E98F7CE"/>
    <w:lvl w:ilvl="0" w:tplc="B6FEE0CA">
      <w:numFmt w:val="bullet"/>
      <w:lvlText w:val=""/>
      <w:lvlJc w:val="left"/>
      <w:pPr>
        <w:ind w:left="720" w:hanging="360"/>
      </w:pPr>
      <w:rPr>
        <w:rFonts w:ascii="Symbol" w:eastAsia="SimSu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BC943FD"/>
    <w:multiLevelType w:val="hybridMultilevel"/>
    <w:tmpl w:val="E89C6BD2"/>
    <w:lvl w:ilvl="0" w:tplc="2426074A">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DFE7E09"/>
    <w:multiLevelType w:val="hybridMultilevel"/>
    <w:tmpl w:val="D1565B8A"/>
    <w:lvl w:ilvl="0" w:tplc="27EE45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E7A146B"/>
    <w:multiLevelType w:val="hybridMultilevel"/>
    <w:tmpl w:val="E952ACF6"/>
    <w:lvl w:ilvl="0" w:tplc="4FD864E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F9A2C81"/>
    <w:multiLevelType w:val="hybridMultilevel"/>
    <w:tmpl w:val="0D666840"/>
    <w:lvl w:ilvl="0" w:tplc="6E08A1E6">
      <w:start w:val="1"/>
      <w:numFmt w:val="bullet"/>
      <w:lvlText w:val="-"/>
      <w:lvlJc w:val="left"/>
      <w:pPr>
        <w:ind w:left="1890" w:hanging="360"/>
      </w:pPr>
      <w:rPr>
        <w:rFonts w:ascii="Times New Roman" w:hAnsi="Times New Roman"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5">
    <w:nsid w:val="70B46F5E"/>
    <w:multiLevelType w:val="hybridMultilevel"/>
    <w:tmpl w:val="6BC02AB4"/>
    <w:lvl w:ilvl="0" w:tplc="6E08A1E6">
      <w:start w:val="1"/>
      <w:numFmt w:val="bullet"/>
      <w:lvlText w:val="-"/>
      <w:lvlJc w:val="left"/>
      <w:pPr>
        <w:ind w:left="720" w:hanging="360"/>
      </w:pPr>
      <w:rPr>
        <w:rFonts w:ascii="Times New Roman" w:hAnsi="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0"/>
  </w:num>
  <w:num w:numId="4">
    <w:abstractNumId w:val="21"/>
  </w:num>
  <w:num w:numId="5">
    <w:abstractNumId w:val="2"/>
  </w:num>
  <w:num w:numId="6">
    <w:abstractNumId w:val="7"/>
  </w:num>
  <w:num w:numId="7">
    <w:abstractNumId w:val="31"/>
  </w:num>
  <w:num w:numId="8">
    <w:abstractNumId w:val="24"/>
  </w:num>
  <w:num w:numId="9">
    <w:abstractNumId w:val="11"/>
    <w:lvlOverride w:ilvl="0">
      <w:startOverride w:val="1"/>
    </w:lvlOverride>
  </w:num>
  <w:num w:numId="10">
    <w:abstractNumId w:val="11"/>
    <w:lvlOverride w:ilvl="0">
      <w:startOverride w:val="1"/>
    </w:lvlOverride>
  </w:num>
  <w:num w:numId="11">
    <w:abstractNumId w:val="11"/>
  </w:num>
  <w:num w:numId="12">
    <w:abstractNumId w:val="33"/>
  </w:num>
  <w:num w:numId="13">
    <w:abstractNumId w:val="5"/>
  </w:num>
  <w:num w:numId="14">
    <w:abstractNumId w:val="34"/>
  </w:num>
  <w:num w:numId="15">
    <w:abstractNumId w:val="28"/>
  </w:num>
  <w:num w:numId="16">
    <w:abstractNumId w:val="6"/>
  </w:num>
  <w:num w:numId="17">
    <w:abstractNumId w:val="26"/>
  </w:num>
  <w:num w:numId="18">
    <w:abstractNumId w:val="35"/>
  </w:num>
  <w:num w:numId="19">
    <w:abstractNumId w:val="22"/>
  </w:num>
  <w:num w:numId="20">
    <w:abstractNumId w:val="13"/>
  </w:num>
  <w:num w:numId="21">
    <w:abstractNumId w:val="8"/>
  </w:num>
  <w:num w:numId="22">
    <w:abstractNumId w:val="27"/>
  </w:num>
  <w:num w:numId="23">
    <w:abstractNumId w:val="17"/>
  </w:num>
  <w:num w:numId="24">
    <w:abstractNumId w:val="18"/>
  </w:num>
  <w:num w:numId="25">
    <w:abstractNumId w:val="16"/>
  </w:num>
  <w:num w:numId="26">
    <w:abstractNumId w:val="25"/>
  </w:num>
  <w:num w:numId="27">
    <w:abstractNumId w:val="10"/>
  </w:num>
  <w:num w:numId="28">
    <w:abstractNumId w:val="30"/>
  </w:num>
  <w:num w:numId="29">
    <w:abstractNumId w:val="15"/>
  </w:num>
  <w:num w:numId="30">
    <w:abstractNumId w:val="20"/>
  </w:num>
  <w:num w:numId="31">
    <w:abstractNumId w:val="32"/>
  </w:num>
  <w:num w:numId="32">
    <w:abstractNumId w:val="3"/>
  </w:num>
  <w:num w:numId="33">
    <w:abstractNumId w:val="23"/>
  </w:num>
  <w:num w:numId="34">
    <w:abstractNumId w:val="9"/>
  </w:num>
  <w:num w:numId="35">
    <w:abstractNumId w:val="29"/>
  </w:num>
  <w:num w:numId="36">
    <w:abstractNumId w:val="14"/>
  </w:num>
  <w:num w:numId="37">
    <w:abstractNumId w:val="12"/>
  </w:num>
  <w:num w:numId="38">
    <w:abstractNumId w:val="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9">
    <w:abstractNumId w:val="1"/>
  </w:num>
  <w:num w:numId="40">
    <w:abstractNumId w:val="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1">
    <w:abstractNumId w:val="1"/>
  </w:num>
  <w:num w:numId="42">
    <w:abstractNumId w:val="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3">
    <w:abstractNumId w:val="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4">
    <w:abstractNumId w:val="21"/>
  </w:num>
  <w:num w:numId="45">
    <w:abstractNumId w:val="2"/>
  </w:num>
  <w:num w:numId="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4"/>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 w:id="1"/>
  </w:footnotePr>
  <w:endnotePr>
    <w:numFmt w:val="decimal"/>
    <w:endnote w:id="-1"/>
    <w:endnote w:id="0"/>
    <w:endnote w:id="1"/>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EDC55B40-4D02-41B9-A0AA-805B0A57E977}"/>
    <w:docVar w:name="dgnword-eventsink" w:val="153230952"/>
    <w:docVar w:name="SourceLng" w:val="eng"/>
    <w:docVar w:name="TargetLng" w:val="fra"/>
    <w:docVar w:name="TermBases" w:val="DB|WIPONew|UPOV_Beta|TRADTERM|Term4"/>
    <w:docVar w:name="TermBaseURL" w:val="empty"/>
    <w:docVar w:name="TextBases" w:val="Team Server TMs\Default|TextBase TMs\Glossaries\EN-FR|TextBase TMs\Trademarks\Meetings|TextBase TMs\Trademarks\Other|TextBase TMs\Trademarks\Publications|TextBase TMs\Patents\Meetings|TextBase TMs\Patents\Other|TextBase TMs\Patents\Publications|TextBase TMs\Copyright\Meetings|TextBase TMs\Copyright\Other|TextBase TMs\Copyright\Publications|TextBase TMs\Administrative\Meetings|TextBase TMs\Administrative\Other|TextBase TMs\Administrative\Publications|TextBase TMs\Budget and Finance\Meetings|TextBase TMs\Budget and Finance\Other|TextBase TMs\Budget and Finance\Publications|TextBase TMs\IP in General\Academy|TextBase TMs\IP in General\Arbitration and Mediation|TextBase TMs\IP in General\Meetings|TextBase TMs\IP in General\Other|TextBase TMs\IP in General\Press Room|TextBase TMs\IP in General\Publications|TextBase TMs\IP in General\SpeechDG2014|TextBase TMs\Treaties\Model Laws|TextBase TMs\Treaties\Other Laws and Agreements|TextBase TMs\Treaties\WIPO-administered|TextBase TMs\UPOV\Meetings|TextBase TMs\UPOV\Other|TextBase TMs\UPOV\Publications|TextBase TMs\UPOV\Technical Guidelines|TextBase TMs\WorkspaceFTS\EN-FR\ACE|TextBase TMs\WorkspaceFTS\EN-FR\Administratif|TextBase TMs\WorkspaceFTS\EN-FR\AMC|TextBase TMs\WorkspaceFTS\EN-FR\Assemblées|TextBase TMs\WorkspaceFTS\EN-FR\Budapest|TextBase TMs\WorkspaceFTS\EN-FR\CDIP|TextBase TMs\WorkspaceFTS\EN-FR\CWS|TextBase TMs\WorkspaceFTS\EN-FR\Divers|TextBase TMs\WorkspaceFTS\EN-FR\GRTKF|TextBase TMs\WorkspaceFTS\EN-FR\Hague|TextBase TMs\WorkspaceFTS\EN-FR\IPC|TextBase TMs\WorkspaceFTS\EN-FR\Lisbonne|TextBase TMs\WorkspaceFTS\EN-FR\Madrid|TextBase TMs\WorkspaceFTS\EN-FR\PCT|TextBase TMs\WorkspaceFTS\EN-FR\PLT|TextBase TMs\WorkspaceFTS\EN-FR\SCCR|TextBase TMs\WorkspaceFTS\EN-FR\SCP|TextBase TMs\WorkspaceFTS\EN-FR\SCT|TextBase TMs\WorkspaceFTS\EN-FR\traités|TextBase TMs\WorkspaceFTS\EN-FR\UPOV|TextBase TMs\WorkspaceFTS\EN-FR\WO_CC|TextBase TMs\WorkspaceFTS\EN-FR\WO_GA|TextBase TMs\WorkspaceFTS\EN-FR\WO_PBC"/>
    <w:docVar w:name="TextBaseURL" w:val="empty"/>
    <w:docVar w:name="UILng" w:val="en"/>
  </w:docVars>
  <w:rsids>
    <w:rsidRoot w:val="00477D53"/>
    <w:rsid w:val="00003E8C"/>
    <w:rsid w:val="00004020"/>
    <w:rsid w:val="00005CAA"/>
    <w:rsid w:val="000069F6"/>
    <w:rsid w:val="00006BC4"/>
    <w:rsid w:val="00006C0E"/>
    <w:rsid w:val="000070F3"/>
    <w:rsid w:val="00007C00"/>
    <w:rsid w:val="00007DD6"/>
    <w:rsid w:val="00012D78"/>
    <w:rsid w:val="00014C81"/>
    <w:rsid w:val="00016560"/>
    <w:rsid w:val="000173EA"/>
    <w:rsid w:val="00017589"/>
    <w:rsid w:val="00017A9F"/>
    <w:rsid w:val="000204FD"/>
    <w:rsid w:val="00021339"/>
    <w:rsid w:val="00022D2F"/>
    <w:rsid w:val="0002652C"/>
    <w:rsid w:val="000266E4"/>
    <w:rsid w:val="00026970"/>
    <w:rsid w:val="00027A73"/>
    <w:rsid w:val="000303CE"/>
    <w:rsid w:val="000307C9"/>
    <w:rsid w:val="000307CA"/>
    <w:rsid w:val="0003081E"/>
    <w:rsid w:val="0003295B"/>
    <w:rsid w:val="000340C2"/>
    <w:rsid w:val="00034CC4"/>
    <w:rsid w:val="00036B1A"/>
    <w:rsid w:val="0003733E"/>
    <w:rsid w:val="000373CA"/>
    <w:rsid w:val="00037FB6"/>
    <w:rsid w:val="000403B2"/>
    <w:rsid w:val="000408DC"/>
    <w:rsid w:val="00040CBB"/>
    <w:rsid w:val="00042139"/>
    <w:rsid w:val="000426BE"/>
    <w:rsid w:val="000428A2"/>
    <w:rsid w:val="00042CC0"/>
    <w:rsid w:val="00043CAA"/>
    <w:rsid w:val="000454D3"/>
    <w:rsid w:val="00045AB6"/>
    <w:rsid w:val="0004617C"/>
    <w:rsid w:val="00046A16"/>
    <w:rsid w:val="00046FDA"/>
    <w:rsid w:val="00047EAC"/>
    <w:rsid w:val="000515CD"/>
    <w:rsid w:val="00051DC6"/>
    <w:rsid w:val="00052BF8"/>
    <w:rsid w:val="00057209"/>
    <w:rsid w:val="00057C7A"/>
    <w:rsid w:val="00060A92"/>
    <w:rsid w:val="00061C1C"/>
    <w:rsid w:val="00062652"/>
    <w:rsid w:val="00063B37"/>
    <w:rsid w:val="00064329"/>
    <w:rsid w:val="00066396"/>
    <w:rsid w:val="00067512"/>
    <w:rsid w:val="00070948"/>
    <w:rsid w:val="00070C9A"/>
    <w:rsid w:val="00070F2E"/>
    <w:rsid w:val="00071663"/>
    <w:rsid w:val="00072B95"/>
    <w:rsid w:val="00072F9A"/>
    <w:rsid w:val="0007307E"/>
    <w:rsid w:val="000736F5"/>
    <w:rsid w:val="00073B6A"/>
    <w:rsid w:val="00073E44"/>
    <w:rsid w:val="00074918"/>
    <w:rsid w:val="00074E4F"/>
    <w:rsid w:val="0007508A"/>
    <w:rsid w:val="00075432"/>
    <w:rsid w:val="00075663"/>
    <w:rsid w:val="00077109"/>
    <w:rsid w:val="0007733A"/>
    <w:rsid w:val="000808A3"/>
    <w:rsid w:val="00080F4C"/>
    <w:rsid w:val="00083849"/>
    <w:rsid w:val="00083AC0"/>
    <w:rsid w:val="00083B63"/>
    <w:rsid w:val="0008493C"/>
    <w:rsid w:val="00084D95"/>
    <w:rsid w:val="00085EAD"/>
    <w:rsid w:val="000866CF"/>
    <w:rsid w:val="00087F11"/>
    <w:rsid w:val="0009017D"/>
    <w:rsid w:val="00090391"/>
    <w:rsid w:val="00090398"/>
    <w:rsid w:val="00090481"/>
    <w:rsid w:val="00092985"/>
    <w:rsid w:val="00093C51"/>
    <w:rsid w:val="0009428B"/>
    <w:rsid w:val="00095CAF"/>
    <w:rsid w:val="000968ED"/>
    <w:rsid w:val="00097FBA"/>
    <w:rsid w:val="000A076A"/>
    <w:rsid w:val="000A0AEB"/>
    <w:rsid w:val="000A0CAE"/>
    <w:rsid w:val="000A2A49"/>
    <w:rsid w:val="000A3A1A"/>
    <w:rsid w:val="000A4074"/>
    <w:rsid w:val="000A41A9"/>
    <w:rsid w:val="000A45C4"/>
    <w:rsid w:val="000A45F2"/>
    <w:rsid w:val="000A6A02"/>
    <w:rsid w:val="000A7394"/>
    <w:rsid w:val="000A767C"/>
    <w:rsid w:val="000B0090"/>
    <w:rsid w:val="000B2E81"/>
    <w:rsid w:val="000B3E67"/>
    <w:rsid w:val="000B595E"/>
    <w:rsid w:val="000B5F43"/>
    <w:rsid w:val="000B6387"/>
    <w:rsid w:val="000B63F6"/>
    <w:rsid w:val="000B74C8"/>
    <w:rsid w:val="000B7A61"/>
    <w:rsid w:val="000C0CB8"/>
    <w:rsid w:val="000C2429"/>
    <w:rsid w:val="000C2929"/>
    <w:rsid w:val="000C29F5"/>
    <w:rsid w:val="000C2F50"/>
    <w:rsid w:val="000C31A8"/>
    <w:rsid w:val="000C34BF"/>
    <w:rsid w:val="000C38DA"/>
    <w:rsid w:val="000C41B6"/>
    <w:rsid w:val="000C4981"/>
    <w:rsid w:val="000C5D02"/>
    <w:rsid w:val="000C6017"/>
    <w:rsid w:val="000C78D7"/>
    <w:rsid w:val="000D0320"/>
    <w:rsid w:val="000D0576"/>
    <w:rsid w:val="000D0677"/>
    <w:rsid w:val="000D1E08"/>
    <w:rsid w:val="000D233F"/>
    <w:rsid w:val="000D3E2B"/>
    <w:rsid w:val="000D429C"/>
    <w:rsid w:val="000D4F3C"/>
    <w:rsid w:val="000D5529"/>
    <w:rsid w:val="000D603B"/>
    <w:rsid w:val="000D628C"/>
    <w:rsid w:val="000D788E"/>
    <w:rsid w:val="000E0AF7"/>
    <w:rsid w:val="000E0FE2"/>
    <w:rsid w:val="000E3C03"/>
    <w:rsid w:val="000E3E12"/>
    <w:rsid w:val="000E74E6"/>
    <w:rsid w:val="000E7A29"/>
    <w:rsid w:val="000E7E8D"/>
    <w:rsid w:val="000E7EF0"/>
    <w:rsid w:val="000F1AE3"/>
    <w:rsid w:val="000F2C2E"/>
    <w:rsid w:val="000F379C"/>
    <w:rsid w:val="000F431A"/>
    <w:rsid w:val="000F456E"/>
    <w:rsid w:val="000F4C45"/>
    <w:rsid w:val="000F4E91"/>
    <w:rsid w:val="000F5E56"/>
    <w:rsid w:val="000F744F"/>
    <w:rsid w:val="001011C7"/>
    <w:rsid w:val="00101531"/>
    <w:rsid w:val="00102290"/>
    <w:rsid w:val="001030DE"/>
    <w:rsid w:val="00103505"/>
    <w:rsid w:val="0010355D"/>
    <w:rsid w:val="001046A6"/>
    <w:rsid w:val="001065EE"/>
    <w:rsid w:val="001100D8"/>
    <w:rsid w:val="0011011B"/>
    <w:rsid w:val="00114FE1"/>
    <w:rsid w:val="0011504D"/>
    <w:rsid w:val="00115BA2"/>
    <w:rsid w:val="00117A3D"/>
    <w:rsid w:val="00120303"/>
    <w:rsid w:val="00120533"/>
    <w:rsid w:val="001206A2"/>
    <w:rsid w:val="001207F8"/>
    <w:rsid w:val="00121236"/>
    <w:rsid w:val="001212E6"/>
    <w:rsid w:val="00122243"/>
    <w:rsid w:val="00122B8C"/>
    <w:rsid w:val="00123A4D"/>
    <w:rsid w:val="00124F15"/>
    <w:rsid w:val="00126150"/>
    <w:rsid w:val="00126BDE"/>
    <w:rsid w:val="00127386"/>
    <w:rsid w:val="001273B0"/>
    <w:rsid w:val="00130239"/>
    <w:rsid w:val="001304E5"/>
    <w:rsid w:val="00130712"/>
    <w:rsid w:val="00130F2A"/>
    <w:rsid w:val="0013477B"/>
    <w:rsid w:val="001348D4"/>
    <w:rsid w:val="00134A68"/>
    <w:rsid w:val="00135290"/>
    <w:rsid w:val="001362EE"/>
    <w:rsid w:val="001376C2"/>
    <w:rsid w:val="00140566"/>
    <w:rsid w:val="00140C73"/>
    <w:rsid w:val="001457F8"/>
    <w:rsid w:val="00145CF6"/>
    <w:rsid w:val="00145DCA"/>
    <w:rsid w:val="001464C5"/>
    <w:rsid w:val="00147F6A"/>
    <w:rsid w:val="00150630"/>
    <w:rsid w:val="00151E65"/>
    <w:rsid w:val="00152030"/>
    <w:rsid w:val="00152D39"/>
    <w:rsid w:val="00154BA9"/>
    <w:rsid w:val="00156449"/>
    <w:rsid w:val="00157209"/>
    <w:rsid w:val="00161FEE"/>
    <w:rsid w:val="00162E55"/>
    <w:rsid w:val="00163310"/>
    <w:rsid w:val="0016464F"/>
    <w:rsid w:val="00164D66"/>
    <w:rsid w:val="001657CC"/>
    <w:rsid w:val="001660DE"/>
    <w:rsid w:val="001663CB"/>
    <w:rsid w:val="001664BF"/>
    <w:rsid w:val="00166600"/>
    <w:rsid w:val="00170BB7"/>
    <w:rsid w:val="00171997"/>
    <w:rsid w:val="001723DC"/>
    <w:rsid w:val="0017335C"/>
    <w:rsid w:val="00173F9E"/>
    <w:rsid w:val="00175B1D"/>
    <w:rsid w:val="00176587"/>
    <w:rsid w:val="00177537"/>
    <w:rsid w:val="001823C9"/>
    <w:rsid w:val="00182EB2"/>
    <w:rsid w:val="001832A6"/>
    <w:rsid w:val="001838F8"/>
    <w:rsid w:val="00184628"/>
    <w:rsid w:val="00185A0E"/>
    <w:rsid w:val="00187DE3"/>
    <w:rsid w:val="00190575"/>
    <w:rsid w:val="001917D0"/>
    <w:rsid w:val="00191946"/>
    <w:rsid w:val="001921A9"/>
    <w:rsid w:val="00193247"/>
    <w:rsid w:val="001960F1"/>
    <w:rsid w:val="00196804"/>
    <w:rsid w:val="001968D7"/>
    <w:rsid w:val="001969AB"/>
    <w:rsid w:val="00197B09"/>
    <w:rsid w:val="001A05FC"/>
    <w:rsid w:val="001A0A0E"/>
    <w:rsid w:val="001A15E2"/>
    <w:rsid w:val="001A181A"/>
    <w:rsid w:val="001A3451"/>
    <w:rsid w:val="001A50D8"/>
    <w:rsid w:val="001A6534"/>
    <w:rsid w:val="001B0C6A"/>
    <w:rsid w:val="001B11C3"/>
    <w:rsid w:val="001B1497"/>
    <w:rsid w:val="001B20F9"/>
    <w:rsid w:val="001B2CAC"/>
    <w:rsid w:val="001B3BCC"/>
    <w:rsid w:val="001B43B7"/>
    <w:rsid w:val="001B4E16"/>
    <w:rsid w:val="001B601C"/>
    <w:rsid w:val="001C0478"/>
    <w:rsid w:val="001C0B1F"/>
    <w:rsid w:val="001C1A27"/>
    <w:rsid w:val="001C2B1A"/>
    <w:rsid w:val="001C3A3B"/>
    <w:rsid w:val="001C3CFB"/>
    <w:rsid w:val="001C444F"/>
    <w:rsid w:val="001C449C"/>
    <w:rsid w:val="001C5E35"/>
    <w:rsid w:val="001C63C3"/>
    <w:rsid w:val="001C6977"/>
    <w:rsid w:val="001D021D"/>
    <w:rsid w:val="001D02D9"/>
    <w:rsid w:val="001D0789"/>
    <w:rsid w:val="001D208A"/>
    <w:rsid w:val="001D2962"/>
    <w:rsid w:val="001D2F78"/>
    <w:rsid w:val="001D40C3"/>
    <w:rsid w:val="001D50A7"/>
    <w:rsid w:val="001D6603"/>
    <w:rsid w:val="001D74DD"/>
    <w:rsid w:val="001D7E70"/>
    <w:rsid w:val="001E2613"/>
    <w:rsid w:val="001E28FA"/>
    <w:rsid w:val="001E38F6"/>
    <w:rsid w:val="001E42EE"/>
    <w:rsid w:val="001E5A70"/>
    <w:rsid w:val="001E7B84"/>
    <w:rsid w:val="001F1EF7"/>
    <w:rsid w:val="001F37F5"/>
    <w:rsid w:val="001F55F6"/>
    <w:rsid w:val="001F5C38"/>
    <w:rsid w:val="001F5FD0"/>
    <w:rsid w:val="001F71AD"/>
    <w:rsid w:val="001F71C4"/>
    <w:rsid w:val="00200046"/>
    <w:rsid w:val="00202288"/>
    <w:rsid w:val="002023C0"/>
    <w:rsid w:val="002033C3"/>
    <w:rsid w:val="00204174"/>
    <w:rsid w:val="00204E82"/>
    <w:rsid w:val="00204F40"/>
    <w:rsid w:val="00206266"/>
    <w:rsid w:val="002065BA"/>
    <w:rsid w:val="00206768"/>
    <w:rsid w:val="00206A7F"/>
    <w:rsid w:val="00206FBF"/>
    <w:rsid w:val="002104F6"/>
    <w:rsid w:val="002106CC"/>
    <w:rsid w:val="00211A84"/>
    <w:rsid w:val="00212CE4"/>
    <w:rsid w:val="00213425"/>
    <w:rsid w:val="0021626A"/>
    <w:rsid w:val="002169E3"/>
    <w:rsid w:val="002171B1"/>
    <w:rsid w:val="00217B7C"/>
    <w:rsid w:val="002200ED"/>
    <w:rsid w:val="00220618"/>
    <w:rsid w:val="00220A2D"/>
    <w:rsid w:val="002212D3"/>
    <w:rsid w:val="00221B02"/>
    <w:rsid w:val="00221BAA"/>
    <w:rsid w:val="00222D75"/>
    <w:rsid w:val="0022316C"/>
    <w:rsid w:val="002236D0"/>
    <w:rsid w:val="002253C0"/>
    <w:rsid w:val="00225886"/>
    <w:rsid w:val="00225891"/>
    <w:rsid w:val="002272F9"/>
    <w:rsid w:val="0022762E"/>
    <w:rsid w:val="00231B6F"/>
    <w:rsid w:val="00232649"/>
    <w:rsid w:val="00233349"/>
    <w:rsid w:val="00233508"/>
    <w:rsid w:val="00234102"/>
    <w:rsid w:val="00234B46"/>
    <w:rsid w:val="00234DD2"/>
    <w:rsid w:val="002350D8"/>
    <w:rsid w:val="002361C9"/>
    <w:rsid w:val="00236E84"/>
    <w:rsid w:val="002375A8"/>
    <w:rsid w:val="00237F8D"/>
    <w:rsid w:val="0024019A"/>
    <w:rsid w:val="002403EB"/>
    <w:rsid w:val="0024152D"/>
    <w:rsid w:val="00241BE6"/>
    <w:rsid w:val="0024268A"/>
    <w:rsid w:val="002439DA"/>
    <w:rsid w:val="00243B79"/>
    <w:rsid w:val="00244FE1"/>
    <w:rsid w:val="00245AC0"/>
    <w:rsid w:val="00245FAC"/>
    <w:rsid w:val="00247A8E"/>
    <w:rsid w:val="00247C48"/>
    <w:rsid w:val="00250556"/>
    <w:rsid w:val="002518D4"/>
    <w:rsid w:val="002545B7"/>
    <w:rsid w:val="00254FC2"/>
    <w:rsid w:val="0025759D"/>
    <w:rsid w:val="00257F44"/>
    <w:rsid w:val="00260F30"/>
    <w:rsid w:val="0026226C"/>
    <w:rsid w:val="00262465"/>
    <w:rsid w:val="002634C4"/>
    <w:rsid w:val="00263523"/>
    <w:rsid w:val="00264448"/>
    <w:rsid w:val="00264A98"/>
    <w:rsid w:val="00264C1D"/>
    <w:rsid w:val="00266B33"/>
    <w:rsid w:val="0026747D"/>
    <w:rsid w:val="00270863"/>
    <w:rsid w:val="00271EB7"/>
    <w:rsid w:val="00271FA7"/>
    <w:rsid w:val="002725F5"/>
    <w:rsid w:val="00272D02"/>
    <w:rsid w:val="00273349"/>
    <w:rsid w:val="00273B65"/>
    <w:rsid w:val="00273D41"/>
    <w:rsid w:val="0027441B"/>
    <w:rsid w:val="002745E8"/>
    <w:rsid w:val="00275B47"/>
    <w:rsid w:val="00277E02"/>
    <w:rsid w:val="002802C2"/>
    <w:rsid w:val="00282C01"/>
    <w:rsid w:val="002830BB"/>
    <w:rsid w:val="00283259"/>
    <w:rsid w:val="00285AC3"/>
    <w:rsid w:val="00285B64"/>
    <w:rsid w:val="00285C78"/>
    <w:rsid w:val="00285E1B"/>
    <w:rsid w:val="002873E6"/>
    <w:rsid w:val="00290900"/>
    <w:rsid w:val="002918E6"/>
    <w:rsid w:val="002928D3"/>
    <w:rsid w:val="00292C63"/>
    <w:rsid w:val="002967A1"/>
    <w:rsid w:val="002A0453"/>
    <w:rsid w:val="002A0C8D"/>
    <w:rsid w:val="002A336E"/>
    <w:rsid w:val="002A3655"/>
    <w:rsid w:val="002A4E15"/>
    <w:rsid w:val="002A57D8"/>
    <w:rsid w:val="002A6430"/>
    <w:rsid w:val="002A6F28"/>
    <w:rsid w:val="002B08C5"/>
    <w:rsid w:val="002B0AF9"/>
    <w:rsid w:val="002B17F4"/>
    <w:rsid w:val="002B1CDB"/>
    <w:rsid w:val="002B289D"/>
    <w:rsid w:val="002B3AEB"/>
    <w:rsid w:val="002B4224"/>
    <w:rsid w:val="002B44FE"/>
    <w:rsid w:val="002B53AF"/>
    <w:rsid w:val="002B54CE"/>
    <w:rsid w:val="002B6395"/>
    <w:rsid w:val="002B72C3"/>
    <w:rsid w:val="002C0242"/>
    <w:rsid w:val="002C0348"/>
    <w:rsid w:val="002C29D2"/>
    <w:rsid w:val="002C3131"/>
    <w:rsid w:val="002C36D7"/>
    <w:rsid w:val="002C4755"/>
    <w:rsid w:val="002C5075"/>
    <w:rsid w:val="002C5702"/>
    <w:rsid w:val="002C5ADD"/>
    <w:rsid w:val="002C6107"/>
    <w:rsid w:val="002C6722"/>
    <w:rsid w:val="002C6DC3"/>
    <w:rsid w:val="002D00B1"/>
    <w:rsid w:val="002D0EEC"/>
    <w:rsid w:val="002D1606"/>
    <w:rsid w:val="002D2E3F"/>
    <w:rsid w:val="002D33AE"/>
    <w:rsid w:val="002D3C86"/>
    <w:rsid w:val="002D4A16"/>
    <w:rsid w:val="002D4D2D"/>
    <w:rsid w:val="002D4F55"/>
    <w:rsid w:val="002D6177"/>
    <w:rsid w:val="002D6906"/>
    <w:rsid w:val="002D69AC"/>
    <w:rsid w:val="002D6E5F"/>
    <w:rsid w:val="002D79A1"/>
    <w:rsid w:val="002D7DE4"/>
    <w:rsid w:val="002E01A8"/>
    <w:rsid w:val="002E1BAB"/>
    <w:rsid w:val="002E332E"/>
    <w:rsid w:val="002E3407"/>
    <w:rsid w:val="002E3D27"/>
    <w:rsid w:val="002E5C95"/>
    <w:rsid w:val="002E5CFE"/>
    <w:rsid w:val="002F0313"/>
    <w:rsid w:val="002F0ACA"/>
    <w:rsid w:val="002F1020"/>
    <w:rsid w:val="002F1109"/>
    <w:rsid w:val="002F1999"/>
    <w:rsid w:val="002F1F64"/>
    <w:rsid w:val="002F1FE6"/>
    <w:rsid w:val="002F2046"/>
    <w:rsid w:val="002F227F"/>
    <w:rsid w:val="002F2353"/>
    <w:rsid w:val="002F30C8"/>
    <w:rsid w:val="002F334E"/>
    <w:rsid w:val="002F3B08"/>
    <w:rsid w:val="002F4515"/>
    <w:rsid w:val="002F4E68"/>
    <w:rsid w:val="002F62A9"/>
    <w:rsid w:val="002F72BC"/>
    <w:rsid w:val="002F7546"/>
    <w:rsid w:val="002F7F8D"/>
    <w:rsid w:val="00302E87"/>
    <w:rsid w:val="003044B6"/>
    <w:rsid w:val="003045AD"/>
    <w:rsid w:val="003046F0"/>
    <w:rsid w:val="00304D32"/>
    <w:rsid w:val="00305ACB"/>
    <w:rsid w:val="003060C4"/>
    <w:rsid w:val="0030633C"/>
    <w:rsid w:val="00312F7F"/>
    <w:rsid w:val="00314F37"/>
    <w:rsid w:val="00315417"/>
    <w:rsid w:val="00316AD9"/>
    <w:rsid w:val="00316F94"/>
    <w:rsid w:val="0032013A"/>
    <w:rsid w:val="00321D97"/>
    <w:rsid w:val="003220AC"/>
    <w:rsid w:val="00323440"/>
    <w:rsid w:val="00324EDA"/>
    <w:rsid w:val="00326435"/>
    <w:rsid w:val="00326608"/>
    <w:rsid w:val="00326819"/>
    <w:rsid w:val="00327D81"/>
    <w:rsid w:val="00331912"/>
    <w:rsid w:val="003325F0"/>
    <w:rsid w:val="00332761"/>
    <w:rsid w:val="00332BC2"/>
    <w:rsid w:val="00336977"/>
    <w:rsid w:val="00337D2A"/>
    <w:rsid w:val="00340118"/>
    <w:rsid w:val="00340574"/>
    <w:rsid w:val="00341751"/>
    <w:rsid w:val="003426D6"/>
    <w:rsid w:val="0034351F"/>
    <w:rsid w:val="003446F8"/>
    <w:rsid w:val="0034781C"/>
    <w:rsid w:val="00350A28"/>
    <w:rsid w:val="00350F88"/>
    <w:rsid w:val="00352775"/>
    <w:rsid w:val="00352B65"/>
    <w:rsid w:val="00352F5F"/>
    <w:rsid w:val="003546BE"/>
    <w:rsid w:val="003568BC"/>
    <w:rsid w:val="00357506"/>
    <w:rsid w:val="003578B7"/>
    <w:rsid w:val="0035792A"/>
    <w:rsid w:val="003607B4"/>
    <w:rsid w:val="00360D4D"/>
    <w:rsid w:val="00361450"/>
    <w:rsid w:val="00361A7D"/>
    <w:rsid w:val="0036318A"/>
    <w:rsid w:val="0036463C"/>
    <w:rsid w:val="00364B61"/>
    <w:rsid w:val="00365494"/>
    <w:rsid w:val="003661F8"/>
    <w:rsid w:val="003663FE"/>
    <w:rsid w:val="00366BFE"/>
    <w:rsid w:val="003673CF"/>
    <w:rsid w:val="003679A8"/>
    <w:rsid w:val="003705EC"/>
    <w:rsid w:val="00370A1D"/>
    <w:rsid w:val="00370E14"/>
    <w:rsid w:val="00371718"/>
    <w:rsid w:val="0037345C"/>
    <w:rsid w:val="003742AB"/>
    <w:rsid w:val="00374AE1"/>
    <w:rsid w:val="00374DDB"/>
    <w:rsid w:val="00375282"/>
    <w:rsid w:val="00375F55"/>
    <w:rsid w:val="00376785"/>
    <w:rsid w:val="003771D4"/>
    <w:rsid w:val="003779F6"/>
    <w:rsid w:val="00381D17"/>
    <w:rsid w:val="003832C1"/>
    <w:rsid w:val="00384531"/>
    <w:rsid w:val="003845C1"/>
    <w:rsid w:val="00385242"/>
    <w:rsid w:val="0038590F"/>
    <w:rsid w:val="003922D3"/>
    <w:rsid w:val="00392DCB"/>
    <w:rsid w:val="00395F53"/>
    <w:rsid w:val="003974C2"/>
    <w:rsid w:val="003A04A0"/>
    <w:rsid w:val="003A07A2"/>
    <w:rsid w:val="003A1716"/>
    <w:rsid w:val="003A1CFF"/>
    <w:rsid w:val="003A21FE"/>
    <w:rsid w:val="003A3759"/>
    <w:rsid w:val="003A394E"/>
    <w:rsid w:val="003A3DFC"/>
    <w:rsid w:val="003A4E8D"/>
    <w:rsid w:val="003A5267"/>
    <w:rsid w:val="003A6D36"/>
    <w:rsid w:val="003A6F89"/>
    <w:rsid w:val="003A7103"/>
    <w:rsid w:val="003B38C1"/>
    <w:rsid w:val="003B42E9"/>
    <w:rsid w:val="003B4AD0"/>
    <w:rsid w:val="003B4AE4"/>
    <w:rsid w:val="003B54B1"/>
    <w:rsid w:val="003B568F"/>
    <w:rsid w:val="003B7036"/>
    <w:rsid w:val="003C1BBF"/>
    <w:rsid w:val="003C28E0"/>
    <w:rsid w:val="003C51FD"/>
    <w:rsid w:val="003C6503"/>
    <w:rsid w:val="003C688D"/>
    <w:rsid w:val="003D2BF8"/>
    <w:rsid w:val="003D4298"/>
    <w:rsid w:val="003D5C10"/>
    <w:rsid w:val="003D608A"/>
    <w:rsid w:val="003D6687"/>
    <w:rsid w:val="003D71F5"/>
    <w:rsid w:val="003E0062"/>
    <w:rsid w:val="003E02CA"/>
    <w:rsid w:val="003E0AFD"/>
    <w:rsid w:val="003E1503"/>
    <w:rsid w:val="003E1C56"/>
    <w:rsid w:val="003E264C"/>
    <w:rsid w:val="003E2DB4"/>
    <w:rsid w:val="003E3E1B"/>
    <w:rsid w:val="003E41C2"/>
    <w:rsid w:val="003E498A"/>
    <w:rsid w:val="003E62E6"/>
    <w:rsid w:val="003E6B1E"/>
    <w:rsid w:val="003F09ED"/>
    <w:rsid w:val="003F0DBC"/>
    <w:rsid w:val="003F1C5E"/>
    <w:rsid w:val="003F22F8"/>
    <w:rsid w:val="003F322D"/>
    <w:rsid w:val="003F3373"/>
    <w:rsid w:val="003F4079"/>
    <w:rsid w:val="003F6118"/>
    <w:rsid w:val="003F64F6"/>
    <w:rsid w:val="00401212"/>
    <w:rsid w:val="004013AD"/>
    <w:rsid w:val="004023BF"/>
    <w:rsid w:val="00402D55"/>
    <w:rsid w:val="00403104"/>
    <w:rsid w:val="00403772"/>
    <w:rsid w:val="00403EFC"/>
    <w:rsid w:val="004052FE"/>
    <w:rsid w:val="004064C6"/>
    <w:rsid w:val="004066BA"/>
    <w:rsid w:val="00411736"/>
    <w:rsid w:val="0041314D"/>
    <w:rsid w:val="00413E50"/>
    <w:rsid w:val="00414306"/>
    <w:rsid w:val="00414C69"/>
    <w:rsid w:val="00415940"/>
    <w:rsid w:val="004168A9"/>
    <w:rsid w:val="00417EEE"/>
    <w:rsid w:val="00420370"/>
    <w:rsid w:val="00422C5C"/>
    <w:rsid w:val="00422E08"/>
    <w:rsid w:val="00423B2F"/>
    <w:rsid w:val="00423E3E"/>
    <w:rsid w:val="0042595E"/>
    <w:rsid w:val="004260A0"/>
    <w:rsid w:val="00427AF4"/>
    <w:rsid w:val="00430473"/>
    <w:rsid w:val="00432BA3"/>
    <w:rsid w:val="00432C8C"/>
    <w:rsid w:val="00432C91"/>
    <w:rsid w:val="00432F96"/>
    <w:rsid w:val="00433BF9"/>
    <w:rsid w:val="004343D1"/>
    <w:rsid w:val="00434A70"/>
    <w:rsid w:val="00434DFB"/>
    <w:rsid w:val="00435B74"/>
    <w:rsid w:val="00435D97"/>
    <w:rsid w:val="004360F5"/>
    <w:rsid w:val="004364AC"/>
    <w:rsid w:val="004366D4"/>
    <w:rsid w:val="00437D17"/>
    <w:rsid w:val="00437F80"/>
    <w:rsid w:val="0044036B"/>
    <w:rsid w:val="00440F9C"/>
    <w:rsid w:val="0044274B"/>
    <w:rsid w:val="00442790"/>
    <w:rsid w:val="0044285A"/>
    <w:rsid w:val="004431CF"/>
    <w:rsid w:val="00444DBD"/>
    <w:rsid w:val="00445019"/>
    <w:rsid w:val="00445748"/>
    <w:rsid w:val="0044637A"/>
    <w:rsid w:val="0044666F"/>
    <w:rsid w:val="00447CE0"/>
    <w:rsid w:val="00447F1A"/>
    <w:rsid w:val="00447F1F"/>
    <w:rsid w:val="00450DF7"/>
    <w:rsid w:val="00452608"/>
    <w:rsid w:val="004529BC"/>
    <w:rsid w:val="00452AEE"/>
    <w:rsid w:val="00453E9A"/>
    <w:rsid w:val="00454032"/>
    <w:rsid w:val="0045645B"/>
    <w:rsid w:val="004568BC"/>
    <w:rsid w:val="004568C5"/>
    <w:rsid w:val="00457521"/>
    <w:rsid w:val="00460DFE"/>
    <w:rsid w:val="0046190B"/>
    <w:rsid w:val="0046294F"/>
    <w:rsid w:val="00462B2E"/>
    <w:rsid w:val="004647DA"/>
    <w:rsid w:val="00464D5E"/>
    <w:rsid w:val="00464FEE"/>
    <w:rsid w:val="004652C8"/>
    <w:rsid w:val="00467201"/>
    <w:rsid w:val="004675A2"/>
    <w:rsid w:val="00467B3E"/>
    <w:rsid w:val="00471BBE"/>
    <w:rsid w:val="0047209A"/>
    <w:rsid w:val="00472BD6"/>
    <w:rsid w:val="004730AC"/>
    <w:rsid w:val="00474062"/>
    <w:rsid w:val="0047407B"/>
    <w:rsid w:val="00475482"/>
    <w:rsid w:val="0047621C"/>
    <w:rsid w:val="00476385"/>
    <w:rsid w:val="004769C6"/>
    <w:rsid w:val="0047791E"/>
    <w:rsid w:val="00477D53"/>
    <w:rsid w:val="00477D6B"/>
    <w:rsid w:val="00477DA5"/>
    <w:rsid w:val="00481925"/>
    <w:rsid w:val="00481D97"/>
    <w:rsid w:val="00485DB6"/>
    <w:rsid w:val="00486453"/>
    <w:rsid w:val="00491553"/>
    <w:rsid w:val="00491EBC"/>
    <w:rsid w:val="004938A3"/>
    <w:rsid w:val="00494729"/>
    <w:rsid w:val="00494A94"/>
    <w:rsid w:val="00495ED7"/>
    <w:rsid w:val="00497276"/>
    <w:rsid w:val="00497369"/>
    <w:rsid w:val="00497B21"/>
    <w:rsid w:val="00497DFC"/>
    <w:rsid w:val="004A1093"/>
    <w:rsid w:val="004A2CC0"/>
    <w:rsid w:val="004A476C"/>
    <w:rsid w:val="004A6D02"/>
    <w:rsid w:val="004A74A2"/>
    <w:rsid w:val="004B0BE6"/>
    <w:rsid w:val="004B1A07"/>
    <w:rsid w:val="004B21ED"/>
    <w:rsid w:val="004B23F8"/>
    <w:rsid w:val="004B38A6"/>
    <w:rsid w:val="004B67C6"/>
    <w:rsid w:val="004C0060"/>
    <w:rsid w:val="004C21DF"/>
    <w:rsid w:val="004C260D"/>
    <w:rsid w:val="004C32F0"/>
    <w:rsid w:val="004C5D38"/>
    <w:rsid w:val="004C6524"/>
    <w:rsid w:val="004C7397"/>
    <w:rsid w:val="004C7A56"/>
    <w:rsid w:val="004C7CC0"/>
    <w:rsid w:val="004D1055"/>
    <w:rsid w:val="004D12A0"/>
    <w:rsid w:val="004D1393"/>
    <w:rsid w:val="004D1A7C"/>
    <w:rsid w:val="004D1DD3"/>
    <w:rsid w:val="004D1E55"/>
    <w:rsid w:val="004D3D19"/>
    <w:rsid w:val="004D4844"/>
    <w:rsid w:val="004D5401"/>
    <w:rsid w:val="004D63B7"/>
    <w:rsid w:val="004D64B3"/>
    <w:rsid w:val="004D6D69"/>
    <w:rsid w:val="004E0119"/>
    <w:rsid w:val="004E0F8C"/>
    <w:rsid w:val="004E1AB0"/>
    <w:rsid w:val="004E3CA7"/>
    <w:rsid w:val="004E3D86"/>
    <w:rsid w:val="004E4238"/>
    <w:rsid w:val="004E4ECF"/>
    <w:rsid w:val="004E607A"/>
    <w:rsid w:val="004E6E82"/>
    <w:rsid w:val="004E7235"/>
    <w:rsid w:val="004E75F1"/>
    <w:rsid w:val="004F052C"/>
    <w:rsid w:val="004F14E5"/>
    <w:rsid w:val="004F16CE"/>
    <w:rsid w:val="004F1B26"/>
    <w:rsid w:val="004F1C04"/>
    <w:rsid w:val="004F2C89"/>
    <w:rsid w:val="004F2DAD"/>
    <w:rsid w:val="004F57E5"/>
    <w:rsid w:val="004F7B34"/>
    <w:rsid w:val="0050031D"/>
    <w:rsid w:val="005008F8"/>
    <w:rsid w:val="005019FF"/>
    <w:rsid w:val="00502467"/>
    <w:rsid w:val="00502D65"/>
    <w:rsid w:val="005044FA"/>
    <w:rsid w:val="00505D58"/>
    <w:rsid w:val="00506121"/>
    <w:rsid w:val="0050640D"/>
    <w:rsid w:val="005069B5"/>
    <w:rsid w:val="005073A2"/>
    <w:rsid w:val="00510182"/>
    <w:rsid w:val="0051075A"/>
    <w:rsid w:val="00510E2B"/>
    <w:rsid w:val="005121D7"/>
    <w:rsid w:val="0051497C"/>
    <w:rsid w:val="00515A66"/>
    <w:rsid w:val="005160A7"/>
    <w:rsid w:val="00517C8F"/>
    <w:rsid w:val="00520AAB"/>
    <w:rsid w:val="00520EBE"/>
    <w:rsid w:val="00522199"/>
    <w:rsid w:val="00524095"/>
    <w:rsid w:val="005250C2"/>
    <w:rsid w:val="00526356"/>
    <w:rsid w:val="00526B7E"/>
    <w:rsid w:val="00527F7F"/>
    <w:rsid w:val="0053057A"/>
    <w:rsid w:val="005309CB"/>
    <w:rsid w:val="00532327"/>
    <w:rsid w:val="005333AC"/>
    <w:rsid w:val="005338E7"/>
    <w:rsid w:val="00533A35"/>
    <w:rsid w:val="00533D1D"/>
    <w:rsid w:val="00534E22"/>
    <w:rsid w:val="00536C85"/>
    <w:rsid w:val="005373B8"/>
    <w:rsid w:val="00537795"/>
    <w:rsid w:val="00537FC6"/>
    <w:rsid w:val="00541080"/>
    <w:rsid w:val="00541905"/>
    <w:rsid w:val="0054406E"/>
    <w:rsid w:val="00544C2D"/>
    <w:rsid w:val="005459FB"/>
    <w:rsid w:val="00546883"/>
    <w:rsid w:val="00547068"/>
    <w:rsid w:val="00551E16"/>
    <w:rsid w:val="00552C2C"/>
    <w:rsid w:val="00552D05"/>
    <w:rsid w:val="00555CC7"/>
    <w:rsid w:val="00560A29"/>
    <w:rsid w:val="00564188"/>
    <w:rsid w:val="00564D87"/>
    <w:rsid w:val="00566E57"/>
    <w:rsid w:val="005702FF"/>
    <w:rsid w:val="00571AE7"/>
    <w:rsid w:val="00571B63"/>
    <w:rsid w:val="0057259D"/>
    <w:rsid w:val="0057574F"/>
    <w:rsid w:val="00575ABC"/>
    <w:rsid w:val="005765C8"/>
    <w:rsid w:val="00576A69"/>
    <w:rsid w:val="00576AA2"/>
    <w:rsid w:val="00577AF6"/>
    <w:rsid w:val="00582173"/>
    <w:rsid w:val="00582A98"/>
    <w:rsid w:val="0058385C"/>
    <w:rsid w:val="00583CB9"/>
    <w:rsid w:val="00584098"/>
    <w:rsid w:val="00585057"/>
    <w:rsid w:val="00586AA2"/>
    <w:rsid w:val="005874FE"/>
    <w:rsid w:val="00587631"/>
    <w:rsid w:val="00591F00"/>
    <w:rsid w:val="00593DF0"/>
    <w:rsid w:val="0059722A"/>
    <w:rsid w:val="005975BE"/>
    <w:rsid w:val="00597893"/>
    <w:rsid w:val="005A0D2C"/>
    <w:rsid w:val="005A1C8B"/>
    <w:rsid w:val="005A26A3"/>
    <w:rsid w:val="005A2B5C"/>
    <w:rsid w:val="005A3493"/>
    <w:rsid w:val="005A4849"/>
    <w:rsid w:val="005A4E64"/>
    <w:rsid w:val="005A5FC6"/>
    <w:rsid w:val="005A6FC8"/>
    <w:rsid w:val="005B0A5A"/>
    <w:rsid w:val="005B44D6"/>
    <w:rsid w:val="005B4947"/>
    <w:rsid w:val="005B5A65"/>
    <w:rsid w:val="005B7742"/>
    <w:rsid w:val="005C0A81"/>
    <w:rsid w:val="005C1BCC"/>
    <w:rsid w:val="005C2113"/>
    <w:rsid w:val="005C4704"/>
    <w:rsid w:val="005C5083"/>
    <w:rsid w:val="005C61BC"/>
    <w:rsid w:val="005C65AD"/>
    <w:rsid w:val="005C6649"/>
    <w:rsid w:val="005C7970"/>
    <w:rsid w:val="005D4371"/>
    <w:rsid w:val="005D4856"/>
    <w:rsid w:val="005D505E"/>
    <w:rsid w:val="005E20B2"/>
    <w:rsid w:val="005E24B8"/>
    <w:rsid w:val="005E3AA0"/>
    <w:rsid w:val="005E50E6"/>
    <w:rsid w:val="005E6DFC"/>
    <w:rsid w:val="005E7EEE"/>
    <w:rsid w:val="005F0470"/>
    <w:rsid w:val="005F0B76"/>
    <w:rsid w:val="005F299B"/>
    <w:rsid w:val="005F2CCD"/>
    <w:rsid w:val="005F4346"/>
    <w:rsid w:val="005F6AFC"/>
    <w:rsid w:val="005F72D1"/>
    <w:rsid w:val="005F7410"/>
    <w:rsid w:val="005F746A"/>
    <w:rsid w:val="005F75C9"/>
    <w:rsid w:val="006008E0"/>
    <w:rsid w:val="00600BE3"/>
    <w:rsid w:val="00601923"/>
    <w:rsid w:val="00601E2E"/>
    <w:rsid w:val="00602E94"/>
    <w:rsid w:val="006035B0"/>
    <w:rsid w:val="00603BF2"/>
    <w:rsid w:val="00604886"/>
    <w:rsid w:val="0060511A"/>
    <w:rsid w:val="00605827"/>
    <w:rsid w:val="006071CC"/>
    <w:rsid w:val="006076FE"/>
    <w:rsid w:val="00611734"/>
    <w:rsid w:val="006124BB"/>
    <w:rsid w:val="006133D9"/>
    <w:rsid w:val="006148F3"/>
    <w:rsid w:val="00614A6B"/>
    <w:rsid w:val="0061595D"/>
    <w:rsid w:val="00615DD4"/>
    <w:rsid w:val="00617374"/>
    <w:rsid w:val="00622691"/>
    <w:rsid w:val="00625BC8"/>
    <w:rsid w:val="006261C5"/>
    <w:rsid w:val="00626578"/>
    <w:rsid w:val="00630EE7"/>
    <w:rsid w:val="00633069"/>
    <w:rsid w:val="00633C69"/>
    <w:rsid w:val="00633E2C"/>
    <w:rsid w:val="006354FC"/>
    <w:rsid w:val="00635519"/>
    <w:rsid w:val="0063613C"/>
    <w:rsid w:val="006362F1"/>
    <w:rsid w:val="006367E6"/>
    <w:rsid w:val="00636C7B"/>
    <w:rsid w:val="00637AFC"/>
    <w:rsid w:val="00637BC6"/>
    <w:rsid w:val="00640B4F"/>
    <w:rsid w:val="00641929"/>
    <w:rsid w:val="00641DEF"/>
    <w:rsid w:val="00643C1D"/>
    <w:rsid w:val="00643DAA"/>
    <w:rsid w:val="00644764"/>
    <w:rsid w:val="00644D04"/>
    <w:rsid w:val="00645AFA"/>
    <w:rsid w:val="00646050"/>
    <w:rsid w:val="00646466"/>
    <w:rsid w:val="00647EC6"/>
    <w:rsid w:val="006504B4"/>
    <w:rsid w:val="006514F0"/>
    <w:rsid w:val="006519AB"/>
    <w:rsid w:val="00652934"/>
    <w:rsid w:val="00653621"/>
    <w:rsid w:val="00654D84"/>
    <w:rsid w:val="00656E63"/>
    <w:rsid w:val="0065769E"/>
    <w:rsid w:val="00660398"/>
    <w:rsid w:val="006607BB"/>
    <w:rsid w:val="00662F2D"/>
    <w:rsid w:val="00663799"/>
    <w:rsid w:val="00663B29"/>
    <w:rsid w:val="006650A4"/>
    <w:rsid w:val="0066566F"/>
    <w:rsid w:val="006677A1"/>
    <w:rsid w:val="006678B6"/>
    <w:rsid w:val="00667EB6"/>
    <w:rsid w:val="006713CA"/>
    <w:rsid w:val="00672AC7"/>
    <w:rsid w:val="006748EE"/>
    <w:rsid w:val="00674A21"/>
    <w:rsid w:val="006755BD"/>
    <w:rsid w:val="006764A3"/>
    <w:rsid w:val="006769B9"/>
    <w:rsid w:val="00676C5C"/>
    <w:rsid w:val="00677224"/>
    <w:rsid w:val="006772C4"/>
    <w:rsid w:val="00677F6F"/>
    <w:rsid w:val="00680399"/>
    <w:rsid w:val="00680DF1"/>
    <w:rsid w:val="00682B36"/>
    <w:rsid w:val="0068329F"/>
    <w:rsid w:val="0068353C"/>
    <w:rsid w:val="00683785"/>
    <w:rsid w:val="00683909"/>
    <w:rsid w:val="00686B80"/>
    <w:rsid w:val="006916FF"/>
    <w:rsid w:val="006935DD"/>
    <w:rsid w:val="0069415B"/>
    <w:rsid w:val="00697C68"/>
    <w:rsid w:val="006A09E6"/>
    <w:rsid w:val="006A0A0B"/>
    <w:rsid w:val="006A2CD8"/>
    <w:rsid w:val="006A34F5"/>
    <w:rsid w:val="006A4455"/>
    <w:rsid w:val="006A4F98"/>
    <w:rsid w:val="006A6A6D"/>
    <w:rsid w:val="006A6A83"/>
    <w:rsid w:val="006A6E43"/>
    <w:rsid w:val="006A6E4F"/>
    <w:rsid w:val="006A764B"/>
    <w:rsid w:val="006B0752"/>
    <w:rsid w:val="006B0B7E"/>
    <w:rsid w:val="006B1C7D"/>
    <w:rsid w:val="006B36AB"/>
    <w:rsid w:val="006B3860"/>
    <w:rsid w:val="006B42AC"/>
    <w:rsid w:val="006B7CDF"/>
    <w:rsid w:val="006C2C3B"/>
    <w:rsid w:val="006C47E0"/>
    <w:rsid w:val="006C4972"/>
    <w:rsid w:val="006C64FC"/>
    <w:rsid w:val="006D1C45"/>
    <w:rsid w:val="006D51CB"/>
    <w:rsid w:val="006D53E7"/>
    <w:rsid w:val="006D61B6"/>
    <w:rsid w:val="006D72C5"/>
    <w:rsid w:val="006D77CD"/>
    <w:rsid w:val="006E0EFC"/>
    <w:rsid w:val="006E14EC"/>
    <w:rsid w:val="006E2616"/>
    <w:rsid w:val="006E2FB5"/>
    <w:rsid w:val="006E3EED"/>
    <w:rsid w:val="006E5408"/>
    <w:rsid w:val="006E62D9"/>
    <w:rsid w:val="006E7C6E"/>
    <w:rsid w:val="006E7DCF"/>
    <w:rsid w:val="006E7EC6"/>
    <w:rsid w:val="006F0516"/>
    <w:rsid w:val="006F1556"/>
    <w:rsid w:val="006F1A74"/>
    <w:rsid w:val="006F1B4D"/>
    <w:rsid w:val="006F3460"/>
    <w:rsid w:val="006F380F"/>
    <w:rsid w:val="006F3AA6"/>
    <w:rsid w:val="006F60A0"/>
    <w:rsid w:val="006F7628"/>
    <w:rsid w:val="0070059B"/>
    <w:rsid w:val="0070083E"/>
    <w:rsid w:val="00700FF4"/>
    <w:rsid w:val="00701B18"/>
    <w:rsid w:val="00701BE5"/>
    <w:rsid w:val="00704EF8"/>
    <w:rsid w:val="00707C1D"/>
    <w:rsid w:val="007102C2"/>
    <w:rsid w:val="007112BB"/>
    <w:rsid w:val="00712225"/>
    <w:rsid w:val="0071523C"/>
    <w:rsid w:val="0071555A"/>
    <w:rsid w:val="00715BD1"/>
    <w:rsid w:val="0071605E"/>
    <w:rsid w:val="00716FCB"/>
    <w:rsid w:val="00717944"/>
    <w:rsid w:val="007210B4"/>
    <w:rsid w:val="00723B78"/>
    <w:rsid w:val="007259DC"/>
    <w:rsid w:val="00726115"/>
    <w:rsid w:val="00726EDA"/>
    <w:rsid w:val="00727829"/>
    <w:rsid w:val="007306FA"/>
    <w:rsid w:val="00730832"/>
    <w:rsid w:val="007312C6"/>
    <w:rsid w:val="00732B60"/>
    <w:rsid w:val="00732F36"/>
    <w:rsid w:val="00734238"/>
    <w:rsid w:val="0073518F"/>
    <w:rsid w:val="007353D7"/>
    <w:rsid w:val="00736B97"/>
    <w:rsid w:val="0073778C"/>
    <w:rsid w:val="00737FF7"/>
    <w:rsid w:val="0074022D"/>
    <w:rsid w:val="00740452"/>
    <w:rsid w:val="0074057B"/>
    <w:rsid w:val="00740E1C"/>
    <w:rsid w:val="00741234"/>
    <w:rsid w:val="00744040"/>
    <w:rsid w:val="00744D41"/>
    <w:rsid w:val="00745B6C"/>
    <w:rsid w:val="00746947"/>
    <w:rsid w:val="007500B1"/>
    <w:rsid w:val="00750870"/>
    <w:rsid w:val="00751B17"/>
    <w:rsid w:val="00752433"/>
    <w:rsid w:val="00752AB6"/>
    <w:rsid w:val="00752FBB"/>
    <w:rsid w:val="007530E3"/>
    <w:rsid w:val="0075361C"/>
    <w:rsid w:val="00754C98"/>
    <w:rsid w:val="00755293"/>
    <w:rsid w:val="00756573"/>
    <w:rsid w:val="00760257"/>
    <w:rsid w:val="00760A1D"/>
    <w:rsid w:val="00761DBC"/>
    <w:rsid w:val="007626AB"/>
    <w:rsid w:val="007627D7"/>
    <w:rsid w:val="00762E0F"/>
    <w:rsid w:val="00763CA1"/>
    <w:rsid w:val="00763F67"/>
    <w:rsid w:val="00763F7F"/>
    <w:rsid w:val="00764EF8"/>
    <w:rsid w:val="00766A90"/>
    <w:rsid w:val="00771E3A"/>
    <w:rsid w:val="00772551"/>
    <w:rsid w:val="00773001"/>
    <w:rsid w:val="007733D5"/>
    <w:rsid w:val="00775C46"/>
    <w:rsid w:val="007762CC"/>
    <w:rsid w:val="00777131"/>
    <w:rsid w:val="007800B2"/>
    <w:rsid w:val="00781F1B"/>
    <w:rsid w:val="00782144"/>
    <w:rsid w:val="00782FCA"/>
    <w:rsid w:val="00784506"/>
    <w:rsid w:val="00784ED6"/>
    <w:rsid w:val="00787403"/>
    <w:rsid w:val="00791F28"/>
    <w:rsid w:val="00793150"/>
    <w:rsid w:val="00793C91"/>
    <w:rsid w:val="00793D0E"/>
    <w:rsid w:val="0079436D"/>
    <w:rsid w:val="007944AA"/>
    <w:rsid w:val="00794B0D"/>
    <w:rsid w:val="007A0026"/>
    <w:rsid w:val="007A1035"/>
    <w:rsid w:val="007A1513"/>
    <w:rsid w:val="007A1912"/>
    <w:rsid w:val="007A1B89"/>
    <w:rsid w:val="007A2575"/>
    <w:rsid w:val="007A3E5F"/>
    <w:rsid w:val="007A4681"/>
    <w:rsid w:val="007A6794"/>
    <w:rsid w:val="007A7457"/>
    <w:rsid w:val="007B05C4"/>
    <w:rsid w:val="007B1C55"/>
    <w:rsid w:val="007B450E"/>
    <w:rsid w:val="007B69E9"/>
    <w:rsid w:val="007B6E63"/>
    <w:rsid w:val="007B6E91"/>
    <w:rsid w:val="007B72F4"/>
    <w:rsid w:val="007B7C4D"/>
    <w:rsid w:val="007C0A8D"/>
    <w:rsid w:val="007C14D7"/>
    <w:rsid w:val="007C3EF3"/>
    <w:rsid w:val="007C4172"/>
    <w:rsid w:val="007C5A77"/>
    <w:rsid w:val="007C7727"/>
    <w:rsid w:val="007C7883"/>
    <w:rsid w:val="007D0EE9"/>
    <w:rsid w:val="007D11D9"/>
    <w:rsid w:val="007D126C"/>
    <w:rsid w:val="007D1613"/>
    <w:rsid w:val="007D2CE9"/>
    <w:rsid w:val="007D355B"/>
    <w:rsid w:val="007D3863"/>
    <w:rsid w:val="007D3E98"/>
    <w:rsid w:val="007D4F40"/>
    <w:rsid w:val="007D4FA9"/>
    <w:rsid w:val="007D5255"/>
    <w:rsid w:val="007D549A"/>
    <w:rsid w:val="007D67E1"/>
    <w:rsid w:val="007D680C"/>
    <w:rsid w:val="007D730F"/>
    <w:rsid w:val="007E0849"/>
    <w:rsid w:val="007E0A96"/>
    <w:rsid w:val="007E18E1"/>
    <w:rsid w:val="007E302F"/>
    <w:rsid w:val="007E6DA2"/>
    <w:rsid w:val="007E76A2"/>
    <w:rsid w:val="007F0555"/>
    <w:rsid w:val="007F1224"/>
    <w:rsid w:val="007F28E8"/>
    <w:rsid w:val="007F2B31"/>
    <w:rsid w:val="007F2FB5"/>
    <w:rsid w:val="007F37E9"/>
    <w:rsid w:val="007F43A3"/>
    <w:rsid w:val="007F4A14"/>
    <w:rsid w:val="007F52D8"/>
    <w:rsid w:val="007F55EB"/>
    <w:rsid w:val="007F5B4A"/>
    <w:rsid w:val="007F5C87"/>
    <w:rsid w:val="007F691E"/>
    <w:rsid w:val="007F76E6"/>
    <w:rsid w:val="00800332"/>
    <w:rsid w:val="00800564"/>
    <w:rsid w:val="008010C0"/>
    <w:rsid w:val="00801C90"/>
    <w:rsid w:val="00801CAA"/>
    <w:rsid w:val="008034B2"/>
    <w:rsid w:val="00804B1E"/>
    <w:rsid w:val="008053A7"/>
    <w:rsid w:val="00805A8B"/>
    <w:rsid w:val="00805E5C"/>
    <w:rsid w:val="00807606"/>
    <w:rsid w:val="00811372"/>
    <w:rsid w:val="008148EB"/>
    <w:rsid w:val="00814EE0"/>
    <w:rsid w:val="008154ED"/>
    <w:rsid w:val="00816F89"/>
    <w:rsid w:val="00820D03"/>
    <w:rsid w:val="00820EB9"/>
    <w:rsid w:val="008211B8"/>
    <w:rsid w:val="00822375"/>
    <w:rsid w:val="00822CE5"/>
    <w:rsid w:val="00822FDD"/>
    <w:rsid w:val="0082324B"/>
    <w:rsid w:val="0082408D"/>
    <w:rsid w:val="00825956"/>
    <w:rsid w:val="008277C6"/>
    <w:rsid w:val="00831213"/>
    <w:rsid w:val="008323A1"/>
    <w:rsid w:val="00832729"/>
    <w:rsid w:val="008331A6"/>
    <w:rsid w:val="00836520"/>
    <w:rsid w:val="008377FC"/>
    <w:rsid w:val="00842770"/>
    <w:rsid w:val="0084298B"/>
    <w:rsid w:val="00843F01"/>
    <w:rsid w:val="0084654F"/>
    <w:rsid w:val="00846BFA"/>
    <w:rsid w:val="00850C51"/>
    <w:rsid w:val="008520CB"/>
    <w:rsid w:val="0085275E"/>
    <w:rsid w:val="0085297C"/>
    <w:rsid w:val="00853B72"/>
    <w:rsid w:val="008550CB"/>
    <w:rsid w:val="008562CB"/>
    <w:rsid w:val="008604AA"/>
    <w:rsid w:val="008604CA"/>
    <w:rsid w:val="008605B9"/>
    <w:rsid w:val="008616FD"/>
    <w:rsid w:val="00862957"/>
    <w:rsid w:val="00863E0B"/>
    <w:rsid w:val="0086444C"/>
    <w:rsid w:val="0086492F"/>
    <w:rsid w:val="0086527E"/>
    <w:rsid w:val="008658A5"/>
    <w:rsid w:val="00865FA4"/>
    <w:rsid w:val="00866A14"/>
    <w:rsid w:val="00866FC9"/>
    <w:rsid w:val="008671AC"/>
    <w:rsid w:val="0087043A"/>
    <w:rsid w:val="00870E28"/>
    <w:rsid w:val="00873E8C"/>
    <w:rsid w:val="00873F89"/>
    <w:rsid w:val="008745A7"/>
    <w:rsid w:val="00874E11"/>
    <w:rsid w:val="00876133"/>
    <w:rsid w:val="0087662B"/>
    <w:rsid w:val="00876E0D"/>
    <w:rsid w:val="008812CF"/>
    <w:rsid w:val="00881FD9"/>
    <w:rsid w:val="00882267"/>
    <w:rsid w:val="00882829"/>
    <w:rsid w:val="00882AAF"/>
    <w:rsid w:val="0088309A"/>
    <w:rsid w:val="00883256"/>
    <w:rsid w:val="0088491A"/>
    <w:rsid w:val="00884DAF"/>
    <w:rsid w:val="008852F4"/>
    <w:rsid w:val="00885497"/>
    <w:rsid w:val="00885F45"/>
    <w:rsid w:val="0089182A"/>
    <w:rsid w:val="0089231F"/>
    <w:rsid w:val="008932E9"/>
    <w:rsid w:val="008935D5"/>
    <w:rsid w:val="00893735"/>
    <w:rsid w:val="00893D66"/>
    <w:rsid w:val="00894AFE"/>
    <w:rsid w:val="00895C65"/>
    <w:rsid w:val="00897994"/>
    <w:rsid w:val="008A0461"/>
    <w:rsid w:val="008A04CD"/>
    <w:rsid w:val="008A0776"/>
    <w:rsid w:val="008A0834"/>
    <w:rsid w:val="008A0A3C"/>
    <w:rsid w:val="008A1965"/>
    <w:rsid w:val="008A3691"/>
    <w:rsid w:val="008A5A15"/>
    <w:rsid w:val="008A5EB3"/>
    <w:rsid w:val="008A645E"/>
    <w:rsid w:val="008A7255"/>
    <w:rsid w:val="008B11DD"/>
    <w:rsid w:val="008B148A"/>
    <w:rsid w:val="008B2CC1"/>
    <w:rsid w:val="008B3A6E"/>
    <w:rsid w:val="008B5067"/>
    <w:rsid w:val="008B51B3"/>
    <w:rsid w:val="008B60B2"/>
    <w:rsid w:val="008B73D5"/>
    <w:rsid w:val="008B76D5"/>
    <w:rsid w:val="008B7ABD"/>
    <w:rsid w:val="008B7C70"/>
    <w:rsid w:val="008B7FAE"/>
    <w:rsid w:val="008C15B8"/>
    <w:rsid w:val="008C22AE"/>
    <w:rsid w:val="008C2F57"/>
    <w:rsid w:val="008C4C2C"/>
    <w:rsid w:val="008C5266"/>
    <w:rsid w:val="008C53E8"/>
    <w:rsid w:val="008C57EE"/>
    <w:rsid w:val="008C5D52"/>
    <w:rsid w:val="008C75C1"/>
    <w:rsid w:val="008D0AFB"/>
    <w:rsid w:val="008D2A4A"/>
    <w:rsid w:val="008D2BA9"/>
    <w:rsid w:val="008D41C7"/>
    <w:rsid w:val="008D5C5D"/>
    <w:rsid w:val="008D74ED"/>
    <w:rsid w:val="008D7ABE"/>
    <w:rsid w:val="008D7F6C"/>
    <w:rsid w:val="008E02CF"/>
    <w:rsid w:val="008E08C4"/>
    <w:rsid w:val="008E15F8"/>
    <w:rsid w:val="008E1D7B"/>
    <w:rsid w:val="008E2125"/>
    <w:rsid w:val="008E224B"/>
    <w:rsid w:val="008E2E17"/>
    <w:rsid w:val="008E34B4"/>
    <w:rsid w:val="008E3BFB"/>
    <w:rsid w:val="008E3FF9"/>
    <w:rsid w:val="008E43B8"/>
    <w:rsid w:val="008E4843"/>
    <w:rsid w:val="008E4978"/>
    <w:rsid w:val="008E7000"/>
    <w:rsid w:val="008F0625"/>
    <w:rsid w:val="008F24B9"/>
    <w:rsid w:val="008F34D6"/>
    <w:rsid w:val="008F68C9"/>
    <w:rsid w:val="008F7308"/>
    <w:rsid w:val="008F7E4F"/>
    <w:rsid w:val="008F7FB0"/>
    <w:rsid w:val="00900FFF"/>
    <w:rsid w:val="00901FD9"/>
    <w:rsid w:val="00902FF6"/>
    <w:rsid w:val="00903776"/>
    <w:rsid w:val="009037A8"/>
    <w:rsid w:val="00904F13"/>
    <w:rsid w:val="00905690"/>
    <w:rsid w:val="009057F9"/>
    <w:rsid w:val="009059E0"/>
    <w:rsid w:val="00905BFB"/>
    <w:rsid w:val="00906F61"/>
    <w:rsid w:val="0090731E"/>
    <w:rsid w:val="00907422"/>
    <w:rsid w:val="009079DF"/>
    <w:rsid w:val="00910138"/>
    <w:rsid w:val="00911920"/>
    <w:rsid w:val="00911E1B"/>
    <w:rsid w:val="009134BA"/>
    <w:rsid w:val="00913F34"/>
    <w:rsid w:val="00914031"/>
    <w:rsid w:val="0091511A"/>
    <w:rsid w:val="00916347"/>
    <w:rsid w:val="00916EE2"/>
    <w:rsid w:val="009203DE"/>
    <w:rsid w:val="00922680"/>
    <w:rsid w:val="00922776"/>
    <w:rsid w:val="009239D2"/>
    <w:rsid w:val="00924CBB"/>
    <w:rsid w:val="00925388"/>
    <w:rsid w:val="0092660D"/>
    <w:rsid w:val="00927BDF"/>
    <w:rsid w:val="00930B41"/>
    <w:rsid w:val="00930CD2"/>
    <w:rsid w:val="00931103"/>
    <w:rsid w:val="00932700"/>
    <w:rsid w:val="009330E2"/>
    <w:rsid w:val="00934541"/>
    <w:rsid w:val="00934542"/>
    <w:rsid w:val="00935038"/>
    <w:rsid w:val="00935233"/>
    <w:rsid w:val="009362D4"/>
    <w:rsid w:val="009376C5"/>
    <w:rsid w:val="00942821"/>
    <w:rsid w:val="00942FA9"/>
    <w:rsid w:val="00944B07"/>
    <w:rsid w:val="00945D08"/>
    <w:rsid w:val="00946A9C"/>
    <w:rsid w:val="00947AA7"/>
    <w:rsid w:val="009504A6"/>
    <w:rsid w:val="00950A40"/>
    <w:rsid w:val="00951C49"/>
    <w:rsid w:val="00953188"/>
    <w:rsid w:val="0095444F"/>
    <w:rsid w:val="00955111"/>
    <w:rsid w:val="00955559"/>
    <w:rsid w:val="00955828"/>
    <w:rsid w:val="00956030"/>
    <w:rsid w:val="00956069"/>
    <w:rsid w:val="00956B24"/>
    <w:rsid w:val="0096231F"/>
    <w:rsid w:val="00962BA0"/>
    <w:rsid w:val="00963536"/>
    <w:rsid w:val="00963EF8"/>
    <w:rsid w:val="00964BCE"/>
    <w:rsid w:val="00964BEB"/>
    <w:rsid w:val="00965267"/>
    <w:rsid w:val="00966774"/>
    <w:rsid w:val="00966A22"/>
    <w:rsid w:val="0096722F"/>
    <w:rsid w:val="00970253"/>
    <w:rsid w:val="00971D07"/>
    <w:rsid w:val="0097314D"/>
    <w:rsid w:val="0097321D"/>
    <w:rsid w:val="00974802"/>
    <w:rsid w:val="00975EBB"/>
    <w:rsid w:val="00977A30"/>
    <w:rsid w:val="00980843"/>
    <w:rsid w:val="00980F39"/>
    <w:rsid w:val="00982412"/>
    <w:rsid w:val="00982969"/>
    <w:rsid w:val="00982CB9"/>
    <w:rsid w:val="00983735"/>
    <w:rsid w:val="009841B8"/>
    <w:rsid w:val="00984D3A"/>
    <w:rsid w:val="0098541D"/>
    <w:rsid w:val="00986131"/>
    <w:rsid w:val="009877C4"/>
    <w:rsid w:val="00987B89"/>
    <w:rsid w:val="00987FF9"/>
    <w:rsid w:val="00990AC0"/>
    <w:rsid w:val="00991379"/>
    <w:rsid w:val="00991CBA"/>
    <w:rsid w:val="0099336E"/>
    <w:rsid w:val="00993672"/>
    <w:rsid w:val="00994186"/>
    <w:rsid w:val="00994EA7"/>
    <w:rsid w:val="00994FC1"/>
    <w:rsid w:val="00995417"/>
    <w:rsid w:val="00995BFB"/>
    <w:rsid w:val="00996D5B"/>
    <w:rsid w:val="009A071C"/>
    <w:rsid w:val="009A0AC9"/>
    <w:rsid w:val="009A1337"/>
    <w:rsid w:val="009A174D"/>
    <w:rsid w:val="009A1C02"/>
    <w:rsid w:val="009A2DA7"/>
    <w:rsid w:val="009A3562"/>
    <w:rsid w:val="009A3894"/>
    <w:rsid w:val="009A6C74"/>
    <w:rsid w:val="009A6F67"/>
    <w:rsid w:val="009A79BA"/>
    <w:rsid w:val="009B05E5"/>
    <w:rsid w:val="009B1321"/>
    <w:rsid w:val="009B3876"/>
    <w:rsid w:val="009B4A4D"/>
    <w:rsid w:val="009B4A5D"/>
    <w:rsid w:val="009B5291"/>
    <w:rsid w:val="009B6D2E"/>
    <w:rsid w:val="009B70AD"/>
    <w:rsid w:val="009B7EDA"/>
    <w:rsid w:val="009C03BA"/>
    <w:rsid w:val="009C2EDA"/>
    <w:rsid w:val="009C3025"/>
    <w:rsid w:val="009C3552"/>
    <w:rsid w:val="009C4383"/>
    <w:rsid w:val="009C494F"/>
    <w:rsid w:val="009C53ED"/>
    <w:rsid w:val="009C5E6B"/>
    <w:rsid w:val="009C6CC1"/>
    <w:rsid w:val="009C70DB"/>
    <w:rsid w:val="009C7477"/>
    <w:rsid w:val="009D1804"/>
    <w:rsid w:val="009D24A5"/>
    <w:rsid w:val="009D600D"/>
    <w:rsid w:val="009D6828"/>
    <w:rsid w:val="009D6F3A"/>
    <w:rsid w:val="009E21F7"/>
    <w:rsid w:val="009E2722"/>
    <w:rsid w:val="009E2791"/>
    <w:rsid w:val="009E3CEB"/>
    <w:rsid w:val="009E3F6F"/>
    <w:rsid w:val="009E5A8E"/>
    <w:rsid w:val="009E5B70"/>
    <w:rsid w:val="009E6D3B"/>
    <w:rsid w:val="009E7653"/>
    <w:rsid w:val="009F18C0"/>
    <w:rsid w:val="009F22B8"/>
    <w:rsid w:val="009F297E"/>
    <w:rsid w:val="009F48D7"/>
    <w:rsid w:val="009F499F"/>
    <w:rsid w:val="009F4D71"/>
    <w:rsid w:val="009F7802"/>
    <w:rsid w:val="00A0063A"/>
    <w:rsid w:val="00A04FF9"/>
    <w:rsid w:val="00A05422"/>
    <w:rsid w:val="00A05DB5"/>
    <w:rsid w:val="00A06518"/>
    <w:rsid w:val="00A065C0"/>
    <w:rsid w:val="00A06A0A"/>
    <w:rsid w:val="00A0739B"/>
    <w:rsid w:val="00A10101"/>
    <w:rsid w:val="00A1125A"/>
    <w:rsid w:val="00A13803"/>
    <w:rsid w:val="00A1622D"/>
    <w:rsid w:val="00A2029C"/>
    <w:rsid w:val="00A22008"/>
    <w:rsid w:val="00A22112"/>
    <w:rsid w:val="00A23B42"/>
    <w:rsid w:val="00A25912"/>
    <w:rsid w:val="00A26008"/>
    <w:rsid w:val="00A26087"/>
    <w:rsid w:val="00A26772"/>
    <w:rsid w:val="00A271CB"/>
    <w:rsid w:val="00A3040C"/>
    <w:rsid w:val="00A30A6B"/>
    <w:rsid w:val="00A30B95"/>
    <w:rsid w:val="00A32061"/>
    <w:rsid w:val="00A3540C"/>
    <w:rsid w:val="00A36EE2"/>
    <w:rsid w:val="00A42DAF"/>
    <w:rsid w:val="00A450DD"/>
    <w:rsid w:val="00A45BD8"/>
    <w:rsid w:val="00A47838"/>
    <w:rsid w:val="00A47897"/>
    <w:rsid w:val="00A47A58"/>
    <w:rsid w:val="00A47FBB"/>
    <w:rsid w:val="00A5085E"/>
    <w:rsid w:val="00A513B9"/>
    <w:rsid w:val="00A518B5"/>
    <w:rsid w:val="00A51CBA"/>
    <w:rsid w:val="00A521D0"/>
    <w:rsid w:val="00A53217"/>
    <w:rsid w:val="00A5363B"/>
    <w:rsid w:val="00A536FD"/>
    <w:rsid w:val="00A543F9"/>
    <w:rsid w:val="00A552D7"/>
    <w:rsid w:val="00A56BEC"/>
    <w:rsid w:val="00A6084B"/>
    <w:rsid w:val="00A62EBD"/>
    <w:rsid w:val="00A6398C"/>
    <w:rsid w:val="00A63DEA"/>
    <w:rsid w:val="00A66505"/>
    <w:rsid w:val="00A67446"/>
    <w:rsid w:val="00A67B38"/>
    <w:rsid w:val="00A70193"/>
    <w:rsid w:val="00A70385"/>
    <w:rsid w:val="00A70EC4"/>
    <w:rsid w:val="00A72021"/>
    <w:rsid w:val="00A729B8"/>
    <w:rsid w:val="00A741AE"/>
    <w:rsid w:val="00A74D83"/>
    <w:rsid w:val="00A75277"/>
    <w:rsid w:val="00A76423"/>
    <w:rsid w:val="00A820A7"/>
    <w:rsid w:val="00A8341F"/>
    <w:rsid w:val="00A83F81"/>
    <w:rsid w:val="00A84736"/>
    <w:rsid w:val="00A869B7"/>
    <w:rsid w:val="00A86A30"/>
    <w:rsid w:val="00A86AA2"/>
    <w:rsid w:val="00A878BB"/>
    <w:rsid w:val="00A91712"/>
    <w:rsid w:val="00A9281E"/>
    <w:rsid w:val="00A93664"/>
    <w:rsid w:val="00A97599"/>
    <w:rsid w:val="00A978D9"/>
    <w:rsid w:val="00AA063B"/>
    <w:rsid w:val="00AA0F18"/>
    <w:rsid w:val="00AA1546"/>
    <w:rsid w:val="00AA30E3"/>
    <w:rsid w:val="00AA3696"/>
    <w:rsid w:val="00AA3B58"/>
    <w:rsid w:val="00AA4AF7"/>
    <w:rsid w:val="00AA712C"/>
    <w:rsid w:val="00AA7E26"/>
    <w:rsid w:val="00AB0305"/>
    <w:rsid w:val="00AB0CA4"/>
    <w:rsid w:val="00AB1559"/>
    <w:rsid w:val="00AB158D"/>
    <w:rsid w:val="00AB2C6C"/>
    <w:rsid w:val="00AB3E14"/>
    <w:rsid w:val="00AB4794"/>
    <w:rsid w:val="00AB509B"/>
    <w:rsid w:val="00AB512B"/>
    <w:rsid w:val="00AB59D3"/>
    <w:rsid w:val="00AB738D"/>
    <w:rsid w:val="00AC117E"/>
    <w:rsid w:val="00AC13A0"/>
    <w:rsid w:val="00AC16B5"/>
    <w:rsid w:val="00AC205C"/>
    <w:rsid w:val="00AC2528"/>
    <w:rsid w:val="00AC29A1"/>
    <w:rsid w:val="00AC324F"/>
    <w:rsid w:val="00AC33EE"/>
    <w:rsid w:val="00AC3FF9"/>
    <w:rsid w:val="00AC4569"/>
    <w:rsid w:val="00AC4AAF"/>
    <w:rsid w:val="00AC4E1D"/>
    <w:rsid w:val="00AC5833"/>
    <w:rsid w:val="00AC6477"/>
    <w:rsid w:val="00AD1361"/>
    <w:rsid w:val="00AD1AD3"/>
    <w:rsid w:val="00AD1BB9"/>
    <w:rsid w:val="00AD1EA2"/>
    <w:rsid w:val="00AD1EDC"/>
    <w:rsid w:val="00AD23A2"/>
    <w:rsid w:val="00AD2E67"/>
    <w:rsid w:val="00AD32BF"/>
    <w:rsid w:val="00AD4019"/>
    <w:rsid w:val="00AD4240"/>
    <w:rsid w:val="00AD5E61"/>
    <w:rsid w:val="00AD60F6"/>
    <w:rsid w:val="00AD68F0"/>
    <w:rsid w:val="00AD75DC"/>
    <w:rsid w:val="00AD7AC0"/>
    <w:rsid w:val="00AE02F6"/>
    <w:rsid w:val="00AE0904"/>
    <w:rsid w:val="00AE257D"/>
    <w:rsid w:val="00AE297F"/>
    <w:rsid w:val="00AE29A4"/>
    <w:rsid w:val="00AE33AC"/>
    <w:rsid w:val="00AE4C41"/>
    <w:rsid w:val="00AE54EB"/>
    <w:rsid w:val="00AE5515"/>
    <w:rsid w:val="00AE6DA0"/>
    <w:rsid w:val="00AE727C"/>
    <w:rsid w:val="00AE730C"/>
    <w:rsid w:val="00AE7D7A"/>
    <w:rsid w:val="00AF0A6B"/>
    <w:rsid w:val="00AF173C"/>
    <w:rsid w:val="00AF1BF5"/>
    <w:rsid w:val="00AF1E84"/>
    <w:rsid w:val="00AF220E"/>
    <w:rsid w:val="00AF3EEE"/>
    <w:rsid w:val="00AF4ADA"/>
    <w:rsid w:val="00AF67EE"/>
    <w:rsid w:val="00AF7753"/>
    <w:rsid w:val="00B004E3"/>
    <w:rsid w:val="00B012EC"/>
    <w:rsid w:val="00B01804"/>
    <w:rsid w:val="00B023E3"/>
    <w:rsid w:val="00B032A3"/>
    <w:rsid w:val="00B04C63"/>
    <w:rsid w:val="00B058EB"/>
    <w:rsid w:val="00B05A69"/>
    <w:rsid w:val="00B06415"/>
    <w:rsid w:val="00B06453"/>
    <w:rsid w:val="00B06B8E"/>
    <w:rsid w:val="00B078F1"/>
    <w:rsid w:val="00B07924"/>
    <w:rsid w:val="00B07928"/>
    <w:rsid w:val="00B07CDD"/>
    <w:rsid w:val="00B10861"/>
    <w:rsid w:val="00B118FF"/>
    <w:rsid w:val="00B12685"/>
    <w:rsid w:val="00B13AEA"/>
    <w:rsid w:val="00B14685"/>
    <w:rsid w:val="00B14B75"/>
    <w:rsid w:val="00B15058"/>
    <w:rsid w:val="00B15907"/>
    <w:rsid w:val="00B175BA"/>
    <w:rsid w:val="00B175BF"/>
    <w:rsid w:val="00B17D08"/>
    <w:rsid w:val="00B17FA7"/>
    <w:rsid w:val="00B2021F"/>
    <w:rsid w:val="00B20D5C"/>
    <w:rsid w:val="00B217BB"/>
    <w:rsid w:val="00B22A19"/>
    <w:rsid w:val="00B22EB9"/>
    <w:rsid w:val="00B23E48"/>
    <w:rsid w:val="00B24EE4"/>
    <w:rsid w:val="00B25B30"/>
    <w:rsid w:val="00B27125"/>
    <w:rsid w:val="00B2721C"/>
    <w:rsid w:val="00B308FC"/>
    <w:rsid w:val="00B30BA3"/>
    <w:rsid w:val="00B315C5"/>
    <w:rsid w:val="00B318CA"/>
    <w:rsid w:val="00B31E15"/>
    <w:rsid w:val="00B33CC6"/>
    <w:rsid w:val="00B3624E"/>
    <w:rsid w:val="00B36DD6"/>
    <w:rsid w:val="00B37EB5"/>
    <w:rsid w:val="00B4157F"/>
    <w:rsid w:val="00B415C6"/>
    <w:rsid w:val="00B43793"/>
    <w:rsid w:val="00B44FC3"/>
    <w:rsid w:val="00B4791E"/>
    <w:rsid w:val="00B47D46"/>
    <w:rsid w:val="00B51333"/>
    <w:rsid w:val="00B54D0C"/>
    <w:rsid w:val="00B54FDD"/>
    <w:rsid w:val="00B551FB"/>
    <w:rsid w:val="00B569F2"/>
    <w:rsid w:val="00B56BB5"/>
    <w:rsid w:val="00B57BF3"/>
    <w:rsid w:val="00B6535C"/>
    <w:rsid w:val="00B65F43"/>
    <w:rsid w:val="00B70881"/>
    <w:rsid w:val="00B70D56"/>
    <w:rsid w:val="00B72946"/>
    <w:rsid w:val="00B72BC8"/>
    <w:rsid w:val="00B72BDA"/>
    <w:rsid w:val="00B73253"/>
    <w:rsid w:val="00B736F2"/>
    <w:rsid w:val="00B7403C"/>
    <w:rsid w:val="00B75BF6"/>
    <w:rsid w:val="00B75D9A"/>
    <w:rsid w:val="00B75F80"/>
    <w:rsid w:val="00B772E7"/>
    <w:rsid w:val="00B7744F"/>
    <w:rsid w:val="00B802AE"/>
    <w:rsid w:val="00B81620"/>
    <w:rsid w:val="00B826B7"/>
    <w:rsid w:val="00B82764"/>
    <w:rsid w:val="00B83863"/>
    <w:rsid w:val="00B84B0C"/>
    <w:rsid w:val="00B8561F"/>
    <w:rsid w:val="00B907C0"/>
    <w:rsid w:val="00B90B48"/>
    <w:rsid w:val="00B917C7"/>
    <w:rsid w:val="00B9333C"/>
    <w:rsid w:val="00B936F1"/>
    <w:rsid w:val="00B93BC6"/>
    <w:rsid w:val="00B9670A"/>
    <w:rsid w:val="00B9734B"/>
    <w:rsid w:val="00B973E6"/>
    <w:rsid w:val="00B978F3"/>
    <w:rsid w:val="00B97F87"/>
    <w:rsid w:val="00BA0063"/>
    <w:rsid w:val="00BA010F"/>
    <w:rsid w:val="00BA0621"/>
    <w:rsid w:val="00BA2923"/>
    <w:rsid w:val="00BA37CD"/>
    <w:rsid w:val="00BA437D"/>
    <w:rsid w:val="00BA5498"/>
    <w:rsid w:val="00BA606D"/>
    <w:rsid w:val="00BA655C"/>
    <w:rsid w:val="00BA65A1"/>
    <w:rsid w:val="00BA7EF2"/>
    <w:rsid w:val="00BB0B90"/>
    <w:rsid w:val="00BB0FF4"/>
    <w:rsid w:val="00BB1AE6"/>
    <w:rsid w:val="00BB2122"/>
    <w:rsid w:val="00BB237F"/>
    <w:rsid w:val="00BB3918"/>
    <w:rsid w:val="00BB40EF"/>
    <w:rsid w:val="00BB5B9E"/>
    <w:rsid w:val="00BB6BB2"/>
    <w:rsid w:val="00BB7D90"/>
    <w:rsid w:val="00BC09A2"/>
    <w:rsid w:val="00BC15E5"/>
    <w:rsid w:val="00BC2DB6"/>
    <w:rsid w:val="00BC41FA"/>
    <w:rsid w:val="00BC4600"/>
    <w:rsid w:val="00BC4738"/>
    <w:rsid w:val="00BC5118"/>
    <w:rsid w:val="00BC5B8B"/>
    <w:rsid w:val="00BC5E27"/>
    <w:rsid w:val="00BC6C4D"/>
    <w:rsid w:val="00BC7FAC"/>
    <w:rsid w:val="00BD0ADC"/>
    <w:rsid w:val="00BD0C65"/>
    <w:rsid w:val="00BD1355"/>
    <w:rsid w:val="00BD180D"/>
    <w:rsid w:val="00BD3481"/>
    <w:rsid w:val="00BD3FD3"/>
    <w:rsid w:val="00BE0159"/>
    <w:rsid w:val="00BE0177"/>
    <w:rsid w:val="00BE1211"/>
    <w:rsid w:val="00BE189F"/>
    <w:rsid w:val="00BE2C2E"/>
    <w:rsid w:val="00BE2D4E"/>
    <w:rsid w:val="00BE2E54"/>
    <w:rsid w:val="00BE438A"/>
    <w:rsid w:val="00BE4598"/>
    <w:rsid w:val="00BE45D7"/>
    <w:rsid w:val="00BE4634"/>
    <w:rsid w:val="00BE53DE"/>
    <w:rsid w:val="00BE6080"/>
    <w:rsid w:val="00BE60FA"/>
    <w:rsid w:val="00BE6DF9"/>
    <w:rsid w:val="00BF080E"/>
    <w:rsid w:val="00BF307B"/>
    <w:rsid w:val="00BF3260"/>
    <w:rsid w:val="00BF33C6"/>
    <w:rsid w:val="00BF3B47"/>
    <w:rsid w:val="00BF4707"/>
    <w:rsid w:val="00BF4D96"/>
    <w:rsid w:val="00BF5A94"/>
    <w:rsid w:val="00BF6BBF"/>
    <w:rsid w:val="00BF6FF0"/>
    <w:rsid w:val="00BF712A"/>
    <w:rsid w:val="00C0080A"/>
    <w:rsid w:val="00C00CCB"/>
    <w:rsid w:val="00C011A2"/>
    <w:rsid w:val="00C02023"/>
    <w:rsid w:val="00C02455"/>
    <w:rsid w:val="00C03B0A"/>
    <w:rsid w:val="00C03EA7"/>
    <w:rsid w:val="00C04595"/>
    <w:rsid w:val="00C0505F"/>
    <w:rsid w:val="00C05141"/>
    <w:rsid w:val="00C05C84"/>
    <w:rsid w:val="00C07C16"/>
    <w:rsid w:val="00C1058D"/>
    <w:rsid w:val="00C11040"/>
    <w:rsid w:val="00C11BFE"/>
    <w:rsid w:val="00C12218"/>
    <w:rsid w:val="00C12FAB"/>
    <w:rsid w:val="00C14489"/>
    <w:rsid w:val="00C16A2D"/>
    <w:rsid w:val="00C204AB"/>
    <w:rsid w:val="00C21D71"/>
    <w:rsid w:val="00C22A6A"/>
    <w:rsid w:val="00C238E0"/>
    <w:rsid w:val="00C23C48"/>
    <w:rsid w:val="00C24FCD"/>
    <w:rsid w:val="00C2649C"/>
    <w:rsid w:val="00C2734B"/>
    <w:rsid w:val="00C30524"/>
    <w:rsid w:val="00C32A41"/>
    <w:rsid w:val="00C32D7A"/>
    <w:rsid w:val="00C33CEC"/>
    <w:rsid w:val="00C3545F"/>
    <w:rsid w:val="00C35791"/>
    <w:rsid w:val="00C35A87"/>
    <w:rsid w:val="00C35EE6"/>
    <w:rsid w:val="00C365D6"/>
    <w:rsid w:val="00C36E31"/>
    <w:rsid w:val="00C42813"/>
    <w:rsid w:val="00C44AD1"/>
    <w:rsid w:val="00C4544F"/>
    <w:rsid w:val="00C45987"/>
    <w:rsid w:val="00C46B06"/>
    <w:rsid w:val="00C47CF4"/>
    <w:rsid w:val="00C50B88"/>
    <w:rsid w:val="00C5151C"/>
    <w:rsid w:val="00C519EC"/>
    <w:rsid w:val="00C51FDD"/>
    <w:rsid w:val="00C53B9C"/>
    <w:rsid w:val="00C5426C"/>
    <w:rsid w:val="00C542C0"/>
    <w:rsid w:val="00C56A2E"/>
    <w:rsid w:val="00C56F5C"/>
    <w:rsid w:val="00C6000C"/>
    <w:rsid w:val="00C60330"/>
    <w:rsid w:val="00C60683"/>
    <w:rsid w:val="00C626FF"/>
    <w:rsid w:val="00C652A7"/>
    <w:rsid w:val="00C65636"/>
    <w:rsid w:val="00C66940"/>
    <w:rsid w:val="00C66B6B"/>
    <w:rsid w:val="00C67545"/>
    <w:rsid w:val="00C70320"/>
    <w:rsid w:val="00C71B62"/>
    <w:rsid w:val="00C75314"/>
    <w:rsid w:val="00C75540"/>
    <w:rsid w:val="00C7644C"/>
    <w:rsid w:val="00C77CA9"/>
    <w:rsid w:val="00C84376"/>
    <w:rsid w:val="00C86839"/>
    <w:rsid w:val="00C86921"/>
    <w:rsid w:val="00C86C9D"/>
    <w:rsid w:val="00C86D97"/>
    <w:rsid w:val="00C906C5"/>
    <w:rsid w:val="00C90819"/>
    <w:rsid w:val="00C90DF0"/>
    <w:rsid w:val="00C90E55"/>
    <w:rsid w:val="00C9105E"/>
    <w:rsid w:val="00C911A8"/>
    <w:rsid w:val="00C92192"/>
    <w:rsid w:val="00C92D74"/>
    <w:rsid w:val="00C93FDD"/>
    <w:rsid w:val="00C94CFB"/>
    <w:rsid w:val="00C94FC6"/>
    <w:rsid w:val="00CA04C3"/>
    <w:rsid w:val="00CA12B5"/>
    <w:rsid w:val="00CA23D0"/>
    <w:rsid w:val="00CA2B05"/>
    <w:rsid w:val="00CA3262"/>
    <w:rsid w:val="00CA3B7C"/>
    <w:rsid w:val="00CA3CEA"/>
    <w:rsid w:val="00CA451E"/>
    <w:rsid w:val="00CA4E75"/>
    <w:rsid w:val="00CA4EF0"/>
    <w:rsid w:val="00CA730B"/>
    <w:rsid w:val="00CB03B8"/>
    <w:rsid w:val="00CB170A"/>
    <w:rsid w:val="00CB2769"/>
    <w:rsid w:val="00CB27A3"/>
    <w:rsid w:val="00CB51E6"/>
    <w:rsid w:val="00CB61AF"/>
    <w:rsid w:val="00CB79EF"/>
    <w:rsid w:val="00CB7A19"/>
    <w:rsid w:val="00CB7B59"/>
    <w:rsid w:val="00CB7CF8"/>
    <w:rsid w:val="00CC2756"/>
    <w:rsid w:val="00CC3B31"/>
    <w:rsid w:val="00CC4AA7"/>
    <w:rsid w:val="00CC4B57"/>
    <w:rsid w:val="00CC64ED"/>
    <w:rsid w:val="00CC65C8"/>
    <w:rsid w:val="00CC6FF0"/>
    <w:rsid w:val="00CC7C87"/>
    <w:rsid w:val="00CD08D8"/>
    <w:rsid w:val="00CD0CE6"/>
    <w:rsid w:val="00CD2FC5"/>
    <w:rsid w:val="00CD320A"/>
    <w:rsid w:val="00CD4636"/>
    <w:rsid w:val="00CD5323"/>
    <w:rsid w:val="00CE0CEC"/>
    <w:rsid w:val="00CE160F"/>
    <w:rsid w:val="00CE26E1"/>
    <w:rsid w:val="00CE29BB"/>
    <w:rsid w:val="00CE2B39"/>
    <w:rsid w:val="00CE57DA"/>
    <w:rsid w:val="00CE63B5"/>
    <w:rsid w:val="00CE689A"/>
    <w:rsid w:val="00CF1B33"/>
    <w:rsid w:val="00CF24A0"/>
    <w:rsid w:val="00CF2F8A"/>
    <w:rsid w:val="00CF3FDB"/>
    <w:rsid w:val="00CF5B1A"/>
    <w:rsid w:val="00CF5CE2"/>
    <w:rsid w:val="00CF6FB0"/>
    <w:rsid w:val="00D00996"/>
    <w:rsid w:val="00D00B95"/>
    <w:rsid w:val="00D01B67"/>
    <w:rsid w:val="00D0208E"/>
    <w:rsid w:val="00D03417"/>
    <w:rsid w:val="00D04ECD"/>
    <w:rsid w:val="00D05379"/>
    <w:rsid w:val="00D0601D"/>
    <w:rsid w:val="00D125D1"/>
    <w:rsid w:val="00D13F55"/>
    <w:rsid w:val="00D143DF"/>
    <w:rsid w:val="00D14776"/>
    <w:rsid w:val="00D1518A"/>
    <w:rsid w:val="00D154EF"/>
    <w:rsid w:val="00D15751"/>
    <w:rsid w:val="00D157CE"/>
    <w:rsid w:val="00D1751D"/>
    <w:rsid w:val="00D20191"/>
    <w:rsid w:val="00D20563"/>
    <w:rsid w:val="00D211FA"/>
    <w:rsid w:val="00D21441"/>
    <w:rsid w:val="00D224D4"/>
    <w:rsid w:val="00D2278E"/>
    <w:rsid w:val="00D22AEC"/>
    <w:rsid w:val="00D24664"/>
    <w:rsid w:val="00D24FF7"/>
    <w:rsid w:val="00D252E0"/>
    <w:rsid w:val="00D2592D"/>
    <w:rsid w:val="00D25A8C"/>
    <w:rsid w:val="00D26246"/>
    <w:rsid w:val="00D2672A"/>
    <w:rsid w:val="00D26A81"/>
    <w:rsid w:val="00D306AC"/>
    <w:rsid w:val="00D31786"/>
    <w:rsid w:val="00D32321"/>
    <w:rsid w:val="00D35094"/>
    <w:rsid w:val="00D35FCE"/>
    <w:rsid w:val="00D3751A"/>
    <w:rsid w:val="00D4023B"/>
    <w:rsid w:val="00D420F6"/>
    <w:rsid w:val="00D427A2"/>
    <w:rsid w:val="00D4305D"/>
    <w:rsid w:val="00D43582"/>
    <w:rsid w:val="00D43853"/>
    <w:rsid w:val="00D439BA"/>
    <w:rsid w:val="00D44760"/>
    <w:rsid w:val="00D44FE3"/>
    <w:rsid w:val="00D45223"/>
    <w:rsid w:val="00D45252"/>
    <w:rsid w:val="00D454D9"/>
    <w:rsid w:val="00D45615"/>
    <w:rsid w:val="00D45A34"/>
    <w:rsid w:val="00D51461"/>
    <w:rsid w:val="00D534C3"/>
    <w:rsid w:val="00D53D1C"/>
    <w:rsid w:val="00D53F14"/>
    <w:rsid w:val="00D53F18"/>
    <w:rsid w:val="00D55254"/>
    <w:rsid w:val="00D55A2D"/>
    <w:rsid w:val="00D5738F"/>
    <w:rsid w:val="00D60D60"/>
    <w:rsid w:val="00D6181E"/>
    <w:rsid w:val="00D62BD2"/>
    <w:rsid w:val="00D63094"/>
    <w:rsid w:val="00D6369F"/>
    <w:rsid w:val="00D641D6"/>
    <w:rsid w:val="00D64E7E"/>
    <w:rsid w:val="00D65BB7"/>
    <w:rsid w:val="00D65FA0"/>
    <w:rsid w:val="00D66578"/>
    <w:rsid w:val="00D665F2"/>
    <w:rsid w:val="00D669FA"/>
    <w:rsid w:val="00D6749E"/>
    <w:rsid w:val="00D674B0"/>
    <w:rsid w:val="00D676D4"/>
    <w:rsid w:val="00D67ACC"/>
    <w:rsid w:val="00D71B4D"/>
    <w:rsid w:val="00D7264A"/>
    <w:rsid w:val="00D72A0D"/>
    <w:rsid w:val="00D72CDB"/>
    <w:rsid w:val="00D732F3"/>
    <w:rsid w:val="00D73B6B"/>
    <w:rsid w:val="00D73C6F"/>
    <w:rsid w:val="00D755F3"/>
    <w:rsid w:val="00D770AF"/>
    <w:rsid w:val="00D7772F"/>
    <w:rsid w:val="00D77A3E"/>
    <w:rsid w:val="00D81141"/>
    <w:rsid w:val="00D822B2"/>
    <w:rsid w:val="00D832A8"/>
    <w:rsid w:val="00D850BF"/>
    <w:rsid w:val="00D8725C"/>
    <w:rsid w:val="00D874C5"/>
    <w:rsid w:val="00D87717"/>
    <w:rsid w:val="00D87E41"/>
    <w:rsid w:val="00D907D0"/>
    <w:rsid w:val="00D91208"/>
    <w:rsid w:val="00D93D55"/>
    <w:rsid w:val="00D94FD2"/>
    <w:rsid w:val="00D95C56"/>
    <w:rsid w:val="00D96415"/>
    <w:rsid w:val="00D9708A"/>
    <w:rsid w:val="00D979A8"/>
    <w:rsid w:val="00D97E3B"/>
    <w:rsid w:val="00DA0710"/>
    <w:rsid w:val="00DA1978"/>
    <w:rsid w:val="00DA204F"/>
    <w:rsid w:val="00DA2D6A"/>
    <w:rsid w:val="00DA2E13"/>
    <w:rsid w:val="00DA506E"/>
    <w:rsid w:val="00DA5277"/>
    <w:rsid w:val="00DA60A3"/>
    <w:rsid w:val="00DA6182"/>
    <w:rsid w:val="00DA64F6"/>
    <w:rsid w:val="00DB0EF7"/>
    <w:rsid w:val="00DB13D2"/>
    <w:rsid w:val="00DB1466"/>
    <w:rsid w:val="00DB1C2E"/>
    <w:rsid w:val="00DB3343"/>
    <w:rsid w:val="00DB46B9"/>
    <w:rsid w:val="00DB490D"/>
    <w:rsid w:val="00DB5229"/>
    <w:rsid w:val="00DB6EC7"/>
    <w:rsid w:val="00DB7D32"/>
    <w:rsid w:val="00DC2488"/>
    <w:rsid w:val="00DC2978"/>
    <w:rsid w:val="00DC448B"/>
    <w:rsid w:val="00DC5779"/>
    <w:rsid w:val="00DC59F0"/>
    <w:rsid w:val="00DC5E95"/>
    <w:rsid w:val="00DC712B"/>
    <w:rsid w:val="00DD095E"/>
    <w:rsid w:val="00DD0AB1"/>
    <w:rsid w:val="00DD12DE"/>
    <w:rsid w:val="00DD1B06"/>
    <w:rsid w:val="00DD2DB5"/>
    <w:rsid w:val="00DD3338"/>
    <w:rsid w:val="00DD36F9"/>
    <w:rsid w:val="00DD4231"/>
    <w:rsid w:val="00DD4A03"/>
    <w:rsid w:val="00DD59B9"/>
    <w:rsid w:val="00DD5BBD"/>
    <w:rsid w:val="00DD652F"/>
    <w:rsid w:val="00DD6BD8"/>
    <w:rsid w:val="00DE0119"/>
    <w:rsid w:val="00DE0699"/>
    <w:rsid w:val="00DE1E62"/>
    <w:rsid w:val="00DE2835"/>
    <w:rsid w:val="00DE669D"/>
    <w:rsid w:val="00DE66BC"/>
    <w:rsid w:val="00DE6CD2"/>
    <w:rsid w:val="00DF0BF9"/>
    <w:rsid w:val="00DF1375"/>
    <w:rsid w:val="00DF16AF"/>
    <w:rsid w:val="00DF26BF"/>
    <w:rsid w:val="00DF26D9"/>
    <w:rsid w:val="00DF28F0"/>
    <w:rsid w:val="00DF48A6"/>
    <w:rsid w:val="00DF6CA7"/>
    <w:rsid w:val="00DF6CBE"/>
    <w:rsid w:val="00DF7659"/>
    <w:rsid w:val="00E00F63"/>
    <w:rsid w:val="00E017B5"/>
    <w:rsid w:val="00E01DD5"/>
    <w:rsid w:val="00E01F9A"/>
    <w:rsid w:val="00E02DD4"/>
    <w:rsid w:val="00E031FF"/>
    <w:rsid w:val="00E034AE"/>
    <w:rsid w:val="00E03CD5"/>
    <w:rsid w:val="00E04657"/>
    <w:rsid w:val="00E05968"/>
    <w:rsid w:val="00E05D0E"/>
    <w:rsid w:val="00E0613F"/>
    <w:rsid w:val="00E10F2C"/>
    <w:rsid w:val="00E110D1"/>
    <w:rsid w:val="00E11761"/>
    <w:rsid w:val="00E11F61"/>
    <w:rsid w:val="00E1282A"/>
    <w:rsid w:val="00E12A5D"/>
    <w:rsid w:val="00E133BD"/>
    <w:rsid w:val="00E13777"/>
    <w:rsid w:val="00E141ED"/>
    <w:rsid w:val="00E14367"/>
    <w:rsid w:val="00E144A6"/>
    <w:rsid w:val="00E14924"/>
    <w:rsid w:val="00E14F23"/>
    <w:rsid w:val="00E170C7"/>
    <w:rsid w:val="00E1767A"/>
    <w:rsid w:val="00E17ABB"/>
    <w:rsid w:val="00E17CC0"/>
    <w:rsid w:val="00E222C0"/>
    <w:rsid w:val="00E23801"/>
    <w:rsid w:val="00E23E99"/>
    <w:rsid w:val="00E24C68"/>
    <w:rsid w:val="00E25E7C"/>
    <w:rsid w:val="00E300A7"/>
    <w:rsid w:val="00E322AB"/>
    <w:rsid w:val="00E335FE"/>
    <w:rsid w:val="00E33F11"/>
    <w:rsid w:val="00E3458C"/>
    <w:rsid w:val="00E348A1"/>
    <w:rsid w:val="00E34CB3"/>
    <w:rsid w:val="00E36070"/>
    <w:rsid w:val="00E366FD"/>
    <w:rsid w:val="00E36D72"/>
    <w:rsid w:val="00E36E80"/>
    <w:rsid w:val="00E40008"/>
    <w:rsid w:val="00E4035A"/>
    <w:rsid w:val="00E43A8E"/>
    <w:rsid w:val="00E4455C"/>
    <w:rsid w:val="00E45470"/>
    <w:rsid w:val="00E456C7"/>
    <w:rsid w:val="00E4613F"/>
    <w:rsid w:val="00E46976"/>
    <w:rsid w:val="00E4727A"/>
    <w:rsid w:val="00E474B5"/>
    <w:rsid w:val="00E47FCD"/>
    <w:rsid w:val="00E50C2B"/>
    <w:rsid w:val="00E50F61"/>
    <w:rsid w:val="00E51807"/>
    <w:rsid w:val="00E51F5B"/>
    <w:rsid w:val="00E52408"/>
    <w:rsid w:val="00E52641"/>
    <w:rsid w:val="00E52BDE"/>
    <w:rsid w:val="00E54375"/>
    <w:rsid w:val="00E54E0A"/>
    <w:rsid w:val="00E552DF"/>
    <w:rsid w:val="00E55824"/>
    <w:rsid w:val="00E562BC"/>
    <w:rsid w:val="00E56533"/>
    <w:rsid w:val="00E57960"/>
    <w:rsid w:val="00E57A8F"/>
    <w:rsid w:val="00E6022B"/>
    <w:rsid w:val="00E60761"/>
    <w:rsid w:val="00E613E7"/>
    <w:rsid w:val="00E62851"/>
    <w:rsid w:val="00E6311E"/>
    <w:rsid w:val="00E6492F"/>
    <w:rsid w:val="00E65D22"/>
    <w:rsid w:val="00E7514B"/>
    <w:rsid w:val="00E77F8B"/>
    <w:rsid w:val="00E802D0"/>
    <w:rsid w:val="00E80787"/>
    <w:rsid w:val="00E81234"/>
    <w:rsid w:val="00E836FE"/>
    <w:rsid w:val="00E8464A"/>
    <w:rsid w:val="00E84F36"/>
    <w:rsid w:val="00E86527"/>
    <w:rsid w:val="00E86590"/>
    <w:rsid w:val="00E8751D"/>
    <w:rsid w:val="00E92EDC"/>
    <w:rsid w:val="00E9317E"/>
    <w:rsid w:val="00E95501"/>
    <w:rsid w:val="00E95524"/>
    <w:rsid w:val="00E959BD"/>
    <w:rsid w:val="00E9680A"/>
    <w:rsid w:val="00E96A47"/>
    <w:rsid w:val="00E96C02"/>
    <w:rsid w:val="00E9740E"/>
    <w:rsid w:val="00EA0463"/>
    <w:rsid w:val="00EA0F49"/>
    <w:rsid w:val="00EA28B3"/>
    <w:rsid w:val="00EA2973"/>
    <w:rsid w:val="00EA33DD"/>
    <w:rsid w:val="00EA44E8"/>
    <w:rsid w:val="00EA4786"/>
    <w:rsid w:val="00EA496E"/>
    <w:rsid w:val="00EA4AD0"/>
    <w:rsid w:val="00EA5114"/>
    <w:rsid w:val="00EA77A2"/>
    <w:rsid w:val="00EA7C2E"/>
    <w:rsid w:val="00EB2D21"/>
    <w:rsid w:val="00EB2DA6"/>
    <w:rsid w:val="00EB443D"/>
    <w:rsid w:val="00EB4501"/>
    <w:rsid w:val="00EB477A"/>
    <w:rsid w:val="00EB4939"/>
    <w:rsid w:val="00EB57DA"/>
    <w:rsid w:val="00EB61D7"/>
    <w:rsid w:val="00EB7F52"/>
    <w:rsid w:val="00EC0148"/>
    <w:rsid w:val="00EC0C53"/>
    <w:rsid w:val="00EC1316"/>
    <w:rsid w:val="00EC16DE"/>
    <w:rsid w:val="00EC29E0"/>
    <w:rsid w:val="00EC3D61"/>
    <w:rsid w:val="00EC4E49"/>
    <w:rsid w:val="00EC779E"/>
    <w:rsid w:val="00ED2B14"/>
    <w:rsid w:val="00ED42A0"/>
    <w:rsid w:val="00ED65EF"/>
    <w:rsid w:val="00ED6B77"/>
    <w:rsid w:val="00ED7133"/>
    <w:rsid w:val="00ED77FB"/>
    <w:rsid w:val="00EE1AA9"/>
    <w:rsid w:val="00EE1C4F"/>
    <w:rsid w:val="00EE2111"/>
    <w:rsid w:val="00EE2719"/>
    <w:rsid w:val="00EE45FA"/>
    <w:rsid w:val="00EE4D71"/>
    <w:rsid w:val="00EE681C"/>
    <w:rsid w:val="00EE7377"/>
    <w:rsid w:val="00EE7BCC"/>
    <w:rsid w:val="00EF03EE"/>
    <w:rsid w:val="00EF104B"/>
    <w:rsid w:val="00EF12DD"/>
    <w:rsid w:val="00EF2B2E"/>
    <w:rsid w:val="00EF33DA"/>
    <w:rsid w:val="00EF4804"/>
    <w:rsid w:val="00EF6070"/>
    <w:rsid w:val="00EF6A7C"/>
    <w:rsid w:val="00EF74E9"/>
    <w:rsid w:val="00EF7792"/>
    <w:rsid w:val="00EF7B0C"/>
    <w:rsid w:val="00F008B3"/>
    <w:rsid w:val="00F01814"/>
    <w:rsid w:val="00F01C9F"/>
    <w:rsid w:val="00F02DF0"/>
    <w:rsid w:val="00F05932"/>
    <w:rsid w:val="00F075F1"/>
    <w:rsid w:val="00F0787F"/>
    <w:rsid w:val="00F07F00"/>
    <w:rsid w:val="00F11492"/>
    <w:rsid w:val="00F157E8"/>
    <w:rsid w:val="00F16E54"/>
    <w:rsid w:val="00F203A4"/>
    <w:rsid w:val="00F2048C"/>
    <w:rsid w:val="00F21074"/>
    <w:rsid w:val="00F21BCD"/>
    <w:rsid w:val="00F22776"/>
    <w:rsid w:val="00F23673"/>
    <w:rsid w:val="00F23D1B"/>
    <w:rsid w:val="00F24BA4"/>
    <w:rsid w:val="00F25558"/>
    <w:rsid w:val="00F255FA"/>
    <w:rsid w:val="00F25A02"/>
    <w:rsid w:val="00F26633"/>
    <w:rsid w:val="00F27BA6"/>
    <w:rsid w:val="00F309A1"/>
    <w:rsid w:val="00F30C50"/>
    <w:rsid w:val="00F30CD0"/>
    <w:rsid w:val="00F30D54"/>
    <w:rsid w:val="00F30F1D"/>
    <w:rsid w:val="00F3200C"/>
    <w:rsid w:val="00F3256F"/>
    <w:rsid w:val="00F33FD8"/>
    <w:rsid w:val="00F34522"/>
    <w:rsid w:val="00F36696"/>
    <w:rsid w:val="00F3705B"/>
    <w:rsid w:val="00F3731A"/>
    <w:rsid w:val="00F37C88"/>
    <w:rsid w:val="00F40257"/>
    <w:rsid w:val="00F40918"/>
    <w:rsid w:val="00F41E88"/>
    <w:rsid w:val="00F4434B"/>
    <w:rsid w:val="00F44C0D"/>
    <w:rsid w:val="00F45DA9"/>
    <w:rsid w:val="00F45ED5"/>
    <w:rsid w:val="00F46425"/>
    <w:rsid w:val="00F47072"/>
    <w:rsid w:val="00F5084C"/>
    <w:rsid w:val="00F51391"/>
    <w:rsid w:val="00F519E7"/>
    <w:rsid w:val="00F53B23"/>
    <w:rsid w:val="00F544E2"/>
    <w:rsid w:val="00F54875"/>
    <w:rsid w:val="00F54DFF"/>
    <w:rsid w:val="00F5740B"/>
    <w:rsid w:val="00F606B4"/>
    <w:rsid w:val="00F60DFE"/>
    <w:rsid w:val="00F60EB6"/>
    <w:rsid w:val="00F618C0"/>
    <w:rsid w:val="00F624E9"/>
    <w:rsid w:val="00F63733"/>
    <w:rsid w:val="00F63821"/>
    <w:rsid w:val="00F63B0A"/>
    <w:rsid w:val="00F651D9"/>
    <w:rsid w:val="00F65819"/>
    <w:rsid w:val="00F65B1C"/>
    <w:rsid w:val="00F66152"/>
    <w:rsid w:val="00F710E8"/>
    <w:rsid w:val="00F72192"/>
    <w:rsid w:val="00F72E18"/>
    <w:rsid w:val="00F76063"/>
    <w:rsid w:val="00F76E22"/>
    <w:rsid w:val="00F81E5A"/>
    <w:rsid w:val="00F82972"/>
    <w:rsid w:val="00F83CB0"/>
    <w:rsid w:val="00F84960"/>
    <w:rsid w:val="00F85692"/>
    <w:rsid w:val="00F901D7"/>
    <w:rsid w:val="00F92173"/>
    <w:rsid w:val="00F921AB"/>
    <w:rsid w:val="00F92827"/>
    <w:rsid w:val="00F940A7"/>
    <w:rsid w:val="00F94CF8"/>
    <w:rsid w:val="00F97AF7"/>
    <w:rsid w:val="00FA043B"/>
    <w:rsid w:val="00FA2284"/>
    <w:rsid w:val="00FA3926"/>
    <w:rsid w:val="00FA419E"/>
    <w:rsid w:val="00FA54B4"/>
    <w:rsid w:val="00FA7391"/>
    <w:rsid w:val="00FB02F4"/>
    <w:rsid w:val="00FB1575"/>
    <w:rsid w:val="00FB1A99"/>
    <w:rsid w:val="00FB1EF7"/>
    <w:rsid w:val="00FB1F8B"/>
    <w:rsid w:val="00FB4558"/>
    <w:rsid w:val="00FB5237"/>
    <w:rsid w:val="00FB5C14"/>
    <w:rsid w:val="00FB5FF0"/>
    <w:rsid w:val="00FB6E07"/>
    <w:rsid w:val="00FB7029"/>
    <w:rsid w:val="00FB7242"/>
    <w:rsid w:val="00FB7655"/>
    <w:rsid w:val="00FB77C4"/>
    <w:rsid w:val="00FC0B0F"/>
    <w:rsid w:val="00FC2E79"/>
    <w:rsid w:val="00FC4C3E"/>
    <w:rsid w:val="00FC69C2"/>
    <w:rsid w:val="00FC6C0C"/>
    <w:rsid w:val="00FC6D23"/>
    <w:rsid w:val="00FC7D35"/>
    <w:rsid w:val="00FD06CC"/>
    <w:rsid w:val="00FD16DF"/>
    <w:rsid w:val="00FD1953"/>
    <w:rsid w:val="00FD1C76"/>
    <w:rsid w:val="00FD39E0"/>
    <w:rsid w:val="00FD3B6E"/>
    <w:rsid w:val="00FD4124"/>
    <w:rsid w:val="00FD4BB3"/>
    <w:rsid w:val="00FD5CA3"/>
    <w:rsid w:val="00FD62BB"/>
    <w:rsid w:val="00FD6D62"/>
    <w:rsid w:val="00FD71D8"/>
    <w:rsid w:val="00FE1013"/>
    <w:rsid w:val="00FE17DA"/>
    <w:rsid w:val="00FE1BE8"/>
    <w:rsid w:val="00FE237E"/>
    <w:rsid w:val="00FE2E99"/>
    <w:rsid w:val="00FE317F"/>
    <w:rsid w:val="00FE3A60"/>
    <w:rsid w:val="00FE424B"/>
    <w:rsid w:val="00FE51D0"/>
    <w:rsid w:val="00FE5B1E"/>
    <w:rsid w:val="00FE7201"/>
    <w:rsid w:val="00FF0FBC"/>
    <w:rsid w:val="00FF1625"/>
    <w:rsid w:val="00FF1748"/>
    <w:rsid w:val="00FF3322"/>
    <w:rsid w:val="00FF451A"/>
    <w:rsid w:val="00FF5F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68F0"/>
    <w:rPr>
      <w:rFonts w:ascii="Arial" w:eastAsia="SimSun" w:hAnsi="Arial" w:cs="Arial"/>
      <w:sz w:val="22"/>
      <w:lang w:val="fr-FR" w:eastAsia="zh-CN"/>
    </w:rPr>
  </w:style>
  <w:style w:type="paragraph" w:styleId="Heading1">
    <w:name w:val="heading 1"/>
    <w:basedOn w:val="Normal"/>
    <w:next w:val="Normal"/>
    <w:link w:val="Heading1Char"/>
    <w:qFormat/>
    <w:rsid w:val="00AD68F0"/>
    <w:pPr>
      <w:keepNext/>
      <w:spacing w:before="240" w:after="60"/>
      <w:ind w:left="567" w:hanging="567"/>
      <w:outlineLvl w:val="0"/>
    </w:pPr>
    <w:rPr>
      <w:b/>
      <w:bCs/>
      <w:caps/>
      <w:kern w:val="32"/>
      <w:szCs w:val="32"/>
    </w:rPr>
  </w:style>
  <w:style w:type="paragraph" w:styleId="Heading2">
    <w:name w:val="heading 2"/>
    <w:basedOn w:val="Normal"/>
    <w:next w:val="Normal"/>
    <w:link w:val="Heading2Char"/>
    <w:qFormat/>
    <w:rsid w:val="00AD68F0"/>
    <w:pPr>
      <w:keepNext/>
      <w:spacing w:before="240" w:after="60"/>
      <w:outlineLvl w:val="1"/>
    </w:pPr>
    <w:rPr>
      <w:bCs/>
      <w:iCs/>
      <w:caps/>
      <w:szCs w:val="28"/>
    </w:rPr>
  </w:style>
  <w:style w:type="paragraph" w:styleId="Heading3">
    <w:name w:val="heading 3"/>
    <w:basedOn w:val="Normal"/>
    <w:next w:val="Normal"/>
    <w:link w:val="Heading3Char"/>
    <w:qFormat/>
    <w:rsid w:val="00AD68F0"/>
    <w:pPr>
      <w:keepNext/>
      <w:spacing w:before="240" w:after="60"/>
      <w:outlineLvl w:val="2"/>
    </w:pPr>
    <w:rPr>
      <w:bCs/>
      <w:szCs w:val="26"/>
      <w:u w:val="single"/>
    </w:rPr>
  </w:style>
  <w:style w:type="paragraph" w:styleId="Heading4">
    <w:name w:val="heading 4"/>
    <w:basedOn w:val="Normal"/>
    <w:next w:val="Normal"/>
    <w:link w:val="Heading4Char"/>
    <w:qFormat/>
    <w:rsid w:val="00AD68F0"/>
    <w:pPr>
      <w:keepNext/>
      <w:spacing w:before="240" w:after="60"/>
      <w:outlineLvl w:val="3"/>
    </w:pPr>
    <w:rPr>
      <w:bCs/>
      <w:i/>
      <w:szCs w:val="28"/>
    </w:rPr>
  </w:style>
  <w:style w:type="paragraph" w:styleId="Heading5">
    <w:name w:val="heading 5"/>
    <w:basedOn w:val="Normal"/>
    <w:next w:val="Normal"/>
    <w:link w:val="Heading5Char"/>
    <w:semiHidden/>
    <w:unhideWhenUsed/>
    <w:qFormat/>
    <w:rsid w:val="009362D4"/>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AD68F0"/>
    <w:pPr>
      <w:ind w:left="5534"/>
    </w:pPr>
    <w:rPr>
      <w:lang w:val="en-US"/>
    </w:rPr>
  </w:style>
  <w:style w:type="paragraph" w:styleId="BodyText">
    <w:name w:val="Body Text"/>
    <w:basedOn w:val="Normal"/>
    <w:link w:val="BodyTextChar"/>
    <w:rsid w:val="00AD68F0"/>
    <w:pPr>
      <w:spacing w:after="220"/>
    </w:pPr>
  </w:style>
  <w:style w:type="paragraph" w:styleId="Caption">
    <w:name w:val="caption"/>
    <w:basedOn w:val="Normal"/>
    <w:next w:val="Normal"/>
    <w:qFormat/>
    <w:rsid w:val="00AD68F0"/>
    <w:rPr>
      <w:b/>
      <w:bCs/>
      <w:sz w:val="18"/>
    </w:rPr>
  </w:style>
  <w:style w:type="paragraph" w:styleId="CommentText">
    <w:name w:val="annotation text"/>
    <w:basedOn w:val="Normal"/>
    <w:link w:val="CommentTextChar"/>
    <w:semiHidden/>
    <w:rsid w:val="00AD68F0"/>
    <w:rPr>
      <w:sz w:val="18"/>
    </w:rPr>
  </w:style>
  <w:style w:type="paragraph" w:styleId="EndnoteText">
    <w:name w:val="endnote text"/>
    <w:basedOn w:val="Normal"/>
    <w:link w:val="EndnoteTextChar"/>
    <w:semiHidden/>
    <w:rsid w:val="00AD68F0"/>
    <w:rPr>
      <w:sz w:val="18"/>
    </w:rPr>
  </w:style>
  <w:style w:type="paragraph" w:styleId="Footer">
    <w:name w:val="footer"/>
    <w:basedOn w:val="Normal"/>
    <w:link w:val="FooterChar"/>
    <w:semiHidden/>
    <w:rsid w:val="00AD68F0"/>
    <w:pPr>
      <w:tabs>
        <w:tab w:val="center" w:pos="4320"/>
        <w:tab w:val="right" w:pos="8640"/>
      </w:tabs>
    </w:pPr>
  </w:style>
  <w:style w:type="paragraph" w:styleId="FootnoteText">
    <w:name w:val="footnote text"/>
    <w:basedOn w:val="Normal"/>
    <w:link w:val="FootnoteTextChar"/>
    <w:rsid w:val="00AD68F0"/>
    <w:rPr>
      <w:sz w:val="18"/>
    </w:rPr>
  </w:style>
  <w:style w:type="paragraph" w:styleId="Header">
    <w:name w:val="header"/>
    <w:basedOn w:val="Normal"/>
    <w:link w:val="HeaderChar"/>
    <w:rsid w:val="00AD68F0"/>
    <w:pPr>
      <w:tabs>
        <w:tab w:val="center" w:pos="4536"/>
        <w:tab w:val="right" w:pos="9072"/>
      </w:tabs>
    </w:pPr>
  </w:style>
  <w:style w:type="paragraph" w:styleId="ListNumber">
    <w:name w:val="List Number"/>
    <w:basedOn w:val="Normal"/>
    <w:semiHidden/>
    <w:rsid w:val="00AD68F0"/>
    <w:pPr>
      <w:numPr>
        <w:numId w:val="44"/>
      </w:numPr>
    </w:pPr>
  </w:style>
  <w:style w:type="paragraph" w:customStyle="1" w:styleId="ONUME">
    <w:name w:val="ONUM E"/>
    <w:basedOn w:val="BodyText"/>
    <w:rsid w:val="00AD68F0"/>
    <w:pPr>
      <w:numPr>
        <w:numId w:val="45"/>
      </w:numPr>
    </w:pPr>
  </w:style>
  <w:style w:type="paragraph" w:customStyle="1" w:styleId="ONUMFS">
    <w:name w:val="ONUM FS"/>
    <w:basedOn w:val="BodyText"/>
    <w:rsid w:val="00AD68F0"/>
    <w:pPr>
      <w:numPr>
        <w:numId w:val="46"/>
      </w:numPr>
    </w:pPr>
  </w:style>
  <w:style w:type="paragraph" w:styleId="Salutation">
    <w:name w:val="Salutation"/>
    <w:basedOn w:val="Normal"/>
    <w:next w:val="Normal"/>
    <w:link w:val="SalutationChar"/>
    <w:semiHidden/>
    <w:rsid w:val="00AD68F0"/>
  </w:style>
  <w:style w:type="paragraph" w:styleId="Signature">
    <w:name w:val="Signature"/>
    <w:basedOn w:val="Normal"/>
    <w:link w:val="SignatureChar"/>
    <w:semiHidden/>
    <w:rsid w:val="00AD68F0"/>
    <w:pPr>
      <w:ind w:left="5250"/>
    </w:pPr>
  </w:style>
  <w:style w:type="paragraph" w:styleId="BalloonText">
    <w:name w:val="Balloon Text"/>
    <w:basedOn w:val="Normal"/>
    <w:link w:val="BalloonTextChar"/>
    <w:rsid w:val="000408DC"/>
    <w:rPr>
      <w:rFonts w:ascii="Tahoma" w:hAnsi="Tahoma" w:cs="Tahoma"/>
      <w:sz w:val="16"/>
      <w:szCs w:val="16"/>
    </w:rPr>
  </w:style>
  <w:style w:type="character" w:customStyle="1" w:styleId="BalloonTextChar">
    <w:name w:val="Balloon Text Char"/>
    <w:basedOn w:val="DefaultParagraphFont"/>
    <w:link w:val="BalloonText"/>
    <w:rsid w:val="000408DC"/>
    <w:rPr>
      <w:rFonts w:ascii="Tahoma" w:eastAsia="SimSun" w:hAnsi="Tahoma" w:cs="Tahoma"/>
      <w:sz w:val="16"/>
      <w:szCs w:val="16"/>
      <w:lang w:eastAsia="zh-CN"/>
    </w:rPr>
  </w:style>
  <w:style w:type="paragraph" w:styleId="ListParagraph">
    <w:name w:val="List Paragraph"/>
    <w:basedOn w:val="Normal"/>
    <w:uiPriority w:val="34"/>
    <w:qFormat/>
    <w:rsid w:val="00AD68F0"/>
    <w:pPr>
      <w:ind w:left="720"/>
      <w:contextualSpacing/>
    </w:pPr>
  </w:style>
  <w:style w:type="character" w:styleId="FootnoteReference">
    <w:name w:val="footnote reference"/>
    <w:basedOn w:val="DefaultParagraphFont"/>
    <w:rsid w:val="00911E1B"/>
    <w:rPr>
      <w:vertAlign w:val="superscript"/>
    </w:rPr>
  </w:style>
  <w:style w:type="paragraph" w:customStyle="1" w:styleId="Default">
    <w:name w:val="Default"/>
    <w:rsid w:val="008C4C2C"/>
    <w:pPr>
      <w:autoSpaceDE w:val="0"/>
      <w:autoSpaceDN w:val="0"/>
      <w:adjustRightInd w:val="0"/>
    </w:pPr>
    <w:rPr>
      <w:rFonts w:ascii="Arial" w:hAnsi="Arial" w:cs="Arial"/>
      <w:color w:val="000000"/>
      <w:sz w:val="24"/>
      <w:szCs w:val="24"/>
    </w:rPr>
  </w:style>
  <w:style w:type="character" w:customStyle="1" w:styleId="FootnoteTextChar">
    <w:name w:val="Footnote Text Char"/>
    <w:basedOn w:val="DefaultParagraphFont"/>
    <w:link w:val="FootnoteText"/>
    <w:rsid w:val="00AD68F0"/>
    <w:rPr>
      <w:rFonts w:ascii="Arial" w:eastAsia="SimSun" w:hAnsi="Arial" w:cs="Arial"/>
      <w:sz w:val="18"/>
      <w:lang w:val="fr-FR" w:eastAsia="zh-CN"/>
    </w:rPr>
  </w:style>
  <w:style w:type="paragraph" w:customStyle="1" w:styleId="indent1">
    <w:name w:val="indent_1"/>
    <w:basedOn w:val="Normal"/>
    <w:rsid w:val="000307C9"/>
    <w:pPr>
      <w:ind w:firstLine="567"/>
      <w:jc w:val="both"/>
    </w:pPr>
    <w:rPr>
      <w:rFonts w:ascii="Times New Roman" w:eastAsia="Times New Roman" w:hAnsi="Times New Roman" w:cs="Times New Roman"/>
      <w:sz w:val="28"/>
      <w:szCs w:val="28"/>
      <w:lang w:val="en-GB" w:eastAsia="ja-JP"/>
    </w:rPr>
  </w:style>
  <w:style w:type="paragraph" w:customStyle="1" w:styleId="indenti">
    <w:name w:val="indent_i"/>
    <w:basedOn w:val="Normal"/>
    <w:rsid w:val="000307C9"/>
    <w:pPr>
      <w:numPr>
        <w:numId w:val="9"/>
      </w:numPr>
      <w:tabs>
        <w:tab w:val="left" w:pos="2268"/>
      </w:tabs>
      <w:jc w:val="both"/>
    </w:pPr>
    <w:rPr>
      <w:rFonts w:ascii="Times New Roman" w:eastAsia="Times New Roman" w:hAnsi="Times New Roman" w:cs="Times New Roman"/>
      <w:sz w:val="28"/>
      <w:szCs w:val="28"/>
      <w:lang w:val="en-GB" w:eastAsia="ja-JP"/>
    </w:rPr>
  </w:style>
  <w:style w:type="character" w:styleId="CommentReference">
    <w:name w:val="annotation reference"/>
    <w:basedOn w:val="DefaultParagraphFont"/>
    <w:uiPriority w:val="99"/>
    <w:rsid w:val="005F4346"/>
    <w:rPr>
      <w:sz w:val="16"/>
      <w:szCs w:val="16"/>
    </w:rPr>
  </w:style>
  <w:style w:type="paragraph" w:styleId="CommentSubject">
    <w:name w:val="annotation subject"/>
    <w:basedOn w:val="CommentText"/>
    <w:next w:val="CommentText"/>
    <w:link w:val="CommentSubjectChar"/>
    <w:rsid w:val="005F4346"/>
    <w:rPr>
      <w:b/>
      <w:bCs/>
      <w:sz w:val="20"/>
    </w:rPr>
  </w:style>
  <w:style w:type="character" w:customStyle="1" w:styleId="CommentTextChar">
    <w:name w:val="Comment Text Char"/>
    <w:basedOn w:val="DefaultParagraphFont"/>
    <w:link w:val="CommentText"/>
    <w:semiHidden/>
    <w:rsid w:val="00AD68F0"/>
    <w:rPr>
      <w:rFonts w:ascii="Arial" w:eastAsia="SimSun" w:hAnsi="Arial" w:cs="Arial"/>
      <w:sz w:val="18"/>
      <w:lang w:val="fr-FR" w:eastAsia="zh-CN"/>
    </w:rPr>
  </w:style>
  <w:style w:type="character" w:customStyle="1" w:styleId="CommentSubjectChar">
    <w:name w:val="Comment Subject Char"/>
    <w:basedOn w:val="CommentTextChar"/>
    <w:link w:val="CommentSubject"/>
    <w:rsid w:val="005F4346"/>
    <w:rPr>
      <w:rFonts w:ascii="Arial" w:eastAsia="SimSun" w:hAnsi="Arial" w:cs="Arial"/>
      <w:b/>
      <w:bCs/>
      <w:sz w:val="18"/>
      <w:lang w:val="fr-FR" w:eastAsia="zh-CN"/>
    </w:rPr>
  </w:style>
  <w:style w:type="paragraph" w:styleId="NormalWeb">
    <w:name w:val="Normal (Web)"/>
    <w:basedOn w:val="Normal"/>
    <w:uiPriority w:val="99"/>
    <w:unhideWhenUsed/>
    <w:rsid w:val="00644764"/>
    <w:rPr>
      <w:rFonts w:ascii="Times New Roman" w:eastAsiaTheme="minorHAnsi" w:hAnsi="Times New Roman" w:cs="Times New Roman"/>
      <w:sz w:val="24"/>
      <w:szCs w:val="24"/>
      <w:lang w:eastAsia="en-US"/>
    </w:rPr>
  </w:style>
  <w:style w:type="character" w:styleId="Emphasis">
    <w:name w:val="Emphasis"/>
    <w:basedOn w:val="DefaultParagraphFont"/>
    <w:uiPriority w:val="20"/>
    <w:qFormat/>
    <w:rsid w:val="00644764"/>
    <w:rPr>
      <w:i/>
      <w:iCs/>
    </w:rPr>
  </w:style>
  <w:style w:type="character" w:styleId="Hyperlink">
    <w:name w:val="Hyperlink"/>
    <w:basedOn w:val="DefaultParagraphFont"/>
    <w:uiPriority w:val="99"/>
    <w:unhideWhenUsed/>
    <w:rsid w:val="00644764"/>
    <w:rPr>
      <w:color w:val="0000FF"/>
      <w:u w:val="single"/>
    </w:rPr>
  </w:style>
  <w:style w:type="character" w:customStyle="1" w:styleId="HeaderChar">
    <w:name w:val="Header Char"/>
    <w:basedOn w:val="DefaultParagraphFont"/>
    <w:link w:val="Header"/>
    <w:rsid w:val="00AD68F0"/>
    <w:rPr>
      <w:rFonts w:ascii="Arial" w:eastAsia="SimSun" w:hAnsi="Arial" w:cs="Arial"/>
      <w:sz w:val="22"/>
      <w:lang w:val="fr-FR" w:eastAsia="zh-CN"/>
    </w:rPr>
  </w:style>
  <w:style w:type="character" w:customStyle="1" w:styleId="apple-converted-space">
    <w:name w:val="apple-converted-space"/>
    <w:basedOn w:val="DefaultParagraphFont"/>
    <w:rsid w:val="002272F9"/>
  </w:style>
  <w:style w:type="table" w:styleId="TableGrid">
    <w:name w:val="Table Grid"/>
    <w:basedOn w:val="TableNormal"/>
    <w:rsid w:val="002272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semiHidden/>
    <w:rsid w:val="009362D4"/>
    <w:rPr>
      <w:rFonts w:asciiTheme="majorHAnsi" w:eastAsiaTheme="majorEastAsia" w:hAnsiTheme="majorHAnsi" w:cstheme="majorBidi"/>
      <w:color w:val="243F60" w:themeColor="accent1" w:themeShade="7F"/>
      <w:sz w:val="22"/>
      <w:lang w:eastAsia="zh-CN"/>
    </w:rPr>
  </w:style>
  <w:style w:type="paragraph" w:customStyle="1" w:styleId="indenta">
    <w:name w:val="indent_a"/>
    <w:basedOn w:val="Normal"/>
    <w:link w:val="indentaChar"/>
    <w:rsid w:val="009362D4"/>
    <w:pPr>
      <w:ind w:firstLine="1134"/>
      <w:jc w:val="both"/>
    </w:pPr>
    <w:rPr>
      <w:rFonts w:ascii="Times New Roman" w:eastAsia="Times New Roman" w:hAnsi="Times New Roman" w:cs="Times New Roman"/>
      <w:sz w:val="28"/>
      <w:szCs w:val="28"/>
      <w:lang w:val="en-GB" w:eastAsia="ja-JP"/>
    </w:rPr>
  </w:style>
  <w:style w:type="character" w:customStyle="1" w:styleId="indentaChar">
    <w:name w:val="indent_a Char"/>
    <w:link w:val="indenta"/>
    <w:rsid w:val="009362D4"/>
    <w:rPr>
      <w:rFonts w:eastAsia="Times New Roman"/>
      <w:sz w:val="28"/>
      <w:szCs w:val="28"/>
      <w:lang w:val="en-GB" w:eastAsia="ja-JP"/>
    </w:rPr>
  </w:style>
  <w:style w:type="paragraph" w:styleId="Title">
    <w:name w:val="Title"/>
    <w:basedOn w:val="Normal"/>
    <w:link w:val="TitleChar"/>
    <w:qFormat/>
    <w:rsid w:val="009362D4"/>
    <w:pPr>
      <w:jc w:val="center"/>
    </w:pPr>
    <w:rPr>
      <w:rFonts w:ascii="Times New Roman" w:eastAsia="Times New Roman" w:hAnsi="Times New Roman" w:cs="Times New Roman"/>
      <w:b/>
      <w:sz w:val="40"/>
      <w:szCs w:val="40"/>
      <w:lang w:val="en-GB" w:eastAsia="ja-JP"/>
    </w:rPr>
  </w:style>
  <w:style w:type="character" w:customStyle="1" w:styleId="TitleChar">
    <w:name w:val="Title Char"/>
    <w:basedOn w:val="DefaultParagraphFont"/>
    <w:link w:val="Title"/>
    <w:rsid w:val="009362D4"/>
    <w:rPr>
      <w:rFonts w:eastAsia="Times New Roman"/>
      <w:b/>
      <w:sz w:val="40"/>
      <w:szCs w:val="40"/>
      <w:lang w:val="en-GB" w:eastAsia="ja-JP"/>
    </w:rPr>
  </w:style>
  <w:style w:type="paragraph" w:styleId="BodyText3">
    <w:name w:val="Body Text 3"/>
    <w:basedOn w:val="Normal"/>
    <w:link w:val="BodyText3Char"/>
    <w:rsid w:val="009362D4"/>
    <w:pPr>
      <w:tabs>
        <w:tab w:val="left" w:pos="567"/>
        <w:tab w:val="left" w:pos="1276"/>
        <w:tab w:val="right" w:pos="8364"/>
      </w:tabs>
      <w:ind w:left="1276" w:right="1985" w:hanging="709"/>
      <w:jc w:val="both"/>
    </w:pPr>
    <w:rPr>
      <w:rFonts w:ascii="Times New Roman" w:eastAsia="Times New Roman" w:hAnsi="Times New Roman" w:cs="Times New Roman"/>
      <w:sz w:val="28"/>
      <w:szCs w:val="28"/>
      <w:lang w:val="en-GB" w:eastAsia="ja-JP"/>
    </w:rPr>
  </w:style>
  <w:style w:type="character" w:customStyle="1" w:styleId="BodyText3Char">
    <w:name w:val="Body Text 3 Char"/>
    <w:basedOn w:val="DefaultParagraphFont"/>
    <w:link w:val="BodyText3"/>
    <w:rsid w:val="009362D4"/>
    <w:rPr>
      <w:rFonts w:eastAsia="Times New Roman"/>
      <w:sz w:val="28"/>
      <w:szCs w:val="28"/>
      <w:lang w:val="en-GB" w:eastAsia="ja-JP"/>
    </w:rPr>
  </w:style>
  <w:style w:type="paragraph" w:styleId="BodyText2">
    <w:name w:val="Body Text 2"/>
    <w:basedOn w:val="Normal"/>
    <w:link w:val="BodyText2Char"/>
    <w:autoRedefine/>
    <w:rsid w:val="009362D4"/>
    <w:pPr>
      <w:tabs>
        <w:tab w:val="right" w:pos="8363"/>
      </w:tabs>
      <w:ind w:left="567" w:right="1985" w:hanging="567"/>
      <w:jc w:val="both"/>
    </w:pPr>
    <w:rPr>
      <w:rFonts w:ascii="Times New Roman" w:eastAsia="Times New Roman" w:hAnsi="Times New Roman" w:cs="Times New Roman"/>
      <w:sz w:val="28"/>
      <w:szCs w:val="24"/>
      <w:lang w:eastAsia="ja-JP"/>
    </w:rPr>
  </w:style>
  <w:style w:type="character" w:customStyle="1" w:styleId="BodyText2Char">
    <w:name w:val="Body Text 2 Char"/>
    <w:basedOn w:val="DefaultParagraphFont"/>
    <w:link w:val="BodyText2"/>
    <w:rsid w:val="009362D4"/>
    <w:rPr>
      <w:rFonts w:eastAsia="Times New Roman"/>
      <w:sz w:val="28"/>
      <w:szCs w:val="24"/>
      <w:lang w:eastAsia="ja-JP"/>
    </w:rPr>
  </w:style>
  <w:style w:type="paragraph" w:styleId="HTMLPreformatted">
    <w:name w:val="HTML Preformatted"/>
    <w:basedOn w:val="Normal"/>
    <w:link w:val="HTMLPreformattedChar"/>
    <w:uiPriority w:val="99"/>
    <w:unhideWhenUsed/>
    <w:rsid w:val="009362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lang w:eastAsia="ja-JP"/>
    </w:rPr>
  </w:style>
  <w:style w:type="character" w:customStyle="1" w:styleId="HTMLPreformattedChar">
    <w:name w:val="HTML Preformatted Char"/>
    <w:basedOn w:val="DefaultParagraphFont"/>
    <w:link w:val="HTMLPreformatted"/>
    <w:uiPriority w:val="99"/>
    <w:rsid w:val="009362D4"/>
    <w:rPr>
      <w:rFonts w:ascii="Courier New" w:eastAsia="Times New Roman" w:hAnsi="Courier New" w:cs="Courier New"/>
      <w:lang w:eastAsia="ja-JP"/>
    </w:rPr>
  </w:style>
  <w:style w:type="character" w:styleId="FollowedHyperlink">
    <w:name w:val="FollowedHyperlink"/>
    <w:basedOn w:val="DefaultParagraphFont"/>
    <w:rsid w:val="009362D4"/>
    <w:rPr>
      <w:color w:val="800080" w:themeColor="followedHyperlink"/>
      <w:u w:val="single"/>
    </w:rPr>
  </w:style>
  <w:style w:type="character" w:customStyle="1" w:styleId="originallanguage">
    <w:name w:val="originallanguage"/>
    <w:basedOn w:val="DefaultParagraphFont"/>
    <w:rsid w:val="009362D4"/>
  </w:style>
  <w:style w:type="character" w:customStyle="1" w:styleId="translatedlanguage">
    <w:name w:val="translatedlanguage"/>
    <w:basedOn w:val="DefaultParagraphFont"/>
    <w:rsid w:val="009362D4"/>
  </w:style>
  <w:style w:type="paragraph" w:styleId="Revision">
    <w:name w:val="Revision"/>
    <w:hidden/>
    <w:uiPriority w:val="99"/>
    <w:semiHidden/>
    <w:rsid w:val="004A74A2"/>
    <w:rPr>
      <w:rFonts w:ascii="Arial" w:eastAsia="SimSun" w:hAnsi="Arial" w:cs="Arial"/>
      <w:sz w:val="22"/>
      <w:lang w:eastAsia="zh-CN"/>
    </w:rPr>
  </w:style>
  <w:style w:type="character" w:customStyle="1" w:styleId="BodyTextChar">
    <w:name w:val="Body Text Char"/>
    <w:basedOn w:val="DefaultParagraphFont"/>
    <w:link w:val="BodyText"/>
    <w:rsid w:val="00AD68F0"/>
    <w:rPr>
      <w:rFonts w:ascii="Arial" w:eastAsia="SimSun" w:hAnsi="Arial" w:cs="Arial"/>
      <w:sz w:val="22"/>
      <w:lang w:val="fr-FR" w:eastAsia="zh-CN"/>
    </w:rPr>
  </w:style>
  <w:style w:type="character" w:customStyle="1" w:styleId="EndnoteTextChar">
    <w:name w:val="Endnote Text Char"/>
    <w:basedOn w:val="DefaultParagraphFont"/>
    <w:link w:val="EndnoteText"/>
    <w:semiHidden/>
    <w:rsid w:val="00AD68F0"/>
    <w:rPr>
      <w:rFonts w:ascii="Arial" w:eastAsia="SimSun" w:hAnsi="Arial" w:cs="Arial"/>
      <w:sz w:val="18"/>
      <w:lang w:val="fr-FR" w:eastAsia="zh-CN"/>
    </w:rPr>
  </w:style>
  <w:style w:type="character" w:customStyle="1" w:styleId="FooterChar">
    <w:name w:val="Footer Char"/>
    <w:basedOn w:val="DefaultParagraphFont"/>
    <w:link w:val="Footer"/>
    <w:semiHidden/>
    <w:rsid w:val="00AD68F0"/>
    <w:rPr>
      <w:rFonts w:ascii="Arial" w:eastAsia="SimSun" w:hAnsi="Arial" w:cs="Arial"/>
      <w:sz w:val="22"/>
      <w:lang w:val="fr-FR" w:eastAsia="zh-CN"/>
    </w:rPr>
  </w:style>
  <w:style w:type="character" w:customStyle="1" w:styleId="Heading1Char">
    <w:name w:val="Heading 1 Char"/>
    <w:basedOn w:val="DefaultParagraphFont"/>
    <w:link w:val="Heading1"/>
    <w:rsid w:val="00AD68F0"/>
    <w:rPr>
      <w:rFonts w:ascii="Arial" w:eastAsia="SimSun" w:hAnsi="Arial" w:cs="Arial"/>
      <w:b/>
      <w:bCs/>
      <w:caps/>
      <w:kern w:val="32"/>
      <w:sz w:val="22"/>
      <w:szCs w:val="32"/>
      <w:lang w:val="fr-FR" w:eastAsia="zh-CN"/>
    </w:rPr>
  </w:style>
  <w:style w:type="character" w:customStyle="1" w:styleId="Heading2Char">
    <w:name w:val="Heading 2 Char"/>
    <w:basedOn w:val="DefaultParagraphFont"/>
    <w:link w:val="Heading2"/>
    <w:rsid w:val="00AD68F0"/>
    <w:rPr>
      <w:rFonts w:ascii="Arial" w:eastAsia="SimSun" w:hAnsi="Arial" w:cs="Arial"/>
      <w:bCs/>
      <w:iCs/>
      <w:caps/>
      <w:sz w:val="22"/>
      <w:szCs w:val="28"/>
      <w:lang w:val="fr-FR" w:eastAsia="zh-CN"/>
    </w:rPr>
  </w:style>
  <w:style w:type="character" w:customStyle="1" w:styleId="Heading3Char">
    <w:name w:val="Heading 3 Char"/>
    <w:basedOn w:val="DefaultParagraphFont"/>
    <w:link w:val="Heading3"/>
    <w:rsid w:val="00AD68F0"/>
    <w:rPr>
      <w:rFonts w:ascii="Arial" w:eastAsia="SimSun" w:hAnsi="Arial" w:cs="Arial"/>
      <w:bCs/>
      <w:sz w:val="22"/>
      <w:szCs w:val="26"/>
      <w:u w:val="single"/>
      <w:lang w:val="fr-FR" w:eastAsia="zh-CN"/>
    </w:rPr>
  </w:style>
  <w:style w:type="character" w:customStyle="1" w:styleId="Heading4Char">
    <w:name w:val="Heading 4 Char"/>
    <w:basedOn w:val="DefaultParagraphFont"/>
    <w:link w:val="Heading4"/>
    <w:rsid w:val="00AD68F0"/>
    <w:rPr>
      <w:rFonts w:ascii="Arial" w:eastAsia="SimSun" w:hAnsi="Arial" w:cs="Arial"/>
      <w:bCs/>
      <w:i/>
      <w:sz w:val="22"/>
      <w:szCs w:val="28"/>
      <w:lang w:val="fr-FR" w:eastAsia="zh-CN"/>
    </w:rPr>
  </w:style>
  <w:style w:type="paragraph" w:customStyle="1" w:styleId="Meetingplacedate">
    <w:name w:val="Meeting place &amp; date"/>
    <w:basedOn w:val="Normal"/>
    <w:next w:val="Normal"/>
    <w:rsid w:val="00AD68F0"/>
    <w:pPr>
      <w:spacing w:line="336" w:lineRule="exact"/>
      <w:ind w:left="1021"/>
    </w:pPr>
    <w:rPr>
      <w:rFonts w:eastAsia="Times New Roman" w:cs="Times New Roman"/>
      <w:b/>
      <w:sz w:val="24"/>
      <w:lang w:eastAsia="en-US"/>
    </w:rPr>
  </w:style>
  <w:style w:type="paragraph" w:customStyle="1" w:styleId="Meetingtitle">
    <w:name w:val="Meeting title"/>
    <w:basedOn w:val="Normal"/>
    <w:next w:val="Normal"/>
    <w:rsid w:val="00AD68F0"/>
    <w:pPr>
      <w:spacing w:line="336" w:lineRule="exact"/>
      <w:ind w:left="1021"/>
    </w:pPr>
    <w:rPr>
      <w:rFonts w:eastAsia="Times New Roman" w:cs="Times New Roman"/>
      <w:b/>
      <w:sz w:val="28"/>
      <w:lang w:eastAsia="en-US"/>
    </w:rPr>
  </w:style>
  <w:style w:type="character" w:customStyle="1" w:styleId="SalutationChar">
    <w:name w:val="Salutation Char"/>
    <w:basedOn w:val="DefaultParagraphFont"/>
    <w:link w:val="Salutation"/>
    <w:semiHidden/>
    <w:rsid w:val="00AD68F0"/>
    <w:rPr>
      <w:rFonts w:ascii="Arial" w:eastAsia="SimSun" w:hAnsi="Arial" w:cs="Arial"/>
      <w:sz w:val="22"/>
      <w:lang w:val="fr-FR" w:eastAsia="zh-CN"/>
    </w:rPr>
  </w:style>
  <w:style w:type="character" w:customStyle="1" w:styleId="SignatureChar">
    <w:name w:val="Signature Char"/>
    <w:basedOn w:val="DefaultParagraphFont"/>
    <w:link w:val="Signature"/>
    <w:semiHidden/>
    <w:rsid w:val="00AD68F0"/>
    <w:rPr>
      <w:rFonts w:ascii="Arial" w:eastAsia="SimSun" w:hAnsi="Arial" w:cs="Arial"/>
      <w:sz w:val="22"/>
      <w:lang w:val="fr-FR"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68F0"/>
    <w:rPr>
      <w:rFonts w:ascii="Arial" w:eastAsia="SimSun" w:hAnsi="Arial" w:cs="Arial"/>
      <w:sz w:val="22"/>
      <w:lang w:val="fr-FR" w:eastAsia="zh-CN"/>
    </w:rPr>
  </w:style>
  <w:style w:type="paragraph" w:styleId="Heading1">
    <w:name w:val="heading 1"/>
    <w:basedOn w:val="Normal"/>
    <w:next w:val="Normal"/>
    <w:link w:val="Heading1Char"/>
    <w:qFormat/>
    <w:rsid w:val="00AD68F0"/>
    <w:pPr>
      <w:keepNext/>
      <w:spacing w:before="240" w:after="60"/>
      <w:ind w:left="567" w:hanging="567"/>
      <w:outlineLvl w:val="0"/>
    </w:pPr>
    <w:rPr>
      <w:b/>
      <w:bCs/>
      <w:caps/>
      <w:kern w:val="32"/>
      <w:szCs w:val="32"/>
    </w:rPr>
  </w:style>
  <w:style w:type="paragraph" w:styleId="Heading2">
    <w:name w:val="heading 2"/>
    <w:basedOn w:val="Normal"/>
    <w:next w:val="Normal"/>
    <w:link w:val="Heading2Char"/>
    <w:qFormat/>
    <w:rsid w:val="00AD68F0"/>
    <w:pPr>
      <w:keepNext/>
      <w:spacing w:before="240" w:after="60"/>
      <w:outlineLvl w:val="1"/>
    </w:pPr>
    <w:rPr>
      <w:bCs/>
      <w:iCs/>
      <w:caps/>
      <w:szCs w:val="28"/>
    </w:rPr>
  </w:style>
  <w:style w:type="paragraph" w:styleId="Heading3">
    <w:name w:val="heading 3"/>
    <w:basedOn w:val="Normal"/>
    <w:next w:val="Normal"/>
    <w:link w:val="Heading3Char"/>
    <w:qFormat/>
    <w:rsid w:val="00AD68F0"/>
    <w:pPr>
      <w:keepNext/>
      <w:spacing w:before="240" w:after="60"/>
      <w:outlineLvl w:val="2"/>
    </w:pPr>
    <w:rPr>
      <w:bCs/>
      <w:szCs w:val="26"/>
      <w:u w:val="single"/>
    </w:rPr>
  </w:style>
  <w:style w:type="paragraph" w:styleId="Heading4">
    <w:name w:val="heading 4"/>
    <w:basedOn w:val="Normal"/>
    <w:next w:val="Normal"/>
    <w:link w:val="Heading4Char"/>
    <w:qFormat/>
    <w:rsid w:val="00AD68F0"/>
    <w:pPr>
      <w:keepNext/>
      <w:spacing w:before="240" w:after="60"/>
      <w:outlineLvl w:val="3"/>
    </w:pPr>
    <w:rPr>
      <w:bCs/>
      <w:i/>
      <w:szCs w:val="28"/>
    </w:rPr>
  </w:style>
  <w:style w:type="paragraph" w:styleId="Heading5">
    <w:name w:val="heading 5"/>
    <w:basedOn w:val="Normal"/>
    <w:next w:val="Normal"/>
    <w:link w:val="Heading5Char"/>
    <w:semiHidden/>
    <w:unhideWhenUsed/>
    <w:qFormat/>
    <w:rsid w:val="009362D4"/>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AD68F0"/>
    <w:pPr>
      <w:ind w:left="5534"/>
    </w:pPr>
    <w:rPr>
      <w:lang w:val="en-US"/>
    </w:rPr>
  </w:style>
  <w:style w:type="paragraph" w:styleId="BodyText">
    <w:name w:val="Body Text"/>
    <w:basedOn w:val="Normal"/>
    <w:link w:val="BodyTextChar"/>
    <w:rsid w:val="00AD68F0"/>
    <w:pPr>
      <w:spacing w:after="220"/>
    </w:pPr>
  </w:style>
  <w:style w:type="paragraph" w:styleId="Caption">
    <w:name w:val="caption"/>
    <w:basedOn w:val="Normal"/>
    <w:next w:val="Normal"/>
    <w:qFormat/>
    <w:rsid w:val="00AD68F0"/>
    <w:rPr>
      <w:b/>
      <w:bCs/>
      <w:sz w:val="18"/>
    </w:rPr>
  </w:style>
  <w:style w:type="paragraph" w:styleId="CommentText">
    <w:name w:val="annotation text"/>
    <w:basedOn w:val="Normal"/>
    <w:link w:val="CommentTextChar"/>
    <w:semiHidden/>
    <w:rsid w:val="00AD68F0"/>
    <w:rPr>
      <w:sz w:val="18"/>
    </w:rPr>
  </w:style>
  <w:style w:type="paragraph" w:styleId="EndnoteText">
    <w:name w:val="endnote text"/>
    <w:basedOn w:val="Normal"/>
    <w:link w:val="EndnoteTextChar"/>
    <w:semiHidden/>
    <w:rsid w:val="00AD68F0"/>
    <w:rPr>
      <w:sz w:val="18"/>
    </w:rPr>
  </w:style>
  <w:style w:type="paragraph" w:styleId="Footer">
    <w:name w:val="footer"/>
    <w:basedOn w:val="Normal"/>
    <w:link w:val="FooterChar"/>
    <w:semiHidden/>
    <w:rsid w:val="00AD68F0"/>
    <w:pPr>
      <w:tabs>
        <w:tab w:val="center" w:pos="4320"/>
        <w:tab w:val="right" w:pos="8640"/>
      </w:tabs>
    </w:pPr>
  </w:style>
  <w:style w:type="paragraph" w:styleId="FootnoteText">
    <w:name w:val="footnote text"/>
    <w:basedOn w:val="Normal"/>
    <w:link w:val="FootnoteTextChar"/>
    <w:rsid w:val="00AD68F0"/>
    <w:rPr>
      <w:sz w:val="18"/>
    </w:rPr>
  </w:style>
  <w:style w:type="paragraph" w:styleId="Header">
    <w:name w:val="header"/>
    <w:basedOn w:val="Normal"/>
    <w:link w:val="HeaderChar"/>
    <w:rsid w:val="00AD68F0"/>
    <w:pPr>
      <w:tabs>
        <w:tab w:val="center" w:pos="4536"/>
        <w:tab w:val="right" w:pos="9072"/>
      </w:tabs>
    </w:pPr>
  </w:style>
  <w:style w:type="paragraph" w:styleId="ListNumber">
    <w:name w:val="List Number"/>
    <w:basedOn w:val="Normal"/>
    <w:semiHidden/>
    <w:rsid w:val="00AD68F0"/>
    <w:pPr>
      <w:numPr>
        <w:numId w:val="44"/>
      </w:numPr>
    </w:pPr>
  </w:style>
  <w:style w:type="paragraph" w:customStyle="1" w:styleId="ONUME">
    <w:name w:val="ONUM E"/>
    <w:basedOn w:val="BodyText"/>
    <w:rsid w:val="00AD68F0"/>
    <w:pPr>
      <w:numPr>
        <w:numId w:val="45"/>
      </w:numPr>
    </w:pPr>
  </w:style>
  <w:style w:type="paragraph" w:customStyle="1" w:styleId="ONUMFS">
    <w:name w:val="ONUM FS"/>
    <w:basedOn w:val="BodyText"/>
    <w:rsid w:val="00AD68F0"/>
    <w:pPr>
      <w:numPr>
        <w:numId w:val="46"/>
      </w:numPr>
    </w:pPr>
  </w:style>
  <w:style w:type="paragraph" w:styleId="Salutation">
    <w:name w:val="Salutation"/>
    <w:basedOn w:val="Normal"/>
    <w:next w:val="Normal"/>
    <w:link w:val="SalutationChar"/>
    <w:semiHidden/>
    <w:rsid w:val="00AD68F0"/>
  </w:style>
  <w:style w:type="paragraph" w:styleId="Signature">
    <w:name w:val="Signature"/>
    <w:basedOn w:val="Normal"/>
    <w:link w:val="SignatureChar"/>
    <w:semiHidden/>
    <w:rsid w:val="00AD68F0"/>
    <w:pPr>
      <w:ind w:left="5250"/>
    </w:pPr>
  </w:style>
  <w:style w:type="paragraph" w:styleId="BalloonText">
    <w:name w:val="Balloon Text"/>
    <w:basedOn w:val="Normal"/>
    <w:link w:val="BalloonTextChar"/>
    <w:rsid w:val="000408DC"/>
    <w:rPr>
      <w:rFonts w:ascii="Tahoma" w:hAnsi="Tahoma" w:cs="Tahoma"/>
      <w:sz w:val="16"/>
      <w:szCs w:val="16"/>
    </w:rPr>
  </w:style>
  <w:style w:type="character" w:customStyle="1" w:styleId="BalloonTextChar">
    <w:name w:val="Balloon Text Char"/>
    <w:basedOn w:val="DefaultParagraphFont"/>
    <w:link w:val="BalloonText"/>
    <w:rsid w:val="000408DC"/>
    <w:rPr>
      <w:rFonts w:ascii="Tahoma" w:eastAsia="SimSun" w:hAnsi="Tahoma" w:cs="Tahoma"/>
      <w:sz w:val="16"/>
      <w:szCs w:val="16"/>
      <w:lang w:eastAsia="zh-CN"/>
    </w:rPr>
  </w:style>
  <w:style w:type="paragraph" w:styleId="ListParagraph">
    <w:name w:val="List Paragraph"/>
    <w:basedOn w:val="Normal"/>
    <w:uiPriority w:val="34"/>
    <w:qFormat/>
    <w:rsid w:val="00AD68F0"/>
    <w:pPr>
      <w:ind w:left="720"/>
      <w:contextualSpacing/>
    </w:pPr>
  </w:style>
  <w:style w:type="character" w:styleId="FootnoteReference">
    <w:name w:val="footnote reference"/>
    <w:basedOn w:val="DefaultParagraphFont"/>
    <w:rsid w:val="00911E1B"/>
    <w:rPr>
      <w:vertAlign w:val="superscript"/>
    </w:rPr>
  </w:style>
  <w:style w:type="paragraph" w:customStyle="1" w:styleId="Default">
    <w:name w:val="Default"/>
    <w:rsid w:val="008C4C2C"/>
    <w:pPr>
      <w:autoSpaceDE w:val="0"/>
      <w:autoSpaceDN w:val="0"/>
      <w:adjustRightInd w:val="0"/>
    </w:pPr>
    <w:rPr>
      <w:rFonts w:ascii="Arial" w:hAnsi="Arial" w:cs="Arial"/>
      <w:color w:val="000000"/>
      <w:sz w:val="24"/>
      <w:szCs w:val="24"/>
    </w:rPr>
  </w:style>
  <w:style w:type="character" w:customStyle="1" w:styleId="FootnoteTextChar">
    <w:name w:val="Footnote Text Char"/>
    <w:basedOn w:val="DefaultParagraphFont"/>
    <w:link w:val="FootnoteText"/>
    <w:rsid w:val="00AD68F0"/>
    <w:rPr>
      <w:rFonts w:ascii="Arial" w:eastAsia="SimSun" w:hAnsi="Arial" w:cs="Arial"/>
      <w:sz w:val="18"/>
      <w:lang w:val="fr-FR" w:eastAsia="zh-CN"/>
    </w:rPr>
  </w:style>
  <w:style w:type="paragraph" w:customStyle="1" w:styleId="indent1">
    <w:name w:val="indent_1"/>
    <w:basedOn w:val="Normal"/>
    <w:rsid w:val="000307C9"/>
    <w:pPr>
      <w:ind w:firstLine="567"/>
      <w:jc w:val="both"/>
    </w:pPr>
    <w:rPr>
      <w:rFonts w:ascii="Times New Roman" w:eastAsia="Times New Roman" w:hAnsi="Times New Roman" w:cs="Times New Roman"/>
      <w:sz w:val="28"/>
      <w:szCs w:val="28"/>
      <w:lang w:val="en-GB" w:eastAsia="ja-JP"/>
    </w:rPr>
  </w:style>
  <w:style w:type="paragraph" w:customStyle="1" w:styleId="indenti">
    <w:name w:val="indent_i"/>
    <w:basedOn w:val="Normal"/>
    <w:rsid w:val="000307C9"/>
    <w:pPr>
      <w:numPr>
        <w:numId w:val="9"/>
      </w:numPr>
      <w:tabs>
        <w:tab w:val="left" w:pos="2268"/>
      </w:tabs>
      <w:jc w:val="both"/>
    </w:pPr>
    <w:rPr>
      <w:rFonts w:ascii="Times New Roman" w:eastAsia="Times New Roman" w:hAnsi="Times New Roman" w:cs="Times New Roman"/>
      <w:sz w:val="28"/>
      <w:szCs w:val="28"/>
      <w:lang w:val="en-GB" w:eastAsia="ja-JP"/>
    </w:rPr>
  </w:style>
  <w:style w:type="character" w:styleId="CommentReference">
    <w:name w:val="annotation reference"/>
    <w:basedOn w:val="DefaultParagraphFont"/>
    <w:uiPriority w:val="99"/>
    <w:rsid w:val="005F4346"/>
    <w:rPr>
      <w:sz w:val="16"/>
      <w:szCs w:val="16"/>
    </w:rPr>
  </w:style>
  <w:style w:type="paragraph" w:styleId="CommentSubject">
    <w:name w:val="annotation subject"/>
    <w:basedOn w:val="CommentText"/>
    <w:next w:val="CommentText"/>
    <w:link w:val="CommentSubjectChar"/>
    <w:rsid w:val="005F4346"/>
    <w:rPr>
      <w:b/>
      <w:bCs/>
      <w:sz w:val="20"/>
    </w:rPr>
  </w:style>
  <w:style w:type="character" w:customStyle="1" w:styleId="CommentTextChar">
    <w:name w:val="Comment Text Char"/>
    <w:basedOn w:val="DefaultParagraphFont"/>
    <w:link w:val="CommentText"/>
    <w:semiHidden/>
    <w:rsid w:val="00AD68F0"/>
    <w:rPr>
      <w:rFonts w:ascii="Arial" w:eastAsia="SimSun" w:hAnsi="Arial" w:cs="Arial"/>
      <w:sz w:val="18"/>
      <w:lang w:val="fr-FR" w:eastAsia="zh-CN"/>
    </w:rPr>
  </w:style>
  <w:style w:type="character" w:customStyle="1" w:styleId="CommentSubjectChar">
    <w:name w:val="Comment Subject Char"/>
    <w:basedOn w:val="CommentTextChar"/>
    <w:link w:val="CommentSubject"/>
    <w:rsid w:val="005F4346"/>
    <w:rPr>
      <w:rFonts w:ascii="Arial" w:eastAsia="SimSun" w:hAnsi="Arial" w:cs="Arial"/>
      <w:b/>
      <w:bCs/>
      <w:sz w:val="18"/>
      <w:lang w:val="fr-FR" w:eastAsia="zh-CN"/>
    </w:rPr>
  </w:style>
  <w:style w:type="paragraph" w:styleId="NormalWeb">
    <w:name w:val="Normal (Web)"/>
    <w:basedOn w:val="Normal"/>
    <w:uiPriority w:val="99"/>
    <w:unhideWhenUsed/>
    <w:rsid w:val="00644764"/>
    <w:rPr>
      <w:rFonts w:ascii="Times New Roman" w:eastAsiaTheme="minorHAnsi" w:hAnsi="Times New Roman" w:cs="Times New Roman"/>
      <w:sz w:val="24"/>
      <w:szCs w:val="24"/>
      <w:lang w:eastAsia="en-US"/>
    </w:rPr>
  </w:style>
  <w:style w:type="character" w:styleId="Emphasis">
    <w:name w:val="Emphasis"/>
    <w:basedOn w:val="DefaultParagraphFont"/>
    <w:uiPriority w:val="20"/>
    <w:qFormat/>
    <w:rsid w:val="00644764"/>
    <w:rPr>
      <w:i/>
      <w:iCs/>
    </w:rPr>
  </w:style>
  <w:style w:type="character" w:styleId="Hyperlink">
    <w:name w:val="Hyperlink"/>
    <w:basedOn w:val="DefaultParagraphFont"/>
    <w:uiPriority w:val="99"/>
    <w:unhideWhenUsed/>
    <w:rsid w:val="00644764"/>
    <w:rPr>
      <w:color w:val="0000FF"/>
      <w:u w:val="single"/>
    </w:rPr>
  </w:style>
  <w:style w:type="character" w:customStyle="1" w:styleId="HeaderChar">
    <w:name w:val="Header Char"/>
    <w:basedOn w:val="DefaultParagraphFont"/>
    <w:link w:val="Header"/>
    <w:rsid w:val="00AD68F0"/>
    <w:rPr>
      <w:rFonts w:ascii="Arial" w:eastAsia="SimSun" w:hAnsi="Arial" w:cs="Arial"/>
      <w:sz w:val="22"/>
      <w:lang w:val="fr-FR" w:eastAsia="zh-CN"/>
    </w:rPr>
  </w:style>
  <w:style w:type="character" w:customStyle="1" w:styleId="apple-converted-space">
    <w:name w:val="apple-converted-space"/>
    <w:basedOn w:val="DefaultParagraphFont"/>
    <w:rsid w:val="002272F9"/>
  </w:style>
  <w:style w:type="table" w:styleId="TableGrid">
    <w:name w:val="Table Grid"/>
    <w:basedOn w:val="TableNormal"/>
    <w:rsid w:val="002272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semiHidden/>
    <w:rsid w:val="009362D4"/>
    <w:rPr>
      <w:rFonts w:asciiTheme="majorHAnsi" w:eastAsiaTheme="majorEastAsia" w:hAnsiTheme="majorHAnsi" w:cstheme="majorBidi"/>
      <w:color w:val="243F60" w:themeColor="accent1" w:themeShade="7F"/>
      <w:sz w:val="22"/>
      <w:lang w:eastAsia="zh-CN"/>
    </w:rPr>
  </w:style>
  <w:style w:type="paragraph" w:customStyle="1" w:styleId="indenta">
    <w:name w:val="indent_a"/>
    <w:basedOn w:val="Normal"/>
    <w:link w:val="indentaChar"/>
    <w:rsid w:val="009362D4"/>
    <w:pPr>
      <w:ind w:firstLine="1134"/>
      <w:jc w:val="both"/>
    </w:pPr>
    <w:rPr>
      <w:rFonts w:ascii="Times New Roman" w:eastAsia="Times New Roman" w:hAnsi="Times New Roman" w:cs="Times New Roman"/>
      <w:sz w:val="28"/>
      <w:szCs w:val="28"/>
      <w:lang w:val="en-GB" w:eastAsia="ja-JP"/>
    </w:rPr>
  </w:style>
  <w:style w:type="character" w:customStyle="1" w:styleId="indentaChar">
    <w:name w:val="indent_a Char"/>
    <w:link w:val="indenta"/>
    <w:rsid w:val="009362D4"/>
    <w:rPr>
      <w:rFonts w:eastAsia="Times New Roman"/>
      <w:sz w:val="28"/>
      <w:szCs w:val="28"/>
      <w:lang w:val="en-GB" w:eastAsia="ja-JP"/>
    </w:rPr>
  </w:style>
  <w:style w:type="paragraph" w:styleId="Title">
    <w:name w:val="Title"/>
    <w:basedOn w:val="Normal"/>
    <w:link w:val="TitleChar"/>
    <w:qFormat/>
    <w:rsid w:val="009362D4"/>
    <w:pPr>
      <w:jc w:val="center"/>
    </w:pPr>
    <w:rPr>
      <w:rFonts w:ascii="Times New Roman" w:eastAsia="Times New Roman" w:hAnsi="Times New Roman" w:cs="Times New Roman"/>
      <w:b/>
      <w:sz w:val="40"/>
      <w:szCs w:val="40"/>
      <w:lang w:val="en-GB" w:eastAsia="ja-JP"/>
    </w:rPr>
  </w:style>
  <w:style w:type="character" w:customStyle="1" w:styleId="TitleChar">
    <w:name w:val="Title Char"/>
    <w:basedOn w:val="DefaultParagraphFont"/>
    <w:link w:val="Title"/>
    <w:rsid w:val="009362D4"/>
    <w:rPr>
      <w:rFonts w:eastAsia="Times New Roman"/>
      <w:b/>
      <w:sz w:val="40"/>
      <w:szCs w:val="40"/>
      <w:lang w:val="en-GB" w:eastAsia="ja-JP"/>
    </w:rPr>
  </w:style>
  <w:style w:type="paragraph" w:styleId="BodyText3">
    <w:name w:val="Body Text 3"/>
    <w:basedOn w:val="Normal"/>
    <w:link w:val="BodyText3Char"/>
    <w:rsid w:val="009362D4"/>
    <w:pPr>
      <w:tabs>
        <w:tab w:val="left" w:pos="567"/>
        <w:tab w:val="left" w:pos="1276"/>
        <w:tab w:val="right" w:pos="8364"/>
      </w:tabs>
      <w:ind w:left="1276" w:right="1985" w:hanging="709"/>
      <w:jc w:val="both"/>
    </w:pPr>
    <w:rPr>
      <w:rFonts w:ascii="Times New Roman" w:eastAsia="Times New Roman" w:hAnsi="Times New Roman" w:cs="Times New Roman"/>
      <w:sz w:val="28"/>
      <w:szCs w:val="28"/>
      <w:lang w:val="en-GB" w:eastAsia="ja-JP"/>
    </w:rPr>
  </w:style>
  <w:style w:type="character" w:customStyle="1" w:styleId="BodyText3Char">
    <w:name w:val="Body Text 3 Char"/>
    <w:basedOn w:val="DefaultParagraphFont"/>
    <w:link w:val="BodyText3"/>
    <w:rsid w:val="009362D4"/>
    <w:rPr>
      <w:rFonts w:eastAsia="Times New Roman"/>
      <w:sz w:val="28"/>
      <w:szCs w:val="28"/>
      <w:lang w:val="en-GB" w:eastAsia="ja-JP"/>
    </w:rPr>
  </w:style>
  <w:style w:type="paragraph" w:styleId="BodyText2">
    <w:name w:val="Body Text 2"/>
    <w:basedOn w:val="Normal"/>
    <w:link w:val="BodyText2Char"/>
    <w:autoRedefine/>
    <w:rsid w:val="009362D4"/>
    <w:pPr>
      <w:tabs>
        <w:tab w:val="right" w:pos="8363"/>
      </w:tabs>
      <w:ind w:left="567" w:right="1985" w:hanging="567"/>
      <w:jc w:val="both"/>
    </w:pPr>
    <w:rPr>
      <w:rFonts w:ascii="Times New Roman" w:eastAsia="Times New Roman" w:hAnsi="Times New Roman" w:cs="Times New Roman"/>
      <w:sz w:val="28"/>
      <w:szCs w:val="24"/>
      <w:lang w:eastAsia="ja-JP"/>
    </w:rPr>
  </w:style>
  <w:style w:type="character" w:customStyle="1" w:styleId="BodyText2Char">
    <w:name w:val="Body Text 2 Char"/>
    <w:basedOn w:val="DefaultParagraphFont"/>
    <w:link w:val="BodyText2"/>
    <w:rsid w:val="009362D4"/>
    <w:rPr>
      <w:rFonts w:eastAsia="Times New Roman"/>
      <w:sz w:val="28"/>
      <w:szCs w:val="24"/>
      <w:lang w:eastAsia="ja-JP"/>
    </w:rPr>
  </w:style>
  <w:style w:type="paragraph" w:styleId="HTMLPreformatted">
    <w:name w:val="HTML Preformatted"/>
    <w:basedOn w:val="Normal"/>
    <w:link w:val="HTMLPreformattedChar"/>
    <w:uiPriority w:val="99"/>
    <w:unhideWhenUsed/>
    <w:rsid w:val="009362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lang w:eastAsia="ja-JP"/>
    </w:rPr>
  </w:style>
  <w:style w:type="character" w:customStyle="1" w:styleId="HTMLPreformattedChar">
    <w:name w:val="HTML Preformatted Char"/>
    <w:basedOn w:val="DefaultParagraphFont"/>
    <w:link w:val="HTMLPreformatted"/>
    <w:uiPriority w:val="99"/>
    <w:rsid w:val="009362D4"/>
    <w:rPr>
      <w:rFonts w:ascii="Courier New" w:eastAsia="Times New Roman" w:hAnsi="Courier New" w:cs="Courier New"/>
      <w:lang w:eastAsia="ja-JP"/>
    </w:rPr>
  </w:style>
  <w:style w:type="character" w:styleId="FollowedHyperlink">
    <w:name w:val="FollowedHyperlink"/>
    <w:basedOn w:val="DefaultParagraphFont"/>
    <w:rsid w:val="009362D4"/>
    <w:rPr>
      <w:color w:val="800080" w:themeColor="followedHyperlink"/>
      <w:u w:val="single"/>
    </w:rPr>
  </w:style>
  <w:style w:type="character" w:customStyle="1" w:styleId="originallanguage">
    <w:name w:val="originallanguage"/>
    <w:basedOn w:val="DefaultParagraphFont"/>
    <w:rsid w:val="009362D4"/>
  </w:style>
  <w:style w:type="character" w:customStyle="1" w:styleId="translatedlanguage">
    <w:name w:val="translatedlanguage"/>
    <w:basedOn w:val="DefaultParagraphFont"/>
    <w:rsid w:val="009362D4"/>
  </w:style>
  <w:style w:type="paragraph" w:styleId="Revision">
    <w:name w:val="Revision"/>
    <w:hidden/>
    <w:uiPriority w:val="99"/>
    <w:semiHidden/>
    <w:rsid w:val="004A74A2"/>
    <w:rPr>
      <w:rFonts w:ascii="Arial" w:eastAsia="SimSun" w:hAnsi="Arial" w:cs="Arial"/>
      <w:sz w:val="22"/>
      <w:lang w:eastAsia="zh-CN"/>
    </w:rPr>
  </w:style>
  <w:style w:type="character" w:customStyle="1" w:styleId="BodyTextChar">
    <w:name w:val="Body Text Char"/>
    <w:basedOn w:val="DefaultParagraphFont"/>
    <w:link w:val="BodyText"/>
    <w:rsid w:val="00AD68F0"/>
    <w:rPr>
      <w:rFonts w:ascii="Arial" w:eastAsia="SimSun" w:hAnsi="Arial" w:cs="Arial"/>
      <w:sz w:val="22"/>
      <w:lang w:val="fr-FR" w:eastAsia="zh-CN"/>
    </w:rPr>
  </w:style>
  <w:style w:type="character" w:customStyle="1" w:styleId="EndnoteTextChar">
    <w:name w:val="Endnote Text Char"/>
    <w:basedOn w:val="DefaultParagraphFont"/>
    <w:link w:val="EndnoteText"/>
    <w:semiHidden/>
    <w:rsid w:val="00AD68F0"/>
    <w:rPr>
      <w:rFonts w:ascii="Arial" w:eastAsia="SimSun" w:hAnsi="Arial" w:cs="Arial"/>
      <w:sz w:val="18"/>
      <w:lang w:val="fr-FR" w:eastAsia="zh-CN"/>
    </w:rPr>
  </w:style>
  <w:style w:type="character" w:customStyle="1" w:styleId="FooterChar">
    <w:name w:val="Footer Char"/>
    <w:basedOn w:val="DefaultParagraphFont"/>
    <w:link w:val="Footer"/>
    <w:semiHidden/>
    <w:rsid w:val="00AD68F0"/>
    <w:rPr>
      <w:rFonts w:ascii="Arial" w:eastAsia="SimSun" w:hAnsi="Arial" w:cs="Arial"/>
      <w:sz w:val="22"/>
      <w:lang w:val="fr-FR" w:eastAsia="zh-CN"/>
    </w:rPr>
  </w:style>
  <w:style w:type="character" w:customStyle="1" w:styleId="Heading1Char">
    <w:name w:val="Heading 1 Char"/>
    <w:basedOn w:val="DefaultParagraphFont"/>
    <w:link w:val="Heading1"/>
    <w:rsid w:val="00AD68F0"/>
    <w:rPr>
      <w:rFonts w:ascii="Arial" w:eastAsia="SimSun" w:hAnsi="Arial" w:cs="Arial"/>
      <w:b/>
      <w:bCs/>
      <w:caps/>
      <w:kern w:val="32"/>
      <w:sz w:val="22"/>
      <w:szCs w:val="32"/>
      <w:lang w:val="fr-FR" w:eastAsia="zh-CN"/>
    </w:rPr>
  </w:style>
  <w:style w:type="character" w:customStyle="1" w:styleId="Heading2Char">
    <w:name w:val="Heading 2 Char"/>
    <w:basedOn w:val="DefaultParagraphFont"/>
    <w:link w:val="Heading2"/>
    <w:rsid w:val="00AD68F0"/>
    <w:rPr>
      <w:rFonts w:ascii="Arial" w:eastAsia="SimSun" w:hAnsi="Arial" w:cs="Arial"/>
      <w:bCs/>
      <w:iCs/>
      <w:caps/>
      <w:sz w:val="22"/>
      <w:szCs w:val="28"/>
      <w:lang w:val="fr-FR" w:eastAsia="zh-CN"/>
    </w:rPr>
  </w:style>
  <w:style w:type="character" w:customStyle="1" w:styleId="Heading3Char">
    <w:name w:val="Heading 3 Char"/>
    <w:basedOn w:val="DefaultParagraphFont"/>
    <w:link w:val="Heading3"/>
    <w:rsid w:val="00AD68F0"/>
    <w:rPr>
      <w:rFonts w:ascii="Arial" w:eastAsia="SimSun" w:hAnsi="Arial" w:cs="Arial"/>
      <w:bCs/>
      <w:sz w:val="22"/>
      <w:szCs w:val="26"/>
      <w:u w:val="single"/>
      <w:lang w:val="fr-FR" w:eastAsia="zh-CN"/>
    </w:rPr>
  </w:style>
  <w:style w:type="character" w:customStyle="1" w:styleId="Heading4Char">
    <w:name w:val="Heading 4 Char"/>
    <w:basedOn w:val="DefaultParagraphFont"/>
    <w:link w:val="Heading4"/>
    <w:rsid w:val="00AD68F0"/>
    <w:rPr>
      <w:rFonts w:ascii="Arial" w:eastAsia="SimSun" w:hAnsi="Arial" w:cs="Arial"/>
      <w:bCs/>
      <w:i/>
      <w:sz w:val="22"/>
      <w:szCs w:val="28"/>
      <w:lang w:val="fr-FR" w:eastAsia="zh-CN"/>
    </w:rPr>
  </w:style>
  <w:style w:type="paragraph" w:customStyle="1" w:styleId="Meetingplacedate">
    <w:name w:val="Meeting place &amp; date"/>
    <w:basedOn w:val="Normal"/>
    <w:next w:val="Normal"/>
    <w:rsid w:val="00AD68F0"/>
    <w:pPr>
      <w:spacing w:line="336" w:lineRule="exact"/>
      <w:ind w:left="1021"/>
    </w:pPr>
    <w:rPr>
      <w:rFonts w:eastAsia="Times New Roman" w:cs="Times New Roman"/>
      <w:b/>
      <w:sz w:val="24"/>
      <w:lang w:eastAsia="en-US"/>
    </w:rPr>
  </w:style>
  <w:style w:type="paragraph" w:customStyle="1" w:styleId="Meetingtitle">
    <w:name w:val="Meeting title"/>
    <w:basedOn w:val="Normal"/>
    <w:next w:val="Normal"/>
    <w:rsid w:val="00AD68F0"/>
    <w:pPr>
      <w:spacing w:line="336" w:lineRule="exact"/>
      <w:ind w:left="1021"/>
    </w:pPr>
    <w:rPr>
      <w:rFonts w:eastAsia="Times New Roman" w:cs="Times New Roman"/>
      <w:b/>
      <w:sz w:val="28"/>
      <w:lang w:eastAsia="en-US"/>
    </w:rPr>
  </w:style>
  <w:style w:type="character" w:customStyle="1" w:styleId="SalutationChar">
    <w:name w:val="Salutation Char"/>
    <w:basedOn w:val="DefaultParagraphFont"/>
    <w:link w:val="Salutation"/>
    <w:semiHidden/>
    <w:rsid w:val="00AD68F0"/>
    <w:rPr>
      <w:rFonts w:ascii="Arial" w:eastAsia="SimSun" w:hAnsi="Arial" w:cs="Arial"/>
      <w:sz w:val="22"/>
      <w:lang w:val="fr-FR" w:eastAsia="zh-CN"/>
    </w:rPr>
  </w:style>
  <w:style w:type="character" w:customStyle="1" w:styleId="SignatureChar">
    <w:name w:val="Signature Char"/>
    <w:basedOn w:val="DefaultParagraphFont"/>
    <w:link w:val="Signature"/>
    <w:semiHidden/>
    <w:rsid w:val="00AD68F0"/>
    <w:rPr>
      <w:rFonts w:ascii="Arial" w:eastAsia="SimSun" w:hAnsi="Arial" w:cs="Arial"/>
      <w:sz w:val="22"/>
      <w:lang w:val="fr-FR"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47006">
      <w:bodyDiv w:val="1"/>
      <w:marLeft w:val="0"/>
      <w:marRight w:val="0"/>
      <w:marTop w:val="0"/>
      <w:marBottom w:val="0"/>
      <w:divBdr>
        <w:top w:val="none" w:sz="0" w:space="0" w:color="auto"/>
        <w:left w:val="none" w:sz="0" w:space="0" w:color="auto"/>
        <w:bottom w:val="none" w:sz="0" w:space="0" w:color="auto"/>
        <w:right w:val="none" w:sz="0" w:space="0" w:color="auto"/>
      </w:divBdr>
    </w:div>
    <w:div w:id="543372473">
      <w:bodyDiv w:val="1"/>
      <w:marLeft w:val="0"/>
      <w:marRight w:val="0"/>
      <w:marTop w:val="0"/>
      <w:marBottom w:val="0"/>
      <w:divBdr>
        <w:top w:val="none" w:sz="0" w:space="0" w:color="auto"/>
        <w:left w:val="none" w:sz="0" w:space="0" w:color="auto"/>
        <w:bottom w:val="none" w:sz="0" w:space="0" w:color="auto"/>
        <w:right w:val="none" w:sz="0" w:space="0" w:color="auto"/>
      </w:divBdr>
    </w:div>
    <w:div w:id="591083461">
      <w:bodyDiv w:val="1"/>
      <w:marLeft w:val="0"/>
      <w:marRight w:val="0"/>
      <w:marTop w:val="0"/>
      <w:marBottom w:val="0"/>
      <w:divBdr>
        <w:top w:val="none" w:sz="0" w:space="0" w:color="auto"/>
        <w:left w:val="none" w:sz="0" w:space="0" w:color="auto"/>
        <w:bottom w:val="none" w:sz="0" w:space="0" w:color="auto"/>
        <w:right w:val="none" w:sz="0" w:space="0" w:color="auto"/>
      </w:divBdr>
      <w:divsChild>
        <w:div w:id="273055369">
          <w:marLeft w:val="0"/>
          <w:marRight w:val="0"/>
          <w:marTop w:val="0"/>
          <w:marBottom w:val="0"/>
          <w:divBdr>
            <w:top w:val="none" w:sz="0" w:space="0" w:color="auto"/>
            <w:left w:val="none" w:sz="0" w:space="0" w:color="auto"/>
            <w:bottom w:val="none" w:sz="0" w:space="0" w:color="auto"/>
            <w:right w:val="none" w:sz="0" w:space="0" w:color="auto"/>
          </w:divBdr>
        </w:div>
        <w:div w:id="320429777">
          <w:marLeft w:val="0"/>
          <w:marRight w:val="0"/>
          <w:marTop w:val="0"/>
          <w:marBottom w:val="0"/>
          <w:divBdr>
            <w:top w:val="none" w:sz="0" w:space="0" w:color="auto"/>
            <w:left w:val="none" w:sz="0" w:space="0" w:color="auto"/>
            <w:bottom w:val="none" w:sz="0" w:space="0" w:color="auto"/>
            <w:right w:val="none" w:sz="0" w:space="0" w:color="auto"/>
          </w:divBdr>
        </w:div>
        <w:div w:id="584265225">
          <w:marLeft w:val="0"/>
          <w:marRight w:val="0"/>
          <w:marTop w:val="0"/>
          <w:marBottom w:val="0"/>
          <w:divBdr>
            <w:top w:val="none" w:sz="0" w:space="0" w:color="auto"/>
            <w:left w:val="none" w:sz="0" w:space="0" w:color="auto"/>
            <w:bottom w:val="none" w:sz="0" w:space="0" w:color="auto"/>
            <w:right w:val="none" w:sz="0" w:space="0" w:color="auto"/>
          </w:divBdr>
        </w:div>
        <w:div w:id="1142112367">
          <w:marLeft w:val="0"/>
          <w:marRight w:val="0"/>
          <w:marTop w:val="0"/>
          <w:marBottom w:val="0"/>
          <w:divBdr>
            <w:top w:val="none" w:sz="0" w:space="0" w:color="auto"/>
            <w:left w:val="none" w:sz="0" w:space="0" w:color="auto"/>
            <w:bottom w:val="none" w:sz="0" w:space="0" w:color="auto"/>
            <w:right w:val="none" w:sz="0" w:space="0" w:color="auto"/>
          </w:divBdr>
        </w:div>
        <w:div w:id="1248803160">
          <w:marLeft w:val="0"/>
          <w:marRight w:val="0"/>
          <w:marTop w:val="0"/>
          <w:marBottom w:val="0"/>
          <w:divBdr>
            <w:top w:val="none" w:sz="0" w:space="0" w:color="auto"/>
            <w:left w:val="none" w:sz="0" w:space="0" w:color="auto"/>
            <w:bottom w:val="none" w:sz="0" w:space="0" w:color="auto"/>
            <w:right w:val="none" w:sz="0" w:space="0" w:color="auto"/>
          </w:divBdr>
        </w:div>
        <w:div w:id="1761945238">
          <w:marLeft w:val="0"/>
          <w:marRight w:val="0"/>
          <w:marTop w:val="0"/>
          <w:marBottom w:val="0"/>
          <w:divBdr>
            <w:top w:val="none" w:sz="0" w:space="0" w:color="auto"/>
            <w:left w:val="none" w:sz="0" w:space="0" w:color="auto"/>
            <w:bottom w:val="none" w:sz="0" w:space="0" w:color="auto"/>
            <w:right w:val="none" w:sz="0" w:space="0" w:color="auto"/>
          </w:divBdr>
        </w:div>
        <w:div w:id="1824078981">
          <w:marLeft w:val="0"/>
          <w:marRight w:val="0"/>
          <w:marTop w:val="0"/>
          <w:marBottom w:val="0"/>
          <w:divBdr>
            <w:top w:val="none" w:sz="0" w:space="0" w:color="auto"/>
            <w:left w:val="none" w:sz="0" w:space="0" w:color="auto"/>
            <w:bottom w:val="none" w:sz="0" w:space="0" w:color="auto"/>
            <w:right w:val="none" w:sz="0" w:space="0" w:color="auto"/>
          </w:divBdr>
        </w:div>
        <w:div w:id="1998070390">
          <w:marLeft w:val="0"/>
          <w:marRight w:val="0"/>
          <w:marTop w:val="0"/>
          <w:marBottom w:val="0"/>
          <w:divBdr>
            <w:top w:val="none" w:sz="0" w:space="0" w:color="auto"/>
            <w:left w:val="none" w:sz="0" w:space="0" w:color="auto"/>
            <w:bottom w:val="none" w:sz="0" w:space="0" w:color="auto"/>
            <w:right w:val="none" w:sz="0" w:space="0" w:color="auto"/>
          </w:divBdr>
        </w:div>
      </w:divsChild>
    </w:div>
    <w:div w:id="592588945">
      <w:bodyDiv w:val="1"/>
      <w:marLeft w:val="0"/>
      <w:marRight w:val="0"/>
      <w:marTop w:val="0"/>
      <w:marBottom w:val="0"/>
      <w:divBdr>
        <w:top w:val="none" w:sz="0" w:space="0" w:color="auto"/>
        <w:left w:val="none" w:sz="0" w:space="0" w:color="auto"/>
        <w:bottom w:val="none" w:sz="0" w:space="0" w:color="auto"/>
        <w:right w:val="none" w:sz="0" w:space="0" w:color="auto"/>
      </w:divBdr>
    </w:div>
    <w:div w:id="626476810">
      <w:bodyDiv w:val="1"/>
      <w:marLeft w:val="0"/>
      <w:marRight w:val="0"/>
      <w:marTop w:val="0"/>
      <w:marBottom w:val="0"/>
      <w:divBdr>
        <w:top w:val="none" w:sz="0" w:space="0" w:color="auto"/>
        <w:left w:val="none" w:sz="0" w:space="0" w:color="auto"/>
        <w:bottom w:val="none" w:sz="0" w:space="0" w:color="auto"/>
        <w:right w:val="none" w:sz="0" w:space="0" w:color="auto"/>
      </w:divBdr>
    </w:div>
    <w:div w:id="856701438">
      <w:bodyDiv w:val="1"/>
      <w:marLeft w:val="0"/>
      <w:marRight w:val="0"/>
      <w:marTop w:val="0"/>
      <w:marBottom w:val="0"/>
      <w:divBdr>
        <w:top w:val="none" w:sz="0" w:space="0" w:color="auto"/>
        <w:left w:val="none" w:sz="0" w:space="0" w:color="auto"/>
        <w:bottom w:val="none" w:sz="0" w:space="0" w:color="auto"/>
        <w:right w:val="none" w:sz="0" w:space="0" w:color="auto"/>
      </w:divBdr>
    </w:div>
    <w:div w:id="1046637330">
      <w:bodyDiv w:val="1"/>
      <w:marLeft w:val="0"/>
      <w:marRight w:val="0"/>
      <w:marTop w:val="0"/>
      <w:marBottom w:val="0"/>
      <w:divBdr>
        <w:top w:val="none" w:sz="0" w:space="0" w:color="auto"/>
        <w:left w:val="none" w:sz="0" w:space="0" w:color="auto"/>
        <w:bottom w:val="none" w:sz="0" w:space="0" w:color="auto"/>
        <w:right w:val="none" w:sz="0" w:space="0" w:color="auto"/>
      </w:divBdr>
    </w:div>
    <w:div w:id="1251351383">
      <w:bodyDiv w:val="1"/>
      <w:marLeft w:val="0"/>
      <w:marRight w:val="0"/>
      <w:marTop w:val="0"/>
      <w:marBottom w:val="0"/>
      <w:divBdr>
        <w:top w:val="none" w:sz="0" w:space="0" w:color="auto"/>
        <w:left w:val="none" w:sz="0" w:space="0" w:color="auto"/>
        <w:bottom w:val="none" w:sz="0" w:space="0" w:color="auto"/>
        <w:right w:val="none" w:sz="0" w:space="0" w:color="auto"/>
      </w:divBdr>
    </w:div>
    <w:div w:id="1294557187">
      <w:bodyDiv w:val="1"/>
      <w:marLeft w:val="0"/>
      <w:marRight w:val="0"/>
      <w:marTop w:val="0"/>
      <w:marBottom w:val="0"/>
      <w:divBdr>
        <w:top w:val="none" w:sz="0" w:space="0" w:color="auto"/>
        <w:left w:val="none" w:sz="0" w:space="0" w:color="auto"/>
        <w:bottom w:val="none" w:sz="0" w:space="0" w:color="auto"/>
        <w:right w:val="none" w:sz="0" w:space="0" w:color="auto"/>
      </w:divBdr>
    </w:div>
    <w:div w:id="1663073789">
      <w:bodyDiv w:val="1"/>
      <w:marLeft w:val="0"/>
      <w:marRight w:val="0"/>
      <w:marTop w:val="0"/>
      <w:marBottom w:val="0"/>
      <w:divBdr>
        <w:top w:val="none" w:sz="0" w:space="0" w:color="auto"/>
        <w:left w:val="none" w:sz="0" w:space="0" w:color="auto"/>
        <w:bottom w:val="none" w:sz="0" w:space="0" w:color="auto"/>
        <w:right w:val="none" w:sz="0" w:space="0" w:color="auto"/>
      </w:divBdr>
    </w:div>
    <w:div w:id="1830362633">
      <w:bodyDiv w:val="1"/>
      <w:marLeft w:val="0"/>
      <w:marRight w:val="0"/>
      <w:marTop w:val="0"/>
      <w:marBottom w:val="0"/>
      <w:divBdr>
        <w:top w:val="none" w:sz="0" w:space="0" w:color="auto"/>
        <w:left w:val="none" w:sz="0" w:space="0" w:color="auto"/>
        <w:bottom w:val="none" w:sz="0" w:space="0" w:color="auto"/>
        <w:right w:val="none" w:sz="0" w:space="0" w:color="auto"/>
      </w:divBdr>
      <w:divsChild>
        <w:div w:id="145780089">
          <w:marLeft w:val="0"/>
          <w:marRight w:val="0"/>
          <w:marTop w:val="0"/>
          <w:marBottom w:val="0"/>
          <w:divBdr>
            <w:top w:val="none" w:sz="0" w:space="0" w:color="auto"/>
            <w:left w:val="none" w:sz="0" w:space="0" w:color="auto"/>
            <w:bottom w:val="none" w:sz="0" w:space="0" w:color="auto"/>
            <w:right w:val="none" w:sz="0" w:space="0" w:color="auto"/>
          </w:divBdr>
        </w:div>
        <w:div w:id="240724382">
          <w:marLeft w:val="0"/>
          <w:marRight w:val="0"/>
          <w:marTop w:val="0"/>
          <w:marBottom w:val="0"/>
          <w:divBdr>
            <w:top w:val="none" w:sz="0" w:space="0" w:color="auto"/>
            <w:left w:val="none" w:sz="0" w:space="0" w:color="auto"/>
            <w:bottom w:val="none" w:sz="0" w:space="0" w:color="auto"/>
            <w:right w:val="none" w:sz="0" w:space="0" w:color="auto"/>
          </w:divBdr>
        </w:div>
        <w:div w:id="514030301">
          <w:marLeft w:val="0"/>
          <w:marRight w:val="0"/>
          <w:marTop w:val="0"/>
          <w:marBottom w:val="0"/>
          <w:divBdr>
            <w:top w:val="none" w:sz="0" w:space="0" w:color="auto"/>
            <w:left w:val="none" w:sz="0" w:space="0" w:color="auto"/>
            <w:bottom w:val="none" w:sz="0" w:space="0" w:color="auto"/>
            <w:right w:val="none" w:sz="0" w:space="0" w:color="auto"/>
          </w:divBdr>
        </w:div>
        <w:div w:id="572784752">
          <w:marLeft w:val="0"/>
          <w:marRight w:val="0"/>
          <w:marTop w:val="0"/>
          <w:marBottom w:val="0"/>
          <w:divBdr>
            <w:top w:val="none" w:sz="0" w:space="0" w:color="auto"/>
            <w:left w:val="none" w:sz="0" w:space="0" w:color="auto"/>
            <w:bottom w:val="none" w:sz="0" w:space="0" w:color="auto"/>
            <w:right w:val="none" w:sz="0" w:space="0" w:color="auto"/>
          </w:divBdr>
        </w:div>
        <w:div w:id="707411056">
          <w:marLeft w:val="0"/>
          <w:marRight w:val="0"/>
          <w:marTop w:val="0"/>
          <w:marBottom w:val="0"/>
          <w:divBdr>
            <w:top w:val="none" w:sz="0" w:space="0" w:color="auto"/>
            <w:left w:val="none" w:sz="0" w:space="0" w:color="auto"/>
            <w:bottom w:val="none" w:sz="0" w:space="0" w:color="auto"/>
            <w:right w:val="none" w:sz="0" w:space="0" w:color="auto"/>
          </w:divBdr>
        </w:div>
        <w:div w:id="1525752107">
          <w:marLeft w:val="0"/>
          <w:marRight w:val="0"/>
          <w:marTop w:val="0"/>
          <w:marBottom w:val="0"/>
          <w:divBdr>
            <w:top w:val="none" w:sz="0" w:space="0" w:color="auto"/>
            <w:left w:val="none" w:sz="0" w:space="0" w:color="auto"/>
            <w:bottom w:val="none" w:sz="0" w:space="0" w:color="auto"/>
            <w:right w:val="none" w:sz="0" w:space="0" w:color="auto"/>
          </w:divBdr>
        </w:div>
        <w:div w:id="1823885590">
          <w:marLeft w:val="0"/>
          <w:marRight w:val="0"/>
          <w:marTop w:val="0"/>
          <w:marBottom w:val="0"/>
          <w:divBdr>
            <w:top w:val="none" w:sz="0" w:space="0" w:color="auto"/>
            <w:left w:val="none" w:sz="0" w:space="0" w:color="auto"/>
            <w:bottom w:val="none" w:sz="0" w:space="0" w:color="auto"/>
            <w:right w:val="none" w:sz="0" w:space="0" w:color="auto"/>
          </w:divBdr>
        </w:div>
        <w:div w:id="2071610462">
          <w:marLeft w:val="0"/>
          <w:marRight w:val="0"/>
          <w:marTop w:val="0"/>
          <w:marBottom w:val="0"/>
          <w:divBdr>
            <w:top w:val="none" w:sz="0" w:space="0" w:color="auto"/>
            <w:left w:val="none" w:sz="0" w:space="0" w:color="auto"/>
            <w:bottom w:val="none" w:sz="0" w:space="0" w:color="auto"/>
            <w:right w:val="none" w:sz="0" w:space="0" w:color="auto"/>
          </w:divBdr>
        </w:div>
      </w:divsChild>
    </w:div>
    <w:div w:id="1832520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wipo.int/hague/fr/statistics/index.jsp"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Chart%20in%20Microsoft%20Word"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wipogvafs01\redirected$\mondonj\Documents\Statistics\Statistics%20WG%202016\Graphs\Graphs%20(apparent%20percentages)%20-%20Copy.xlsx" TargetMode="Externa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package" Target="../embeddings/Microsoft_Excel_Worksheet7.xlsx"/></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package" Target="../embeddings/Microsoft_Excel_Worksheet8.xlsx"/></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package" Target="../embeddings/Microsoft_Excel_Worksheet9.xlsx"/></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package" Target="../embeddings/Microsoft_Excel_Worksheet10.xlsx"/></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package" Target="../embeddings/Microsoft_Excel_Worksheet11.xlsx"/></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ipogvafs01\redirected$\mondonj\Documents\Statistics\Statistics%20WG%202016\Graphs\Graphs%20(apparent%20percentages)%20-%20Copy.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ipogvafs01\redirected$\mondonj\Documents\Statistics\Statistics%20WG%202016\Graphs\Graphs%20(apparent%20percentages)%20-%20Copy.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msi\Downloads\Graphs%20(apparent%20percentages)%20-%20Copy.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msi\Downloads\Graphs%20(apparent%20percentages)%20-%20Copy.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msi\Downloads\Graphs%20(apparent%20percentages)%20-%20Copy.xlsx" TargetMode="Externa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Nombre</a:t>
            </a:r>
            <a:r>
              <a:rPr lang="en-US" sz="1200" baseline="0"/>
              <a:t> moyen de dessins ou modèles par enregistrement international dans les parties contractantes les plus fréquemment désignées</a:t>
            </a:r>
          </a:p>
        </c:rich>
      </c:tx>
      <c:layout>
        <c:manualLayout>
          <c:xMode val="edge"/>
          <c:yMode val="edge"/>
          <c:x val="0.13012256252832796"/>
          <c:y val="2.9557552298745328E-2"/>
        </c:manualLayout>
      </c:layout>
      <c:overlay val="0"/>
    </c:title>
    <c:autoTitleDeleted val="0"/>
    <c:view3D>
      <c:rotX val="0"/>
      <c:rotY val="0"/>
      <c:depthPercent val="90"/>
      <c:rAngAx val="0"/>
      <c:perspective val="30"/>
    </c:view3D>
    <c:floor>
      <c:thickness val="0"/>
    </c:floor>
    <c:sideWall>
      <c:thickness val="0"/>
    </c:sideWall>
    <c:backWall>
      <c:thickness val="0"/>
    </c:backWall>
    <c:plotArea>
      <c:layout>
        <c:manualLayout>
          <c:layoutTarget val="inner"/>
          <c:xMode val="edge"/>
          <c:yMode val="edge"/>
          <c:x val="2.4153287846805579E-2"/>
          <c:y val="0.22209319075337713"/>
          <c:w val="0.92216542272388857"/>
          <c:h val="0.67721963152084586"/>
        </c:manualLayout>
      </c:layout>
      <c:bar3DChart>
        <c:barDir val="col"/>
        <c:grouping val="clustered"/>
        <c:varyColors val="0"/>
        <c:ser>
          <c:idx val="0"/>
          <c:order val="0"/>
          <c:tx>
            <c:v>Average number of designs</c:v>
          </c:tx>
          <c:spPr>
            <a:solidFill>
              <a:srgbClr val="FF0000"/>
            </a:solidFill>
            <a:ln>
              <a:solidFill>
                <a:schemeClr val="bg1"/>
              </a:solidFill>
            </a:ln>
          </c:spPr>
          <c:invertIfNegative val="0"/>
          <c:dPt>
            <c:idx val="0"/>
            <c:invertIfNegative val="0"/>
            <c:bubble3D val="0"/>
            <c:spPr>
              <a:solidFill>
                <a:srgbClr val="00B050"/>
              </a:solidFill>
              <a:ln>
                <a:solidFill>
                  <a:schemeClr val="bg1"/>
                </a:solidFill>
              </a:ln>
            </c:spPr>
          </c:dPt>
          <c:dPt>
            <c:idx val="1"/>
            <c:invertIfNegative val="0"/>
            <c:bubble3D val="0"/>
            <c:spPr>
              <a:solidFill>
                <a:schemeClr val="accent5"/>
              </a:solidFill>
              <a:ln>
                <a:solidFill>
                  <a:schemeClr val="bg1"/>
                </a:solidFill>
              </a:ln>
            </c:spPr>
          </c:dPt>
          <c:dPt>
            <c:idx val="2"/>
            <c:invertIfNegative val="0"/>
            <c:bubble3D val="0"/>
          </c:dPt>
          <c:dPt>
            <c:idx val="3"/>
            <c:invertIfNegative val="0"/>
            <c:bubble3D val="0"/>
            <c:spPr>
              <a:solidFill>
                <a:srgbClr val="00B0F0"/>
              </a:solidFill>
              <a:ln>
                <a:solidFill>
                  <a:schemeClr val="bg1"/>
                </a:solidFill>
              </a:ln>
            </c:spPr>
          </c:dPt>
          <c:dPt>
            <c:idx val="4"/>
            <c:invertIfNegative val="0"/>
            <c:bubble3D val="0"/>
            <c:spPr>
              <a:solidFill>
                <a:srgbClr val="00B050"/>
              </a:solidFill>
              <a:ln>
                <a:solidFill>
                  <a:schemeClr val="bg1"/>
                </a:solidFill>
              </a:ln>
            </c:spPr>
          </c:dPt>
          <c:dPt>
            <c:idx val="5"/>
            <c:invertIfNegative val="0"/>
            <c:bubble3D val="0"/>
            <c:spPr>
              <a:solidFill>
                <a:schemeClr val="accent5"/>
              </a:solidFill>
              <a:ln>
                <a:solidFill>
                  <a:schemeClr val="bg1"/>
                </a:solidFill>
              </a:ln>
            </c:spPr>
          </c:dPt>
          <c:dPt>
            <c:idx val="6"/>
            <c:invertIfNegative val="0"/>
            <c:bubble3D val="0"/>
          </c:dPt>
          <c:dPt>
            <c:idx val="7"/>
            <c:invertIfNegative val="0"/>
            <c:bubble3D val="0"/>
            <c:spPr>
              <a:solidFill>
                <a:srgbClr val="009999"/>
              </a:solidFill>
              <a:ln>
                <a:solidFill>
                  <a:schemeClr val="bg1"/>
                </a:solidFill>
              </a:ln>
            </c:spPr>
          </c:dPt>
          <c:dPt>
            <c:idx val="8"/>
            <c:invertIfNegative val="0"/>
            <c:bubble3D val="0"/>
            <c:spPr>
              <a:solidFill>
                <a:srgbClr val="00B050"/>
              </a:solidFill>
              <a:ln>
                <a:solidFill>
                  <a:schemeClr val="bg1"/>
                </a:solidFill>
              </a:ln>
            </c:spPr>
          </c:dPt>
          <c:dPt>
            <c:idx val="9"/>
            <c:invertIfNegative val="0"/>
            <c:bubble3D val="0"/>
            <c:spPr>
              <a:solidFill>
                <a:schemeClr val="accent5"/>
              </a:solidFill>
              <a:ln>
                <a:solidFill>
                  <a:schemeClr val="bg1"/>
                </a:solidFill>
              </a:ln>
            </c:spPr>
          </c:dPt>
          <c:dPt>
            <c:idx val="10"/>
            <c:invertIfNegative val="0"/>
            <c:bubble3D val="0"/>
          </c:dPt>
          <c:dPt>
            <c:idx val="12"/>
            <c:invertIfNegative val="0"/>
            <c:bubble3D val="0"/>
            <c:spPr>
              <a:solidFill>
                <a:srgbClr val="00B050"/>
              </a:solidFill>
              <a:ln>
                <a:solidFill>
                  <a:schemeClr val="bg1"/>
                </a:solidFill>
              </a:ln>
            </c:spPr>
          </c:dPt>
          <c:dPt>
            <c:idx val="13"/>
            <c:invertIfNegative val="0"/>
            <c:bubble3D val="0"/>
            <c:spPr>
              <a:solidFill>
                <a:schemeClr val="accent5"/>
              </a:solidFill>
              <a:ln>
                <a:solidFill>
                  <a:schemeClr val="bg1"/>
                </a:solidFill>
              </a:ln>
            </c:spPr>
          </c:dPt>
          <c:dPt>
            <c:idx val="16"/>
            <c:invertIfNegative val="0"/>
            <c:bubble3D val="0"/>
            <c:spPr>
              <a:solidFill>
                <a:srgbClr val="00B050"/>
              </a:solidFill>
              <a:ln>
                <a:solidFill>
                  <a:schemeClr val="bg1"/>
                </a:solidFill>
              </a:ln>
            </c:spPr>
          </c:dPt>
          <c:dPt>
            <c:idx val="17"/>
            <c:invertIfNegative val="0"/>
            <c:bubble3D val="0"/>
            <c:spPr>
              <a:solidFill>
                <a:schemeClr val="accent5"/>
              </a:solidFill>
              <a:ln>
                <a:solidFill>
                  <a:schemeClr val="bg1"/>
                </a:solidFill>
              </a:ln>
            </c:spPr>
          </c:dPt>
          <c:dPt>
            <c:idx val="20"/>
            <c:invertIfNegative val="0"/>
            <c:bubble3D val="0"/>
            <c:spPr>
              <a:solidFill>
                <a:srgbClr val="00B050"/>
              </a:solidFill>
              <a:ln>
                <a:solidFill>
                  <a:schemeClr val="bg1"/>
                </a:solidFill>
              </a:ln>
            </c:spPr>
          </c:dPt>
          <c:dPt>
            <c:idx val="21"/>
            <c:invertIfNegative val="0"/>
            <c:bubble3D val="0"/>
            <c:spPr>
              <a:solidFill>
                <a:schemeClr val="accent5"/>
              </a:solidFill>
              <a:ln>
                <a:solidFill>
                  <a:schemeClr val="bg1"/>
                </a:solidFill>
              </a:ln>
            </c:spPr>
          </c:dPt>
          <c:dPt>
            <c:idx val="24"/>
            <c:invertIfNegative val="0"/>
            <c:bubble3D val="0"/>
            <c:spPr>
              <a:solidFill>
                <a:srgbClr val="00B050"/>
              </a:solidFill>
              <a:ln>
                <a:solidFill>
                  <a:schemeClr val="bg1"/>
                </a:solidFill>
              </a:ln>
            </c:spPr>
          </c:dPt>
          <c:dPt>
            <c:idx val="25"/>
            <c:invertIfNegative val="0"/>
            <c:bubble3D val="0"/>
            <c:spPr>
              <a:solidFill>
                <a:schemeClr val="accent5"/>
              </a:solidFill>
              <a:ln>
                <a:solidFill>
                  <a:schemeClr val="bg1"/>
                </a:solidFill>
              </a:ln>
            </c:spPr>
          </c:dPt>
          <c:dPt>
            <c:idx val="28"/>
            <c:invertIfNegative val="0"/>
            <c:bubble3D val="0"/>
            <c:spPr>
              <a:solidFill>
                <a:srgbClr val="00B050"/>
              </a:solidFill>
              <a:ln>
                <a:solidFill>
                  <a:schemeClr val="bg1"/>
                </a:solidFill>
              </a:ln>
            </c:spPr>
          </c:dPt>
          <c:dPt>
            <c:idx val="29"/>
            <c:invertIfNegative val="0"/>
            <c:bubble3D val="0"/>
            <c:spPr>
              <a:solidFill>
                <a:schemeClr val="accent5"/>
              </a:solidFill>
              <a:ln>
                <a:solidFill>
                  <a:schemeClr val="bg1"/>
                </a:solidFill>
              </a:ln>
            </c:spPr>
          </c:dPt>
          <c:dPt>
            <c:idx val="32"/>
            <c:invertIfNegative val="0"/>
            <c:bubble3D val="0"/>
            <c:spPr>
              <a:solidFill>
                <a:srgbClr val="00B050"/>
              </a:solidFill>
              <a:ln>
                <a:solidFill>
                  <a:schemeClr val="bg1"/>
                </a:solidFill>
              </a:ln>
            </c:spPr>
          </c:dPt>
          <c:dPt>
            <c:idx val="33"/>
            <c:invertIfNegative val="0"/>
            <c:bubble3D val="0"/>
            <c:spPr>
              <a:solidFill>
                <a:schemeClr val="accent5"/>
              </a:solidFill>
              <a:ln>
                <a:solidFill>
                  <a:schemeClr val="bg1"/>
                </a:solidFill>
              </a:ln>
            </c:spPr>
          </c:dPt>
          <c:dPt>
            <c:idx val="36"/>
            <c:invertIfNegative val="0"/>
            <c:bubble3D val="0"/>
            <c:spPr>
              <a:solidFill>
                <a:srgbClr val="00B050"/>
              </a:solidFill>
              <a:ln>
                <a:solidFill>
                  <a:schemeClr val="bg1"/>
                </a:solidFill>
              </a:ln>
            </c:spPr>
          </c:dPt>
          <c:dPt>
            <c:idx val="37"/>
            <c:invertIfNegative val="0"/>
            <c:bubble3D val="0"/>
            <c:spPr>
              <a:solidFill>
                <a:schemeClr val="accent5"/>
              </a:solidFill>
              <a:ln>
                <a:solidFill>
                  <a:schemeClr val="bg1"/>
                </a:solidFill>
              </a:ln>
            </c:spPr>
          </c:dPt>
          <c:dPt>
            <c:idx val="40"/>
            <c:invertIfNegative val="0"/>
            <c:bubble3D val="0"/>
            <c:spPr>
              <a:solidFill>
                <a:srgbClr val="00B050"/>
              </a:solidFill>
              <a:ln>
                <a:solidFill>
                  <a:schemeClr val="bg1"/>
                </a:solidFill>
              </a:ln>
            </c:spPr>
          </c:dPt>
          <c:dPt>
            <c:idx val="41"/>
            <c:invertIfNegative val="0"/>
            <c:bubble3D val="0"/>
            <c:spPr>
              <a:solidFill>
                <a:schemeClr val="accent5"/>
              </a:solidFill>
              <a:ln>
                <a:solidFill>
                  <a:schemeClr val="bg1"/>
                </a:solidFill>
              </a:ln>
            </c:spPr>
          </c:dPt>
          <c:dPt>
            <c:idx val="44"/>
            <c:invertIfNegative val="0"/>
            <c:bubble3D val="0"/>
            <c:spPr>
              <a:solidFill>
                <a:srgbClr val="FFFF00"/>
              </a:solidFill>
              <a:ln>
                <a:solidFill>
                  <a:schemeClr val="bg1"/>
                </a:solidFill>
              </a:ln>
            </c:spPr>
          </c:dPt>
          <c:dPt>
            <c:idx val="45"/>
            <c:invertIfNegative val="0"/>
            <c:bubble3D val="0"/>
            <c:spPr>
              <a:solidFill>
                <a:schemeClr val="accent5"/>
              </a:solidFill>
              <a:ln>
                <a:solidFill>
                  <a:schemeClr val="bg1"/>
                </a:solidFill>
              </a:ln>
            </c:spPr>
          </c:dPt>
          <c:dPt>
            <c:idx val="48"/>
            <c:invertIfNegative val="0"/>
            <c:bubble3D val="0"/>
            <c:spPr>
              <a:solidFill>
                <a:srgbClr val="FFFF00"/>
              </a:solidFill>
              <a:ln>
                <a:solidFill>
                  <a:schemeClr val="bg1"/>
                </a:solidFill>
              </a:ln>
            </c:spPr>
          </c:dPt>
          <c:dPt>
            <c:idx val="49"/>
            <c:invertIfNegative val="0"/>
            <c:bubble3D val="0"/>
            <c:spPr>
              <a:solidFill>
                <a:schemeClr val="accent5"/>
              </a:solidFill>
              <a:ln>
                <a:solidFill>
                  <a:schemeClr val="bg1"/>
                </a:solidFill>
              </a:ln>
            </c:spPr>
          </c:dPt>
          <c:dPt>
            <c:idx val="52"/>
            <c:invertIfNegative val="0"/>
            <c:bubble3D val="0"/>
            <c:spPr>
              <a:solidFill>
                <a:srgbClr val="FFFF00"/>
              </a:solidFill>
              <a:ln>
                <a:solidFill>
                  <a:schemeClr val="bg1"/>
                </a:solidFill>
              </a:ln>
            </c:spPr>
          </c:dPt>
          <c:dPt>
            <c:idx val="53"/>
            <c:invertIfNegative val="0"/>
            <c:bubble3D val="0"/>
            <c:spPr>
              <a:solidFill>
                <a:srgbClr val="F95D07"/>
              </a:solidFill>
              <a:ln>
                <a:solidFill>
                  <a:schemeClr val="bg1"/>
                </a:solidFill>
              </a:ln>
            </c:spPr>
          </c:dPt>
          <c:dPt>
            <c:idx val="54"/>
            <c:invertIfNegative val="0"/>
            <c:bubble3D val="0"/>
            <c:spPr>
              <a:solidFill>
                <a:srgbClr val="00B050"/>
              </a:solidFill>
              <a:ln>
                <a:solidFill>
                  <a:schemeClr val="bg1"/>
                </a:solidFill>
              </a:ln>
            </c:spPr>
          </c:dPt>
          <c:dPt>
            <c:idx val="55"/>
            <c:invertIfNegative val="0"/>
            <c:bubble3D val="0"/>
            <c:spPr>
              <a:solidFill>
                <a:schemeClr val="accent5"/>
              </a:solidFill>
              <a:ln>
                <a:solidFill>
                  <a:schemeClr val="bg1"/>
                </a:solidFill>
              </a:ln>
            </c:spPr>
          </c:dPt>
          <c:cat>
            <c:strLit>
              <c:ptCount val="1"/>
              <c:pt idx="0">
                <c:v> CH   TR   UA   EM   MA   NO   SG   KR   US   JP   MC   LI   MK   Total</c:v>
              </c:pt>
            </c:strLit>
          </c:cat>
          <c:val>
            <c:numLit>
              <c:formatCode>General</c:formatCode>
              <c:ptCount val="57"/>
              <c:pt idx="0">
                <c:v>5.5</c:v>
              </c:pt>
              <c:pt idx="1">
                <c:v>5</c:v>
              </c:pt>
              <c:pt idx="2">
                <c:v>4</c:v>
              </c:pt>
              <c:pt idx="3">
                <c:v>0</c:v>
              </c:pt>
              <c:pt idx="4">
                <c:v>4.9000000000000004</c:v>
              </c:pt>
              <c:pt idx="5">
                <c:v>4.5</c:v>
              </c:pt>
              <c:pt idx="6">
                <c:v>3.9</c:v>
              </c:pt>
              <c:pt idx="7">
                <c:v>0</c:v>
              </c:pt>
              <c:pt idx="8">
                <c:v>4.4000000000000004</c:v>
              </c:pt>
              <c:pt idx="9">
                <c:v>4.0999999999999899</c:v>
              </c:pt>
              <c:pt idx="10">
                <c:v>4.8</c:v>
              </c:pt>
              <c:pt idx="11">
                <c:v>0</c:v>
              </c:pt>
              <c:pt idx="12">
                <c:v>5.3</c:v>
              </c:pt>
              <c:pt idx="13">
                <c:v>4.3</c:v>
              </c:pt>
              <c:pt idx="14">
                <c:v>3.5</c:v>
              </c:pt>
              <c:pt idx="15">
                <c:v>0</c:v>
              </c:pt>
              <c:pt idx="16">
                <c:v>4.2</c:v>
              </c:pt>
              <c:pt idx="17">
                <c:v>4.4000000000000004</c:v>
              </c:pt>
              <c:pt idx="18">
                <c:v>4</c:v>
              </c:pt>
              <c:pt idx="19">
                <c:v>0</c:v>
              </c:pt>
              <c:pt idx="20">
                <c:v>4.4000000000000004</c:v>
              </c:pt>
              <c:pt idx="21">
                <c:v>3.8</c:v>
              </c:pt>
              <c:pt idx="22">
                <c:v>4</c:v>
              </c:pt>
              <c:pt idx="23">
                <c:v>0</c:v>
              </c:pt>
              <c:pt idx="24">
                <c:v>4.3</c:v>
              </c:pt>
              <c:pt idx="25">
                <c:v>3.8</c:v>
              </c:pt>
              <c:pt idx="26">
                <c:v>3.4</c:v>
              </c:pt>
              <c:pt idx="27">
                <c:v>0</c:v>
              </c:pt>
              <c:pt idx="28">
                <c:v>4</c:v>
              </c:pt>
              <c:pt idx="29">
                <c:v>3.6</c:v>
              </c:pt>
              <c:pt idx="30">
                <c:v>3.7</c:v>
              </c:pt>
              <c:pt idx="31">
                <c:v>0</c:v>
              </c:pt>
              <c:pt idx="32">
                <c:v>3.9</c:v>
              </c:pt>
              <c:pt idx="33">
                <c:v>3.9</c:v>
              </c:pt>
              <c:pt idx="34">
                <c:v>3.3</c:v>
              </c:pt>
              <c:pt idx="35">
                <c:v>0</c:v>
              </c:pt>
              <c:pt idx="36">
                <c:v>3.8</c:v>
              </c:pt>
              <c:pt idx="37">
                <c:v>3.7</c:v>
              </c:pt>
              <c:pt idx="38">
                <c:v>3</c:v>
              </c:pt>
              <c:pt idx="39">
                <c:v>0</c:v>
              </c:pt>
              <c:pt idx="40">
                <c:v>3.7</c:v>
              </c:pt>
              <c:pt idx="41">
                <c:v>2.9</c:v>
              </c:pt>
              <c:pt idx="42">
                <c:v>2.7</c:v>
              </c:pt>
              <c:pt idx="43">
                <c:v>0</c:v>
              </c:pt>
              <c:pt idx="44">
                <c:v>0</c:v>
              </c:pt>
              <c:pt idx="45">
                <c:v>2.1</c:v>
              </c:pt>
              <c:pt idx="46">
                <c:v>2.4</c:v>
              </c:pt>
              <c:pt idx="47">
                <c:v>0</c:v>
              </c:pt>
              <c:pt idx="48">
                <c:v>0</c:v>
              </c:pt>
              <c:pt idx="49">
                <c:v>2.5</c:v>
              </c:pt>
              <c:pt idx="50">
                <c:v>1.5</c:v>
              </c:pt>
              <c:pt idx="51">
                <c:v>0</c:v>
              </c:pt>
              <c:pt idx="52">
                <c:v>0</c:v>
              </c:pt>
              <c:pt idx="53">
                <c:v>0</c:v>
              </c:pt>
              <c:pt idx="54">
                <c:v>5</c:v>
              </c:pt>
              <c:pt idx="55">
                <c:v>4</c:v>
              </c:pt>
              <c:pt idx="56">
                <c:v>3.2</c:v>
              </c:pt>
            </c:numLit>
          </c:val>
        </c:ser>
        <c:dLbls>
          <c:showLegendKey val="0"/>
          <c:showVal val="0"/>
          <c:showCatName val="0"/>
          <c:showSerName val="0"/>
          <c:showPercent val="0"/>
          <c:showBubbleSize val="0"/>
        </c:dLbls>
        <c:gapWidth val="150"/>
        <c:shape val="box"/>
        <c:axId val="34173696"/>
        <c:axId val="34175232"/>
        <c:axId val="0"/>
      </c:bar3DChart>
      <c:catAx>
        <c:axId val="34173696"/>
        <c:scaling>
          <c:orientation val="minMax"/>
        </c:scaling>
        <c:delete val="1"/>
        <c:axPos val="b"/>
        <c:majorTickMark val="out"/>
        <c:minorTickMark val="none"/>
        <c:tickLblPos val="nextTo"/>
        <c:crossAx val="34175232"/>
        <c:crosses val="autoZero"/>
        <c:auto val="1"/>
        <c:lblAlgn val="ctr"/>
        <c:lblOffset val="100"/>
        <c:noMultiLvlLbl val="0"/>
      </c:catAx>
      <c:valAx>
        <c:axId val="34175232"/>
        <c:scaling>
          <c:orientation val="minMax"/>
          <c:max val="6"/>
          <c:min val="0"/>
        </c:scaling>
        <c:delete val="0"/>
        <c:axPos val="l"/>
        <c:majorGridlines>
          <c:spPr>
            <a:ln>
              <a:noFill/>
            </a:ln>
          </c:spPr>
        </c:majorGridlines>
        <c:numFmt formatCode="General" sourceLinked="1"/>
        <c:majorTickMark val="out"/>
        <c:minorTickMark val="none"/>
        <c:tickLblPos val="nextTo"/>
        <c:crossAx val="34173696"/>
        <c:crosses val="autoZero"/>
        <c:crossBetween val="between"/>
      </c:valAx>
      <c:spPr>
        <a:noFill/>
      </c:spPr>
    </c:plotArea>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90"/>
      <c:rAngAx val="0"/>
      <c:perspective val="30"/>
    </c:view3D>
    <c:floor>
      <c:thickness val="0"/>
      <c:spPr>
        <a:noFill/>
      </c:spPr>
    </c:floor>
    <c:sideWall>
      <c:thickness val="0"/>
    </c:sideWall>
    <c:backWall>
      <c:thickness val="0"/>
    </c:backWall>
    <c:plotArea>
      <c:layout>
        <c:manualLayout>
          <c:layoutTarget val="inner"/>
          <c:xMode val="edge"/>
          <c:yMode val="edge"/>
          <c:x val="4.20602674361105E-2"/>
          <c:y val="0.19036103459203824"/>
          <c:w val="0.95439235518125598"/>
          <c:h val="0.62649744731275681"/>
        </c:manualLayout>
      </c:layout>
      <c:bar3DChart>
        <c:barDir val="col"/>
        <c:grouping val="clustered"/>
        <c:varyColors val="0"/>
        <c:ser>
          <c:idx val="12"/>
          <c:order val="0"/>
          <c:tx>
            <c:v>DE</c:v>
          </c:tx>
          <c:spPr>
            <a:solidFill>
              <a:srgbClr val="FFC000"/>
            </a:solidFill>
            <a:ln>
              <a:solidFill>
                <a:schemeClr val="bg1"/>
              </a:solidFill>
            </a:ln>
          </c:spPr>
          <c:invertIfNegative val="0"/>
          <c:dLbls>
            <c:dLbl>
              <c:idx val="0"/>
              <c:layout>
                <c:manualLayout>
                  <c:x val="0"/>
                  <c:y val="2.2503516174402251E-2"/>
                </c:manualLayout>
              </c:layout>
              <c:tx>
                <c:rich>
                  <a:bodyPr/>
                  <a:lstStyle/>
                  <a:p>
                    <a:r>
                      <a:rPr lang="en-US"/>
                      <a:t>13,1%</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13.1</c:v>
              </c:pt>
            </c:numLit>
          </c:val>
        </c:ser>
        <c:ser>
          <c:idx val="9"/>
          <c:order val="1"/>
          <c:tx>
            <c:v>DE</c:v>
          </c:tx>
          <c:spPr>
            <a:solidFill>
              <a:srgbClr val="00B0F0"/>
            </a:solidFill>
            <a:ln>
              <a:solidFill>
                <a:schemeClr val="bg1"/>
              </a:solidFill>
            </a:ln>
          </c:spPr>
          <c:invertIfNegative val="0"/>
          <c:dLbls>
            <c:dLbl>
              <c:idx val="0"/>
              <c:layout>
                <c:manualLayout>
                  <c:x val="-4.2798351690568693E-3"/>
                  <c:y val="1.6666666666666666E-2"/>
                </c:manualLayout>
              </c:layout>
              <c:tx>
                <c:rich>
                  <a:bodyPr/>
                  <a:lstStyle/>
                  <a:p>
                    <a:r>
                      <a:rPr lang="en-US"/>
                      <a:t>64%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64</c:v>
              </c:pt>
            </c:numLit>
          </c:val>
        </c:ser>
        <c:ser>
          <c:idx val="13"/>
          <c:order val="2"/>
          <c:tx>
            <c:v>espace</c:v>
          </c:tx>
          <c:spPr>
            <a:noFill/>
          </c:spPr>
          <c:invertIfNegative val="0"/>
          <c:val>
            <c:numLit>
              <c:formatCode>General</c:formatCode>
              <c:ptCount val="1"/>
              <c:pt idx="0">
                <c:v>0</c:v>
              </c:pt>
            </c:numLit>
          </c:val>
        </c:ser>
        <c:ser>
          <c:idx val="2"/>
          <c:order val="3"/>
          <c:tx>
            <c:v>DE</c:v>
          </c:tx>
          <c:spPr>
            <a:ln>
              <a:solidFill>
                <a:schemeClr val="bg1"/>
              </a:solidFill>
            </a:ln>
          </c:spPr>
          <c:invertIfNegative val="0"/>
          <c:dPt>
            <c:idx val="0"/>
            <c:invertIfNegative val="0"/>
            <c:bubble3D val="0"/>
            <c:spPr>
              <a:solidFill>
                <a:srgbClr val="FFC000"/>
              </a:solidFill>
              <a:ln>
                <a:solidFill>
                  <a:schemeClr val="bg1"/>
                </a:solidFill>
              </a:ln>
            </c:spPr>
          </c:dPt>
          <c:dLbls>
            <c:dLbl>
              <c:idx val="0"/>
              <c:layout/>
              <c:tx>
                <c:rich>
                  <a:bodyPr/>
                  <a:lstStyle/>
                  <a:p>
                    <a:r>
                      <a:rPr lang="en-US"/>
                      <a:t>8,5%</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8.5</c:v>
              </c:pt>
            </c:numLit>
          </c:val>
        </c:ser>
        <c:ser>
          <c:idx val="6"/>
          <c:order val="4"/>
          <c:tx>
            <c:v>DE</c:v>
          </c:tx>
          <c:spPr>
            <a:solidFill>
              <a:srgbClr val="00B0F0"/>
            </a:solidFill>
            <a:ln>
              <a:solidFill>
                <a:schemeClr val="bg1"/>
              </a:solidFill>
            </a:ln>
          </c:spPr>
          <c:invertIfNegative val="0"/>
          <c:dLbls>
            <c:dLbl>
              <c:idx val="0"/>
              <c:layout>
                <c:manualLayout>
                  <c:x val="2.1399175845284294E-3"/>
                  <c:y val="1.1111111111111112E-2"/>
                </c:manualLayout>
              </c:layout>
              <c:tx>
                <c:rich>
                  <a:bodyPr/>
                  <a:lstStyle/>
                  <a:p>
                    <a:r>
                      <a:rPr lang="en-US"/>
                      <a:t>63,9%</a:t>
                    </a:r>
                  </a:p>
                </c:rich>
              </c:tx>
              <c:showLegendKey val="0"/>
              <c:showVal val="1"/>
              <c:showCatName val="0"/>
              <c:showSerName val="0"/>
              <c:showPercent val="0"/>
              <c:showBubbleSize val="0"/>
            </c:dLbl>
            <c:showLegendKey val="0"/>
            <c:showVal val="1"/>
            <c:showCatName val="0"/>
            <c:showSerName val="0"/>
            <c:showPercent val="0"/>
            <c:showBubbleSize val="0"/>
            <c:showLeaderLines val="0"/>
          </c:dLbls>
          <c:cat>
            <c:numLit>
              <c:formatCode>General</c:formatCode>
              <c:ptCount val="1"/>
              <c:pt idx="0">
                <c:v>2014</c:v>
              </c:pt>
            </c:numLit>
          </c:cat>
          <c:val>
            <c:numLit>
              <c:formatCode>General</c:formatCode>
              <c:ptCount val="1"/>
              <c:pt idx="0">
                <c:v>63.9</c:v>
              </c:pt>
            </c:numLit>
          </c:val>
        </c:ser>
        <c:ser>
          <c:idx val="14"/>
          <c:order val="5"/>
          <c:tx>
            <c:v>espace</c:v>
          </c:tx>
          <c:spPr>
            <a:noFill/>
          </c:spPr>
          <c:invertIfNegative val="0"/>
          <c:val>
            <c:numLit>
              <c:formatCode>General</c:formatCode>
              <c:ptCount val="1"/>
              <c:pt idx="0">
                <c:v>0</c:v>
              </c:pt>
            </c:numLit>
          </c:val>
        </c:ser>
        <c:ser>
          <c:idx val="10"/>
          <c:order val="6"/>
          <c:tx>
            <c:v>DE</c:v>
          </c:tx>
          <c:spPr>
            <a:solidFill>
              <a:srgbClr val="FFC000"/>
            </a:solidFill>
            <a:ln>
              <a:solidFill>
                <a:schemeClr val="bg1"/>
              </a:solidFill>
            </a:ln>
          </c:spPr>
          <c:invertIfNegative val="0"/>
          <c:dLbls>
            <c:dLbl>
              <c:idx val="0"/>
              <c:layout/>
              <c:tx>
                <c:rich>
                  <a:bodyPr/>
                  <a:lstStyle/>
                  <a:p>
                    <a:r>
                      <a:rPr lang="en-US"/>
                      <a:t>2,1%</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2.1</c:v>
              </c:pt>
            </c:numLit>
          </c:val>
        </c:ser>
        <c:ser>
          <c:idx val="11"/>
          <c:order val="7"/>
          <c:tx>
            <c:v>DE</c:v>
          </c:tx>
          <c:spPr>
            <a:solidFill>
              <a:srgbClr val="00B0F0"/>
            </a:solidFill>
            <a:ln>
              <a:solidFill>
                <a:schemeClr val="bg1"/>
              </a:solidFill>
            </a:ln>
          </c:spPr>
          <c:invertIfNegative val="0"/>
          <c:dLbls>
            <c:dLbl>
              <c:idx val="0"/>
              <c:layout>
                <c:manualLayout>
                  <c:x val="6.4197527535852887E-3"/>
                  <c:y val="2.2222222222222223E-2"/>
                </c:manualLayout>
              </c:layout>
              <c:tx>
                <c:rich>
                  <a:bodyPr/>
                  <a:lstStyle/>
                  <a:p>
                    <a:r>
                      <a:rPr lang="en-US"/>
                      <a:t>84,2%</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84.2</c:v>
              </c:pt>
            </c:numLit>
          </c:val>
        </c:ser>
        <c:ser>
          <c:idx val="1"/>
          <c:order val="8"/>
          <c:tx>
            <c:v>espace</c:v>
          </c:tx>
          <c:spPr>
            <a:noFill/>
            <a:ln>
              <a:noFill/>
            </a:ln>
          </c:spPr>
          <c:invertIfNegative val="0"/>
          <c:val>
            <c:numLit>
              <c:formatCode>General</c:formatCode>
              <c:ptCount val="1"/>
              <c:pt idx="0">
                <c:v>1</c:v>
              </c:pt>
            </c:numLit>
          </c:val>
        </c:ser>
        <c:ser>
          <c:idx val="22"/>
          <c:order val="9"/>
          <c:tx>
            <c:v>espace</c:v>
          </c:tx>
          <c:spPr>
            <a:noFill/>
          </c:spPr>
          <c:invertIfNegative val="0"/>
          <c:val>
            <c:numLit>
              <c:formatCode>General</c:formatCode>
              <c:ptCount val="1"/>
              <c:pt idx="0">
                <c:v>0</c:v>
              </c:pt>
            </c:numLit>
          </c:val>
        </c:ser>
        <c:ser>
          <c:idx val="54"/>
          <c:order val="10"/>
          <c:tx>
            <c:v>espace</c:v>
          </c:tx>
          <c:spPr>
            <a:noFill/>
          </c:spPr>
          <c:invertIfNegative val="0"/>
          <c:val>
            <c:numLit>
              <c:formatCode>General</c:formatCode>
              <c:ptCount val="1"/>
              <c:pt idx="0">
                <c:v>0</c:v>
              </c:pt>
            </c:numLit>
          </c:val>
        </c:ser>
        <c:ser>
          <c:idx val="15"/>
          <c:order val="11"/>
          <c:tx>
            <c:v>FR</c:v>
          </c:tx>
          <c:spPr>
            <a:solidFill>
              <a:srgbClr val="0070C0"/>
            </a:solidFill>
            <a:ln>
              <a:solidFill>
                <a:schemeClr val="bg1"/>
              </a:solidFill>
            </a:ln>
          </c:spPr>
          <c:invertIfNegative val="0"/>
          <c:dLbls>
            <c:dLbl>
              <c:idx val="0"/>
              <c:layout>
                <c:manualLayout>
                  <c:x val="-4.2798351690568589E-3"/>
                  <c:y val="2.2222222222222223E-2"/>
                </c:manualLayout>
              </c:layout>
              <c:tx>
                <c:rich>
                  <a:bodyPr/>
                  <a:lstStyle/>
                  <a:p>
                    <a:r>
                      <a:rPr lang="en-US"/>
                      <a:t>14,5%</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14.5</c:v>
              </c:pt>
            </c:numLit>
          </c:val>
        </c:ser>
        <c:ser>
          <c:idx val="19"/>
          <c:order val="12"/>
          <c:tx>
            <c:v>FR</c:v>
          </c:tx>
          <c:spPr>
            <a:solidFill>
              <a:srgbClr val="00B0F0"/>
            </a:solidFill>
            <a:ln>
              <a:solidFill>
                <a:schemeClr val="bg1"/>
              </a:solidFill>
            </a:ln>
          </c:spPr>
          <c:invertIfNegative val="0"/>
          <c:dLbls>
            <c:dLbl>
              <c:idx val="0"/>
              <c:layout>
                <c:manualLayout>
                  <c:x val="4.2798351690568589E-3"/>
                  <c:y val="1.6666666666666666E-2"/>
                </c:manualLayout>
              </c:layout>
              <c:tx>
                <c:rich>
                  <a:bodyPr/>
                  <a:lstStyle/>
                  <a:p>
                    <a:r>
                      <a:rPr lang="en-US"/>
                      <a:t>72,3%</a:t>
                    </a:r>
                  </a:p>
                </c:rich>
              </c:tx>
              <c:showLegendKey val="0"/>
              <c:showVal val="1"/>
              <c:showCatName val="0"/>
              <c:showSerName val="0"/>
              <c:showPercent val="0"/>
              <c:showBubbleSize val="0"/>
              <c:separator>, </c:separator>
            </c:dLbl>
            <c:showLegendKey val="0"/>
            <c:showVal val="1"/>
            <c:showCatName val="0"/>
            <c:showSerName val="0"/>
            <c:showPercent val="0"/>
            <c:showBubbleSize val="0"/>
            <c:showLeaderLines val="0"/>
          </c:dLbls>
          <c:val>
            <c:numLit>
              <c:formatCode>General</c:formatCode>
              <c:ptCount val="1"/>
              <c:pt idx="0">
                <c:v>72.3</c:v>
              </c:pt>
            </c:numLit>
          </c:val>
        </c:ser>
        <c:ser>
          <c:idx val="20"/>
          <c:order val="13"/>
          <c:tx>
            <c:v>espace</c:v>
          </c:tx>
          <c:spPr>
            <a:noFill/>
          </c:spPr>
          <c:invertIfNegative val="0"/>
          <c:val>
            <c:numLit>
              <c:formatCode>General</c:formatCode>
              <c:ptCount val="1"/>
              <c:pt idx="0">
                <c:v>0</c:v>
              </c:pt>
            </c:numLit>
          </c:val>
        </c:ser>
        <c:ser>
          <c:idx val="3"/>
          <c:order val="14"/>
          <c:tx>
            <c:v>FR</c:v>
          </c:tx>
          <c:spPr>
            <a:solidFill>
              <a:srgbClr val="0070C0"/>
            </a:solidFill>
            <a:ln>
              <a:solidFill>
                <a:schemeClr val="bg1"/>
              </a:solidFill>
            </a:ln>
          </c:spPr>
          <c:invertIfNegative val="0"/>
          <c:dLbls>
            <c:dLbl>
              <c:idx val="0"/>
              <c:layout>
                <c:manualLayout>
                  <c:x val="3.7512586759336163E-3"/>
                  <c:y val="1.6666666666666666E-2"/>
                </c:manualLayout>
              </c:layout>
              <c:tx>
                <c:rich>
                  <a:bodyPr/>
                  <a:lstStyle/>
                  <a:p>
                    <a:r>
                      <a:rPr lang="en-US"/>
                      <a:t>12,9%</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12.9</c:v>
              </c:pt>
            </c:numLit>
          </c:val>
        </c:ser>
        <c:ser>
          <c:idx val="0"/>
          <c:order val="15"/>
          <c:tx>
            <c:v>FR</c:v>
          </c:tx>
          <c:spPr>
            <a:solidFill>
              <a:srgbClr val="00B0F0"/>
            </a:solidFill>
            <a:ln>
              <a:solidFill>
                <a:schemeClr val="bg1"/>
              </a:solidFill>
            </a:ln>
          </c:spPr>
          <c:invertIfNegative val="0"/>
          <c:dLbls>
            <c:dLbl>
              <c:idx val="0"/>
              <c:layout>
                <c:manualLayout>
                  <c:x val="1.2839505507170577E-2"/>
                  <c:y val="1.6666666666666666E-2"/>
                </c:manualLayout>
              </c:layout>
              <c:tx>
                <c:rich>
                  <a:bodyPr/>
                  <a:lstStyle/>
                  <a:p>
                    <a:r>
                      <a:rPr lang="en-US"/>
                      <a:t>70,2%</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70.2</c:v>
              </c:pt>
            </c:numLit>
          </c:val>
        </c:ser>
        <c:ser>
          <c:idx val="17"/>
          <c:order val="16"/>
          <c:tx>
            <c:v>espace</c:v>
          </c:tx>
          <c:spPr>
            <a:noFill/>
          </c:spPr>
          <c:invertIfNegative val="0"/>
          <c:val>
            <c:numLit>
              <c:formatCode>General</c:formatCode>
              <c:ptCount val="1"/>
              <c:pt idx="0">
                <c:v>0</c:v>
              </c:pt>
            </c:numLit>
          </c:val>
        </c:ser>
        <c:ser>
          <c:idx val="18"/>
          <c:order val="17"/>
          <c:tx>
            <c:v>FR</c:v>
          </c:tx>
          <c:spPr>
            <a:solidFill>
              <a:srgbClr val="0070C0"/>
            </a:solidFill>
            <a:ln>
              <a:solidFill>
                <a:schemeClr val="bg1"/>
              </a:solidFill>
            </a:ln>
          </c:spPr>
          <c:invertIfNegative val="0"/>
          <c:dLbls>
            <c:dLbl>
              <c:idx val="0"/>
              <c:layout>
                <c:manualLayout>
                  <c:x val="3.2226821828102948E-3"/>
                  <c:y val="1.6666666666666666E-2"/>
                </c:manualLayout>
              </c:layout>
              <c:tx>
                <c:rich>
                  <a:bodyPr/>
                  <a:lstStyle/>
                  <a:p>
                    <a:r>
                      <a:rPr lang="en-US"/>
                      <a:t>37,3%</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37.299999999999997</c:v>
              </c:pt>
            </c:numLit>
          </c:val>
        </c:ser>
        <c:ser>
          <c:idx val="16"/>
          <c:order val="18"/>
          <c:tx>
            <c:v>FR</c:v>
          </c:tx>
          <c:spPr>
            <a:solidFill>
              <a:srgbClr val="00B0F0"/>
            </a:solidFill>
            <a:ln>
              <a:solidFill>
                <a:schemeClr val="bg1"/>
              </a:solidFill>
            </a:ln>
          </c:spPr>
          <c:invertIfNegative val="0"/>
          <c:dLbls>
            <c:dLbl>
              <c:idx val="0"/>
              <c:layout>
                <c:manualLayout>
                  <c:x val="1.0699587922642148E-2"/>
                  <c:y val="1.1111111111111059E-2"/>
                </c:manualLayout>
              </c:layout>
              <c:tx>
                <c:rich>
                  <a:bodyPr/>
                  <a:lstStyle/>
                  <a:p>
                    <a:r>
                      <a:rPr lang="en-US"/>
                      <a:t>48%</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48</c:v>
              </c:pt>
            </c:numLit>
          </c:val>
        </c:ser>
        <c:ser>
          <c:idx val="21"/>
          <c:order val="19"/>
          <c:tx>
            <c:v>espace</c:v>
          </c:tx>
          <c:spPr>
            <a:noFill/>
          </c:spPr>
          <c:invertIfNegative val="0"/>
          <c:val>
            <c:numLit>
              <c:formatCode>General</c:formatCode>
              <c:ptCount val="1"/>
              <c:pt idx="0">
                <c:v>0</c:v>
              </c:pt>
            </c:numLit>
          </c:val>
        </c:ser>
        <c:ser>
          <c:idx val="4"/>
          <c:order val="20"/>
          <c:tx>
            <c:v>espace</c:v>
          </c:tx>
          <c:spPr>
            <a:noFill/>
          </c:spPr>
          <c:invertIfNegative val="0"/>
          <c:val>
            <c:numLit>
              <c:formatCode>General</c:formatCode>
              <c:ptCount val="1"/>
              <c:pt idx="0">
                <c:v>1</c:v>
              </c:pt>
            </c:numLit>
          </c:val>
        </c:ser>
        <c:ser>
          <c:idx val="53"/>
          <c:order val="21"/>
          <c:tx>
            <c:v>espace</c:v>
          </c:tx>
          <c:spPr>
            <a:noFill/>
          </c:spPr>
          <c:invertIfNegative val="0"/>
          <c:val>
            <c:numLit>
              <c:formatCode>General</c:formatCode>
              <c:ptCount val="1"/>
              <c:pt idx="0">
                <c:v>0</c:v>
              </c:pt>
            </c:numLit>
          </c:val>
        </c:ser>
        <c:ser>
          <c:idx val="5"/>
          <c:order val="22"/>
          <c:tx>
            <c:v>IT</c:v>
          </c:tx>
          <c:spPr>
            <a:solidFill>
              <a:srgbClr val="92D050"/>
            </a:solidFill>
            <a:ln>
              <a:noFill/>
            </a:ln>
          </c:spPr>
          <c:invertIfNegative val="0"/>
          <c:dLbls>
            <c:dLbl>
              <c:idx val="0"/>
              <c:layout/>
              <c:tx>
                <c:rich>
                  <a:bodyPr/>
                  <a:lstStyle/>
                  <a:p>
                    <a:r>
                      <a:rPr lang="en-US"/>
                      <a:t>1%</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c:v>
              </c:pt>
            </c:numLit>
          </c:val>
        </c:ser>
        <c:ser>
          <c:idx val="23"/>
          <c:order val="23"/>
          <c:tx>
            <c:v>IT</c:v>
          </c:tx>
          <c:spPr>
            <a:solidFill>
              <a:srgbClr val="00B0F0"/>
            </a:solidFill>
            <a:ln>
              <a:solidFill>
                <a:schemeClr val="bg1"/>
              </a:solidFill>
            </a:ln>
          </c:spPr>
          <c:invertIfNegative val="0"/>
          <c:dLbls>
            <c:dLbl>
              <c:idx val="0"/>
              <c:layout>
                <c:manualLayout>
                  <c:x val="0"/>
                  <c:y val="2.2222222222222223E-2"/>
                </c:manualLayout>
              </c:layout>
              <c:tx>
                <c:rich>
                  <a:bodyPr/>
                  <a:lstStyle/>
                  <a:p>
                    <a:r>
                      <a:rPr lang="en-US"/>
                      <a:t>66%</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66</c:v>
              </c:pt>
            </c:numLit>
          </c:val>
        </c:ser>
        <c:ser>
          <c:idx val="7"/>
          <c:order val="24"/>
          <c:tx>
            <c:v>espace</c:v>
          </c:tx>
          <c:spPr>
            <a:noFill/>
          </c:spPr>
          <c:invertIfNegative val="0"/>
          <c:val>
            <c:numLit>
              <c:formatCode>General</c:formatCode>
              <c:ptCount val="1"/>
              <c:pt idx="0">
                <c:v>1</c:v>
              </c:pt>
            </c:numLit>
          </c:val>
        </c:ser>
        <c:ser>
          <c:idx val="8"/>
          <c:order val="25"/>
          <c:tx>
            <c:v>IT</c:v>
          </c:tx>
          <c:spPr>
            <a:solidFill>
              <a:srgbClr val="92D050"/>
            </a:solidFill>
            <a:ln>
              <a:noFill/>
            </a:ln>
          </c:spPr>
          <c:invertIfNegative val="0"/>
          <c:dLbls>
            <c:dLbl>
              <c:idx val="0"/>
              <c:layout/>
              <c:tx>
                <c:rich>
                  <a:bodyPr/>
                  <a:lstStyle/>
                  <a:p>
                    <a:r>
                      <a:rPr lang="en-US"/>
                      <a:t>0,7%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0.7</c:v>
              </c:pt>
            </c:numLit>
          </c:val>
        </c:ser>
        <c:ser>
          <c:idx val="25"/>
          <c:order val="26"/>
          <c:tx>
            <c:v>IT</c:v>
          </c:tx>
          <c:spPr>
            <a:solidFill>
              <a:srgbClr val="00B0F0"/>
            </a:solidFill>
            <a:ln>
              <a:solidFill>
                <a:schemeClr val="bg1"/>
              </a:solidFill>
            </a:ln>
          </c:spPr>
          <c:invertIfNegative val="0"/>
          <c:dLbls>
            <c:dLbl>
              <c:idx val="0"/>
              <c:layout>
                <c:manualLayout>
                  <c:x val="6.4197527535852887E-3"/>
                  <c:y val="2.2222222222222223E-2"/>
                </c:manualLayout>
              </c:layout>
              <c:tx>
                <c:rich>
                  <a:bodyPr/>
                  <a:lstStyle/>
                  <a:p>
                    <a:r>
                      <a:rPr lang="en-US"/>
                      <a:t>54,7%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54.7</c:v>
              </c:pt>
            </c:numLit>
          </c:val>
        </c:ser>
        <c:ser>
          <c:idx val="24"/>
          <c:order val="27"/>
          <c:tx>
            <c:v>espace</c:v>
          </c:tx>
          <c:spPr>
            <a:noFill/>
          </c:spPr>
          <c:invertIfNegative val="0"/>
          <c:val>
            <c:numLit>
              <c:formatCode>General</c:formatCode>
              <c:ptCount val="1"/>
              <c:pt idx="0">
                <c:v>0</c:v>
              </c:pt>
            </c:numLit>
          </c:val>
        </c:ser>
        <c:ser>
          <c:idx val="26"/>
          <c:order val="28"/>
          <c:tx>
            <c:v>IT</c:v>
          </c:tx>
          <c:spPr>
            <a:solidFill>
              <a:srgbClr val="92D050"/>
            </a:solidFill>
          </c:spPr>
          <c:invertIfNegative val="0"/>
          <c:dLbls>
            <c:dLbl>
              <c:idx val="0"/>
              <c:layout/>
              <c:tx>
                <c:rich>
                  <a:bodyPr/>
                  <a:lstStyle/>
                  <a:p>
                    <a:r>
                      <a:rPr lang="en-US"/>
                      <a:t>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0</c:v>
              </c:pt>
            </c:numLit>
          </c:val>
        </c:ser>
        <c:ser>
          <c:idx val="27"/>
          <c:order val="29"/>
          <c:tx>
            <c:v>IT</c:v>
          </c:tx>
          <c:spPr>
            <a:solidFill>
              <a:srgbClr val="00B0F0"/>
            </a:solidFill>
            <a:ln>
              <a:solidFill>
                <a:schemeClr val="bg1"/>
              </a:solidFill>
            </a:ln>
          </c:spPr>
          <c:invertIfNegative val="0"/>
          <c:dLbls>
            <c:dLbl>
              <c:idx val="0"/>
              <c:layout>
                <c:manualLayout>
                  <c:x val="6.4197527535852887E-3"/>
                  <c:y val="2.2222222222222223E-2"/>
                </c:manualLayout>
              </c:layout>
              <c:tx>
                <c:rich>
                  <a:bodyPr/>
                  <a:lstStyle/>
                  <a:p>
                    <a:r>
                      <a:rPr lang="en-US"/>
                      <a:t>60%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60</c:v>
              </c:pt>
            </c:numLit>
          </c:val>
        </c:ser>
        <c:ser>
          <c:idx val="28"/>
          <c:order val="30"/>
          <c:tx>
            <c:v>espace</c:v>
          </c:tx>
          <c:spPr>
            <a:noFill/>
          </c:spPr>
          <c:invertIfNegative val="0"/>
          <c:val>
            <c:numLit>
              <c:formatCode>General</c:formatCode>
              <c:ptCount val="1"/>
              <c:pt idx="0">
                <c:v>0</c:v>
              </c:pt>
            </c:numLit>
          </c:val>
        </c:ser>
        <c:ser>
          <c:idx val="52"/>
          <c:order val="31"/>
          <c:tx>
            <c:v>espace</c:v>
          </c:tx>
          <c:spPr>
            <a:noFill/>
          </c:spPr>
          <c:invertIfNegative val="0"/>
          <c:val>
            <c:numLit>
              <c:formatCode>General</c:formatCode>
              <c:ptCount val="1"/>
              <c:pt idx="0">
                <c:v>0</c:v>
              </c:pt>
            </c:numLit>
          </c:val>
        </c:ser>
        <c:ser>
          <c:idx val="29"/>
          <c:order val="32"/>
          <c:tx>
            <c:v>espace</c:v>
          </c:tx>
          <c:spPr>
            <a:noFill/>
          </c:spPr>
          <c:invertIfNegative val="0"/>
          <c:val>
            <c:numLit>
              <c:formatCode>General</c:formatCode>
              <c:ptCount val="1"/>
              <c:pt idx="0">
                <c:v>0</c:v>
              </c:pt>
            </c:numLit>
          </c:val>
        </c:ser>
        <c:ser>
          <c:idx val="31"/>
          <c:order val="33"/>
          <c:tx>
            <c:v>NL</c:v>
          </c:tx>
          <c:spPr>
            <a:solidFill>
              <a:srgbClr val="FFFFB3"/>
            </a:solidFill>
          </c:spPr>
          <c:invertIfNegative val="0"/>
          <c:dLbls>
            <c:dLbl>
              <c:idx val="0"/>
              <c:layout>
                <c:manualLayout>
                  <c:x val="-9.6860376402981875E-3"/>
                  <c:y val="1.3200020871184654E-2"/>
                </c:manualLayout>
              </c:layout>
              <c:tx>
                <c:rich>
                  <a:bodyPr/>
                  <a:lstStyle/>
                  <a:p>
                    <a:r>
                      <a:rPr lang="en-US"/>
                      <a:t>0,9%</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0.9</c:v>
              </c:pt>
            </c:numLit>
          </c:val>
        </c:ser>
        <c:ser>
          <c:idx val="32"/>
          <c:order val="34"/>
          <c:tx>
            <c:v>NL</c:v>
          </c:tx>
          <c:spPr>
            <a:solidFill>
              <a:srgbClr val="00B0F0"/>
            </a:solidFill>
            <a:ln>
              <a:solidFill>
                <a:schemeClr val="bg1"/>
              </a:solidFill>
            </a:ln>
          </c:spPr>
          <c:invertIfNegative val="0"/>
          <c:dLbls>
            <c:dLbl>
              <c:idx val="0"/>
              <c:layout>
                <c:manualLayout>
                  <c:x val="0"/>
                  <c:y val="2.2222222222222223E-2"/>
                </c:manualLayout>
              </c:layout>
              <c:tx>
                <c:rich>
                  <a:bodyPr/>
                  <a:lstStyle/>
                  <a:p>
                    <a:r>
                      <a:rPr lang="en-US"/>
                      <a:t>33%</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33</c:v>
              </c:pt>
            </c:numLit>
          </c:val>
        </c:ser>
        <c:ser>
          <c:idx val="33"/>
          <c:order val="35"/>
          <c:tx>
            <c:v>espace</c:v>
          </c:tx>
          <c:spPr>
            <a:noFill/>
          </c:spPr>
          <c:invertIfNegative val="0"/>
          <c:val>
            <c:numLit>
              <c:formatCode>General</c:formatCode>
              <c:ptCount val="1"/>
              <c:pt idx="0">
                <c:v>0</c:v>
              </c:pt>
            </c:numLit>
          </c:val>
        </c:ser>
        <c:ser>
          <c:idx val="35"/>
          <c:order val="36"/>
          <c:tx>
            <c:v>NL</c:v>
          </c:tx>
          <c:spPr>
            <a:solidFill>
              <a:srgbClr val="FFFFB3"/>
            </a:solidFill>
          </c:spPr>
          <c:invertIfNegative val="0"/>
          <c:dLbls>
            <c:dLbl>
              <c:idx val="0"/>
              <c:layout>
                <c:manualLayout>
                  <c:x val="-4.8430188201490938E-3"/>
                  <c:y val="8.8217547314708034E-3"/>
                </c:manualLayout>
              </c:layout>
              <c:tx>
                <c:rich>
                  <a:bodyPr/>
                  <a:lstStyle/>
                  <a:p>
                    <a:r>
                      <a:rPr lang="en-US"/>
                      <a:t>3,4%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3.4</c:v>
              </c:pt>
            </c:numLit>
          </c:val>
        </c:ser>
        <c:ser>
          <c:idx val="36"/>
          <c:order val="37"/>
          <c:tx>
            <c:v>NL</c:v>
          </c:tx>
          <c:spPr>
            <a:solidFill>
              <a:srgbClr val="00B0F0"/>
            </a:solidFill>
            <a:ln>
              <a:solidFill>
                <a:schemeClr val="bg1"/>
              </a:solidFill>
            </a:ln>
          </c:spPr>
          <c:invertIfNegative val="0"/>
          <c:dLbls>
            <c:dLbl>
              <c:idx val="0"/>
              <c:layout/>
              <c:tx>
                <c:rich>
                  <a:bodyPr/>
                  <a:lstStyle/>
                  <a:p>
                    <a:r>
                      <a:rPr lang="en-US"/>
                      <a:t>36,7%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36.700000000000003</c:v>
              </c:pt>
            </c:numLit>
          </c:val>
        </c:ser>
        <c:ser>
          <c:idx val="37"/>
          <c:order val="38"/>
          <c:tx>
            <c:v>espace</c:v>
          </c:tx>
          <c:spPr>
            <a:noFill/>
          </c:spPr>
          <c:invertIfNegative val="0"/>
          <c:val>
            <c:numLit>
              <c:formatCode>General</c:formatCode>
              <c:ptCount val="1"/>
              <c:pt idx="0">
                <c:v>0</c:v>
              </c:pt>
            </c:numLit>
          </c:val>
        </c:ser>
        <c:ser>
          <c:idx val="39"/>
          <c:order val="39"/>
          <c:tx>
            <c:v>NL</c:v>
          </c:tx>
          <c:spPr>
            <a:solidFill>
              <a:srgbClr val="FFFFB3"/>
            </a:solidFill>
          </c:spPr>
          <c:invertIfNegative val="0"/>
          <c:dLbls>
            <c:dLbl>
              <c:idx val="0"/>
              <c:layout>
                <c:manualLayout>
                  <c:x val="-4.8430188201490938E-3"/>
                  <c:y val="4.8348233040155621E-3"/>
                </c:manualLayout>
              </c:layout>
              <c:tx>
                <c:rich>
                  <a:bodyPr/>
                  <a:lstStyle/>
                  <a:p>
                    <a:r>
                      <a:rPr lang="en-US"/>
                      <a:t>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0</c:v>
              </c:pt>
            </c:numLit>
          </c:val>
        </c:ser>
        <c:ser>
          <c:idx val="40"/>
          <c:order val="40"/>
          <c:tx>
            <c:v>NL</c:v>
          </c:tx>
          <c:spPr>
            <a:solidFill>
              <a:srgbClr val="00B0F0"/>
            </a:solidFill>
            <a:ln>
              <a:solidFill>
                <a:schemeClr val="bg1"/>
              </a:solidFill>
            </a:ln>
          </c:spPr>
          <c:invertIfNegative val="0"/>
          <c:dLbls>
            <c:dLbl>
              <c:idx val="0"/>
              <c:layout>
                <c:manualLayout>
                  <c:x val="8.5596703381137177E-3"/>
                  <c:y val="1.6666666666666666E-2"/>
                </c:manualLayout>
              </c:layout>
              <c:tx>
                <c:rich>
                  <a:bodyPr/>
                  <a:lstStyle/>
                  <a:p>
                    <a:r>
                      <a:rPr lang="en-US"/>
                      <a:t>38,5%</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38.5</c:v>
              </c:pt>
            </c:numLit>
          </c:val>
        </c:ser>
        <c:ser>
          <c:idx val="41"/>
          <c:order val="41"/>
          <c:tx>
            <c:v>espace</c:v>
          </c:tx>
          <c:spPr>
            <a:noFill/>
          </c:spPr>
          <c:invertIfNegative val="0"/>
          <c:val>
            <c:numLit>
              <c:formatCode>General</c:formatCode>
              <c:ptCount val="1"/>
              <c:pt idx="0">
                <c:v>0</c:v>
              </c:pt>
            </c:numLit>
          </c:val>
        </c:ser>
        <c:ser>
          <c:idx val="42"/>
          <c:order val="42"/>
          <c:tx>
            <c:v>espace</c:v>
          </c:tx>
          <c:spPr>
            <a:noFill/>
          </c:spPr>
          <c:invertIfNegative val="0"/>
          <c:val>
            <c:numLit>
              <c:formatCode>General</c:formatCode>
              <c:ptCount val="1"/>
              <c:pt idx="0">
                <c:v>0</c:v>
              </c:pt>
            </c:numLit>
          </c:val>
        </c:ser>
        <c:ser>
          <c:idx val="51"/>
          <c:order val="43"/>
          <c:tx>
            <c:v>espace</c:v>
          </c:tx>
          <c:spPr>
            <a:noFill/>
          </c:spPr>
          <c:invertIfNegative val="0"/>
          <c:val>
            <c:numLit>
              <c:formatCode>General</c:formatCode>
              <c:ptCount val="1"/>
              <c:pt idx="0">
                <c:v>0</c:v>
              </c:pt>
            </c:numLit>
          </c:val>
        </c:ser>
        <c:ser>
          <c:idx val="43"/>
          <c:order val="44"/>
          <c:tx>
            <c:v>ES</c:v>
          </c:tx>
          <c:spPr>
            <a:solidFill>
              <a:srgbClr val="F55592"/>
            </a:solidFill>
            <a:ln>
              <a:solidFill>
                <a:schemeClr val="bg1"/>
              </a:solidFill>
            </a:ln>
          </c:spPr>
          <c:invertIfNegative val="0"/>
          <c:dLbls>
            <c:dLbl>
              <c:idx val="0"/>
              <c:layout>
                <c:manualLayout>
                  <c:x val="-1.7194490537857331E-2"/>
                  <c:y val="8.49562554680665E-3"/>
                </c:manualLayout>
              </c:layout>
              <c:tx>
                <c:rich>
                  <a:bodyPr/>
                  <a:lstStyle/>
                  <a:p>
                    <a:r>
                      <a:rPr lang="en-US"/>
                      <a:t>2,9%</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2.9</c:v>
              </c:pt>
            </c:numLit>
          </c:val>
        </c:ser>
        <c:ser>
          <c:idx val="44"/>
          <c:order val="45"/>
          <c:tx>
            <c:v>ES</c:v>
          </c:tx>
          <c:spPr>
            <a:solidFill>
              <a:srgbClr val="00B0F0"/>
            </a:solidFill>
            <a:ln>
              <a:solidFill>
                <a:schemeClr val="bg1"/>
              </a:solidFill>
            </a:ln>
          </c:spPr>
          <c:invertIfNegative val="0"/>
          <c:dLbls>
            <c:dLbl>
              <c:idx val="0"/>
              <c:layout>
                <c:manualLayout>
                  <c:x val="0"/>
                  <c:y val="1.6666666666666666E-2"/>
                </c:manualLayout>
              </c:layout>
              <c:tx>
                <c:rich>
                  <a:bodyPr/>
                  <a:lstStyle/>
                  <a:p>
                    <a:r>
                      <a:rPr lang="en-US"/>
                      <a:t>79,4%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79.400000000000006</c:v>
              </c:pt>
            </c:numLit>
          </c:val>
        </c:ser>
        <c:ser>
          <c:idx val="45"/>
          <c:order val="46"/>
          <c:tx>
            <c:v>espace</c:v>
          </c:tx>
          <c:spPr>
            <a:noFill/>
          </c:spPr>
          <c:invertIfNegative val="0"/>
          <c:val>
            <c:numLit>
              <c:formatCode>General</c:formatCode>
              <c:ptCount val="1"/>
              <c:pt idx="0">
                <c:v>0</c:v>
              </c:pt>
            </c:numLit>
          </c:val>
        </c:ser>
        <c:ser>
          <c:idx val="46"/>
          <c:order val="47"/>
          <c:tx>
            <c:v>ES</c:v>
          </c:tx>
          <c:spPr>
            <a:solidFill>
              <a:srgbClr val="F55592"/>
            </a:solidFill>
            <a:ln>
              <a:solidFill>
                <a:schemeClr val="bg1"/>
              </a:solidFill>
            </a:ln>
          </c:spPr>
          <c:invertIfNegative val="0"/>
          <c:dLbls>
            <c:dLbl>
              <c:idx val="0"/>
              <c:layout>
                <c:manualLayout>
                  <c:x val="-9.6860376402981875E-3"/>
                  <c:y val="8.4956424712552946E-3"/>
                </c:manualLayout>
              </c:layout>
              <c:tx>
                <c:rich>
                  <a:bodyPr/>
                  <a:lstStyle/>
                  <a:p>
                    <a:r>
                      <a:rPr lang="en-US"/>
                      <a:t>2,9%</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2.9</c:v>
              </c:pt>
            </c:numLit>
          </c:val>
        </c:ser>
        <c:ser>
          <c:idx val="47"/>
          <c:order val="48"/>
          <c:tx>
            <c:v>ES</c:v>
          </c:tx>
          <c:spPr>
            <a:solidFill>
              <a:srgbClr val="00B0F0"/>
            </a:solidFill>
            <a:ln>
              <a:solidFill>
                <a:schemeClr val="bg1"/>
              </a:solidFill>
            </a:ln>
          </c:spPr>
          <c:invertIfNegative val="0"/>
          <c:dLbls>
            <c:dLbl>
              <c:idx val="0"/>
              <c:layout>
                <c:manualLayout>
                  <c:x val="0"/>
                  <c:y val="1.6666666666666666E-2"/>
                </c:manualLayout>
              </c:layout>
              <c:tx>
                <c:rich>
                  <a:bodyPr/>
                  <a:lstStyle/>
                  <a:p>
                    <a:r>
                      <a:rPr lang="en-US"/>
                      <a:t>58,8%</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58.8</c:v>
              </c:pt>
            </c:numLit>
          </c:val>
        </c:ser>
        <c:ser>
          <c:idx val="48"/>
          <c:order val="49"/>
          <c:tx>
            <c:v>espace</c:v>
          </c:tx>
          <c:spPr>
            <a:noFill/>
          </c:spPr>
          <c:invertIfNegative val="0"/>
          <c:val>
            <c:numLit>
              <c:formatCode>General</c:formatCode>
              <c:ptCount val="1"/>
              <c:pt idx="0">
                <c:v>0</c:v>
              </c:pt>
            </c:numLit>
          </c:val>
        </c:ser>
        <c:ser>
          <c:idx val="49"/>
          <c:order val="50"/>
          <c:tx>
            <c:v>ES</c:v>
          </c:tx>
          <c:spPr>
            <a:solidFill>
              <a:srgbClr val="F55592"/>
            </a:solidFill>
          </c:spPr>
          <c:invertIfNegative val="0"/>
          <c:dLbls>
            <c:dLbl>
              <c:idx val="0"/>
              <c:layout>
                <c:manualLayout>
                  <c:x val="-8.0716980335818235E-3"/>
                  <c:y val="8.4956424712552946E-3"/>
                </c:manualLayout>
              </c:layout>
              <c:tx>
                <c:rich>
                  <a:bodyPr/>
                  <a:lstStyle/>
                  <a:p>
                    <a:r>
                      <a:rPr lang="en-US"/>
                      <a:t>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0</c:v>
              </c:pt>
            </c:numLit>
          </c:val>
        </c:ser>
        <c:ser>
          <c:idx val="50"/>
          <c:order val="51"/>
          <c:tx>
            <c:v>ES</c:v>
          </c:tx>
          <c:spPr>
            <a:solidFill>
              <a:srgbClr val="00B0F0"/>
            </a:solidFill>
            <a:ln>
              <a:solidFill>
                <a:schemeClr val="bg1"/>
              </a:solidFill>
            </a:ln>
          </c:spPr>
          <c:invertIfNegative val="0"/>
          <c:dLbls>
            <c:dLbl>
              <c:idx val="0"/>
              <c:layout>
                <c:manualLayout>
                  <c:x val="6.4197527535852887E-3"/>
                  <c:y val="1.6666666666666691E-2"/>
                </c:manualLayout>
              </c:layout>
              <c:tx>
                <c:rich>
                  <a:bodyPr/>
                  <a:lstStyle/>
                  <a:p>
                    <a:r>
                      <a:rPr lang="en-US"/>
                      <a:t>83,3%</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83.3</c:v>
              </c:pt>
            </c:numLit>
          </c:val>
        </c:ser>
        <c:dLbls>
          <c:showLegendKey val="0"/>
          <c:showVal val="0"/>
          <c:showCatName val="0"/>
          <c:showSerName val="0"/>
          <c:showPercent val="0"/>
          <c:showBubbleSize val="0"/>
        </c:dLbls>
        <c:gapWidth val="150"/>
        <c:shape val="box"/>
        <c:axId val="68424832"/>
        <c:axId val="68426368"/>
        <c:axId val="0"/>
      </c:bar3DChart>
      <c:catAx>
        <c:axId val="68424832"/>
        <c:scaling>
          <c:orientation val="minMax"/>
        </c:scaling>
        <c:delete val="1"/>
        <c:axPos val="b"/>
        <c:numFmt formatCode="General" sourceLinked="1"/>
        <c:majorTickMark val="out"/>
        <c:minorTickMark val="none"/>
        <c:tickLblPos val="nextTo"/>
        <c:crossAx val="68426368"/>
        <c:crosses val="autoZero"/>
        <c:auto val="1"/>
        <c:lblAlgn val="ctr"/>
        <c:lblOffset val="100"/>
        <c:noMultiLvlLbl val="0"/>
      </c:catAx>
      <c:valAx>
        <c:axId val="68426368"/>
        <c:scaling>
          <c:orientation val="minMax"/>
          <c:max val="100"/>
        </c:scaling>
        <c:delete val="0"/>
        <c:axPos val="l"/>
        <c:majorGridlines>
          <c:spPr>
            <a:ln>
              <a:noFill/>
            </a:ln>
          </c:spPr>
        </c:majorGridlines>
        <c:numFmt formatCode="General" sourceLinked="0"/>
        <c:majorTickMark val="out"/>
        <c:minorTickMark val="none"/>
        <c:tickLblPos val="nextTo"/>
        <c:crossAx val="68424832"/>
        <c:crosses val="autoZero"/>
        <c:crossBetween val="between"/>
      </c:valAx>
    </c:plotArea>
    <c:plotVisOnly val="1"/>
    <c:dispBlanksAs val="gap"/>
    <c:showDLblsOverMax val="0"/>
  </c:chart>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90"/>
      <c:rAngAx val="0"/>
      <c:perspective val="30"/>
    </c:view3D>
    <c:floor>
      <c:thickness val="0"/>
      <c:spPr>
        <a:noFill/>
      </c:spPr>
    </c:floor>
    <c:sideWall>
      <c:thickness val="0"/>
    </c:sideWall>
    <c:backWall>
      <c:thickness val="0"/>
    </c:backWall>
    <c:plotArea>
      <c:layout>
        <c:manualLayout>
          <c:layoutTarget val="inner"/>
          <c:xMode val="edge"/>
          <c:yMode val="edge"/>
          <c:x val="4.20602674361105E-2"/>
          <c:y val="0.30031167077177473"/>
          <c:w val="0.95439235518125598"/>
          <c:h val="0.51828771540995533"/>
        </c:manualLayout>
      </c:layout>
      <c:bar3DChart>
        <c:barDir val="col"/>
        <c:grouping val="clustered"/>
        <c:varyColors val="0"/>
        <c:ser>
          <c:idx val="12"/>
          <c:order val="0"/>
          <c:tx>
            <c:v>GB</c:v>
          </c:tx>
          <c:spPr>
            <a:solidFill>
              <a:srgbClr val="00B0F0"/>
            </a:solidFill>
            <a:ln>
              <a:solidFill>
                <a:schemeClr val="bg1"/>
              </a:solidFill>
            </a:ln>
          </c:spPr>
          <c:invertIfNegative val="0"/>
          <c:dLbls>
            <c:dLbl>
              <c:idx val="0"/>
              <c:layout>
                <c:manualLayout>
                  <c:x val="1.2834224598930482E-2"/>
                  <c:y val="5.4945054945054949E-3"/>
                </c:manualLayout>
              </c:layout>
              <c:tx>
                <c:rich>
                  <a:bodyPr/>
                  <a:lstStyle/>
                  <a:p>
                    <a:r>
                      <a:rPr lang="en-US"/>
                      <a:t>86,4%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86.4</c:v>
              </c:pt>
            </c:numLit>
          </c:val>
        </c:ser>
        <c:ser>
          <c:idx val="13"/>
          <c:order val="1"/>
          <c:tx>
            <c:v>espace</c:v>
          </c:tx>
          <c:spPr>
            <a:noFill/>
          </c:spPr>
          <c:invertIfNegative val="0"/>
          <c:val>
            <c:numLit>
              <c:formatCode>General</c:formatCode>
              <c:ptCount val="1"/>
              <c:pt idx="0">
                <c:v>0</c:v>
              </c:pt>
            </c:numLit>
          </c:val>
        </c:ser>
        <c:ser>
          <c:idx val="2"/>
          <c:order val="2"/>
          <c:tx>
            <c:v>GB</c:v>
          </c:tx>
          <c:spPr>
            <a:solidFill>
              <a:srgbClr val="00B0F0"/>
            </a:solidFill>
            <a:ln>
              <a:solidFill>
                <a:schemeClr val="bg1"/>
              </a:solidFill>
            </a:ln>
          </c:spPr>
          <c:invertIfNegative val="0"/>
          <c:dPt>
            <c:idx val="0"/>
            <c:invertIfNegative val="0"/>
            <c:bubble3D val="0"/>
          </c:dPt>
          <c:dLbls>
            <c:dLbl>
              <c:idx val="0"/>
              <c:layout>
                <c:manualLayout>
                  <c:x val="1.0689470871191877E-2"/>
                  <c:y val="0"/>
                </c:manualLayout>
              </c:layout>
              <c:tx>
                <c:rich>
                  <a:bodyPr/>
                  <a:lstStyle/>
                  <a:p>
                    <a:r>
                      <a:rPr lang="en-US"/>
                      <a:t>60,4%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60.4</c:v>
              </c:pt>
            </c:numLit>
          </c:val>
        </c:ser>
        <c:ser>
          <c:idx val="14"/>
          <c:order val="3"/>
          <c:tx>
            <c:v>espace</c:v>
          </c:tx>
          <c:spPr>
            <a:noFill/>
          </c:spPr>
          <c:invertIfNegative val="0"/>
          <c:val>
            <c:numLit>
              <c:formatCode>General</c:formatCode>
              <c:ptCount val="1"/>
              <c:pt idx="0">
                <c:v>0</c:v>
              </c:pt>
            </c:numLit>
          </c:val>
        </c:ser>
        <c:ser>
          <c:idx val="10"/>
          <c:order val="4"/>
          <c:tx>
            <c:v>GB</c:v>
          </c:tx>
          <c:spPr>
            <a:solidFill>
              <a:srgbClr val="00B0F0"/>
            </a:solidFill>
            <a:ln>
              <a:solidFill>
                <a:schemeClr val="bg1"/>
              </a:solidFill>
            </a:ln>
          </c:spPr>
          <c:invertIfNegative val="0"/>
          <c:dLbls>
            <c:dLbl>
              <c:idx val="0"/>
              <c:layout>
                <c:manualLayout>
                  <c:x val="6.4171122994652408E-3"/>
                  <c:y val="5.4945054945054949E-3"/>
                </c:manualLayout>
              </c:layout>
              <c:tx>
                <c:rich>
                  <a:bodyPr/>
                  <a:lstStyle/>
                  <a:p>
                    <a:r>
                      <a:rPr lang="en-US"/>
                      <a:t>46,2%</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46.2</c:v>
              </c:pt>
            </c:numLit>
          </c:val>
        </c:ser>
        <c:ser>
          <c:idx val="1"/>
          <c:order val="5"/>
          <c:tx>
            <c:v>espace</c:v>
          </c:tx>
          <c:spPr>
            <a:noFill/>
            <a:ln>
              <a:noFill/>
            </a:ln>
          </c:spPr>
          <c:invertIfNegative val="0"/>
          <c:val>
            <c:numLit>
              <c:formatCode>General</c:formatCode>
              <c:ptCount val="1"/>
              <c:pt idx="0">
                <c:v>1</c:v>
              </c:pt>
            </c:numLit>
          </c:val>
        </c:ser>
        <c:ser>
          <c:idx val="22"/>
          <c:order val="6"/>
          <c:tx>
            <c:v>espace</c:v>
          </c:tx>
          <c:spPr>
            <a:noFill/>
          </c:spPr>
          <c:invertIfNegative val="0"/>
          <c:val>
            <c:numLit>
              <c:formatCode>General</c:formatCode>
              <c:ptCount val="1"/>
              <c:pt idx="0">
                <c:v>0</c:v>
              </c:pt>
            </c:numLit>
          </c:val>
        </c:ser>
        <c:ser>
          <c:idx val="54"/>
          <c:order val="7"/>
          <c:tx>
            <c:v>espace</c:v>
          </c:tx>
          <c:spPr>
            <a:noFill/>
          </c:spPr>
          <c:invertIfNegative val="0"/>
          <c:val>
            <c:numLit>
              <c:formatCode>General</c:formatCode>
              <c:ptCount val="1"/>
              <c:pt idx="0">
                <c:v>0</c:v>
              </c:pt>
            </c:numLit>
          </c:val>
        </c:ser>
        <c:ser>
          <c:idx val="15"/>
          <c:order val="8"/>
          <c:tx>
            <c:v>SE</c:v>
          </c:tx>
          <c:spPr>
            <a:solidFill>
              <a:srgbClr val="00B0F0"/>
            </a:solidFill>
            <a:ln>
              <a:solidFill>
                <a:schemeClr val="bg1"/>
              </a:solidFill>
            </a:ln>
          </c:spPr>
          <c:invertIfNegative val="0"/>
          <c:dLbls>
            <c:dLbl>
              <c:idx val="0"/>
              <c:layout/>
              <c:tx>
                <c:rich>
                  <a:bodyPr/>
                  <a:lstStyle/>
                  <a:p>
                    <a:r>
                      <a:rPr lang="en-US"/>
                      <a:t>60,5%</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60.5</c:v>
              </c:pt>
            </c:numLit>
          </c:val>
        </c:ser>
        <c:ser>
          <c:idx val="20"/>
          <c:order val="9"/>
          <c:tx>
            <c:v>espace</c:v>
          </c:tx>
          <c:spPr>
            <a:noFill/>
          </c:spPr>
          <c:invertIfNegative val="0"/>
          <c:val>
            <c:numLit>
              <c:formatCode>General</c:formatCode>
              <c:ptCount val="1"/>
              <c:pt idx="0">
                <c:v>0</c:v>
              </c:pt>
            </c:numLit>
          </c:val>
        </c:ser>
        <c:ser>
          <c:idx val="3"/>
          <c:order val="10"/>
          <c:tx>
            <c:v>SE</c:v>
          </c:tx>
          <c:spPr>
            <a:solidFill>
              <a:srgbClr val="00B0F0"/>
            </a:solidFill>
            <a:ln>
              <a:solidFill>
                <a:schemeClr val="bg1"/>
              </a:solidFill>
            </a:ln>
          </c:spPr>
          <c:invertIfNegative val="0"/>
          <c:dLbls>
            <c:dLbl>
              <c:idx val="0"/>
              <c:layout>
                <c:manualLayout>
                  <c:x val="0"/>
                  <c:y val="5.4945054945054949E-3"/>
                </c:manualLayout>
              </c:layout>
              <c:tx>
                <c:rich>
                  <a:bodyPr/>
                  <a:lstStyle/>
                  <a:p>
                    <a:r>
                      <a:rPr lang="en-US"/>
                      <a:t>50,5%</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50.5</c:v>
              </c:pt>
            </c:numLit>
          </c:val>
        </c:ser>
        <c:ser>
          <c:idx val="17"/>
          <c:order val="11"/>
          <c:tx>
            <c:v>espace</c:v>
          </c:tx>
          <c:spPr>
            <a:noFill/>
          </c:spPr>
          <c:invertIfNegative val="0"/>
          <c:val>
            <c:numLit>
              <c:formatCode>General</c:formatCode>
              <c:ptCount val="1"/>
              <c:pt idx="0">
                <c:v>0</c:v>
              </c:pt>
            </c:numLit>
          </c:val>
        </c:ser>
        <c:ser>
          <c:idx val="18"/>
          <c:order val="12"/>
          <c:tx>
            <c:v>SE</c:v>
          </c:tx>
          <c:spPr>
            <a:solidFill>
              <a:srgbClr val="00B0F0"/>
            </a:solidFill>
            <a:ln>
              <a:solidFill>
                <a:schemeClr val="bg1"/>
              </a:solidFill>
            </a:ln>
          </c:spPr>
          <c:invertIfNegative val="0"/>
          <c:dLbls>
            <c:dLbl>
              <c:idx val="0"/>
              <c:layout/>
              <c:tx>
                <c:rich>
                  <a:bodyPr/>
                  <a:lstStyle/>
                  <a:p>
                    <a:r>
                      <a:rPr lang="en-US"/>
                      <a:t>69,2%</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69.2</c:v>
              </c:pt>
            </c:numLit>
          </c:val>
        </c:ser>
        <c:ser>
          <c:idx val="21"/>
          <c:order val="13"/>
          <c:tx>
            <c:v>espace</c:v>
          </c:tx>
          <c:spPr>
            <a:noFill/>
          </c:spPr>
          <c:invertIfNegative val="0"/>
          <c:val>
            <c:numLit>
              <c:formatCode>General</c:formatCode>
              <c:ptCount val="1"/>
              <c:pt idx="0">
                <c:v>0</c:v>
              </c:pt>
            </c:numLit>
          </c:val>
        </c:ser>
        <c:ser>
          <c:idx val="4"/>
          <c:order val="14"/>
          <c:tx>
            <c:v>espace</c:v>
          </c:tx>
          <c:spPr>
            <a:noFill/>
          </c:spPr>
          <c:invertIfNegative val="0"/>
          <c:val>
            <c:numLit>
              <c:formatCode>General</c:formatCode>
              <c:ptCount val="1"/>
              <c:pt idx="0">
                <c:v>1</c:v>
              </c:pt>
            </c:numLit>
          </c:val>
        </c:ser>
        <c:ser>
          <c:idx val="53"/>
          <c:order val="15"/>
          <c:tx>
            <c:v>espace</c:v>
          </c:tx>
          <c:spPr>
            <a:noFill/>
          </c:spPr>
          <c:invertIfNegative val="0"/>
          <c:val>
            <c:numLit>
              <c:formatCode>General</c:formatCode>
              <c:ptCount val="1"/>
              <c:pt idx="0">
                <c:v>0</c:v>
              </c:pt>
            </c:numLit>
          </c:val>
        </c:ser>
        <c:ser>
          <c:idx val="23"/>
          <c:order val="16"/>
          <c:tx>
            <c:v>AT</c:v>
          </c:tx>
          <c:spPr>
            <a:solidFill>
              <a:srgbClr val="00B0F0"/>
            </a:solidFill>
            <a:ln>
              <a:solidFill>
                <a:schemeClr val="bg1"/>
              </a:solidFill>
            </a:ln>
          </c:spPr>
          <c:invertIfNegative val="0"/>
          <c:dLbls>
            <c:dLbl>
              <c:idx val="0"/>
              <c:layout/>
              <c:tx>
                <c:rich>
                  <a:bodyPr/>
                  <a:lstStyle/>
                  <a:p>
                    <a:r>
                      <a:rPr lang="en-US"/>
                      <a:t>68,6%</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68.599999999999994</c:v>
              </c:pt>
            </c:numLit>
          </c:val>
        </c:ser>
        <c:ser>
          <c:idx val="7"/>
          <c:order val="17"/>
          <c:tx>
            <c:v>espace</c:v>
          </c:tx>
          <c:spPr>
            <a:noFill/>
          </c:spPr>
          <c:invertIfNegative val="0"/>
          <c:val>
            <c:numLit>
              <c:formatCode>General</c:formatCode>
              <c:ptCount val="1"/>
              <c:pt idx="0">
                <c:v>1</c:v>
              </c:pt>
            </c:numLit>
          </c:val>
        </c:ser>
        <c:ser>
          <c:idx val="8"/>
          <c:order val="18"/>
          <c:tx>
            <c:v>AT</c:v>
          </c:tx>
          <c:spPr>
            <a:solidFill>
              <a:srgbClr val="00B0F0"/>
            </a:solidFill>
            <a:ln>
              <a:solidFill>
                <a:schemeClr val="bg1"/>
              </a:solidFill>
            </a:ln>
          </c:spPr>
          <c:invertIfNegative val="0"/>
          <c:dLbls>
            <c:dLbl>
              <c:idx val="0"/>
              <c:layout>
                <c:manualLayout>
                  <c:x val="0"/>
                  <c:y val="1.098901098901099E-2"/>
                </c:manualLayout>
              </c:layout>
              <c:tx>
                <c:rich>
                  <a:bodyPr/>
                  <a:lstStyle/>
                  <a:p>
                    <a:r>
                      <a:rPr lang="en-US"/>
                      <a:t>59,5%</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59.5</c:v>
              </c:pt>
            </c:numLit>
          </c:val>
        </c:ser>
        <c:ser>
          <c:idx val="24"/>
          <c:order val="19"/>
          <c:tx>
            <c:v>espace</c:v>
          </c:tx>
          <c:spPr>
            <a:noFill/>
          </c:spPr>
          <c:invertIfNegative val="0"/>
          <c:val>
            <c:numLit>
              <c:formatCode>General</c:formatCode>
              <c:ptCount val="1"/>
              <c:pt idx="0">
                <c:v>0</c:v>
              </c:pt>
            </c:numLit>
          </c:val>
        </c:ser>
        <c:ser>
          <c:idx val="26"/>
          <c:order val="20"/>
          <c:tx>
            <c:v>AT</c:v>
          </c:tx>
          <c:spPr>
            <a:solidFill>
              <a:srgbClr val="00B0F0"/>
            </a:solidFill>
            <a:ln>
              <a:solidFill>
                <a:schemeClr val="bg1"/>
              </a:solidFill>
            </a:ln>
          </c:spPr>
          <c:invertIfNegative val="0"/>
          <c:dLbls>
            <c:dLbl>
              <c:idx val="0"/>
              <c:layout/>
              <c:tx>
                <c:rich>
                  <a:bodyPr/>
                  <a:lstStyle/>
                  <a:p>
                    <a:r>
                      <a:rPr lang="en-US"/>
                      <a:t>75%</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75</c:v>
              </c:pt>
            </c:numLit>
          </c:val>
        </c:ser>
        <c:ser>
          <c:idx val="28"/>
          <c:order val="21"/>
          <c:tx>
            <c:v>espace</c:v>
          </c:tx>
          <c:spPr>
            <a:noFill/>
          </c:spPr>
          <c:invertIfNegative val="0"/>
          <c:val>
            <c:numLit>
              <c:formatCode>General</c:formatCode>
              <c:ptCount val="1"/>
              <c:pt idx="0">
                <c:v>0</c:v>
              </c:pt>
            </c:numLit>
          </c:val>
        </c:ser>
        <c:ser>
          <c:idx val="52"/>
          <c:order val="22"/>
          <c:tx>
            <c:v>espace</c:v>
          </c:tx>
          <c:spPr>
            <a:noFill/>
          </c:spPr>
          <c:invertIfNegative val="0"/>
          <c:val>
            <c:numLit>
              <c:formatCode>General</c:formatCode>
              <c:ptCount val="1"/>
              <c:pt idx="0">
                <c:v>0</c:v>
              </c:pt>
            </c:numLit>
          </c:val>
        </c:ser>
        <c:ser>
          <c:idx val="29"/>
          <c:order val="23"/>
          <c:tx>
            <c:v>espace</c:v>
          </c:tx>
          <c:spPr>
            <a:noFill/>
          </c:spPr>
          <c:invertIfNegative val="0"/>
          <c:val>
            <c:numLit>
              <c:formatCode>General</c:formatCode>
              <c:ptCount val="1"/>
              <c:pt idx="0">
                <c:v>0</c:v>
              </c:pt>
            </c:numLit>
          </c:val>
        </c:ser>
        <c:ser>
          <c:idx val="30"/>
          <c:order val="24"/>
          <c:tx>
            <c:v>CZ</c:v>
          </c:tx>
          <c:spPr>
            <a:solidFill>
              <a:srgbClr val="00B0F0"/>
            </a:solidFill>
          </c:spPr>
          <c:invertIfNegative val="0"/>
          <c:dLbls>
            <c:dLbl>
              <c:idx val="0"/>
              <c:layout/>
              <c:tx>
                <c:rich>
                  <a:bodyPr/>
                  <a:lstStyle/>
                  <a:p>
                    <a:r>
                      <a:rPr lang="en-US"/>
                      <a:t>66,7%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66.7</c:v>
              </c:pt>
            </c:numLit>
          </c:val>
        </c:ser>
        <c:ser>
          <c:idx val="33"/>
          <c:order val="25"/>
          <c:tx>
            <c:v>espace</c:v>
          </c:tx>
          <c:spPr>
            <a:noFill/>
          </c:spPr>
          <c:invertIfNegative val="0"/>
          <c:val>
            <c:numLit>
              <c:formatCode>General</c:formatCode>
              <c:ptCount val="1"/>
              <c:pt idx="0">
                <c:v>0</c:v>
              </c:pt>
            </c:numLit>
          </c:val>
        </c:ser>
        <c:ser>
          <c:idx val="36"/>
          <c:order val="26"/>
          <c:tx>
            <c:v>CZ</c:v>
          </c:tx>
          <c:spPr>
            <a:solidFill>
              <a:srgbClr val="00B0F0"/>
            </a:solidFill>
            <a:ln>
              <a:solidFill>
                <a:schemeClr val="bg1"/>
              </a:solidFill>
            </a:ln>
          </c:spPr>
          <c:invertIfNegative val="0"/>
          <c:dLbls>
            <c:dLbl>
              <c:idx val="0"/>
              <c:layout>
                <c:manualLayout>
                  <c:x val="-7.8430466513577708E-17"/>
                  <c:y val="1.6483516483516533E-2"/>
                </c:manualLayout>
              </c:layout>
              <c:tx>
                <c:rich>
                  <a:bodyPr/>
                  <a:lstStyle/>
                  <a:p>
                    <a:r>
                      <a:rPr lang="en-US"/>
                      <a:t>61,1%</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61.1</c:v>
              </c:pt>
            </c:numLit>
          </c:val>
        </c:ser>
        <c:ser>
          <c:idx val="37"/>
          <c:order val="27"/>
          <c:tx>
            <c:v>espace</c:v>
          </c:tx>
          <c:spPr>
            <a:noFill/>
          </c:spPr>
          <c:invertIfNegative val="0"/>
          <c:val>
            <c:numLit>
              <c:formatCode>General</c:formatCode>
              <c:ptCount val="1"/>
              <c:pt idx="0">
                <c:v>0</c:v>
              </c:pt>
            </c:numLit>
          </c:val>
        </c:ser>
        <c:ser>
          <c:idx val="40"/>
          <c:order val="28"/>
          <c:tx>
            <c:v>CZ</c:v>
          </c:tx>
          <c:spPr>
            <a:solidFill>
              <a:srgbClr val="00B0F0"/>
            </a:solidFill>
            <a:ln>
              <a:solidFill>
                <a:schemeClr val="bg1"/>
              </a:solidFill>
            </a:ln>
          </c:spPr>
          <c:invertIfNegative val="0"/>
          <c:dLbls>
            <c:dLbl>
              <c:idx val="0"/>
              <c:layout>
                <c:manualLayout>
                  <c:x val="2.1390374331550803E-3"/>
                  <c:y val="1.6483083845288571E-2"/>
                </c:manualLayout>
              </c:layout>
              <c:tx>
                <c:rich>
                  <a:bodyPr/>
                  <a:lstStyle/>
                  <a:p>
                    <a:r>
                      <a:rPr lang="en-US"/>
                      <a:t>100%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100</c:v>
              </c:pt>
            </c:numLit>
          </c:val>
        </c:ser>
        <c:ser>
          <c:idx val="41"/>
          <c:order val="29"/>
          <c:tx>
            <c:v>espace</c:v>
          </c:tx>
          <c:spPr>
            <a:noFill/>
          </c:spPr>
          <c:invertIfNegative val="0"/>
          <c:val>
            <c:numLit>
              <c:formatCode>General</c:formatCode>
              <c:ptCount val="1"/>
              <c:pt idx="0">
                <c:v>0</c:v>
              </c:pt>
            </c:numLit>
          </c:val>
        </c:ser>
        <c:ser>
          <c:idx val="42"/>
          <c:order val="30"/>
          <c:tx>
            <c:v>espace</c:v>
          </c:tx>
          <c:spPr>
            <a:noFill/>
          </c:spPr>
          <c:invertIfNegative val="0"/>
          <c:val>
            <c:numLit>
              <c:formatCode>General</c:formatCode>
              <c:ptCount val="1"/>
              <c:pt idx="0">
                <c:v>0</c:v>
              </c:pt>
            </c:numLit>
          </c:val>
        </c:ser>
        <c:ser>
          <c:idx val="51"/>
          <c:order val="31"/>
          <c:tx>
            <c:v>espace</c:v>
          </c:tx>
          <c:spPr>
            <a:noFill/>
          </c:spPr>
          <c:invertIfNegative val="0"/>
          <c:val>
            <c:numLit>
              <c:formatCode>General</c:formatCode>
              <c:ptCount val="1"/>
              <c:pt idx="0">
                <c:v>0</c:v>
              </c:pt>
            </c:numLit>
          </c:val>
        </c:ser>
        <c:ser>
          <c:idx val="43"/>
          <c:order val="32"/>
          <c:tx>
            <c:v>PT</c:v>
          </c:tx>
          <c:spPr>
            <a:solidFill>
              <a:srgbClr val="00B0F0"/>
            </a:solidFill>
            <a:ln>
              <a:solidFill>
                <a:schemeClr val="bg1"/>
              </a:solidFill>
            </a:ln>
          </c:spPr>
          <c:invertIfNegative val="0"/>
          <c:dLbls>
            <c:dLbl>
              <c:idx val="0"/>
              <c:layout>
                <c:manualLayout>
                  <c:x val="-4.8219293443934478E-3"/>
                  <c:y val="1.6483516483516484E-2"/>
                </c:manualLayout>
              </c:layout>
              <c:tx>
                <c:rich>
                  <a:bodyPr/>
                  <a:lstStyle/>
                  <a:p>
                    <a:r>
                      <a:rPr lang="en-US"/>
                      <a:t>90%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90</c:v>
              </c:pt>
            </c:numLit>
          </c:val>
        </c:ser>
        <c:ser>
          <c:idx val="45"/>
          <c:order val="33"/>
          <c:tx>
            <c:v>espace</c:v>
          </c:tx>
          <c:spPr>
            <a:noFill/>
          </c:spPr>
          <c:invertIfNegative val="0"/>
          <c:val>
            <c:numLit>
              <c:formatCode>General</c:formatCode>
              <c:ptCount val="1"/>
              <c:pt idx="0">
                <c:v>0</c:v>
              </c:pt>
            </c:numLit>
          </c:val>
        </c:ser>
        <c:ser>
          <c:idx val="47"/>
          <c:order val="34"/>
          <c:tx>
            <c:v>PT</c:v>
          </c:tx>
          <c:spPr>
            <a:solidFill>
              <a:srgbClr val="00B0F0"/>
            </a:solidFill>
            <a:ln>
              <a:solidFill>
                <a:schemeClr val="bg1"/>
              </a:solidFill>
            </a:ln>
          </c:spPr>
          <c:invertIfNegative val="0"/>
          <c:dLbls>
            <c:dLbl>
              <c:idx val="0"/>
              <c:layout>
                <c:manualLayout>
                  <c:x val="0"/>
                  <c:y val="1.6483516483516484E-2"/>
                </c:manualLayout>
              </c:layout>
              <c:tx>
                <c:rich>
                  <a:bodyPr/>
                  <a:lstStyle/>
                  <a:p>
                    <a:r>
                      <a:rPr lang="en-US"/>
                      <a:t>100%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100</c:v>
              </c:pt>
            </c:numLit>
          </c:val>
        </c:ser>
        <c:ser>
          <c:idx val="48"/>
          <c:order val="35"/>
          <c:tx>
            <c:v>espace</c:v>
          </c:tx>
          <c:spPr>
            <a:noFill/>
          </c:spPr>
          <c:invertIfNegative val="0"/>
          <c:val>
            <c:numLit>
              <c:formatCode>General</c:formatCode>
              <c:ptCount val="1"/>
              <c:pt idx="0">
                <c:v>0</c:v>
              </c:pt>
            </c:numLit>
          </c:val>
        </c:ser>
        <c:ser>
          <c:idx val="50"/>
          <c:order val="36"/>
          <c:tx>
            <c:v>PT</c:v>
          </c:tx>
          <c:spPr>
            <a:solidFill>
              <a:srgbClr val="00B0F0"/>
            </a:solidFill>
            <a:ln>
              <a:solidFill>
                <a:schemeClr val="bg1"/>
              </a:solidFill>
            </a:ln>
          </c:spPr>
          <c:invertIfNegative val="0"/>
          <c:dLbls>
            <c:dLbl>
              <c:idx val="0"/>
              <c:layout>
                <c:manualLayout>
                  <c:x val="0"/>
                  <c:y val="1.6483516483516484E-2"/>
                </c:manualLayout>
              </c:layout>
              <c:tx>
                <c:rich>
                  <a:bodyPr/>
                  <a:lstStyle/>
                  <a:p>
                    <a:r>
                      <a:rPr lang="en-US"/>
                      <a:t>100%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100</c:v>
              </c:pt>
            </c:numLit>
          </c:val>
        </c:ser>
        <c:dLbls>
          <c:showLegendKey val="0"/>
          <c:showVal val="0"/>
          <c:showCatName val="0"/>
          <c:showSerName val="0"/>
          <c:showPercent val="0"/>
          <c:showBubbleSize val="0"/>
        </c:dLbls>
        <c:gapWidth val="150"/>
        <c:shape val="box"/>
        <c:axId val="68516864"/>
        <c:axId val="68530944"/>
        <c:axId val="0"/>
      </c:bar3DChart>
      <c:catAx>
        <c:axId val="68516864"/>
        <c:scaling>
          <c:orientation val="minMax"/>
        </c:scaling>
        <c:delete val="1"/>
        <c:axPos val="b"/>
        <c:numFmt formatCode="General" sourceLinked="1"/>
        <c:majorTickMark val="out"/>
        <c:minorTickMark val="none"/>
        <c:tickLblPos val="nextTo"/>
        <c:crossAx val="68530944"/>
        <c:crosses val="autoZero"/>
        <c:auto val="1"/>
        <c:lblAlgn val="ctr"/>
        <c:lblOffset val="100"/>
        <c:noMultiLvlLbl val="0"/>
      </c:catAx>
      <c:valAx>
        <c:axId val="68530944"/>
        <c:scaling>
          <c:orientation val="minMax"/>
          <c:max val="100"/>
        </c:scaling>
        <c:delete val="0"/>
        <c:axPos val="l"/>
        <c:majorGridlines>
          <c:spPr>
            <a:ln>
              <a:noFill/>
            </a:ln>
          </c:spPr>
        </c:majorGridlines>
        <c:numFmt formatCode="General" sourceLinked="0"/>
        <c:majorTickMark val="out"/>
        <c:minorTickMark val="none"/>
        <c:tickLblPos val="nextTo"/>
        <c:crossAx val="68516864"/>
        <c:crosses val="autoZero"/>
        <c:crossBetween val="between"/>
      </c:valAx>
    </c:plotArea>
    <c:plotVisOnly val="1"/>
    <c:dispBlanksAs val="gap"/>
    <c:showDLblsOverMax val="0"/>
  </c:chart>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90"/>
      <c:rAngAx val="0"/>
      <c:perspective val="30"/>
    </c:view3D>
    <c:floor>
      <c:thickness val="0"/>
    </c:floor>
    <c:sideWall>
      <c:thickness val="0"/>
    </c:sideWall>
    <c:backWall>
      <c:thickness val="0"/>
    </c:backWall>
    <c:plotArea>
      <c:layout>
        <c:manualLayout>
          <c:layoutTarget val="inner"/>
          <c:xMode val="edge"/>
          <c:yMode val="edge"/>
          <c:x val="0.13568505895715735"/>
          <c:y val="0.25283690619967791"/>
          <c:w val="0.70627066218134593"/>
          <c:h val="0.65967719722010343"/>
        </c:manualLayout>
      </c:layout>
      <c:bar3DChart>
        <c:barDir val="col"/>
        <c:grouping val="clustered"/>
        <c:varyColors val="0"/>
        <c:ser>
          <c:idx val="8"/>
          <c:order val="0"/>
          <c:tx>
            <c:v>JP</c:v>
          </c:tx>
          <c:spPr>
            <a:solidFill>
              <a:schemeClr val="bg1">
                <a:lumMod val="50000"/>
              </a:schemeClr>
            </a:solidFill>
            <a:ln>
              <a:solidFill>
                <a:schemeClr val="bg1"/>
              </a:solidFill>
            </a:ln>
          </c:spPr>
          <c:invertIfNegative val="0"/>
          <c:val>
            <c:numLit>
              <c:formatCode>General</c:formatCode>
              <c:ptCount val="1"/>
              <c:pt idx="0">
                <c:v>0</c:v>
              </c:pt>
            </c:numLit>
          </c:val>
        </c:ser>
        <c:ser>
          <c:idx val="10"/>
          <c:order val="1"/>
          <c:tx>
            <c:v>US</c:v>
          </c:tx>
          <c:spPr>
            <a:solidFill>
              <a:schemeClr val="bg1">
                <a:lumMod val="50000"/>
              </a:schemeClr>
            </a:solidFill>
            <a:ln>
              <a:solidFill>
                <a:schemeClr val="bg1"/>
              </a:solidFill>
            </a:ln>
          </c:spPr>
          <c:invertIfNegative val="0"/>
          <c:val>
            <c:numLit>
              <c:formatCode>General</c:formatCode>
              <c:ptCount val="1"/>
              <c:pt idx="0">
                <c:v>0</c:v>
              </c:pt>
            </c:numLit>
          </c:val>
        </c:ser>
        <c:ser>
          <c:idx val="9"/>
          <c:order val="2"/>
          <c:tx>
            <c:v>KR</c:v>
          </c:tx>
          <c:spPr>
            <a:solidFill>
              <a:srgbClr val="31859C"/>
            </a:solidFill>
          </c:spPr>
          <c:invertIfNegative val="0"/>
          <c:val>
            <c:numLit>
              <c:formatCode>General</c:formatCode>
              <c:ptCount val="1"/>
              <c:pt idx="0">
                <c:v>0.8</c:v>
              </c:pt>
            </c:numLit>
          </c:val>
        </c:ser>
        <c:ser>
          <c:idx val="3"/>
          <c:order val="3"/>
          <c:tx>
            <c:v>espace</c:v>
          </c:tx>
          <c:spPr>
            <a:noFill/>
            <a:ln>
              <a:noFill/>
            </a:ln>
          </c:spPr>
          <c:invertIfNegative val="0"/>
          <c:val>
            <c:numLit>
              <c:formatCode>General</c:formatCode>
              <c:ptCount val="1"/>
              <c:pt idx="0">
                <c:v>0</c:v>
              </c:pt>
            </c:numLit>
          </c:val>
        </c:ser>
        <c:ser>
          <c:idx val="7"/>
          <c:order val="4"/>
          <c:tx>
            <c:v>JP</c:v>
          </c:tx>
          <c:spPr>
            <a:solidFill>
              <a:schemeClr val="accent5">
                <a:lumMod val="40000"/>
                <a:lumOff val="60000"/>
              </a:schemeClr>
            </a:solidFill>
            <a:ln>
              <a:solidFill>
                <a:schemeClr val="bg1"/>
              </a:solidFill>
            </a:ln>
          </c:spPr>
          <c:invertIfNegative val="0"/>
          <c:val>
            <c:numLit>
              <c:formatCode>General</c:formatCode>
              <c:ptCount val="1"/>
              <c:pt idx="0">
                <c:v>13.7</c:v>
              </c:pt>
            </c:numLit>
          </c:val>
        </c:ser>
        <c:ser>
          <c:idx val="0"/>
          <c:order val="5"/>
          <c:tx>
            <c:v>US</c:v>
          </c:tx>
          <c:spPr>
            <a:solidFill>
              <a:srgbClr val="800080"/>
            </a:solidFill>
            <a:ln>
              <a:solidFill>
                <a:schemeClr val="bg1"/>
              </a:solidFill>
            </a:ln>
          </c:spPr>
          <c:invertIfNegative val="0"/>
          <c:cat>
            <c:numLit>
              <c:formatCode>General</c:formatCode>
              <c:ptCount val="1"/>
              <c:pt idx="0">
                <c:v>2014</c:v>
              </c:pt>
            </c:numLit>
          </c:cat>
          <c:val>
            <c:numLit>
              <c:formatCode>General</c:formatCode>
              <c:ptCount val="1"/>
              <c:pt idx="0">
                <c:v>10.4</c:v>
              </c:pt>
            </c:numLit>
          </c:val>
        </c:ser>
        <c:ser>
          <c:idx val="1"/>
          <c:order val="6"/>
          <c:tx>
            <c:v>KR</c:v>
          </c:tx>
          <c:spPr>
            <a:solidFill>
              <a:srgbClr val="009999"/>
            </a:solidFill>
            <a:ln>
              <a:solidFill>
                <a:schemeClr val="bg1"/>
              </a:solidFill>
            </a:ln>
          </c:spPr>
          <c:invertIfNegative val="0"/>
          <c:cat>
            <c:numLit>
              <c:formatCode>General</c:formatCode>
              <c:ptCount val="1"/>
              <c:pt idx="0">
                <c:v>2014</c:v>
              </c:pt>
            </c:numLit>
          </c:cat>
          <c:val>
            <c:numLit>
              <c:formatCode>General</c:formatCode>
              <c:ptCount val="1"/>
              <c:pt idx="0">
                <c:v>1.3</c:v>
              </c:pt>
            </c:numLit>
          </c:val>
        </c:ser>
        <c:ser>
          <c:idx val="6"/>
          <c:order val="7"/>
          <c:tx>
            <c:v>espace</c:v>
          </c:tx>
          <c:spPr>
            <a:noFill/>
          </c:spPr>
          <c:invertIfNegative val="0"/>
          <c:val>
            <c:numLit>
              <c:formatCode>General</c:formatCode>
              <c:ptCount val="1"/>
              <c:pt idx="0">
                <c:v>1</c:v>
              </c:pt>
            </c:numLit>
          </c:val>
        </c:ser>
        <c:ser>
          <c:idx val="5"/>
          <c:order val="8"/>
          <c:tx>
            <c:v>JP</c:v>
          </c:tx>
          <c:spPr>
            <a:solidFill>
              <a:schemeClr val="accent5">
                <a:lumMod val="40000"/>
                <a:lumOff val="60000"/>
              </a:schemeClr>
            </a:solidFill>
            <a:ln>
              <a:solidFill>
                <a:schemeClr val="bg1"/>
              </a:solidFill>
            </a:ln>
          </c:spPr>
          <c:invertIfNegative val="0"/>
          <c:cat>
            <c:numLit>
              <c:formatCode>General</c:formatCode>
              <c:ptCount val="1"/>
              <c:pt idx="0">
                <c:v>2014</c:v>
              </c:pt>
            </c:numLit>
          </c:cat>
          <c:val>
            <c:numLit>
              <c:formatCode>General</c:formatCode>
              <c:ptCount val="1"/>
              <c:pt idx="0">
                <c:v>17.2</c:v>
              </c:pt>
            </c:numLit>
          </c:val>
        </c:ser>
        <c:ser>
          <c:idx val="2"/>
          <c:order val="9"/>
          <c:tx>
            <c:v>US</c:v>
          </c:tx>
          <c:spPr>
            <a:solidFill>
              <a:srgbClr val="800080"/>
            </a:solidFill>
          </c:spPr>
          <c:invertIfNegative val="0"/>
          <c:val>
            <c:numLit>
              <c:formatCode>General</c:formatCode>
              <c:ptCount val="1"/>
              <c:pt idx="0">
                <c:v>6.9</c:v>
              </c:pt>
            </c:numLit>
          </c:val>
        </c:ser>
        <c:ser>
          <c:idx val="4"/>
          <c:order val="10"/>
          <c:tx>
            <c:v>KR</c:v>
          </c:tx>
          <c:spPr>
            <a:solidFill>
              <a:srgbClr val="009999"/>
            </a:solidFill>
            <a:ln>
              <a:noFill/>
            </a:ln>
          </c:spPr>
          <c:invertIfNegative val="0"/>
          <c:cat>
            <c:numLit>
              <c:formatCode>General</c:formatCode>
              <c:ptCount val="1"/>
              <c:pt idx="0">
                <c:v>2014</c:v>
              </c:pt>
            </c:numLit>
          </c:cat>
          <c:val>
            <c:numLit>
              <c:formatCode>General</c:formatCode>
              <c:ptCount val="1"/>
              <c:pt idx="0">
                <c:v>0</c:v>
              </c:pt>
            </c:numLit>
          </c:val>
        </c:ser>
        <c:dLbls>
          <c:showLegendKey val="0"/>
          <c:showVal val="0"/>
          <c:showCatName val="0"/>
          <c:showSerName val="0"/>
          <c:showPercent val="0"/>
          <c:showBubbleSize val="0"/>
        </c:dLbls>
        <c:gapWidth val="150"/>
        <c:shape val="box"/>
        <c:axId val="68702592"/>
        <c:axId val="68704128"/>
        <c:axId val="0"/>
      </c:bar3DChart>
      <c:catAx>
        <c:axId val="68702592"/>
        <c:scaling>
          <c:orientation val="minMax"/>
        </c:scaling>
        <c:delete val="1"/>
        <c:axPos val="b"/>
        <c:numFmt formatCode="General" sourceLinked="1"/>
        <c:majorTickMark val="out"/>
        <c:minorTickMark val="none"/>
        <c:tickLblPos val="nextTo"/>
        <c:crossAx val="68704128"/>
        <c:crosses val="autoZero"/>
        <c:auto val="1"/>
        <c:lblAlgn val="ctr"/>
        <c:lblOffset val="100"/>
        <c:noMultiLvlLbl val="0"/>
      </c:catAx>
      <c:valAx>
        <c:axId val="68704128"/>
        <c:scaling>
          <c:orientation val="minMax"/>
          <c:max val="100"/>
        </c:scaling>
        <c:delete val="0"/>
        <c:axPos val="l"/>
        <c:majorGridlines>
          <c:spPr>
            <a:ln>
              <a:noFill/>
            </a:ln>
          </c:spPr>
        </c:majorGridlines>
        <c:numFmt formatCode="General" sourceLinked="1"/>
        <c:majorTickMark val="out"/>
        <c:minorTickMark val="none"/>
        <c:tickLblPos val="nextTo"/>
        <c:crossAx val="68702592"/>
        <c:crosses val="autoZero"/>
        <c:crossBetween val="between"/>
      </c:valAx>
    </c:plotArea>
    <c:plotVisOnly val="1"/>
    <c:dispBlanksAs val="gap"/>
    <c:showDLblsOverMax val="0"/>
  </c:chart>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90"/>
      <c:rAngAx val="0"/>
      <c:perspective val="30"/>
    </c:view3D>
    <c:floor>
      <c:thickness val="0"/>
      <c:spPr>
        <a:noFill/>
      </c:spPr>
    </c:floor>
    <c:sideWall>
      <c:thickness val="0"/>
    </c:sideWall>
    <c:backWall>
      <c:thickness val="0"/>
    </c:backWall>
    <c:plotArea>
      <c:layout>
        <c:manualLayout>
          <c:layoutTarget val="inner"/>
          <c:xMode val="edge"/>
          <c:yMode val="edge"/>
          <c:x val="4.20602674361105E-2"/>
          <c:y val="0.19036103459203824"/>
          <c:w val="0.92884673742350243"/>
          <c:h val="0.55966480026427923"/>
        </c:manualLayout>
      </c:layout>
      <c:bar3DChart>
        <c:barDir val="col"/>
        <c:grouping val="clustered"/>
        <c:varyColors val="0"/>
        <c:ser>
          <c:idx val="12"/>
          <c:order val="0"/>
          <c:tx>
            <c:v>EM</c:v>
          </c:tx>
          <c:spPr>
            <a:solidFill>
              <a:srgbClr val="00B0F0"/>
            </a:solidFill>
            <a:ln>
              <a:solidFill>
                <a:schemeClr val="bg1"/>
              </a:solidFill>
            </a:ln>
          </c:spPr>
          <c:invertIfNegative val="0"/>
          <c:dLbls>
            <c:dLbl>
              <c:idx val="0"/>
              <c:layout/>
              <c:tx>
                <c:rich>
                  <a:bodyPr/>
                  <a:lstStyle/>
                  <a:p>
                    <a:r>
                      <a:rPr lang="en-US"/>
                      <a:t>52,4%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52.4</c:v>
              </c:pt>
            </c:numLit>
          </c:val>
        </c:ser>
        <c:ser>
          <c:idx val="13"/>
          <c:order val="1"/>
          <c:tx>
            <c:v>espace</c:v>
          </c:tx>
          <c:spPr>
            <a:noFill/>
          </c:spPr>
          <c:invertIfNegative val="0"/>
          <c:val>
            <c:numLit>
              <c:formatCode>General</c:formatCode>
              <c:ptCount val="1"/>
              <c:pt idx="0">
                <c:v>0</c:v>
              </c:pt>
            </c:numLit>
          </c:val>
        </c:ser>
        <c:ser>
          <c:idx val="2"/>
          <c:order val="2"/>
          <c:tx>
            <c:v>EM</c:v>
          </c:tx>
          <c:spPr>
            <a:solidFill>
              <a:srgbClr val="00B0F0"/>
            </a:solidFill>
            <a:ln>
              <a:solidFill>
                <a:schemeClr val="bg1"/>
              </a:solidFill>
            </a:ln>
          </c:spPr>
          <c:invertIfNegative val="0"/>
          <c:dPt>
            <c:idx val="0"/>
            <c:invertIfNegative val="0"/>
            <c:bubble3D val="0"/>
          </c:dPt>
          <c:dLbls>
            <c:dLbl>
              <c:idx val="0"/>
              <c:layout>
                <c:manualLayout>
                  <c:x val="6.2801925200434566E-3"/>
                  <c:y val="4.8678625297065626E-17"/>
                </c:manualLayout>
              </c:layout>
              <c:tx>
                <c:rich>
                  <a:bodyPr/>
                  <a:lstStyle/>
                  <a:p>
                    <a:r>
                      <a:rPr lang="en-US"/>
                      <a:t>42,8%</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42.8</c:v>
              </c:pt>
            </c:numLit>
          </c:val>
        </c:ser>
        <c:ser>
          <c:idx val="14"/>
          <c:order val="3"/>
          <c:tx>
            <c:v>espace</c:v>
          </c:tx>
          <c:spPr>
            <a:noFill/>
          </c:spPr>
          <c:invertIfNegative val="0"/>
          <c:val>
            <c:numLit>
              <c:formatCode>General</c:formatCode>
              <c:ptCount val="1"/>
              <c:pt idx="0">
                <c:v>0</c:v>
              </c:pt>
            </c:numLit>
          </c:val>
        </c:ser>
        <c:ser>
          <c:idx val="10"/>
          <c:order val="4"/>
          <c:tx>
            <c:v>EM</c:v>
          </c:tx>
          <c:spPr>
            <a:solidFill>
              <a:srgbClr val="00B0F0"/>
            </a:solidFill>
            <a:ln>
              <a:solidFill>
                <a:schemeClr val="bg1"/>
              </a:solidFill>
            </a:ln>
          </c:spPr>
          <c:invertIfNegative val="0"/>
          <c:dLbls>
            <c:dLbl>
              <c:idx val="0"/>
              <c:layout>
                <c:manualLayout>
                  <c:x val="8.3743326703653309E-3"/>
                  <c:y val="1.0621348911311737E-2"/>
                </c:manualLayout>
              </c:layout>
              <c:tx>
                <c:rich>
                  <a:bodyPr/>
                  <a:lstStyle/>
                  <a:p>
                    <a:r>
                      <a:rPr lang="en-US"/>
                      <a:t>36,3%</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36.299999999999997</c:v>
              </c:pt>
            </c:numLit>
          </c:val>
        </c:ser>
        <c:ser>
          <c:idx val="1"/>
          <c:order val="5"/>
          <c:tx>
            <c:v>espace</c:v>
          </c:tx>
          <c:spPr>
            <a:noFill/>
            <a:ln>
              <a:noFill/>
            </a:ln>
          </c:spPr>
          <c:invertIfNegative val="0"/>
          <c:val>
            <c:numLit>
              <c:formatCode>General</c:formatCode>
              <c:ptCount val="1"/>
              <c:pt idx="0">
                <c:v>1</c:v>
              </c:pt>
            </c:numLit>
          </c:val>
        </c:ser>
        <c:ser>
          <c:idx val="22"/>
          <c:order val="6"/>
          <c:tx>
            <c:v>espace</c:v>
          </c:tx>
          <c:spPr>
            <a:noFill/>
          </c:spPr>
          <c:invertIfNegative val="0"/>
          <c:val>
            <c:numLit>
              <c:formatCode>General</c:formatCode>
              <c:ptCount val="1"/>
              <c:pt idx="0">
                <c:v>0</c:v>
              </c:pt>
            </c:numLit>
          </c:val>
        </c:ser>
        <c:ser>
          <c:idx val="54"/>
          <c:order val="7"/>
          <c:tx>
            <c:v>espace</c:v>
          </c:tx>
          <c:spPr>
            <a:noFill/>
          </c:spPr>
          <c:invertIfNegative val="0"/>
          <c:val>
            <c:numLit>
              <c:formatCode>General</c:formatCode>
              <c:ptCount val="1"/>
              <c:pt idx="0">
                <c:v>0</c:v>
              </c:pt>
            </c:numLit>
          </c:val>
        </c:ser>
        <c:ser>
          <c:idx val="15"/>
          <c:order val="8"/>
          <c:tx>
            <c:v>CH</c:v>
          </c:tx>
          <c:spPr>
            <a:solidFill>
              <a:srgbClr val="FF0000"/>
            </a:solidFill>
            <a:ln>
              <a:solidFill>
                <a:schemeClr val="bg1"/>
              </a:solidFill>
            </a:ln>
          </c:spPr>
          <c:invertIfNegative val="0"/>
          <c:dLbls>
            <c:dLbl>
              <c:idx val="0"/>
              <c:layout>
                <c:manualLayout>
                  <c:x val="0"/>
                  <c:y val="1.5931370499283299E-2"/>
                </c:manualLayout>
              </c:layout>
              <c:tx>
                <c:rich>
                  <a:bodyPr/>
                  <a:lstStyle/>
                  <a:p>
                    <a:r>
                      <a:rPr lang="en-US"/>
                      <a:t>30,2%</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30.2</c:v>
              </c:pt>
            </c:numLit>
          </c:val>
        </c:ser>
        <c:ser>
          <c:idx val="20"/>
          <c:order val="9"/>
          <c:tx>
            <c:v>espace</c:v>
          </c:tx>
          <c:spPr>
            <a:noFill/>
          </c:spPr>
          <c:invertIfNegative val="0"/>
          <c:val>
            <c:numLit>
              <c:formatCode>General</c:formatCode>
              <c:ptCount val="1"/>
              <c:pt idx="0">
                <c:v>0</c:v>
              </c:pt>
            </c:numLit>
          </c:val>
        </c:ser>
        <c:ser>
          <c:idx val="3"/>
          <c:order val="10"/>
          <c:tx>
            <c:v>CH</c:v>
          </c:tx>
          <c:spPr>
            <a:solidFill>
              <a:srgbClr val="FF0000"/>
            </a:solidFill>
            <a:ln>
              <a:solidFill>
                <a:schemeClr val="bg1"/>
              </a:solidFill>
            </a:ln>
          </c:spPr>
          <c:invertIfNegative val="0"/>
          <c:dLbls>
            <c:dLbl>
              <c:idx val="0"/>
              <c:layout>
                <c:manualLayout>
                  <c:x val="4.2797154629489534E-3"/>
                  <c:y val="-1.0825162963452289E-2"/>
                </c:manualLayout>
              </c:layout>
              <c:tx>
                <c:rich>
                  <a:bodyPr/>
                  <a:lstStyle/>
                  <a:p>
                    <a:r>
                      <a:rPr lang="en-US"/>
                      <a:t>34,7%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34.700000000000003</c:v>
              </c:pt>
            </c:numLit>
          </c:val>
        </c:ser>
        <c:ser>
          <c:idx val="17"/>
          <c:order val="11"/>
          <c:tx>
            <c:v>espace</c:v>
          </c:tx>
          <c:spPr>
            <a:noFill/>
          </c:spPr>
          <c:invertIfNegative val="0"/>
          <c:val>
            <c:numLit>
              <c:formatCode>General</c:formatCode>
              <c:ptCount val="1"/>
              <c:pt idx="0">
                <c:v>0</c:v>
              </c:pt>
            </c:numLit>
          </c:val>
        </c:ser>
        <c:ser>
          <c:idx val="18"/>
          <c:order val="12"/>
          <c:tx>
            <c:v>CH</c:v>
          </c:tx>
          <c:spPr>
            <a:solidFill>
              <a:srgbClr val="FF0000"/>
            </a:solidFill>
            <a:ln>
              <a:solidFill>
                <a:schemeClr val="bg1"/>
              </a:solidFill>
            </a:ln>
          </c:spPr>
          <c:invertIfNegative val="0"/>
          <c:dLbls>
            <c:dLbl>
              <c:idx val="0"/>
              <c:layout>
                <c:manualLayout>
                  <c:x val="1.4653813142231121E-2"/>
                  <c:y val="-2.0414382123990735E-4"/>
                </c:manualLayout>
              </c:layout>
              <c:tx>
                <c:rich>
                  <a:bodyPr/>
                  <a:lstStyle/>
                  <a:p>
                    <a:r>
                      <a:rPr lang="en-US"/>
                      <a:t>39,2%</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39.200000000000003</c:v>
              </c:pt>
            </c:numLit>
          </c:val>
        </c:ser>
        <c:ser>
          <c:idx val="21"/>
          <c:order val="13"/>
          <c:tx>
            <c:v>espace</c:v>
          </c:tx>
          <c:spPr>
            <a:noFill/>
          </c:spPr>
          <c:invertIfNegative val="0"/>
          <c:val>
            <c:numLit>
              <c:formatCode>General</c:formatCode>
              <c:ptCount val="1"/>
              <c:pt idx="0">
                <c:v>0</c:v>
              </c:pt>
            </c:numLit>
          </c:val>
        </c:ser>
        <c:ser>
          <c:idx val="4"/>
          <c:order val="14"/>
          <c:tx>
            <c:v>espace</c:v>
          </c:tx>
          <c:spPr>
            <a:noFill/>
          </c:spPr>
          <c:invertIfNegative val="0"/>
          <c:val>
            <c:numLit>
              <c:formatCode>General</c:formatCode>
              <c:ptCount val="1"/>
              <c:pt idx="0">
                <c:v>1</c:v>
              </c:pt>
            </c:numLit>
          </c:val>
        </c:ser>
        <c:ser>
          <c:idx val="53"/>
          <c:order val="15"/>
          <c:tx>
            <c:v>espace</c:v>
          </c:tx>
          <c:spPr>
            <a:noFill/>
          </c:spPr>
          <c:invertIfNegative val="0"/>
          <c:val>
            <c:numLit>
              <c:formatCode>General</c:formatCode>
              <c:ptCount val="1"/>
              <c:pt idx="0">
                <c:v>0</c:v>
              </c:pt>
            </c:numLit>
          </c:val>
        </c:ser>
        <c:ser>
          <c:idx val="23"/>
          <c:order val="16"/>
          <c:tx>
            <c:v>US</c:v>
          </c:tx>
          <c:spPr>
            <a:solidFill>
              <a:schemeClr val="bg1">
                <a:lumMod val="50000"/>
              </a:schemeClr>
            </a:solidFill>
            <a:ln>
              <a:solidFill>
                <a:schemeClr val="bg1"/>
              </a:solidFill>
            </a:ln>
          </c:spPr>
          <c:invertIfNegative val="0"/>
          <c:val>
            <c:numLit>
              <c:formatCode>General</c:formatCode>
              <c:ptCount val="1"/>
              <c:pt idx="0">
                <c:v>0</c:v>
              </c:pt>
            </c:numLit>
          </c:val>
        </c:ser>
        <c:ser>
          <c:idx val="7"/>
          <c:order val="17"/>
          <c:tx>
            <c:v>espace</c:v>
          </c:tx>
          <c:spPr>
            <a:noFill/>
          </c:spPr>
          <c:invertIfNegative val="0"/>
          <c:val>
            <c:numLit>
              <c:formatCode>General</c:formatCode>
              <c:ptCount val="1"/>
              <c:pt idx="0">
                <c:v>1</c:v>
              </c:pt>
            </c:numLit>
          </c:val>
        </c:ser>
        <c:ser>
          <c:idx val="8"/>
          <c:order val="18"/>
          <c:tx>
            <c:v>US</c:v>
          </c:tx>
          <c:spPr>
            <a:solidFill>
              <a:srgbClr val="800080"/>
            </a:solidFill>
            <a:ln>
              <a:noFill/>
            </a:ln>
          </c:spPr>
          <c:invertIfNegative val="0"/>
          <c:dLbls>
            <c:dLbl>
              <c:idx val="0"/>
              <c:layout/>
              <c:tx>
                <c:rich>
                  <a:bodyPr/>
                  <a:lstStyle/>
                  <a:p>
                    <a:r>
                      <a:rPr lang="en-US"/>
                      <a:t>2,2%</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2.2000000000000002</c:v>
              </c:pt>
            </c:numLit>
          </c:val>
        </c:ser>
        <c:ser>
          <c:idx val="24"/>
          <c:order val="19"/>
          <c:tx>
            <c:v>espace</c:v>
          </c:tx>
          <c:spPr>
            <a:noFill/>
          </c:spPr>
          <c:invertIfNegative val="0"/>
          <c:val>
            <c:numLit>
              <c:formatCode>General</c:formatCode>
              <c:ptCount val="1"/>
              <c:pt idx="0">
                <c:v>0</c:v>
              </c:pt>
            </c:numLit>
          </c:val>
        </c:ser>
        <c:ser>
          <c:idx val="26"/>
          <c:order val="20"/>
          <c:tx>
            <c:v>US</c:v>
          </c:tx>
          <c:spPr>
            <a:solidFill>
              <a:srgbClr val="800080"/>
            </a:solidFill>
            <a:ln>
              <a:noFill/>
            </a:ln>
          </c:spPr>
          <c:invertIfNegative val="0"/>
          <c:dLbls>
            <c:dLbl>
              <c:idx val="0"/>
              <c:layout/>
              <c:tx>
                <c:rich>
                  <a:bodyPr/>
                  <a:lstStyle/>
                  <a:p>
                    <a:r>
                      <a:rPr lang="en-US"/>
                      <a:t>0,9%</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0.9</c:v>
              </c:pt>
            </c:numLit>
          </c:val>
        </c:ser>
        <c:ser>
          <c:idx val="28"/>
          <c:order val="21"/>
          <c:tx>
            <c:v>espace</c:v>
          </c:tx>
          <c:spPr>
            <a:noFill/>
          </c:spPr>
          <c:invertIfNegative val="0"/>
          <c:val>
            <c:numLit>
              <c:formatCode>General</c:formatCode>
              <c:ptCount val="1"/>
              <c:pt idx="0">
                <c:v>0</c:v>
              </c:pt>
            </c:numLit>
          </c:val>
        </c:ser>
        <c:ser>
          <c:idx val="52"/>
          <c:order val="22"/>
          <c:tx>
            <c:v>espace</c:v>
          </c:tx>
          <c:spPr>
            <a:noFill/>
          </c:spPr>
          <c:invertIfNegative val="0"/>
          <c:val>
            <c:numLit>
              <c:formatCode>General</c:formatCode>
              <c:ptCount val="1"/>
              <c:pt idx="0">
                <c:v>0</c:v>
              </c:pt>
            </c:numLit>
          </c:val>
        </c:ser>
        <c:ser>
          <c:idx val="29"/>
          <c:order val="23"/>
          <c:tx>
            <c:v>espace</c:v>
          </c:tx>
          <c:spPr>
            <a:noFill/>
          </c:spPr>
          <c:invertIfNegative val="0"/>
          <c:val>
            <c:numLit>
              <c:formatCode>General</c:formatCode>
              <c:ptCount val="1"/>
              <c:pt idx="0">
                <c:v>0</c:v>
              </c:pt>
            </c:numLit>
          </c:val>
        </c:ser>
        <c:ser>
          <c:idx val="30"/>
          <c:order val="24"/>
          <c:tx>
            <c:v>KR</c:v>
          </c:tx>
          <c:spPr>
            <a:solidFill>
              <a:srgbClr val="009999"/>
            </a:solidFill>
            <a:ln>
              <a:noFill/>
            </a:ln>
          </c:spPr>
          <c:invertIfNegative val="0"/>
          <c:dLbls>
            <c:dLbl>
              <c:idx val="0"/>
              <c:layout/>
              <c:tx>
                <c:rich>
                  <a:bodyPr/>
                  <a:lstStyle/>
                  <a:p>
                    <a:r>
                      <a:rPr lang="en-US"/>
                      <a:t>0,8%</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0.8</c:v>
              </c:pt>
            </c:numLit>
          </c:val>
        </c:ser>
        <c:ser>
          <c:idx val="33"/>
          <c:order val="25"/>
          <c:tx>
            <c:v>espace</c:v>
          </c:tx>
          <c:spPr>
            <a:noFill/>
          </c:spPr>
          <c:invertIfNegative val="0"/>
          <c:val>
            <c:numLit>
              <c:formatCode>General</c:formatCode>
              <c:ptCount val="1"/>
              <c:pt idx="0">
                <c:v>0</c:v>
              </c:pt>
            </c:numLit>
          </c:val>
        </c:ser>
        <c:ser>
          <c:idx val="36"/>
          <c:order val="26"/>
          <c:tx>
            <c:v>KR</c:v>
          </c:tx>
          <c:spPr>
            <a:solidFill>
              <a:srgbClr val="009999"/>
            </a:solidFill>
            <a:ln>
              <a:noFill/>
            </a:ln>
          </c:spPr>
          <c:invertIfNegative val="0"/>
          <c:dLbls>
            <c:dLbl>
              <c:idx val="0"/>
              <c:layout/>
              <c:tx>
                <c:rich>
                  <a:bodyPr/>
                  <a:lstStyle/>
                  <a:p>
                    <a:r>
                      <a:rPr lang="en-US"/>
                      <a:t>0,7%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0.7</c:v>
              </c:pt>
            </c:numLit>
          </c:val>
        </c:ser>
        <c:ser>
          <c:idx val="37"/>
          <c:order val="27"/>
          <c:tx>
            <c:v>espace</c:v>
          </c:tx>
          <c:spPr>
            <a:noFill/>
          </c:spPr>
          <c:invertIfNegative val="0"/>
          <c:val>
            <c:numLit>
              <c:formatCode>General</c:formatCode>
              <c:ptCount val="1"/>
              <c:pt idx="0">
                <c:v>0</c:v>
              </c:pt>
            </c:numLit>
          </c:val>
        </c:ser>
        <c:ser>
          <c:idx val="40"/>
          <c:order val="28"/>
          <c:tx>
            <c:v>KR</c:v>
          </c:tx>
          <c:spPr>
            <a:solidFill>
              <a:srgbClr val="009999"/>
            </a:solidFill>
            <a:ln>
              <a:noFill/>
            </a:ln>
          </c:spPr>
          <c:invertIfNegative val="0"/>
          <c:dLbls>
            <c:dLbl>
              <c:idx val="0"/>
              <c:layout/>
              <c:tx>
                <c:rich>
                  <a:bodyPr/>
                  <a:lstStyle/>
                  <a:p>
                    <a:r>
                      <a:rPr lang="en-US"/>
                      <a:t>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0</c:v>
              </c:pt>
            </c:numLit>
          </c:val>
        </c:ser>
        <c:ser>
          <c:idx val="41"/>
          <c:order val="29"/>
          <c:tx>
            <c:v>espace</c:v>
          </c:tx>
          <c:spPr>
            <a:noFill/>
          </c:spPr>
          <c:invertIfNegative val="0"/>
          <c:val>
            <c:numLit>
              <c:formatCode>General</c:formatCode>
              <c:ptCount val="1"/>
              <c:pt idx="0">
                <c:v>0</c:v>
              </c:pt>
            </c:numLit>
          </c:val>
        </c:ser>
        <c:ser>
          <c:idx val="42"/>
          <c:order val="30"/>
          <c:tx>
            <c:v>espace</c:v>
          </c:tx>
          <c:spPr>
            <a:noFill/>
          </c:spPr>
          <c:invertIfNegative val="0"/>
          <c:val>
            <c:numLit>
              <c:formatCode>General</c:formatCode>
              <c:ptCount val="1"/>
              <c:pt idx="0">
                <c:v>0</c:v>
              </c:pt>
            </c:numLit>
          </c:val>
        </c:ser>
        <c:ser>
          <c:idx val="51"/>
          <c:order val="31"/>
          <c:tx>
            <c:v>espace</c:v>
          </c:tx>
          <c:spPr>
            <a:noFill/>
          </c:spPr>
          <c:invertIfNegative val="0"/>
          <c:val>
            <c:numLit>
              <c:formatCode>General</c:formatCode>
              <c:ptCount val="1"/>
              <c:pt idx="0">
                <c:v>0</c:v>
              </c:pt>
            </c:numLit>
          </c:val>
        </c:ser>
        <c:ser>
          <c:idx val="43"/>
          <c:order val="32"/>
          <c:tx>
            <c:v>JP</c:v>
          </c:tx>
          <c:spPr>
            <a:solidFill>
              <a:schemeClr val="bg1">
                <a:lumMod val="50000"/>
              </a:schemeClr>
            </a:solidFill>
            <a:ln>
              <a:solidFill>
                <a:schemeClr val="bg1"/>
              </a:solidFill>
            </a:ln>
          </c:spPr>
          <c:invertIfNegative val="0"/>
          <c:val>
            <c:numLit>
              <c:formatCode>General</c:formatCode>
              <c:ptCount val="1"/>
              <c:pt idx="0">
                <c:v>0</c:v>
              </c:pt>
            </c:numLit>
          </c:val>
        </c:ser>
        <c:ser>
          <c:idx val="45"/>
          <c:order val="33"/>
          <c:tx>
            <c:v>espace</c:v>
          </c:tx>
          <c:spPr>
            <a:noFill/>
          </c:spPr>
          <c:invertIfNegative val="0"/>
          <c:val>
            <c:numLit>
              <c:formatCode>General</c:formatCode>
              <c:ptCount val="1"/>
              <c:pt idx="0">
                <c:v>0</c:v>
              </c:pt>
            </c:numLit>
          </c:val>
        </c:ser>
        <c:ser>
          <c:idx val="47"/>
          <c:order val="34"/>
          <c:tx>
            <c:v>JP</c:v>
          </c:tx>
          <c:spPr>
            <a:solidFill>
              <a:schemeClr val="accent5">
                <a:lumMod val="40000"/>
                <a:lumOff val="60000"/>
              </a:schemeClr>
            </a:solidFill>
            <a:ln>
              <a:noFill/>
            </a:ln>
          </c:spPr>
          <c:invertIfNegative val="0"/>
          <c:dLbls>
            <c:dLbl>
              <c:idx val="0"/>
              <c:layout/>
              <c:tx>
                <c:rich>
                  <a:bodyPr/>
                  <a:lstStyle/>
                  <a:p>
                    <a:r>
                      <a:rPr lang="en-US"/>
                      <a:t>3,1%</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3.1</c:v>
              </c:pt>
            </c:numLit>
          </c:val>
        </c:ser>
        <c:ser>
          <c:idx val="48"/>
          <c:order val="35"/>
          <c:tx>
            <c:v>espace</c:v>
          </c:tx>
          <c:spPr>
            <a:noFill/>
          </c:spPr>
          <c:invertIfNegative val="0"/>
          <c:val>
            <c:numLit>
              <c:formatCode>General</c:formatCode>
              <c:ptCount val="1"/>
              <c:pt idx="0">
                <c:v>0</c:v>
              </c:pt>
            </c:numLit>
          </c:val>
        </c:ser>
        <c:ser>
          <c:idx val="50"/>
          <c:order val="36"/>
          <c:tx>
            <c:v>JP</c:v>
          </c:tx>
          <c:spPr>
            <a:solidFill>
              <a:schemeClr val="accent5">
                <a:lumMod val="40000"/>
                <a:lumOff val="60000"/>
              </a:schemeClr>
            </a:solidFill>
            <a:ln>
              <a:noFill/>
            </a:ln>
          </c:spPr>
          <c:invertIfNegative val="0"/>
          <c:dLbls>
            <c:dLbl>
              <c:idx val="0"/>
              <c:layout/>
              <c:tx>
                <c:rich>
                  <a:bodyPr/>
                  <a:lstStyle/>
                  <a:p>
                    <a:r>
                      <a:rPr lang="en-US"/>
                      <a:t>3,4%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3.4</c:v>
              </c:pt>
            </c:numLit>
          </c:val>
        </c:ser>
        <c:dLbls>
          <c:showLegendKey val="0"/>
          <c:showVal val="0"/>
          <c:showCatName val="0"/>
          <c:showSerName val="0"/>
          <c:showPercent val="0"/>
          <c:showBubbleSize val="0"/>
        </c:dLbls>
        <c:gapWidth val="150"/>
        <c:shape val="box"/>
        <c:axId val="69273088"/>
        <c:axId val="69274624"/>
        <c:axId val="0"/>
      </c:bar3DChart>
      <c:catAx>
        <c:axId val="69273088"/>
        <c:scaling>
          <c:orientation val="minMax"/>
        </c:scaling>
        <c:delete val="1"/>
        <c:axPos val="b"/>
        <c:numFmt formatCode="General" sourceLinked="1"/>
        <c:majorTickMark val="out"/>
        <c:minorTickMark val="none"/>
        <c:tickLblPos val="nextTo"/>
        <c:crossAx val="69274624"/>
        <c:crosses val="autoZero"/>
        <c:auto val="1"/>
        <c:lblAlgn val="ctr"/>
        <c:lblOffset val="100"/>
        <c:noMultiLvlLbl val="0"/>
      </c:catAx>
      <c:valAx>
        <c:axId val="69274624"/>
        <c:scaling>
          <c:orientation val="minMax"/>
          <c:max val="100"/>
        </c:scaling>
        <c:delete val="0"/>
        <c:axPos val="l"/>
        <c:majorGridlines>
          <c:spPr>
            <a:ln>
              <a:noFill/>
            </a:ln>
          </c:spPr>
        </c:majorGridlines>
        <c:numFmt formatCode="General" sourceLinked="0"/>
        <c:majorTickMark val="out"/>
        <c:minorTickMark val="none"/>
        <c:tickLblPos val="nextTo"/>
        <c:crossAx val="69273088"/>
        <c:crosses val="autoZero"/>
        <c:crossBetween val="between"/>
      </c:valAx>
    </c:plotArea>
    <c:plotVisOnly val="1"/>
    <c:dispBlanksAs val="gap"/>
    <c:showDLblsOverMax val="0"/>
  </c:chart>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90"/>
      <c:rAngAx val="0"/>
      <c:perspective val="30"/>
    </c:view3D>
    <c:floor>
      <c:thickness val="0"/>
    </c:floor>
    <c:sideWall>
      <c:thickness val="0"/>
    </c:sideWall>
    <c:backWall>
      <c:thickness val="0"/>
    </c:backWall>
    <c:plotArea>
      <c:layout>
        <c:manualLayout>
          <c:layoutTarget val="inner"/>
          <c:xMode val="edge"/>
          <c:yMode val="edge"/>
          <c:x val="0.1248788239605253"/>
          <c:y val="0.2120701150298335"/>
          <c:w val="0.84288923957255979"/>
          <c:h val="0.68152913450841945"/>
        </c:manualLayout>
      </c:layout>
      <c:bar3DChart>
        <c:barDir val="col"/>
        <c:grouping val="clustered"/>
        <c:varyColors val="0"/>
        <c:ser>
          <c:idx val="6"/>
          <c:order val="0"/>
          <c:tx>
            <c:v>GE family</c:v>
          </c:tx>
          <c:spPr>
            <a:solidFill>
              <a:schemeClr val="accent6">
                <a:lumMod val="60000"/>
                <a:lumOff val="40000"/>
              </a:schemeClr>
            </a:solidFill>
            <a:ln>
              <a:solidFill>
                <a:schemeClr val="bg1"/>
              </a:solidFill>
            </a:ln>
          </c:spPr>
          <c:invertIfNegative val="0"/>
          <c:dLbls>
            <c:dLbl>
              <c:idx val="0"/>
              <c:layout>
                <c:manualLayout>
                  <c:x val="9.5655651704967849E-3"/>
                  <c:y val="0"/>
                </c:manualLayout>
              </c:layout>
              <c:tx>
                <c:rich>
                  <a:bodyPr/>
                  <a:lstStyle/>
                  <a:p>
                    <a:r>
                      <a:rPr lang="en-US"/>
                      <a:t>24,4%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663</c:v>
              </c:pt>
            </c:numLit>
          </c:val>
        </c:ser>
        <c:ser>
          <c:idx val="11"/>
          <c:order val="1"/>
          <c:tx>
            <c:v>espace</c:v>
          </c:tx>
          <c:spPr>
            <a:noFill/>
          </c:spPr>
          <c:invertIfNegative val="0"/>
          <c:val>
            <c:numLit>
              <c:formatCode>General</c:formatCode>
              <c:ptCount val="1"/>
              <c:pt idx="0">
                <c:v>1</c:v>
              </c:pt>
            </c:numLit>
          </c:val>
        </c:ser>
        <c:ser>
          <c:idx val="12"/>
          <c:order val="2"/>
          <c:tx>
            <c:v>GE family</c:v>
          </c:tx>
          <c:spPr>
            <a:solidFill>
              <a:schemeClr val="accent6">
                <a:lumMod val="60000"/>
                <a:lumOff val="40000"/>
              </a:schemeClr>
            </a:solidFill>
            <a:ln>
              <a:solidFill>
                <a:schemeClr val="bg1"/>
              </a:solidFill>
            </a:ln>
          </c:spPr>
          <c:invertIfNegative val="0"/>
          <c:dLbls>
            <c:dLbl>
              <c:idx val="0"/>
              <c:layout/>
              <c:tx>
                <c:rich>
                  <a:bodyPr/>
                  <a:lstStyle/>
                  <a:p>
                    <a:r>
                      <a:rPr lang="en-US"/>
                      <a:t>18,6%</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709</c:v>
              </c:pt>
            </c:numLit>
          </c:val>
        </c:ser>
        <c:ser>
          <c:idx val="0"/>
          <c:order val="3"/>
          <c:tx>
            <c:v>espace</c:v>
          </c:tx>
          <c:spPr>
            <a:noFill/>
          </c:spPr>
          <c:invertIfNegative val="0"/>
          <c:val>
            <c:numLit>
              <c:formatCode>General</c:formatCode>
              <c:ptCount val="1"/>
              <c:pt idx="0">
                <c:v>1</c:v>
              </c:pt>
            </c:numLit>
          </c:val>
        </c:ser>
        <c:ser>
          <c:idx val="17"/>
          <c:order val="4"/>
          <c:tx>
            <c:v>GE family</c:v>
          </c:tx>
          <c:spPr>
            <a:solidFill>
              <a:schemeClr val="accent6">
                <a:lumMod val="60000"/>
                <a:lumOff val="40000"/>
              </a:schemeClr>
            </a:solidFill>
            <a:ln>
              <a:solidFill>
                <a:schemeClr val="bg1"/>
              </a:solidFill>
            </a:ln>
          </c:spPr>
          <c:invertIfNegative val="0"/>
          <c:dLbls>
            <c:dLbl>
              <c:idx val="0"/>
              <c:layout/>
              <c:tx>
                <c:rich>
                  <a:bodyPr/>
                  <a:lstStyle/>
                  <a:p>
                    <a:r>
                      <a:rPr lang="en-US"/>
                      <a:t>23,8%</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179</c:v>
              </c:pt>
            </c:numLit>
          </c:val>
        </c:ser>
        <c:dLbls>
          <c:showLegendKey val="0"/>
          <c:showVal val="0"/>
          <c:showCatName val="0"/>
          <c:showSerName val="0"/>
          <c:showPercent val="0"/>
          <c:showBubbleSize val="0"/>
        </c:dLbls>
        <c:gapWidth val="150"/>
        <c:shape val="box"/>
        <c:axId val="69356544"/>
        <c:axId val="69366528"/>
        <c:axId val="0"/>
      </c:bar3DChart>
      <c:catAx>
        <c:axId val="69356544"/>
        <c:scaling>
          <c:orientation val="minMax"/>
        </c:scaling>
        <c:delete val="1"/>
        <c:axPos val="b"/>
        <c:numFmt formatCode="General" sourceLinked="1"/>
        <c:majorTickMark val="out"/>
        <c:minorTickMark val="none"/>
        <c:tickLblPos val="nextTo"/>
        <c:crossAx val="69366528"/>
        <c:crosses val="autoZero"/>
        <c:auto val="1"/>
        <c:lblAlgn val="ctr"/>
        <c:lblOffset val="100"/>
        <c:noMultiLvlLbl val="0"/>
      </c:catAx>
      <c:valAx>
        <c:axId val="69366528"/>
        <c:scaling>
          <c:orientation val="minMax"/>
          <c:max val="4000"/>
          <c:min val="0"/>
        </c:scaling>
        <c:delete val="0"/>
        <c:axPos val="l"/>
        <c:majorGridlines>
          <c:spPr>
            <a:ln>
              <a:noFill/>
            </a:ln>
          </c:spPr>
        </c:majorGridlines>
        <c:numFmt formatCode="General" sourceLinked="1"/>
        <c:majorTickMark val="out"/>
        <c:minorTickMark val="none"/>
        <c:tickLblPos val="nextTo"/>
        <c:crossAx val="69356544"/>
        <c:crosses val="autoZero"/>
        <c:crossBetween val="between"/>
      </c:valAx>
    </c:plotArea>
    <c:plotVisOnly val="1"/>
    <c:dispBlanksAs val="gap"/>
    <c:showDLblsOverMax val="0"/>
  </c:chart>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90"/>
      <c:rAngAx val="0"/>
      <c:perspective val="30"/>
    </c:view3D>
    <c:floor>
      <c:thickness val="0"/>
    </c:floor>
    <c:sideWall>
      <c:thickness val="0"/>
    </c:sideWall>
    <c:backWall>
      <c:thickness val="0"/>
    </c:backWall>
    <c:plotArea>
      <c:layout>
        <c:manualLayout>
          <c:layoutTarget val="inner"/>
          <c:xMode val="edge"/>
          <c:yMode val="edge"/>
          <c:x val="7.304822549474764E-2"/>
          <c:y val="0.23465408072632607"/>
          <c:w val="0.86207389668080259"/>
          <c:h val="0.66428986342109464"/>
        </c:manualLayout>
      </c:layout>
      <c:bar3DChart>
        <c:barDir val="col"/>
        <c:grouping val="clustered"/>
        <c:varyColors val="0"/>
        <c:ser>
          <c:idx val="6"/>
          <c:order val="0"/>
          <c:tx>
            <c:v>GE family</c:v>
          </c:tx>
          <c:spPr>
            <a:solidFill>
              <a:schemeClr val="accent6">
                <a:lumMod val="60000"/>
                <a:lumOff val="40000"/>
              </a:schemeClr>
            </a:solidFill>
            <a:ln>
              <a:solidFill>
                <a:schemeClr val="bg1"/>
              </a:solidFill>
            </a:ln>
          </c:spPr>
          <c:invertIfNegative val="0"/>
          <c:val>
            <c:numLit>
              <c:formatCode>General</c:formatCode>
              <c:ptCount val="1"/>
              <c:pt idx="0">
                <c:v>5.3</c:v>
              </c:pt>
            </c:numLit>
          </c:val>
        </c:ser>
        <c:ser>
          <c:idx val="11"/>
          <c:order val="1"/>
          <c:tx>
            <c:v>espace</c:v>
          </c:tx>
          <c:spPr>
            <a:noFill/>
          </c:spPr>
          <c:invertIfNegative val="0"/>
          <c:val>
            <c:numLit>
              <c:formatCode>General</c:formatCode>
              <c:ptCount val="1"/>
              <c:pt idx="0">
                <c:v>1</c:v>
              </c:pt>
            </c:numLit>
          </c:val>
        </c:ser>
        <c:ser>
          <c:idx val="12"/>
          <c:order val="2"/>
          <c:tx>
            <c:v>GE family</c:v>
          </c:tx>
          <c:spPr>
            <a:solidFill>
              <a:schemeClr val="accent6">
                <a:lumMod val="60000"/>
                <a:lumOff val="40000"/>
              </a:schemeClr>
            </a:solidFill>
            <a:ln>
              <a:solidFill>
                <a:schemeClr val="bg1"/>
              </a:solidFill>
            </a:ln>
          </c:spPr>
          <c:invertIfNegative val="0"/>
          <c:val>
            <c:numLit>
              <c:formatCode>General</c:formatCode>
              <c:ptCount val="1"/>
              <c:pt idx="0">
                <c:v>5</c:v>
              </c:pt>
            </c:numLit>
          </c:val>
        </c:ser>
        <c:ser>
          <c:idx val="0"/>
          <c:order val="3"/>
          <c:tx>
            <c:v>espace</c:v>
          </c:tx>
          <c:spPr>
            <a:noFill/>
          </c:spPr>
          <c:invertIfNegative val="0"/>
          <c:val>
            <c:numLit>
              <c:formatCode>General</c:formatCode>
              <c:ptCount val="1"/>
              <c:pt idx="0">
                <c:v>1</c:v>
              </c:pt>
            </c:numLit>
          </c:val>
        </c:ser>
        <c:ser>
          <c:idx val="17"/>
          <c:order val="4"/>
          <c:tx>
            <c:v>GE family</c:v>
          </c:tx>
          <c:spPr>
            <a:solidFill>
              <a:schemeClr val="accent6">
                <a:lumMod val="60000"/>
                <a:lumOff val="40000"/>
              </a:schemeClr>
            </a:solidFill>
            <a:ln>
              <a:solidFill>
                <a:schemeClr val="bg1"/>
              </a:solidFill>
            </a:ln>
          </c:spPr>
          <c:invertIfNegative val="0"/>
          <c:val>
            <c:numLit>
              <c:formatCode>General</c:formatCode>
              <c:ptCount val="1"/>
              <c:pt idx="0">
                <c:v>4.0999999999999996</c:v>
              </c:pt>
            </c:numLit>
          </c:val>
        </c:ser>
        <c:dLbls>
          <c:showLegendKey val="0"/>
          <c:showVal val="0"/>
          <c:showCatName val="0"/>
          <c:showSerName val="0"/>
          <c:showPercent val="0"/>
          <c:showBubbleSize val="0"/>
        </c:dLbls>
        <c:gapWidth val="150"/>
        <c:shape val="box"/>
        <c:axId val="70179072"/>
        <c:axId val="70057984"/>
        <c:axId val="0"/>
      </c:bar3DChart>
      <c:catAx>
        <c:axId val="70179072"/>
        <c:scaling>
          <c:orientation val="minMax"/>
        </c:scaling>
        <c:delete val="1"/>
        <c:axPos val="b"/>
        <c:numFmt formatCode="General" sourceLinked="1"/>
        <c:majorTickMark val="out"/>
        <c:minorTickMark val="none"/>
        <c:tickLblPos val="nextTo"/>
        <c:crossAx val="70057984"/>
        <c:crosses val="autoZero"/>
        <c:auto val="1"/>
        <c:lblAlgn val="ctr"/>
        <c:lblOffset val="100"/>
        <c:noMultiLvlLbl val="0"/>
      </c:catAx>
      <c:valAx>
        <c:axId val="70057984"/>
        <c:scaling>
          <c:orientation val="minMax"/>
          <c:max val="6"/>
          <c:min val="0"/>
        </c:scaling>
        <c:delete val="0"/>
        <c:axPos val="l"/>
        <c:majorGridlines>
          <c:spPr>
            <a:ln>
              <a:noFill/>
            </a:ln>
          </c:spPr>
        </c:majorGridlines>
        <c:numFmt formatCode="General" sourceLinked="1"/>
        <c:majorTickMark val="out"/>
        <c:minorTickMark val="none"/>
        <c:tickLblPos val="nextTo"/>
        <c:crossAx val="70179072"/>
        <c:crosses val="autoZero"/>
        <c:crossBetween val="between"/>
      </c:valAx>
    </c:plotArea>
    <c:plotVisOnly val="1"/>
    <c:dispBlanksAs val="gap"/>
    <c:showDLblsOverMax val="0"/>
  </c:chart>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90"/>
      <c:rAngAx val="0"/>
      <c:perspective val="30"/>
    </c:view3D>
    <c:floor>
      <c:thickness val="0"/>
    </c:floor>
    <c:sideWall>
      <c:thickness val="0"/>
    </c:sideWall>
    <c:backWall>
      <c:thickness val="0"/>
    </c:backWall>
    <c:plotArea>
      <c:layout>
        <c:manualLayout>
          <c:layoutTarget val="inner"/>
          <c:xMode val="edge"/>
          <c:yMode val="edge"/>
          <c:x val="0.10534156042907097"/>
          <c:y val="0.28326649168853896"/>
          <c:w val="0.81091489009771522"/>
          <c:h val="0.62073504086262776"/>
        </c:manualLayout>
      </c:layout>
      <c:bar3DChart>
        <c:barDir val="col"/>
        <c:grouping val="clustered"/>
        <c:varyColors val="0"/>
        <c:ser>
          <c:idx val="6"/>
          <c:order val="0"/>
          <c:tx>
            <c:v>GE family</c:v>
          </c:tx>
          <c:spPr>
            <a:solidFill>
              <a:schemeClr val="accent6">
                <a:lumMod val="60000"/>
                <a:lumOff val="40000"/>
              </a:schemeClr>
            </a:solidFill>
            <a:ln>
              <a:solidFill>
                <a:schemeClr val="bg1"/>
              </a:solidFill>
            </a:ln>
          </c:spPr>
          <c:invertIfNegative val="0"/>
          <c:val>
            <c:numLit>
              <c:formatCode>General</c:formatCode>
              <c:ptCount val="1"/>
              <c:pt idx="0">
                <c:v>13.3</c:v>
              </c:pt>
            </c:numLit>
          </c:val>
        </c:ser>
        <c:ser>
          <c:idx val="11"/>
          <c:order val="1"/>
          <c:tx>
            <c:v>espace</c:v>
          </c:tx>
          <c:spPr>
            <a:noFill/>
          </c:spPr>
          <c:invertIfNegative val="0"/>
          <c:val>
            <c:numLit>
              <c:formatCode>General</c:formatCode>
              <c:ptCount val="1"/>
              <c:pt idx="0">
                <c:v>1</c:v>
              </c:pt>
            </c:numLit>
          </c:val>
        </c:ser>
        <c:ser>
          <c:idx val="12"/>
          <c:order val="2"/>
          <c:tx>
            <c:v>GE family</c:v>
          </c:tx>
          <c:spPr>
            <a:solidFill>
              <a:schemeClr val="accent6">
                <a:lumMod val="60000"/>
                <a:lumOff val="40000"/>
              </a:schemeClr>
            </a:solidFill>
            <a:ln>
              <a:solidFill>
                <a:schemeClr val="bg1"/>
              </a:solidFill>
            </a:ln>
          </c:spPr>
          <c:invertIfNegative val="0"/>
          <c:val>
            <c:numLit>
              <c:formatCode>General</c:formatCode>
              <c:ptCount val="1"/>
              <c:pt idx="0">
                <c:v>13.3</c:v>
              </c:pt>
            </c:numLit>
          </c:val>
        </c:ser>
        <c:ser>
          <c:idx val="0"/>
          <c:order val="3"/>
          <c:tx>
            <c:v>espace</c:v>
          </c:tx>
          <c:spPr>
            <a:noFill/>
          </c:spPr>
          <c:invertIfNegative val="0"/>
          <c:val>
            <c:numLit>
              <c:formatCode>General</c:formatCode>
              <c:ptCount val="1"/>
              <c:pt idx="0">
                <c:v>1</c:v>
              </c:pt>
            </c:numLit>
          </c:val>
        </c:ser>
        <c:ser>
          <c:idx val="17"/>
          <c:order val="4"/>
          <c:tx>
            <c:v>GE family</c:v>
          </c:tx>
          <c:spPr>
            <a:solidFill>
              <a:schemeClr val="accent6">
                <a:lumMod val="60000"/>
                <a:lumOff val="40000"/>
              </a:schemeClr>
            </a:solidFill>
            <a:ln>
              <a:solidFill>
                <a:schemeClr val="bg1"/>
              </a:solidFill>
            </a:ln>
          </c:spPr>
          <c:invertIfNegative val="0"/>
          <c:val>
            <c:numLit>
              <c:formatCode>General</c:formatCode>
              <c:ptCount val="1"/>
              <c:pt idx="0">
                <c:v>14.5</c:v>
              </c:pt>
            </c:numLit>
          </c:val>
        </c:ser>
        <c:dLbls>
          <c:showLegendKey val="0"/>
          <c:showVal val="0"/>
          <c:showCatName val="0"/>
          <c:showSerName val="0"/>
          <c:showPercent val="0"/>
          <c:showBubbleSize val="0"/>
        </c:dLbls>
        <c:gapWidth val="150"/>
        <c:shape val="box"/>
        <c:axId val="70505984"/>
        <c:axId val="70507520"/>
        <c:axId val="0"/>
      </c:bar3DChart>
      <c:catAx>
        <c:axId val="70505984"/>
        <c:scaling>
          <c:orientation val="minMax"/>
        </c:scaling>
        <c:delete val="1"/>
        <c:axPos val="b"/>
        <c:numFmt formatCode="General" sourceLinked="1"/>
        <c:majorTickMark val="out"/>
        <c:minorTickMark val="none"/>
        <c:tickLblPos val="nextTo"/>
        <c:crossAx val="70507520"/>
        <c:crosses val="autoZero"/>
        <c:auto val="1"/>
        <c:lblAlgn val="ctr"/>
        <c:lblOffset val="100"/>
        <c:noMultiLvlLbl val="0"/>
      </c:catAx>
      <c:valAx>
        <c:axId val="70507520"/>
        <c:scaling>
          <c:orientation val="minMax"/>
          <c:max val="100"/>
          <c:min val="0"/>
        </c:scaling>
        <c:delete val="0"/>
        <c:axPos val="l"/>
        <c:majorGridlines>
          <c:spPr>
            <a:ln>
              <a:noFill/>
            </a:ln>
          </c:spPr>
        </c:majorGridlines>
        <c:numFmt formatCode="General" sourceLinked="1"/>
        <c:majorTickMark val="out"/>
        <c:minorTickMark val="none"/>
        <c:tickLblPos val="nextTo"/>
        <c:crossAx val="70505984"/>
        <c:crosses val="autoZero"/>
        <c:crossBetween val="between"/>
      </c:valAx>
    </c:plotArea>
    <c:plotVisOnly val="1"/>
    <c:dispBlanksAs val="gap"/>
    <c:showDLblsOverMax val="0"/>
  </c:chart>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90"/>
      <c:rAngAx val="0"/>
      <c:perspective val="30"/>
    </c:view3D>
    <c:floor>
      <c:thickness val="0"/>
    </c:floor>
    <c:sideWall>
      <c:thickness val="0"/>
    </c:sideWall>
    <c:backWall>
      <c:thickness val="0"/>
    </c:backWall>
    <c:plotArea>
      <c:layout>
        <c:manualLayout>
          <c:layoutTarget val="inner"/>
          <c:xMode val="edge"/>
          <c:yMode val="edge"/>
          <c:x val="0.12168133126414302"/>
          <c:y val="0.23350642108056177"/>
          <c:w val="0.84288923957255979"/>
          <c:h val="0.66866531683539554"/>
        </c:manualLayout>
      </c:layout>
      <c:bar3DChart>
        <c:barDir val="col"/>
        <c:grouping val="clustered"/>
        <c:varyColors val="0"/>
        <c:ser>
          <c:idx val="12"/>
          <c:order val="0"/>
          <c:tx>
            <c:v>AA family</c:v>
          </c:tx>
          <c:spPr>
            <a:solidFill>
              <a:schemeClr val="accent2">
                <a:lumMod val="50000"/>
              </a:schemeClr>
            </a:solidFill>
            <a:ln>
              <a:solidFill>
                <a:schemeClr val="bg1"/>
              </a:solidFill>
            </a:ln>
          </c:spPr>
          <c:invertIfNegative val="0"/>
          <c:dLbls>
            <c:dLbl>
              <c:idx val="0"/>
              <c:layout>
                <c:manualLayout>
                  <c:x val="1.5942608617494639E-2"/>
                  <c:y val="-1.750547649183359E-2"/>
                </c:manualLayout>
              </c:layout>
              <c:tx>
                <c:rich>
                  <a:bodyPr/>
                  <a:lstStyle/>
                  <a:p>
                    <a:r>
                      <a:rPr lang="en-US"/>
                      <a:t>4,4%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169</c:v>
              </c:pt>
            </c:numLit>
          </c:val>
        </c:ser>
        <c:ser>
          <c:idx val="0"/>
          <c:order val="1"/>
          <c:tx>
            <c:v>espace</c:v>
          </c:tx>
          <c:spPr>
            <a:noFill/>
          </c:spPr>
          <c:invertIfNegative val="0"/>
          <c:val>
            <c:numLit>
              <c:formatCode>General</c:formatCode>
              <c:ptCount val="1"/>
              <c:pt idx="0">
                <c:v>1</c:v>
              </c:pt>
            </c:numLit>
          </c:val>
        </c:ser>
        <c:ser>
          <c:idx val="17"/>
          <c:order val="2"/>
          <c:tx>
            <c:v>AA family</c:v>
          </c:tx>
          <c:spPr>
            <a:solidFill>
              <a:schemeClr val="accent2">
                <a:lumMod val="50000"/>
              </a:schemeClr>
            </a:solidFill>
          </c:spPr>
          <c:invertIfNegative val="0"/>
          <c:dLbls>
            <c:dLbl>
              <c:idx val="0"/>
              <c:layout>
                <c:manualLayout>
                  <c:x val="-6.377043446997856E-3"/>
                  <c:y val="-1.3129107368875194E-2"/>
                </c:manualLayout>
              </c:layout>
              <c:tx>
                <c:rich>
                  <a:bodyPr/>
                  <a:lstStyle/>
                  <a:p>
                    <a:r>
                      <a:rPr lang="en-US"/>
                      <a:t>5,9%</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44</c:v>
              </c:pt>
            </c:numLit>
          </c:val>
        </c:ser>
        <c:dLbls>
          <c:showLegendKey val="0"/>
          <c:showVal val="0"/>
          <c:showCatName val="0"/>
          <c:showSerName val="0"/>
          <c:showPercent val="0"/>
          <c:showBubbleSize val="0"/>
        </c:dLbls>
        <c:gapWidth val="150"/>
        <c:shape val="box"/>
        <c:axId val="70853760"/>
        <c:axId val="70855296"/>
        <c:axId val="0"/>
      </c:bar3DChart>
      <c:catAx>
        <c:axId val="70853760"/>
        <c:scaling>
          <c:orientation val="minMax"/>
        </c:scaling>
        <c:delete val="1"/>
        <c:axPos val="b"/>
        <c:numFmt formatCode="General" sourceLinked="1"/>
        <c:majorTickMark val="out"/>
        <c:minorTickMark val="none"/>
        <c:tickLblPos val="nextTo"/>
        <c:crossAx val="70855296"/>
        <c:crosses val="autoZero"/>
        <c:auto val="1"/>
        <c:lblAlgn val="ctr"/>
        <c:lblOffset val="100"/>
        <c:noMultiLvlLbl val="0"/>
      </c:catAx>
      <c:valAx>
        <c:axId val="70855296"/>
        <c:scaling>
          <c:orientation val="minMax"/>
          <c:max val="4000"/>
          <c:min val="0"/>
        </c:scaling>
        <c:delete val="0"/>
        <c:axPos val="l"/>
        <c:majorGridlines>
          <c:spPr>
            <a:ln>
              <a:noFill/>
            </a:ln>
          </c:spPr>
        </c:majorGridlines>
        <c:numFmt formatCode="General" sourceLinked="1"/>
        <c:majorTickMark val="out"/>
        <c:minorTickMark val="none"/>
        <c:tickLblPos val="nextTo"/>
        <c:crossAx val="70853760"/>
        <c:crosses val="autoZero"/>
        <c:crossBetween val="between"/>
      </c:valAx>
    </c:plotArea>
    <c:plotVisOnly val="1"/>
    <c:dispBlanksAs val="gap"/>
    <c:showDLblsOverMax val="0"/>
  </c:chart>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90"/>
      <c:rAngAx val="0"/>
      <c:perspective val="30"/>
    </c:view3D>
    <c:floor>
      <c:thickness val="0"/>
    </c:floor>
    <c:sideWall>
      <c:thickness val="0"/>
    </c:sideWall>
    <c:backWall>
      <c:thickness val="0"/>
    </c:backWall>
    <c:plotArea>
      <c:layout>
        <c:manualLayout>
          <c:layoutTarget val="inner"/>
          <c:xMode val="edge"/>
          <c:yMode val="edge"/>
          <c:x val="7.304822549474764E-2"/>
          <c:y val="0.24781370351437831"/>
          <c:w val="0.8562137644124107"/>
          <c:h val="0.63025694391065024"/>
        </c:manualLayout>
      </c:layout>
      <c:bar3DChart>
        <c:barDir val="col"/>
        <c:grouping val="clustered"/>
        <c:varyColors val="0"/>
        <c:ser>
          <c:idx val="12"/>
          <c:order val="0"/>
          <c:tx>
            <c:v>AA family</c:v>
          </c:tx>
          <c:spPr>
            <a:solidFill>
              <a:schemeClr val="accent2">
                <a:lumMod val="50000"/>
              </a:schemeClr>
            </a:solidFill>
            <a:ln>
              <a:solidFill>
                <a:schemeClr val="bg1"/>
              </a:solidFill>
            </a:ln>
          </c:spPr>
          <c:invertIfNegative val="0"/>
          <c:val>
            <c:numLit>
              <c:formatCode>General</c:formatCode>
              <c:ptCount val="1"/>
              <c:pt idx="0">
                <c:v>1.8</c:v>
              </c:pt>
            </c:numLit>
          </c:val>
        </c:ser>
        <c:ser>
          <c:idx val="0"/>
          <c:order val="1"/>
          <c:tx>
            <c:v>espace</c:v>
          </c:tx>
          <c:spPr>
            <a:noFill/>
          </c:spPr>
          <c:invertIfNegative val="0"/>
          <c:val>
            <c:numLit>
              <c:formatCode>General</c:formatCode>
              <c:ptCount val="1"/>
              <c:pt idx="0">
                <c:v>1</c:v>
              </c:pt>
            </c:numLit>
          </c:val>
        </c:ser>
        <c:ser>
          <c:idx val="17"/>
          <c:order val="2"/>
          <c:tx>
            <c:v>AA family</c:v>
          </c:tx>
          <c:spPr>
            <a:solidFill>
              <a:schemeClr val="accent2">
                <a:lumMod val="50000"/>
              </a:schemeClr>
            </a:solidFill>
            <a:ln>
              <a:solidFill>
                <a:schemeClr val="bg1"/>
              </a:solidFill>
            </a:ln>
          </c:spPr>
          <c:invertIfNegative val="0"/>
          <c:val>
            <c:numLit>
              <c:formatCode>General</c:formatCode>
              <c:ptCount val="1"/>
              <c:pt idx="0">
                <c:v>1.5</c:v>
              </c:pt>
            </c:numLit>
          </c:val>
        </c:ser>
        <c:dLbls>
          <c:showLegendKey val="0"/>
          <c:showVal val="0"/>
          <c:showCatName val="0"/>
          <c:showSerName val="0"/>
          <c:showPercent val="0"/>
          <c:showBubbleSize val="0"/>
        </c:dLbls>
        <c:gapWidth val="150"/>
        <c:shape val="box"/>
        <c:axId val="72424064"/>
        <c:axId val="72425856"/>
        <c:axId val="0"/>
      </c:bar3DChart>
      <c:catAx>
        <c:axId val="72424064"/>
        <c:scaling>
          <c:orientation val="minMax"/>
        </c:scaling>
        <c:delete val="1"/>
        <c:axPos val="b"/>
        <c:numFmt formatCode="General" sourceLinked="1"/>
        <c:majorTickMark val="out"/>
        <c:minorTickMark val="none"/>
        <c:tickLblPos val="nextTo"/>
        <c:crossAx val="72425856"/>
        <c:crosses val="autoZero"/>
        <c:auto val="1"/>
        <c:lblAlgn val="ctr"/>
        <c:lblOffset val="100"/>
        <c:noMultiLvlLbl val="0"/>
      </c:catAx>
      <c:valAx>
        <c:axId val="72425856"/>
        <c:scaling>
          <c:orientation val="minMax"/>
          <c:max val="6"/>
          <c:min val="0"/>
        </c:scaling>
        <c:delete val="0"/>
        <c:axPos val="l"/>
        <c:majorGridlines>
          <c:spPr>
            <a:ln>
              <a:noFill/>
            </a:ln>
          </c:spPr>
        </c:majorGridlines>
        <c:numFmt formatCode="General" sourceLinked="1"/>
        <c:majorTickMark val="out"/>
        <c:minorTickMark val="none"/>
        <c:tickLblPos val="nextTo"/>
        <c:crossAx val="72424064"/>
        <c:crosses val="autoZero"/>
        <c:crossBetween val="between"/>
      </c:valAx>
    </c:plotArea>
    <c:plotVisOnly val="1"/>
    <c:dispBlanksAs val="gap"/>
    <c:showDLblsOverMax val="0"/>
  </c:chart>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90"/>
      <c:rAngAx val="0"/>
      <c:perspective val="30"/>
    </c:view3D>
    <c:floor>
      <c:thickness val="0"/>
    </c:floor>
    <c:sideWall>
      <c:thickness val="0"/>
    </c:sideWall>
    <c:backWall>
      <c:thickness val="0"/>
    </c:backWall>
    <c:plotArea>
      <c:layout>
        <c:manualLayout>
          <c:layoutTarget val="inner"/>
          <c:xMode val="edge"/>
          <c:yMode val="edge"/>
          <c:x val="8.9850612170811722E-2"/>
          <c:y val="0.24676978332276542"/>
          <c:w val="0.89438975932564768"/>
          <c:h val="0.6493356335908782"/>
        </c:manualLayout>
      </c:layout>
      <c:bar3DChart>
        <c:barDir val="col"/>
        <c:grouping val="clustered"/>
        <c:varyColors val="0"/>
        <c:ser>
          <c:idx val="12"/>
          <c:order val="0"/>
          <c:tx>
            <c:v>AA family</c:v>
          </c:tx>
          <c:spPr>
            <a:solidFill>
              <a:schemeClr val="accent2">
                <a:lumMod val="50000"/>
              </a:schemeClr>
            </a:solidFill>
            <a:ln>
              <a:solidFill>
                <a:schemeClr val="bg1"/>
              </a:solidFill>
            </a:ln>
          </c:spPr>
          <c:invertIfNegative val="0"/>
          <c:val>
            <c:numLit>
              <c:formatCode>General</c:formatCode>
              <c:ptCount val="1"/>
              <c:pt idx="0">
                <c:v>60.9</c:v>
              </c:pt>
            </c:numLit>
          </c:val>
        </c:ser>
        <c:ser>
          <c:idx val="0"/>
          <c:order val="1"/>
          <c:tx>
            <c:v>espace</c:v>
          </c:tx>
          <c:spPr>
            <a:noFill/>
          </c:spPr>
          <c:invertIfNegative val="0"/>
          <c:val>
            <c:numLit>
              <c:formatCode>General</c:formatCode>
              <c:ptCount val="1"/>
              <c:pt idx="0">
                <c:v>1</c:v>
              </c:pt>
            </c:numLit>
          </c:val>
        </c:ser>
        <c:ser>
          <c:idx val="17"/>
          <c:order val="2"/>
          <c:tx>
            <c:v>AA family</c:v>
          </c:tx>
          <c:spPr>
            <a:solidFill>
              <a:schemeClr val="accent2">
                <a:lumMod val="50000"/>
              </a:schemeClr>
            </a:solidFill>
            <a:ln>
              <a:solidFill>
                <a:schemeClr val="bg1"/>
              </a:solidFill>
            </a:ln>
          </c:spPr>
          <c:invertIfNegative val="0"/>
          <c:val>
            <c:numLit>
              <c:formatCode>General</c:formatCode>
              <c:ptCount val="1"/>
              <c:pt idx="0">
                <c:v>45.5</c:v>
              </c:pt>
            </c:numLit>
          </c:val>
        </c:ser>
        <c:dLbls>
          <c:showLegendKey val="0"/>
          <c:showVal val="0"/>
          <c:showCatName val="0"/>
          <c:showSerName val="0"/>
          <c:showPercent val="0"/>
          <c:showBubbleSize val="0"/>
        </c:dLbls>
        <c:gapWidth val="150"/>
        <c:shape val="box"/>
        <c:axId val="72990720"/>
        <c:axId val="72992256"/>
        <c:axId val="0"/>
      </c:bar3DChart>
      <c:catAx>
        <c:axId val="72990720"/>
        <c:scaling>
          <c:orientation val="minMax"/>
        </c:scaling>
        <c:delete val="1"/>
        <c:axPos val="b"/>
        <c:numFmt formatCode="General" sourceLinked="1"/>
        <c:majorTickMark val="out"/>
        <c:minorTickMark val="none"/>
        <c:tickLblPos val="nextTo"/>
        <c:crossAx val="72992256"/>
        <c:crosses val="autoZero"/>
        <c:auto val="1"/>
        <c:lblAlgn val="ctr"/>
        <c:lblOffset val="100"/>
        <c:noMultiLvlLbl val="0"/>
      </c:catAx>
      <c:valAx>
        <c:axId val="72992256"/>
        <c:scaling>
          <c:orientation val="minMax"/>
          <c:max val="100"/>
          <c:min val="0"/>
        </c:scaling>
        <c:delete val="0"/>
        <c:axPos val="l"/>
        <c:majorGridlines>
          <c:spPr>
            <a:ln>
              <a:noFill/>
            </a:ln>
          </c:spPr>
        </c:majorGridlines>
        <c:numFmt formatCode="General" sourceLinked="1"/>
        <c:majorTickMark val="out"/>
        <c:minorTickMark val="none"/>
        <c:tickLblPos val="nextTo"/>
        <c:crossAx val="72990720"/>
        <c:crosses val="autoZero"/>
        <c:crossBetween val="between"/>
      </c:valAx>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100"/>
      <c:rAngAx val="0"/>
      <c:perspective val="30"/>
    </c:view3D>
    <c:floor>
      <c:thickness val="0"/>
    </c:floor>
    <c:sideWall>
      <c:thickness val="0"/>
    </c:sideWall>
    <c:backWall>
      <c:thickness val="0"/>
    </c:backWall>
    <c:plotArea>
      <c:layout>
        <c:manualLayout>
          <c:layoutTarget val="inner"/>
          <c:xMode val="edge"/>
          <c:yMode val="edge"/>
          <c:x val="0.15660676488019643"/>
          <c:y val="0.23355668049107969"/>
          <c:w val="0.77711243755820836"/>
          <c:h val="0.65460123891374"/>
        </c:manualLayout>
      </c:layout>
      <c:bar3DChart>
        <c:barDir val="col"/>
        <c:grouping val="clustered"/>
        <c:varyColors val="0"/>
        <c:ser>
          <c:idx val="0"/>
          <c:order val="0"/>
          <c:tx>
            <c:v>Total number of international registrations</c:v>
          </c:tx>
          <c:spPr>
            <a:solidFill>
              <a:srgbClr val="4D8FF1"/>
            </a:solidFill>
            <a:ln>
              <a:solidFill>
                <a:schemeClr val="bg1"/>
              </a:solidFill>
            </a:ln>
          </c:spPr>
          <c:invertIfNegative val="0"/>
          <c:dLbls>
            <c:showLegendKey val="0"/>
            <c:showVal val="1"/>
            <c:showCatName val="0"/>
            <c:showSerName val="0"/>
            <c:showPercent val="0"/>
            <c:showBubbleSize val="0"/>
            <c:showLeaderLines val="0"/>
          </c:dLbls>
          <c:cat>
            <c:numLit>
              <c:formatCode>General</c:formatCode>
              <c:ptCount val="1"/>
              <c:pt idx="0">
                <c:v>2014</c:v>
              </c:pt>
            </c:numLit>
          </c:cat>
          <c:val>
            <c:numLit>
              <c:formatCode>General</c:formatCode>
              <c:ptCount val="1"/>
              <c:pt idx="0">
                <c:v>2719</c:v>
              </c:pt>
            </c:numLit>
          </c:val>
        </c:ser>
        <c:ser>
          <c:idx val="7"/>
          <c:order val="1"/>
          <c:tx>
            <c:v>espace</c:v>
          </c:tx>
          <c:spPr>
            <a:noFill/>
          </c:spPr>
          <c:invertIfNegative val="0"/>
          <c:val>
            <c:numLit>
              <c:formatCode>General</c:formatCode>
              <c:ptCount val="1"/>
              <c:pt idx="0">
                <c:v>1</c:v>
              </c:pt>
            </c:numLit>
          </c:val>
        </c:ser>
        <c:ser>
          <c:idx val="3"/>
          <c:order val="2"/>
          <c:spPr>
            <a:solidFill>
              <a:srgbClr val="4D8FF1"/>
            </a:solidFill>
            <a:ln>
              <a:solidFill>
                <a:schemeClr val="bg1"/>
              </a:solidFill>
            </a:ln>
          </c:spPr>
          <c:invertIfNegative val="0"/>
          <c:dLbls>
            <c:showLegendKey val="0"/>
            <c:showVal val="1"/>
            <c:showCatName val="0"/>
            <c:showSerName val="0"/>
            <c:showPercent val="0"/>
            <c:showBubbleSize val="0"/>
            <c:showLeaderLines val="0"/>
          </c:dLbls>
          <c:cat>
            <c:numLit>
              <c:formatCode>General</c:formatCode>
              <c:ptCount val="1"/>
              <c:pt idx="0">
                <c:v>2014</c:v>
              </c:pt>
            </c:numLit>
          </c:cat>
          <c:val>
            <c:numLit>
              <c:formatCode>General</c:formatCode>
              <c:ptCount val="1"/>
              <c:pt idx="0">
                <c:v>3821</c:v>
              </c:pt>
            </c:numLit>
          </c:val>
        </c:ser>
        <c:ser>
          <c:idx val="6"/>
          <c:order val="3"/>
          <c:tx>
            <c:v>espace</c:v>
          </c:tx>
          <c:spPr>
            <a:noFill/>
          </c:spPr>
          <c:invertIfNegative val="0"/>
          <c:val>
            <c:numLit>
              <c:formatCode>General</c:formatCode>
              <c:ptCount val="1"/>
              <c:pt idx="0">
                <c:v>1</c:v>
              </c:pt>
            </c:numLit>
          </c:val>
        </c:ser>
        <c:ser>
          <c:idx val="4"/>
          <c:order val="4"/>
          <c:spPr>
            <a:solidFill>
              <a:srgbClr val="4D8FF1"/>
            </a:solidFill>
            <a:ln>
              <a:solidFill>
                <a:schemeClr val="bg1"/>
              </a:solidFill>
            </a:ln>
          </c:spPr>
          <c:invertIfNegative val="0"/>
          <c:dLbls>
            <c:showLegendKey val="0"/>
            <c:showVal val="1"/>
            <c:showCatName val="0"/>
            <c:showSerName val="0"/>
            <c:showPercent val="0"/>
            <c:showBubbleSize val="0"/>
            <c:showLeaderLines val="0"/>
          </c:dLbls>
          <c:cat>
            <c:numLit>
              <c:formatCode>General</c:formatCode>
              <c:ptCount val="1"/>
              <c:pt idx="0">
                <c:v>2014</c:v>
              </c:pt>
            </c:numLit>
          </c:cat>
          <c:val>
            <c:numLit>
              <c:formatCode>General</c:formatCode>
              <c:ptCount val="1"/>
              <c:pt idx="0">
                <c:v>752</c:v>
              </c:pt>
            </c:numLit>
          </c:val>
        </c:ser>
        <c:dLbls>
          <c:showLegendKey val="0"/>
          <c:showVal val="0"/>
          <c:showCatName val="0"/>
          <c:showSerName val="0"/>
          <c:showPercent val="0"/>
          <c:showBubbleSize val="0"/>
        </c:dLbls>
        <c:gapWidth val="150"/>
        <c:shape val="box"/>
        <c:axId val="34406784"/>
        <c:axId val="34408320"/>
        <c:axId val="0"/>
      </c:bar3DChart>
      <c:catAx>
        <c:axId val="34406784"/>
        <c:scaling>
          <c:orientation val="minMax"/>
        </c:scaling>
        <c:delete val="1"/>
        <c:axPos val="b"/>
        <c:numFmt formatCode="General" sourceLinked="1"/>
        <c:majorTickMark val="out"/>
        <c:minorTickMark val="none"/>
        <c:tickLblPos val="nextTo"/>
        <c:crossAx val="34408320"/>
        <c:crosses val="autoZero"/>
        <c:auto val="1"/>
        <c:lblAlgn val="ctr"/>
        <c:lblOffset val="100"/>
        <c:noMultiLvlLbl val="0"/>
      </c:catAx>
      <c:valAx>
        <c:axId val="34408320"/>
        <c:scaling>
          <c:orientation val="minMax"/>
        </c:scaling>
        <c:delete val="0"/>
        <c:axPos val="l"/>
        <c:majorGridlines>
          <c:spPr>
            <a:ln>
              <a:noFill/>
            </a:ln>
          </c:spPr>
        </c:majorGridlines>
        <c:numFmt formatCode="General" sourceLinked="1"/>
        <c:majorTickMark val="out"/>
        <c:minorTickMark val="none"/>
        <c:tickLblPos val="nextTo"/>
        <c:crossAx val="34406784"/>
        <c:crosses val="autoZero"/>
        <c:crossBetween val="between"/>
      </c:valAx>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90"/>
      <c:rAngAx val="0"/>
      <c:perspective val="30"/>
    </c:view3D>
    <c:floor>
      <c:thickness val="0"/>
    </c:floor>
    <c:sideWall>
      <c:thickness val="0"/>
    </c:sideWall>
    <c:backWall>
      <c:thickness val="0"/>
    </c:backWall>
    <c:plotArea>
      <c:layout>
        <c:manualLayout>
          <c:layoutTarget val="inner"/>
          <c:xMode val="edge"/>
          <c:yMode val="edge"/>
          <c:x val="6.2101703325989056E-2"/>
          <c:y val="0.22827808560966917"/>
          <c:w val="0.93789835045453751"/>
          <c:h val="0.67524545542918257"/>
        </c:manualLayout>
      </c:layout>
      <c:bar3DChart>
        <c:barDir val="col"/>
        <c:grouping val="clustered"/>
        <c:varyColors val="0"/>
        <c:ser>
          <c:idx val="12"/>
          <c:order val="0"/>
          <c:tx>
            <c:v>EUIPO</c:v>
          </c:tx>
          <c:spPr>
            <a:solidFill>
              <a:srgbClr val="00B0F0"/>
            </a:solidFill>
            <a:ln>
              <a:solidFill>
                <a:schemeClr val="bg1"/>
              </a:solidFill>
            </a:ln>
          </c:spPr>
          <c:invertIfNegative val="0"/>
          <c:val>
            <c:numLit>
              <c:formatCode>General</c:formatCode>
              <c:ptCount val="1"/>
              <c:pt idx="0">
                <c:v>432</c:v>
              </c:pt>
            </c:numLit>
          </c:val>
        </c:ser>
        <c:ser>
          <c:idx val="14"/>
          <c:order val="1"/>
          <c:tx>
            <c:v>USPTO</c:v>
          </c:tx>
          <c:spPr>
            <a:solidFill>
              <a:srgbClr val="800080"/>
            </a:solidFill>
            <a:ln>
              <a:solidFill>
                <a:schemeClr val="bg1"/>
              </a:solidFill>
            </a:ln>
          </c:spPr>
          <c:invertIfNegative val="0"/>
          <c:val>
            <c:numLit>
              <c:formatCode>General</c:formatCode>
              <c:ptCount val="1"/>
              <c:pt idx="0">
                <c:v>119</c:v>
              </c:pt>
            </c:numLit>
          </c:val>
        </c:ser>
        <c:ser>
          <c:idx val="15"/>
          <c:order val="2"/>
          <c:tx>
            <c:v>DPMA</c:v>
          </c:tx>
          <c:spPr>
            <a:solidFill>
              <a:srgbClr val="FFC000"/>
            </a:solidFill>
            <a:ln>
              <a:solidFill>
                <a:schemeClr val="bg1"/>
              </a:solidFill>
            </a:ln>
          </c:spPr>
          <c:invertIfNegative val="0"/>
          <c:val>
            <c:numLit>
              <c:formatCode>General</c:formatCode>
              <c:ptCount val="1"/>
              <c:pt idx="0">
                <c:v>80</c:v>
              </c:pt>
            </c:numLit>
          </c:val>
        </c:ser>
        <c:ser>
          <c:idx val="13"/>
          <c:order val="3"/>
          <c:tx>
            <c:v>SFIIP</c:v>
          </c:tx>
          <c:spPr>
            <a:solidFill>
              <a:srgbClr val="FF0000"/>
            </a:solidFill>
            <a:ln>
              <a:solidFill>
                <a:schemeClr val="bg1"/>
              </a:solidFill>
            </a:ln>
          </c:spPr>
          <c:invertIfNegative val="0"/>
          <c:val>
            <c:numLit>
              <c:formatCode>General</c:formatCode>
              <c:ptCount val="1"/>
              <c:pt idx="0">
                <c:v>66</c:v>
              </c:pt>
            </c:numLit>
          </c:val>
        </c:ser>
        <c:ser>
          <c:idx val="16"/>
          <c:order val="4"/>
          <c:tx>
            <c:v>KIPO</c:v>
          </c:tx>
          <c:spPr>
            <a:solidFill>
              <a:srgbClr val="009999"/>
            </a:solidFill>
            <a:ln>
              <a:solidFill>
                <a:schemeClr val="bg1"/>
              </a:solidFill>
            </a:ln>
          </c:spPr>
          <c:invertIfNegative val="0"/>
          <c:val>
            <c:numLit>
              <c:formatCode>General</c:formatCode>
              <c:ptCount val="1"/>
              <c:pt idx="0">
                <c:v>56</c:v>
              </c:pt>
            </c:numLit>
          </c:val>
        </c:ser>
        <c:ser>
          <c:idx val="17"/>
          <c:order val="5"/>
          <c:tx>
            <c:v>Others</c:v>
          </c:tx>
          <c:spPr>
            <a:solidFill>
              <a:schemeClr val="bg1">
                <a:lumMod val="85000"/>
              </a:schemeClr>
            </a:solidFill>
            <a:ln>
              <a:noFill/>
            </a:ln>
          </c:spPr>
          <c:invertIfNegative val="0"/>
          <c:val>
            <c:numLit>
              <c:formatCode>General</c:formatCode>
              <c:ptCount val="1"/>
              <c:pt idx="0">
                <c:v>229</c:v>
              </c:pt>
            </c:numLit>
          </c:val>
        </c:ser>
        <c:ser>
          <c:idx val="11"/>
          <c:order val="6"/>
          <c:tx>
            <c:v>espace</c:v>
          </c:tx>
          <c:spPr>
            <a:noFill/>
            <a:ln>
              <a:noFill/>
            </a:ln>
          </c:spPr>
          <c:invertIfNegative val="0"/>
          <c:val>
            <c:numLit>
              <c:formatCode>General</c:formatCode>
              <c:ptCount val="1"/>
              <c:pt idx="0">
                <c:v>1</c:v>
              </c:pt>
            </c:numLit>
          </c:val>
        </c:ser>
        <c:ser>
          <c:idx val="0"/>
          <c:order val="7"/>
          <c:tx>
            <c:v>EUIPO</c:v>
          </c:tx>
          <c:spPr>
            <a:solidFill>
              <a:srgbClr val="00B0F0"/>
            </a:solidFill>
            <a:ln>
              <a:solidFill>
                <a:schemeClr val="bg1"/>
              </a:solidFill>
            </a:ln>
          </c:spPr>
          <c:invertIfNegative val="0"/>
          <c:val>
            <c:numLit>
              <c:formatCode>General</c:formatCode>
              <c:ptCount val="1"/>
              <c:pt idx="0">
                <c:v>611</c:v>
              </c:pt>
            </c:numLit>
          </c:val>
        </c:ser>
        <c:ser>
          <c:idx val="1"/>
          <c:order val="8"/>
          <c:tx>
            <c:v>KIPO</c:v>
          </c:tx>
          <c:spPr>
            <a:solidFill>
              <a:srgbClr val="009999"/>
            </a:solidFill>
            <a:ln>
              <a:solidFill>
                <a:schemeClr val="bg1"/>
              </a:solidFill>
            </a:ln>
          </c:spPr>
          <c:invertIfNegative val="0"/>
          <c:val>
            <c:numLit>
              <c:formatCode>General</c:formatCode>
              <c:ptCount val="1"/>
              <c:pt idx="0">
                <c:v>482</c:v>
              </c:pt>
            </c:numLit>
          </c:val>
        </c:ser>
        <c:ser>
          <c:idx val="2"/>
          <c:order val="9"/>
          <c:tx>
            <c:v>USPTO</c:v>
          </c:tx>
          <c:spPr>
            <a:solidFill>
              <a:srgbClr val="7030A0"/>
            </a:solidFill>
            <a:ln>
              <a:solidFill>
                <a:schemeClr val="bg1"/>
              </a:solidFill>
            </a:ln>
          </c:spPr>
          <c:invertIfNegative val="0"/>
          <c:dPt>
            <c:idx val="0"/>
            <c:invertIfNegative val="0"/>
            <c:bubble3D val="0"/>
            <c:spPr>
              <a:solidFill>
                <a:srgbClr val="800080"/>
              </a:solidFill>
              <a:ln>
                <a:solidFill>
                  <a:schemeClr val="bg1"/>
                </a:solidFill>
              </a:ln>
            </c:spPr>
          </c:dPt>
          <c:val>
            <c:numLit>
              <c:formatCode>General</c:formatCode>
              <c:ptCount val="1"/>
              <c:pt idx="0">
                <c:v>176</c:v>
              </c:pt>
            </c:numLit>
          </c:val>
        </c:ser>
        <c:ser>
          <c:idx val="3"/>
          <c:order val="10"/>
          <c:tx>
            <c:v>DPMA</c:v>
          </c:tx>
          <c:spPr>
            <a:solidFill>
              <a:srgbClr val="FFC000"/>
            </a:solidFill>
            <a:ln>
              <a:solidFill>
                <a:schemeClr val="bg1"/>
              </a:solidFill>
            </a:ln>
          </c:spPr>
          <c:invertIfNegative val="0"/>
          <c:val>
            <c:numLit>
              <c:formatCode>General</c:formatCode>
              <c:ptCount val="1"/>
              <c:pt idx="0">
                <c:v>98</c:v>
              </c:pt>
            </c:numLit>
          </c:val>
        </c:ser>
        <c:ser>
          <c:idx val="4"/>
          <c:order val="11"/>
          <c:tx>
            <c:v>JPO</c:v>
          </c:tx>
          <c:spPr>
            <a:solidFill>
              <a:schemeClr val="accent5">
                <a:lumMod val="40000"/>
                <a:lumOff val="60000"/>
              </a:schemeClr>
            </a:solidFill>
            <a:ln>
              <a:solidFill>
                <a:schemeClr val="bg1"/>
              </a:solidFill>
            </a:ln>
          </c:spPr>
          <c:invertIfNegative val="0"/>
          <c:val>
            <c:numLit>
              <c:formatCode>General</c:formatCode>
              <c:ptCount val="1"/>
              <c:pt idx="0">
                <c:v>88</c:v>
              </c:pt>
            </c:numLit>
          </c:val>
        </c:ser>
        <c:ser>
          <c:idx val="18"/>
          <c:order val="12"/>
          <c:tx>
            <c:v>Others</c:v>
          </c:tx>
          <c:spPr>
            <a:solidFill>
              <a:schemeClr val="bg1">
                <a:lumMod val="85000"/>
              </a:schemeClr>
            </a:solidFill>
            <a:ln>
              <a:noFill/>
            </a:ln>
          </c:spPr>
          <c:invertIfNegative val="0"/>
          <c:val>
            <c:numLit>
              <c:formatCode>General</c:formatCode>
              <c:ptCount val="1"/>
              <c:pt idx="0">
                <c:v>344</c:v>
              </c:pt>
            </c:numLit>
          </c:val>
        </c:ser>
        <c:ser>
          <c:idx val="5"/>
          <c:order val="13"/>
          <c:tx>
            <c:v>espace</c:v>
          </c:tx>
          <c:spPr>
            <a:noFill/>
          </c:spPr>
          <c:invertIfNegative val="0"/>
          <c:val>
            <c:numLit>
              <c:formatCode>General</c:formatCode>
              <c:ptCount val="1"/>
              <c:pt idx="0">
                <c:v>1</c:v>
              </c:pt>
            </c:numLit>
          </c:val>
        </c:ser>
        <c:ser>
          <c:idx val="6"/>
          <c:order val="14"/>
          <c:tx>
            <c:v>KIPO</c:v>
          </c:tx>
          <c:spPr>
            <a:solidFill>
              <a:srgbClr val="009999"/>
            </a:solidFill>
            <a:ln>
              <a:solidFill>
                <a:schemeClr val="bg1"/>
              </a:solidFill>
            </a:ln>
          </c:spPr>
          <c:invertIfNegative val="0"/>
          <c:val>
            <c:numLit>
              <c:formatCode>General</c:formatCode>
              <c:ptCount val="1"/>
              <c:pt idx="0">
                <c:v>158</c:v>
              </c:pt>
            </c:numLit>
          </c:val>
        </c:ser>
        <c:ser>
          <c:idx val="7"/>
          <c:order val="15"/>
          <c:tx>
            <c:v>EUIPO</c:v>
          </c:tx>
          <c:spPr>
            <a:solidFill>
              <a:srgbClr val="00B0F0"/>
            </a:solidFill>
            <a:ln>
              <a:solidFill>
                <a:schemeClr val="bg1"/>
              </a:solidFill>
            </a:ln>
          </c:spPr>
          <c:invertIfNegative val="0"/>
          <c:val>
            <c:numLit>
              <c:formatCode>General</c:formatCode>
              <c:ptCount val="1"/>
              <c:pt idx="0">
                <c:v>75</c:v>
              </c:pt>
            </c:numLit>
          </c:val>
        </c:ser>
        <c:ser>
          <c:idx val="8"/>
          <c:order val="16"/>
          <c:tx>
            <c:v>DPMA</c:v>
          </c:tx>
          <c:spPr>
            <a:solidFill>
              <a:srgbClr val="FFC000"/>
            </a:solidFill>
            <a:ln>
              <a:solidFill>
                <a:schemeClr val="bg1"/>
              </a:solidFill>
            </a:ln>
          </c:spPr>
          <c:invertIfNegative val="0"/>
          <c:val>
            <c:numLit>
              <c:formatCode>General</c:formatCode>
              <c:ptCount val="1"/>
              <c:pt idx="0">
                <c:v>32</c:v>
              </c:pt>
            </c:numLit>
          </c:val>
        </c:ser>
        <c:ser>
          <c:idx val="9"/>
          <c:order val="17"/>
          <c:tx>
            <c:v>USPTO</c:v>
          </c:tx>
          <c:spPr>
            <a:solidFill>
              <a:srgbClr val="800080"/>
            </a:solidFill>
            <a:ln>
              <a:solidFill>
                <a:schemeClr val="bg1"/>
              </a:solidFill>
            </a:ln>
          </c:spPr>
          <c:invertIfNegative val="0"/>
          <c:val>
            <c:numLit>
              <c:formatCode>General</c:formatCode>
              <c:ptCount val="1"/>
              <c:pt idx="0">
                <c:v>21</c:v>
              </c:pt>
            </c:numLit>
          </c:val>
        </c:ser>
        <c:ser>
          <c:idx val="10"/>
          <c:order val="18"/>
          <c:tx>
            <c:v>JPO</c:v>
          </c:tx>
          <c:spPr>
            <a:solidFill>
              <a:schemeClr val="accent5">
                <a:lumMod val="40000"/>
                <a:lumOff val="60000"/>
              </a:schemeClr>
            </a:solidFill>
            <a:ln>
              <a:solidFill>
                <a:schemeClr val="bg1"/>
              </a:solidFill>
            </a:ln>
          </c:spPr>
          <c:invertIfNegative val="0"/>
          <c:val>
            <c:numLit>
              <c:formatCode>General</c:formatCode>
              <c:ptCount val="1"/>
              <c:pt idx="0">
                <c:v>18</c:v>
              </c:pt>
            </c:numLit>
          </c:val>
        </c:ser>
        <c:ser>
          <c:idx val="19"/>
          <c:order val="19"/>
          <c:tx>
            <c:v>Others</c:v>
          </c:tx>
          <c:spPr>
            <a:solidFill>
              <a:schemeClr val="bg1">
                <a:lumMod val="85000"/>
              </a:schemeClr>
            </a:solidFill>
            <a:ln>
              <a:noFill/>
            </a:ln>
          </c:spPr>
          <c:invertIfNegative val="0"/>
          <c:val>
            <c:numLit>
              <c:formatCode>General</c:formatCode>
              <c:ptCount val="1"/>
              <c:pt idx="0">
                <c:v>34</c:v>
              </c:pt>
            </c:numLit>
          </c:val>
        </c:ser>
        <c:dLbls>
          <c:showLegendKey val="0"/>
          <c:showVal val="0"/>
          <c:showCatName val="0"/>
          <c:showSerName val="0"/>
          <c:showPercent val="0"/>
          <c:showBubbleSize val="0"/>
        </c:dLbls>
        <c:gapWidth val="150"/>
        <c:shape val="box"/>
        <c:axId val="34637696"/>
        <c:axId val="34639232"/>
        <c:axId val="0"/>
      </c:bar3DChart>
      <c:catAx>
        <c:axId val="34637696"/>
        <c:scaling>
          <c:orientation val="minMax"/>
        </c:scaling>
        <c:delete val="1"/>
        <c:axPos val="b"/>
        <c:numFmt formatCode="General" sourceLinked="1"/>
        <c:majorTickMark val="out"/>
        <c:minorTickMark val="none"/>
        <c:tickLblPos val="nextTo"/>
        <c:crossAx val="34639232"/>
        <c:crosses val="autoZero"/>
        <c:auto val="1"/>
        <c:lblAlgn val="ctr"/>
        <c:lblOffset val="100"/>
        <c:noMultiLvlLbl val="0"/>
      </c:catAx>
      <c:valAx>
        <c:axId val="34639232"/>
        <c:scaling>
          <c:orientation val="minMax"/>
        </c:scaling>
        <c:delete val="0"/>
        <c:axPos val="l"/>
        <c:majorGridlines>
          <c:spPr>
            <a:ln>
              <a:noFill/>
            </a:ln>
          </c:spPr>
        </c:majorGridlines>
        <c:numFmt formatCode="General" sourceLinked="1"/>
        <c:majorTickMark val="out"/>
        <c:minorTickMark val="none"/>
        <c:tickLblPos val="nextTo"/>
        <c:crossAx val="34637696"/>
        <c:crosses val="autoZero"/>
        <c:crossBetween val="between"/>
      </c:valAx>
    </c:plotArea>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90"/>
      <c:rAngAx val="0"/>
      <c:perspective val="30"/>
    </c:view3D>
    <c:floor>
      <c:thickness val="0"/>
    </c:floor>
    <c:sideWall>
      <c:thickness val="0"/>
    </c:sideWall>
    <c:backWall>
      <c:thickness val="0"/>
    </c:backWall>
    <c:plotArea>
      <c:layout>
        <c:manualLayout>
          <c:layoutTarget val="inner"/>
          <c:xMode val="edge"/>
          <c:yMode val="edge"/>
          <c:x val="7.4495810880690627E-2"/>
          <c:y val="0.21198057001679535"/>
          <c:w val="0.91348192352764923"/>
          <c:h val="0.65893512303095958"/>
        </c:manualLayout>
      </c:layout>
      <c:bar3DChart>
        <c:barDir val="col"/>
        <c:grouping val="clustered"/>
        <c:varyColors val="0"/>
        <c:ser>
          <c:idx val="1"/>
          <c:order val="0"/>
          <c:tx>
            <c:v>US</c:v>
          </c:tx>
          <c:spPr>
            <a:solidFill>
              <a:srgbClr val="800080"/>
            </a:solidFill>
            <a:ln>
              <a:solidFill>
                <a:schemeClr val="bg1"/>
              </a:solidFill>
            </a:ln>
          </c:spPr>
          <c:invertIfNegative val="0"/>
          <c:dLbls>
            <c:dLbl>
              <c:idx val="0"/>
              <c:layout>
                <c:manualLayout>
                  <c:x val="-8.068621863498571E-3"/>
                  <c:y val="4.3258993387377291E-3"/>
                </c:manualLayout>
              </c:layout>
              <c:tx>
                <c:rich>
                  <a:bodyPr/>
                  <a:lstStyle/>
                  <a:p>
                    <a:r>
                      <a:rPr lang="en-US"/>
                      <a:t>71,7%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113</c:v>
              </c:pt>
            </c:numLit>
          </c:val>
        </c:ser>
        <c:ser>
          <c:idx val="2"/>
          <c:order val="1"/>
          <c:tx>
            <c:v>DE</c:v>
          </c:tx>
          <c:spPr>
            <a:solidFill>
              <a:srgbClr val="FFC000"/>
            </a:solidFill>
            <a:ln>
              <a:solidFill>
                <a:schemeClr val="bg1"/>
              </a:solidFill>
            </a:ln>
          </c:spPr>
          <c:invertIfNegative val="0"/>
          <c:dPt>
            <c:idx val="0"/>
            <c:invertIfNegative val="0"/>
            <c:bubble3D val="0"/>
          </c:dPt>
          <c:dLbls>
            <c:dLbl>
              <c:idx val="0"/>
              <c:layout>
                <c:manualLayout>
                  <c:x val="-1.0523719273987465E-2"/>
                  <c:y val="1.2977698016213264E-2"/>
                </c:manualLayout>
              </c:layout>
              <c:tx>
                <c:rich>
                  <a:bodyPr/>
                  <a:lstStyle/>
                  <a:p>
                    <a:r>
                      <a:rPr lang="en-US"/>
                      <a:t>21,5%</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405</c:v>
              </c:pt>
            </c:numLit>
          </c:val>
        </c:ser>
        <c:ser>
          <c:idx val="3"/>
          <c:order val="2"/>
          <c:tx>
            <c:v>CH</c:v>
          </c:tx>
          <c:spPr>
            <a:solidFill>
              <a:srgbClr val="FF0000"/>
            </a:solidFill>
            <a:ln>
              <a:solidFill>
                <a:schemeClr val="bg1"/>
              </a:solidFill>
            </a:ln>
          </c:spPr>
          <c:invertIfNegative val="0"/>
          <c:dLbls>
            <c:dLbl>
              <c:idx val="0"/>
              <c:layout>
                <c:manualLayout>
                  <c:x val="6.3276751523776535E-3"/>
                  <c:y val="1.2804188292154829E-2"/>
                </c:manualLayout>
              </c:layout>
              <c:tx>
                <c:rich>
                  <a:bodyPr/>
                  <a:lstStyle/>
                  <a:p>
                    <a:r>
                      <a:rPr lang="en-US"/>
                      <a:t>14,1%</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575</c:v>
              </c:pt>
            </c:numLit>
          </c:val>
        </c:ser>
        <c:ser>
          <c:idx val="4"/>
          <c:order val="3"/>
          <c:tx>
            <c:v>KR</c:v>
          </c:tx>
          <c:spPr>
            <a:solidFill>
              <a:srgbClr val="009999"/>
            </a:solidFill>
            <a:ln>
              <a:solidFill>
                <a:schemeClr val="bg1"/>
              </a:solidFill>
            </a:ln>
          </c:spPr>
          <c:invertIfNegative val="0"/>
          <c:dLbls>
            <c:dLbl>
              <c:idx val="0"/>
              <c:layout>
                <c:manualLayout>
                  <c:x val="1.7520512798092785E-2"/>
                  <c:y val="1.2665867775398198E-2"/>
                </c:manualLayout>
              </c:layout>
              <c:tx>
                <c:rich>
                  <a:bodyPr/>
                  <a:lstStyle/>
                  <a:p>
                    <a:r>
                      <a:rPr lang="en-US"/>
                      <a:t>90%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60</c:v>
              </c:pt>
            </c:numLit>
          </c:val>
        </c:ser>
        <c:ser>
          <c:idx val="0"/>
          <c:order val="4"/>
          <c:tx>
            <c:v>CN</c:v>
          </c:tx>
          <c:spPr>
            <a:solidFill>
              <a:srgbClr val="00B050"/>
            </a:solidFill>
            <a:ln>
              <a:solidFill>
                <a:schemeClr val="bg1"/>
              </a:solidFill>
            </a:ln>
          </c:spPr>
          <c:invertIfNegative val="0"/>
          <c:dLbls>
            <c:dLbl>
              <c:idx val="0"/>
              <c:layout>
                <c:manualLayout>
                  <c:x val="3.0261770789653909E-2"/>
                  <c:y val="1.2631118704176771E-2"/>
                </c:manualLayout>
              </c:layout>
              <c:tx>
                <c:rich>
                  <a:bodyPr/>
                  <a:lstStyle/>
                  <a:p>
                    <a:r>
                      <a:rPr lang="en-US"/>
                      <a:t>81,3%</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32</c:v>
              </c:pt>
            </c:numLit>
          </c:val>
        </c:ser>
        <c:ser>
          <c:idx val="5"/>
          <c:order val="5"/>
          <c:tx>
            <c:v>espace</c:v>
          </c:tx>
          <c:spPr>
            <a:noFill/>
          </c:spPr>
          <c:invertIfNegative val="0"/>
          <c:val>
            <c:numLit>
              <c:formatCode>General</c:formatCode>
              <c:ptCount val="1"/>
              <c:pt idx="0">
                <c:v>1</c:v>
              </c:pt>
            </c:numLit>
          </c:val>
        </c:ser>
        <c:ser>
          <c:idx val="7"/>
          <c:order val="6"/>
          <c:tx>
            <c:v>USPTO</c:v>
          </c:tx>
          <c:spPr>
            <a:solidFill>
              <a:schemeClr val="bg1">
                <a:lumMod val="65000"/>
              </a:schemeClr>
            </a:solidFill>
            <a:ln>
              <a:solidFill>
                <a:schemeClr val="bg1"/>
              </a:solidFill>
            </a:ln>
          </c:spPr>
          <c:invertIfNegative val="0"/>
          <c:val>
            <c:numLit>
              <c:formatCode>General</c:formatCode>
              <c:ptCount val="1"/>
              <c:pt idx="0">
                <c:v>0</c:v>
              </c:pt>
            </c:numLit>
          </c:val>
        </c:ser>
        <c:ser>
          <c:idx val="8"/>
          <c:order val="7"/>
          <c:tx>
            <c:v>KIPO</c:v>
          </c:tx>
          <c:spPr>
            <a:solidFill>
              <a:schemeClr val="bg1">
                <a:lumMod val="65000"/>
              </a:schemeClr>
            </a:solidFill>
            <a:ln>
              <a:solidFill>
                <a:schemeClr val="bg1"/>
              </a:solidFill>
            </a:ln>
          </c:spPr>
          <c:invertIfNegative val="0"/>
          <c:val>
            <c:numLit>
              <c:formatCode>General</c:formatCode>
              <c:ptCount val="1"/>
              <c:pt idx="0">
                <c:v>0</c:v>
              </c:pt>
            </c:numLit>
          </c:val>
        </c:ser>
        <c:ser>
          <c:idx val="9"/>
          <c:order val="8"/>
          <c:tx>
            <c:v>WO</c:v>
          </c:tx>
          <c:spPr>
            <a:solidFill>
              <a:schemeClr val="bg1">
                <a:lumMod val="65000"/>
              </a:schemeClr>
            </a:solidFill>
            <a:ln>
              <a:solidFill>
                <a:schemeClr val="bg1"/>
              </a:solidFill>
            </a:ln>
          </c:spPr>
          <c:invertIfNegative val="0"/>
          <c:val>
            <c:numLit>
              <c:formatCode>General</c:formatCode>
              <c:ptCount val="1"/>
              <c:pt idx="0">
                <c:v>0</c:v>
              </c:pt>
            </c:numLit>
          </c:val>
        </c:ser>
        <c:ser>
          <c:idx val="10"/>
          <c:order val="9"/>
          <c:tx>
            <c:v>SFIIP</c:v>
          </c:tx>
          <c:spPr>
            <a:solidFill>
              <a:schemeClr val="bg1">
                <a:lumMod val="65000"/>
              </a:schemeClr>
            </a:solidFill>
            <a:ln>
              <a:solidFill>
                <a:schemeClr val="bg1"/>
              </a:solidFill>
            </a:ln>
          </c:spPr>
          <c:invertIfNegative val="0"/>
          <c:val>
            <c:numLit>
              <c:formatCode>General</c:formatCode>
              <c:ptCount val="1"/>
              <c:pt idx="0">
                <c:v>0</c:v>
              </c:pt>
            </c:numLit>
          </c:val>
        </c:ser>
        <c:ser>
          <c:idx val="11"/>
          <c:order val="10"/>
          <c:tx>
            <c:v>espace</c:v>
          </c:tx>
          <c:spPr>
            <a:noFill/>
          </c:spPr>
          <c:invertIfNegative val="0"/>
          <c:val>
            <c:numLit>
              <c:formatCode>General</c:formatCode>
              <c:ptCount val="1"/>
              <c:pt idx="0">
                <c:v>1</c:v>
              </c:pt>
            </c:numLit>
          </c:val>
        </c:ser>
        <c:ser>
          <c:idx val="12"/>
          <c:order val="11"/>
          <c:tx>
            <c:v>CH</c:v>
          </c:tx>
          <c:spPr>
            <a:solidFill>
              <a:srgbClr val="FF0000"/>
            </a:solidFill>
            <a:ln>
              <a:solidFill>
                <a:schemeClr val="bg1"/>
              </a:solidFill>
            </a:ln>
          </c:spPr>
          <c:invertIfNegative val="0"/>
          <c:dLbls>
            <c:dLbl>
              <c:idx val="0"/>
              <c:layout>
                <c:manualLayout>
                  <c:x val="-1.2856638322769159E-2"/>
                  <c:y val="8.4440243068066353E-3"/>
                </c:manualLayout>
              </c:layout>
              <c:tx>
                <c:rich>
                  <a:bodyPr/>
                  <a:lstStyle/>
                  <a:p>
                    <a:r>
                      <a:rPr lang="en-US"/>
                      <a:t>17%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88</c:v>
              </c:pt>
            </c:numLit>
          </c:val>
        </c:ser>
        <c:ser>
          <c:idx val="15"/>
          <c:order val="12"/>
          <c:tx>
            <c:v>DE</c:v>
          </c:tx>
          <c:spPr>
            <a:solidFill>
              <a:srgbClr val="0070C0"/>
            </a:solidFill>
            <a:ln>
              <a:solidFill>
                <a:schemeClr val="bg1"/>
              </a:solidFill>
            </a:ln>
          </c:spPr>
          <c:invertIfNegative val="0"/>
          <c:dPt>
            <c:idx val="0"/>
            <c:invertIfNegative val="0"/>
            <c:bubble3D val="0"/>
            <c:spPr>
              <a:solidFill>
                <a:srgbClr val="FFC000"/>
              </a:solidFill>
              <a:ln>
                <a:solidFill>
                  <a:schemeClr val="bg1"/>
                </a:solidFill>
              </a:ln>
            </c:spPr>
          </c:dPt>
          <c:dLbls>
            <c:dLbl>
              <c:idx val="0"/>
              <c:layout>
                <c:manualLayout>
                  <c:x val="4.7212973191566839E-3"/>
                  <c:y val="-1.2868456446689111E-2"/>
                </c:manualLayout>
              </c:layout>
              <c:tx>
                <c:rich>
                  <a:bodyPr/>
                  <a:lstStyle/>
                  <a:p>
                    <a:r>
                      <a:rPr lang="en-US"/>
                      <a:t>45,5%</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44</c:v>
              </c:pt>
            </c:numLit>
          </c:val>
        </c:ser>
        <c:ser>
          <c:idx val="6"/>
          <c:order val="13"/>
          <c:tx>
            <c:v>NL</c:v>
          </c:tx>
          <c:spPr>
            <a:solidFill>
              <a:schemeClr val="bg1">
                <a:lumMod val="65000"/>
              </a:schemeClr>
            </a:solidFill>
            <a:ln>
              <a:solidFill>
                <a:schemeClr val="bg1"/>
              </a:solidFill>
            </a:ln>
          </c:spPr>
          <c:invertIfNegative val="0"/>
          <c:dLbls>
            <c:dLbl>
              <c:idx val="0"/>
              <c:layout>
                <c:manualLayout>
                  <c:x val="7.2508621115745372E-3"/>
                  <c:y val="1.2694931239444495E-2"/>
                </c:manualLayout>
              </c:layout>
              <c:tx>
                <c:rich>
                  <a:bodyPr/>
                  <a:lstStyle/>
                  <a:p>
                    <a:r>
                      <a:rPr lang="en-US"/>
                      <a:t>80%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20</c:v>
              </c:pt>
            </c:numLit>
          </c:val>
        </c:ser>
        <c:ser>
          <c:idx val="14"/>
          <c:order val="14"/>
          <c:tx>
            <c:v>IT</c:v>
          </c:tx>
          <c:spPr>
            <a:solidFill>
              <a:srgbClr val="92D050"/>
            </a:solidFill>
            <a:ln>
              <a:solidFill>
                <a:schemeClr val="bg1"/>
              </a:solidFill>
            </a:ln>
          </c:spPr>
          <c:invertIfNegative val="0"/>
          <c:dLbls>
            <c:dLbl>
              <c:idx val="0"/>
              <c:layout>
                <c:manualLayout>
                  <c:x val="5.6549526777552031E-3"/>
                  <c:y val="-1.692509369051429E-2"/>
                </c:manualLayout>
              </c:layout>
              <c:tx>
                <c:rich>
                  <a:bodyPr/>
                  <a:lstStyle/>
                  <a:p>
                    <a:r>
                      <a:rPr lang="en-US"/>
                      <a:t>54,8%</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31</c:v>
              </c:pt>
            </c:numLit>
          </c:val>
        </c:ser>
        <c:ser>
          <c:idx val="13"/>
          <c:order val="15"/>
          <c:tx>
            <c:v>US</c:v>
          </c:tx>
          <c:spPr>
            <a:solidFill>
              <a:srgbClr val="800080"/>
            </a:solidFill>
            <a:ln>
              <a:solidFill>
                <a:schemeClr val="bg1"/>
              </a:solidFill>
            </a:ln>
          </c:spPr>
          <c:invertIfNegative val="0"/>
          <c:dLbls>
            <c:dLbl>
              <c:idx val="0"/>
              <c:layout>
                <c:manualLayout>
                  <c:x val="1.5998896260874584E-2"/>
                  <c:y val="4.2216688503844838E-3"/>
                </c:manualLayout>
              </c:layout>
              <c:tx>
                <c:rich>
                  <a:bodyPr/>
                  <a:lstStyle/>
                  <a:p>
                    <a:r>
                      <a:rPr lang="en-US"/>
                      <a:t>78,6%</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14</c:v>
              </c:pt>
            </c:numLit>
          </c:val>
        </c:ser>
        <c:ser>
          <c:idx val="18"/>
          <c:order val="16"/>
          <c:tx>
            <c:v>espace</c:v>
          </c:tx>
          <c:spPr>
            <a:noFill/>
          </c:spPr>
          <c:invertIfNegative val="0"/>
          <c:val>
            <c:numLit>
              <c:formatCode>General</c:formatCode>
              <c:ptCount val="1"/>
              <c:pt idx="0">
                <c:v>1</c:v>
              </c:pt>
            </c:numLit>
          </c:val>
        </c:ser>
        <c:ser>
          <c:idx val="17"/>
          <c:order val="17"/>
          <c:tx>
            <c:v>EUIPO</c:v>
          </c:tx>
          <c:spPr>
            <a:solidFill>
              <a:schemeClr val="bg1">
                <a:lumMod val="65000"/>
              </a:schemeClr>
            </a:solidFill>
            <a:ln>
              <a:solidFill>
                <a:schemeClr val="bg1"/>
              </a:solidFill>
            </a:ln>
          </c:spPr>
          <c:invertIfNegative val="0"/>
          <c:val>
            <c:numLit>
              <c:formatCode>General</c:formatCode>
              <c:ptCount val="1"/>
              <c:pt idx="0">
                <c:v>0</c:v>
              </c:pt>
            </c:numLit>
          </c:val>
        </c:ser>
        <c:ser>
          <c:idx val="19"/>
          <c:order val="18"/>
          <c:tx>
            <c:v>JPO</c:v>
          </c:tx>
          <c:spPr>
            <a:solidFill>
              <a:schemeClr val="bg1">
                <a:lumMod val="65000"/>
              </a:schemeClr>
            </a:solidFill>
            <a:ln>
              <a:solidFill>
                <a:schemeClr val="bg1"/>
              </a:solidFill>
            </a:ln>
          </c:spPr>
          <c:invertIfNegative val="0"/>
          <c:val>
            <c:numLit>
              <c:formatCode>General</c:formatCode>
              <c:ptCount val="1"/>
              <c:pt idx="0">
                <c:v>0</c:v>
              </c:pt>
            </c:numLit>
          </c:val>
        </c:ser>
        <c:ser>
          <c:idx val="20"/>
          <c:order val="19"/>
          <c:tx>
            <c:v>WO</c:v>
          </c:tx>
          <c:spPr>
            <a:solidFill>
              <a:schemeClr val="bg1">
                <a:lumMod val="65000"/>
              </a:schemeClr>
            </a:solidFill>
            <a:ln>
              <a:solidFill>
                <a:schemeClr val="bg1"/>
              </a:solidFill>
            </a:ln>
          </c:spPr>
          <c:invertIfNegative val="0"/>
          <c:val>
            <c:numLit>
              <c:formatCode>General</c:formatCode>
              <c:ptCount val="1"/>
              <c:pt idx="0">
                <c:v>0</c:v>
              </c:pt>
            </c:numLit>
          </c:val>
        </c:ser>
        <c:ser>
          <c:idx val="21"/>
          <c:order val="20"/>
          <c:tx>
            <c:v>UIBM</c:v>
          </c:tx>
          <c:spPr>
            <a:solidFill>
              <a:schemeClr val="bg1">
                <a:lumMod val="65000"/>
              </a:schemeClr>
            </a:solidFill>
            <a:ln>
              <a:solidFill>
                <a:schemeClr val="bg1"/>
              </a:solidFill>
            </a:ln>
          </c:spPr>
          <c:invertIfNegative val="0"/>
          <c:val>
            <c:numLit>
              <c:formatCode>General</c:formatCode>
              <c:ptCount val="1"/>
              <c:pt idx="0">
                <c:v>0</c:v>
              </c:pt>
            </c:numLit>
          </c:val>
        </c:ser>
        <c:ser>
          <c:idx val="22"/>
          <c:order val="21"/>
          <c:tx>
            <c:v>KR</c:v>
          </c:tx>
          <c:spPr>
            <a:solidFill>
              <a:schemeClr val="bg1">
                <a:lumMod val="65000"/>
              </a:schemeClr>
            </a:solidFill>
            <a:ln>
              <a:solidFill>
                <a:schemeClr val="bg1"/>
              </a:solidFill>
            </a:ln>
          </c:spPr>
          <c:invertIfNegative val="0"/>
          <c:val>
            <c:numLit>
              <c:formatCode>General</c:formatCode>
              <c:ptCount val="1"/>
              <c:pt idx="0">
                <c:v>0</c:v>
              </c:pt>
            </c:numLit>
          </c:val>
        </c:ser>
        <c:dLbls>
          <c:showLegendKey val="0"/>
          <c:showVal val="0"/>
          <c:showCatName val="0"/>
          <c:showSerName val="0"/>
          <c:showPercent val="0"/>
          <c:showBubbleSize val="0"/>
        </c:dLbls>
        <c:gapWidth val="150"/>
        <c:shape val="box"/>
        <c:axId val="35294592"/>
        <c:axId val="35316864"/>
        <c:axId val="0"/>
      </c:bar3DChart>
      <c:catAx>
        <c:axId val="35294592"/>
        <c:scaling>
          <c:orientation val="minMax"/>
        </c:scaling>
        <c:delete val="1"/>
        <c:axPos val="b"/>
        <c:numFmt formatCode="General" sourceLinked="1"/>
        <c:majorTickMark val="out"/>
        <c:minorTickMark val="none"/>
        <c:tickLblPos val="nextTo"/>
        <c:crossAx val="35316864"/>
        <c:crosses val="autoZero"/>
        <c:auto val="1"/>
        <c:lblAlgn val="ctr"/>
        <c:lblOffset val="100"/>
        <c:noMultiLvlLbl val="0"/>
      </c:catAx>
      <c:valAx>
        <c:axId val="35316864"/>
        <c:scaling>
          <c:orientation val="minMax"/>
          <c:max val="700"/>
        </c:scaling>
        <c:delete val="0"/>
        <c:axPos val="l"/>
        <c:majorGridlines>
          <c:spPr>
            <a:ln>
              <a:noFill/>
            </a:ln>
          </c:spPr>
        </c:majorGridlines>
        <c:numFmt formatCode="General" sourceLinked="1"/>
        <c:majorTickMark val="out"/>
        <c:minorTickMark val="none"/>
        <c:tickLblPos val="nextTo"/>
        <c:crossAx val="35294592"/>
        <c:crosses val="autoZero"/>
        <c:crossBetween val="between"/>
      </c:valAx>
    </c:plotArea>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90"/>
      <c:rAngAx val="0"/>
      <c:perspective val="30"/>
    </c:view3D>
    <c:floor>
      <c:thickness val="0"/>
    </c:floor>
    <c:sideWall>
      <c:thickness val="0"/>
    </c:sideWall>
    <c:backWall>
      <c:thickness val="0"/>
    </c:backWall>
    <c:plotArea>
      <c:layout>
        <c:manualLayout>
          <c:layoutTarget val="inner"/>
          <c:xMode val="edge"/>
          <c:yMode val="edge"/>
          <c:x val="7.2906582277690909E-2"/>
          <c:y val="0.21198059168146718"/>
          <c:w val="0.90895176939033462"/>
          <c:h val="0.65893512303095958"/>
        </c:manualLayout>
      </c:layout>
      <c:bar3DChart>
        <c:barDir val="col"/>
        <c:grouping val="clustered"/>
        <c:varyColors val="0"/>
        <c:ser>
          <c:idx val="1"/>
          <c:order val="0"/>
          <c:tx>
            <c:v>KR</c:v>
          </c:tx>
          <c:spPr>
            <a:solidFill>
              <a:srgbClr val="009999"/>
            </a:solidFill>
            <a:ln>
              <a:solidFill>
                <a:schemeClr val="bg1"/>
              </a:solidFill>
            </a:ln>
          </c:spPr>
          <c:invertIfNegative val="0"/>
          <c:dLbls>
            <c:dLbl>
              <c:idx val="0"/>
              <c:layout>
                <c:manualLayout>
                  <c:x val="4.7353286840111442E-3"/>
                  <c:y val="8.4478420586127246E-3"/>
                </c:manualLayout>
              </c:layout>
              <c:tx>
                <c:rich>
                  <a:bodyPr/>
                  <a:lstStyle/>
                  <a:p>
                    <a:r>
                      <a:rPr lang="en-US"/>
                      <a:t>94,3%</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510</c:v>
              </c:pt>
            </c:numLit>
          </c:val>
        </c:ser>
        <c:ser>
          <c:idx val="2"/>
          <c:order val="1"/>
          <c:tx>
            <c:v>US</c:v>
          </c:tx>
          <c:spPr>
            <a:solidFill>
              <a:srgbClr val="7030A0"/>
            </a:solidFill>
            <a:ln>
              <a:solidFill>
                <a:schemeClr val="bg1"/>
              </a:solidFill>
            </a:ln>
          </c:spPr>
          <c:invertIfNegative val="0"/>
          <c:dPt>
            <c:idx val="0"/>
            <c:invertIfNegative val="0"/>
            <c:bubble3D val="0"/>
            <c:spPr>
              <a:solidFill>
                <a:srgbClr val="800080"/>
              </a:solidFill>
              <a:ln>
                <a:solidFill>
                  <a:schemeClr val="bg1"/>
                </a:solidFill>
              </a:ln>
            </c:spPr>
          </c:dPt>
          <c:dLbls>
            <c:dLbl>
              <c:idx val="0"/>
              <c:layout>
                <c:manualLayout>
                  <c:x val="1.4205935316349427E-2"/>
                  <c:y val="1.2706090017007624E-2"/>
                </c:manualLayout>
              </c:layout>
              <c:tx>
                <c:rich>
                  <a:bodyPr/>
                  <a:lstStyle/>
                  <a:p>
                    <a:r>
                      <a:rPr lang="en-US"/>
                      <a:t>74,4%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177</c:v>
              </c:pt>
            </c:numLit>
          </c:val>
        </c:ser>
        <c:ser>
          <c:idx val="3"/>
          <c:order val="2"/>
          <c:tx>
            <c:v>DE</c:v>
          </c:tx>
          <c:spPr>
            <a:solidFill>
              <a:srgbClr val="FFC000"/>
            </a:solidFill>
            <a:ln>
              <a:solidFill>
                <a:schemeClr val="bg1"/>
              </a:solidFill>
            </a:ln>
          </c:spPr>
          <c:invertIfNegative val="0"/>
          <c:dLbls>
            <c:dLbl>
              <c:idx val="0"/>
              <c:layout>
                <c:manualLayout>
                  <c:x val="4.693450179607454E-3"/>
                  <c:y val="1.7173273887127322E-2"/>
                </c:manualLayout>
              </c:layout>
              <c:tx>
                <c:rich>
                  <a:bodyPr/>
                  <a:lstStyle/>
                  <a:p>
                    <a:r>
                      <a:rPr lang="en-US"/>
                      <a:t>23,6%</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398</c:v>
              </c:pt>
            </c:numLit>
          </c:val>
        </c:ser>
        <c:ser>
          <c:idx val="4"/>
          <c:order val="3"/>
          <c:tx>
            <c:v>JP</c:v>
          </c:tx>
          <c:spPr>
            <a:solidFill>
              <a:schemeClr val="accent5">
                <a:lumMod val="40000"/>
                <a:lumOff val="60000"/>
              </a:schemeClr>
            </a:solidFill>
            <a:ln>
              <a:solidFill>
                <a:schemeClr val="bg1"/>
              </a:solidFill>
            </a:ln>
          </c:spPr>
          <c:invertIfNegative val="0"/>
          <c:dLbls>
            <c:dLbl>
              <c:idx val="0"/>
              <c:layout>
                <c:manualLayout>
                  <c:x val="1.264848433779309E-2"/>
                  <c:y val="8.447812883945768E-3"/>
                </c:manualLayout>
              </c:layout>
              <c:tx>
                <c:rich>
                  <a:bodyPr/>
                  <a:lstStyle/>
                  <a:p>
                    <a:r>
                      <a:rPr lang="en-US"/>
                      <a:t>72,3%</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112</c:v>
              </c:pt>
            </c:numLit>
          </c:val>
        </c:ser>
        <c:ser>
          <c:idx val="0"/>
          <c:order val="4"/>
          <c:tx>
            <c:v>CH</c:v>
          </c:tx>
          <c:spPr>
            <a:solidFill>
              <a:srgbClr val="FF0000"/>
            </a:solidFill>
            <a:ln>
              <a:solidFill>
                <a:schemeClr val="bg1"/>
              </a:solidFill>
            </a:ln>
          </c:spPr>
          <c:invertIfNegative val="0"/>
          <c:dLbls>
            <c:dLbl>
              <c:idx val="0"/>
              <c:layout>
                <c:manualLayout>
                  <c:x val="4.7074317850577833E-3"/>
                  <c:y val="1.6965037797700484E-2"/>
                </c:manualLayout>
              </c:layout>
              <c:tx>
                <c:rich>
                  <a:bodyPr/>
                  <a:lstStyle/>
                  <a:p>
                    <a:r>
                      <a:rPr lang="en-US"/>
                      <a:t>9,8%</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656</c:v>
              </c:pt>
            </c:numLit>
          </c:val>
        </c:ser>
        <c:ser>
          <c:idx val="5"/>
          <c:order val="5"/>
          <c:tx>
            <c:v>espace</c:v>
          </c:tx>
          <c:spPr>
            <a:noFill/>
          </c:spPr>
          <c:invertIfNegative val="0"/>
          <c:val>
            <c:numLit>
              <c:formatCode>General</c:formatCode>
              <c:ptCount val="1"/>
              <c:pt idx="0">
                <c:v>1</c:v>
              </c:pt>
            </c:numLit>
          </c:val>
        </c:ser>
        <c:ser>
          <c:idx val="6"/>
          <c:order val="6"/>
          <c:tx>
            <c:v>US</c:v>
          </c:tx>
          <c:spPr>
            <a:solidFill>
              <a:srgbClr val="800080"/>
            </a:solidFill>
            <a:ln>
              <a:solidFill>
                <a:schemeClr val="bg1"/>
              </a:solidFill>
            </a:ln>
          </c:spPr>
          <c:invertIfNegative val="0"/>
          <c:dLbls>
            <c:dLbl>
              <c:idx val="0"/>
              <c:layout>
                <c:manualLayout>
                  <c:x val="3.1568857893407628E-3"/>
                  <c:y val="1.2671097903505023E-2"/>
                </c:manualLayout>
              </c:layout>
              <c:tx>
                <c:rich>
                  <a:bodyPr/>
                  <a:lstStyle/>
                  <a:p>
                    <a:r>
                      <a:rPr lang="en-US"/>
                      <a:t>88,4%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69</c:v>
              </c:pt>
            </c:numLit>
          </c:val>
        </c:ser>
        <c:ser>
          <c:idx val="7"/>
          <c:order val="7"/>
          <c:tx>
            <c:v>DE</c:v>
          </c:tx>
          <c:spPr>
            <a:solidFill>
              <a:srgbClr val="FFC000"/>
            </a:solidFill>
            <a:ln>
              <a:solidFill>
                <a:schemeClr val="bg1"/>
              </a:solidFill>
            </a:ln>
          </c:spPr>
          <c:invertIfNegative val="0"/>
          <c:dLbls>
            <c:dLbl>
              <c:idx val="0"/>
              <c:layout>
                <c:manualLayout>
                  <c:x val="6.2788643690644495E-3"/>
                  <c:y val="-1.2644530946977307E-2"/>
                </c:manualLayout>
              </c:layout>
              <c:tx>
                <c:rich>
                  <a:bodyPr/>
                  <a:lstStyle/>
                  <a:p>
                    <a:r>
                      <a:rPr lang="en-US"/>
                      <a:t>48,8%</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86</c:v>
              </c:pt>
            </c:numLit>
          </c:val>
        </c:ser>
        <c:ser>
          <c:idx val="8"/>
          <c:order val="8"/>
          <c:tx>
            <c:v>FR</c:v>
          </c:tx>
          <c:spPr>
            <a:solidFill>
              <a:srgbClr val="0070C0"/>
            </a:solidFill>
          </c:spPr>
          <c:invertIfNegative val="0"/>
          <c:dLbls>
            <c:dLbl>
              <c:idx val="0"/>
              <c:layout>
                <c:manualLayout>
                  <c:x val="4.7644254234242411E-3"/>
                  <c:y val="1.2614674342745668E-2"/>
                </c:manualLayout>
              </c:layout>
              <c:tx>
                <c:rich>
                  <a:bodyPr/>
                  <a:lstStyle/>
                  <a:p>
                    <a:r>
                      <a:rPr lang="en-US"/>
                      <a:t>50,7%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73</c:v>
              </c:pt>
            </c:numLit>
          </c:val>
        </c:ser>
        <c:ser>
          <c:idx val="9"/>
          <c:order val="9"/>
          <c:tx>
            <c:v>NL</c:v>
          </c:tx>
          <c:spPr>
            <a:solidFill>
              <a:schemeClr val="bg1">
                <a:lumMod val="65000"/>
              </a:schemeClr>
            </a:solidFill>
            <a:ln>
              <a:solidFill>
                <a:schemeClr val="bg1"/>
              </a:solidFill>
            </a:ln>
          </c:spPr>
          <c:invertIfNegative val="0"/>
          <c:dLbls>
            <c:dLbl>
              <c:idx val="0"/>
              <c:layout>
                <c:manualLayout>
                  <c:x val="6.3137715786815256E-3"/>
                  <c:y val="8.4478420586127246E-3"/>
                </c:manualLayout>
              </c:layout>
              <c:tx>
                <c:rich>
                  <a:bodyPr/>
                  <a:lstStyle/>
                  <a:p>
                    <a:r>
                      <a:rPr lang="en-US"/>
                      <a:t>91,2%</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34</c:v>
              </c:pt>
            </c:numLit>
          </c:val>
        </c:ser>
        <c:ser>
          <c:idx val="10"/>
          <c:order val="10"/>
          <c:tx>
            <c:v>CH</c:v>
          </c:tx>
          <c:spPr>
            <a:solidFill>
              <a:srgbClr val="FF0000"/>
            </a:solidFill>
            <a:ln>
              <a:solidFill>
                <a:schemeClr val="bg1"/>
              </a:solidFill>
            </a:ln>
          </c:spPr>
          <c:invertIfNegative val="0"/>
          <c:dLbls>
            <c:dLbl>
              <c:idx val="0"/>
              <c:layout>
                <c:manualLayout>
                  <c:x val="6.2928459745147788E-3"/>
                  <c:y val="8.4479204583352389E-3"/>
                </c:manualLayout>
              </c:layout>
              <c:tx>
                <c:rich>
                  <a:bodyPr/>
                  <a:lstStyle/>
                  <a:p>
                    <a:r>
                      <a:rPr lang="en-US"/>
                      <a:t>35,2%</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71</c:v>
              </c:pt>
            </c:numLit>
          </c:val>
        </c:ser>
        <c:ser>
          <c:idx val="11"/>
          <c:order val="11"/>
          <c:tx>
            <c:v>espace</c:v>
          </c:tx>
          <c:spPr>
            <a:noFill/>
          </c:spPr>
          <c:invertIfNegative val="0"/>
          <c:val>
            <c:numLit>
              <c:formatCode>General</c:formatCode>
              <c:ptCount val="1"/>
              <c:pt idx="0">
                <c:v>1</c:v>
              </c:pt>
            </c:numLit>
          </c:val>
        </c:ser>
        <c:ser>
          <c:idx val="12"/>
          <c:order val="12"/>
          <c:tx>
            <c:v>NL</c:v>
          </c:tx>
          <c:spPr>
            <a:solidFill>
              <a:schemeClr val="bg1">
                <a:lumMod val="65000"/>
              </a:schemeClr>
            </a:solidFill>
            <a:ln>
              <a:solidFill>
                <a:schemeClr val="bg1"/>
              </a:solidFill>
            </a:ln>
          </c:spPr>
          <c:invertIfNegative val="0"/>
          <c:dLbls>
            <c:dLbl>
              <c:idx val="0"/>
              <c:layout>
                <c:manualLayout>
                  <c:x val="-3.1918360713660138E-3"/>
                  <c:y val="1.2671763087919088E-2"/>
                </c:manualLayout>
              </c:layout>
              <c:tx>
                <c:rich>
                  <a:bodyPr/>
                  <a:lstStyle/>
                  <a:p>
                    <a:r>
                      <a:rPr lang="en-US"/>
                      <a:t>94%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67</c:v>
              </c:pt>
            </c:numLit>
          </c:val>
        </c:ser>
        <c:ser>
          <c:idx val="13"/>
          <c:order val="13"/>
          <c:tx>
            <c:v>DE</c:v>
          </c:tx>
          <c:spPr>
            <a:solidFill>
              <a:srgbClr val="FFC000"/>
            </a:solidFill>
            <a:ln>
              <a:solidFill>
                <a:schemeClr val="bg1"/>
              </a:solidFill>
            </a:ln>
          </c:spPr>
          <c:invertIfNegative val="0"/>
          <c:dLbls>
            <c:dLbl>
              <c:idx val="0"/>
              <c:layout>
                <c:manualLayout>
                  <c:x val="-4.7461235008602817E-3"/>
                  <c:y val="4.2840926915739992E-3"/>
                </c:manualLayout>
              </c:layout>
              <c:tx>
                <c:rich>
                  <a:bodyPr/>
                  <a:lstStyle/>
                  <a:p>
                    <a:r>
                      <a:rPr lang="en-US"/>
                      <a:t>48,8%</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123</c:v>
              </c:pt>
            </c:numLit>
          </c:val>
        </c:ser>
        <c:ser>
          <c:idx val="14"/>
          <c:order val="14"/>
          <c:tx>
            <c:v>US</c:v>
          </c:tx>
          <c:spPr>
            <a:solidFill>
              <a:srgbClr val="800080"/>
            </a:solidFill>
            <a:ln>
              <a:solidFill>
                <a:schemeClr val="bg1"/>
              </a:solidFill>
            </a:ln>
          </c:spPr>
          <c:invertIfNegative val="0"/>
          <c:dLbls>
            <c:dLbl>
              <c:idx val="0"/>
              <c:layout>
                <c:manualLayout>
                  <c:x val="6.3173270629692246E-3"/>
                  <c:y val="-8.5681853831479984E-3"/>
                </c:manualLayout>
              </c:layout>
              <c:tx>
                <c:rich>
                  <a:bodyPr/>
                  <a:lstStyle/>
                  <a:p>
                    <a:r>
                      <a:rPr lang="en-US"/>
                      <a:t>86,8%</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69</c:v>
              </c:pt>
            </c:numLit>
          </c:val>
        </c:ser>
        <c:ser>
          <c:idx val="15"/>
          <c:order val="15"/>
          <c:tx>
            <c:v>FR</c:v>
          </c:tx>
          <c:spPr>
            <a:solidFill>
              <a:srgbClr val="0070C0"/>
            </a:solidFill>
            <a:ln>
              <a:solidFill>
                <a:schemeClr val="bg1"/>
              </a:solidFill>
            </a:ln>
          </c:spPr>
          <c:invertIfNegative val="0"/>
          <c:dLbls>
            <c:dLbl>
              <c:idx val="0"/>
              <c:layout>
                <c:manualLayout>
                  <c:x val="1.1070675633725829E-2"/>
                  <c:y val="-1.2972704932272464E-2"/>
                </c:manualLayout>
              </c:layout>
              <c:tx>
                <c:rich>
                  <a:bodyPr/>
                  <a:lstStyle/>
                  <a:p>
                    <a:r>
                      <a:rPr lang="en-US"/>
                      <a:t>35,4%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99</c:v>
              </c:pt>
            </c:numLit>
          </c:val>
        </c:ser>
        <c:ser>
          <c:idx val="16"/>
          <c:order val="16"/>
          <c:tx>
            <c:v>JP</c:v>
          </c:tx>
          <c:spPr>
            <a:solidFill>
              <a:schemeClr val="accent5">
                <a:lumMod val="40000"/>
                <a:lumOff val="60000"/>
              </a:schemeClr>
            </a:solidFill>
            <a:ln>
              <a:solidFill>
                <a:schemeClr val="bg1"/>
              </a:solidFill>
            </a:ln>
          </c:spPr>
          <c:invertIfNegative val="0"/>
          <c:dLbls>
            <c:dLbl>
              <c:idx val="0"/>
              <c:layout>
                <c:manualLayout>
                  <c:x val="6.3137715786815256E-3"/>
                  <c:y val="1.2671763087919088E-2"/>
                </c:manualLayout>
              </c:layout>
              <c:tx>
                <c:rich>
                  <a:bodyPr/>
                  <a:lstStyle/>
                  <a:p>
                    <a:r>
                      <a:rPr lang="en-US"/>
                      <a:t>73,3%</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45</c:v>
              </c:pt>
            </c:numLit>
          </c:val>
        </c:ser>
        <c:ser>
          <c:idx val="18"/>
          <c:order val="17"/>
          <c:tx>
            <c:v>espace</c:v>
          </c:tx>
          <c:spPr>
            <a:noFill/>
          </c:spPr>
          <c:invertIfNegative val="0"/>
          <c:val>
            <c:numLit>
              <c:formatCode>General</c:formatCode>
              <c:ptCount val="1"/>
              <c:pt idx="0">
                <c:v>1</c:v>
              </c:pt>
            </c:numLit>
          </c:val>
        </c:ser>
        <c:ser>
          <c:idx val="17"/>
          <c:order val="18"/>
          <c:tx>
            <c:v>IT</c:v>
          </c:tx>
          <c:spPr>
            <a:solidFill>
              <a:srgbClr val="92D050"/>
            </a:solidFill>
          </c:spPr>
          <c:invertIfNegative val="0"/>
          <c:dLbls>
            <c:dLbl>
              <c:idx val="0"/>
              <c:layout>
                <c:manualLayout>
                  <c:x val="-9.5288508468484821E-3"/>
                  <c:y val="7.7088786002767154E-17"/>
                </c:manualLayout>
              </c:layout>
              <c:tx>
                <c:rich>
                  <a:bodyPr/>
                  <a:lstStyle/>
                  <a:p>
                    <a:r>
                      <a:rPr lang="en-US"/>
                      <a:t>67,5%</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123</c:v>
              </c:pt>
            </c:numLit>
          </c:val>
        </c:ser>
        <c:ser>
          <c:idx val="19"/>
          <c:order val="19"/>
          <c:tx>
            <c:v>DE</c:v>
          </c:tx>
          <c:spPr>
            <a:solidFill>
              <a:schemeClr val="accent5">
                <a:lumMod val="40000"/>
                <a:lumOff val="60000"/>
              </a:schemeClr>
            </a:solidFill>
            <a:ln>
              <a:solidFill>
                <a:schemeClr val="bg1"/>
              </a:solidFill>
            </a:ln>
          </c:spPr>
          <c:invertIfNegative val="0"/>
          <c:dPt>
            <c:idx val="0"/>
            <c:invertIfNegative val="0"/>
            <c:bubble3D val="0"/>
            <c:spPr>
              <a:solidFill>
                <a:srgbClr val="FFC000"/>
              </a:solidFill>
              <a:ln>
                <a:solidFill>
                  <a:schemeClr val="bg1"/>
                </a:solidFill>
              </a:ln>
            </c:spPr>
          </c:dPt>
          <c:dLbls>
            <c:dLbl>
              <c:idx val="0"/>
              <c:layout>
                <c:manualLayout>
                  <c:x val="1.578423386731831E-3"/>
                  <c:y val="-4.27882546622191E-3"/>
                </c:manualLayout>
              </c:layout>
              <c:tx>
                <c:rich>
                  <a:bodyPr/>
                  <a:lstStyle/>
                  <a:p>
                    <a:r>
                      <a:rPr lang="en-US"/>
                      <a:t>62,3%</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130</c:v>
              </c:pt>
            </c:numLit>
          </c:val>
        </c:ser>
        <c:ser>
          <c:idx val="20"/>
          <c:order val="20"/>
          <c:tx>
            <c:v>FR</c:v>
          </c:tx>
          <c:spPr>
            <a:solidFill>
              <a:srgbClr val="0070C0"/>
            </a:solidFill>
            <a:ln>
              <a:solidFill>
                <a:schemeClr val="bg1"/>
              </a:solidFill>
            </a:ln>
          </c:spPr>
          <c:invertIfNegative val="0"/>
          <c:dLbls>
            <c:dLbl>
              <c:idx val="0"/>
              <c:layout>
                <c:manualLayout>
                  <c:x val="0"/>
                  <c:y val="8.4478420586127246E-3"/>
                </c:manualLayout>
              </c:layout>
              <c:tx>
                <c:rich>
                  <a:bodyPr/>
                  <a:lstStyle/>
                  <a:p>
                    <a:r>
                      <a:rPr lang="en-US"/>
                      <a:t>50%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92</c:v>
              </c:pt>
            </c:numLit>
          </c:val>
        </c:ser>
        <c:ser>
          <c:idx val="21"/>
          <c:order val="21"/>
          <c:tx>
            <c:v>JP</c:v>
          </c:tx>
          <c:spPr>
            <a:solidFill>
              <a:schemeClr val="accent5">
                <a:lumMod val="40000"/>
                <a:lumOff val="60000"/>
              </a:schemeClr>
            </a:solidFill>
            <a:ln>
              <a:solidFill>
                <a:schemeClr val="bg1"/>
              </a:solidFill>
            </a:ln>
          </c:spPr>
          <c:invertIfNegative val="0"/>
          <c:dLbls>
            <c:dLbl>
              <c:idx val="0"/>
              <c:layout>
                <c:manualLayout>
                  <c:x val="6.3138183826902733E-3"/>
                  <c:y val="4.2513099696931721E-3"/>
                </c:manualLayout>
              </c:layout>
              <c:tx>
                <c:rich>
                  <a:bodyPr/>
                  <a:lstStyle/>
                  <a:p>
                    <a:r>
                      <a:rPr lang="en-US"/>
                      <a:t>68,3%</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63</c:v>
              </c:pt>
            </c:numLit>
          </c:val>
        </c:ser>
        <c:ser>
          <c:idx val="22"/>
          <c:order val="22"/>
          <c:tx>
            <c:v>NL</c:v>
          </c:tx>
          <c:spPr>
            <a:solidFill>
              <a:schemeClr val="bg1">
                <a:lumMod val="65000"/>
              </a:schemeClr>
            </a:solidFill>
            <a:ln>
              <a:solidFill>
                <a:schemeClr val="bg1"/>
              </a:solidFill>
            </a:ln>
          </c:spPr>
          <c:invertIfNegative val="0"/>
          <c:dLbls>
            <c:dLbl>
              <c:idx val="0"/>
              <c:layout>
                <c:manualLayout>
                  <c:x val="1.7397736103438914E-2"/>
                  <c:y val="1.2685638435767229E-2"/>
                </c:manualLayout>
              </c:layout>
              <c:tx>
                <c:rich>
                  <a:bodyPr/>
                  <a:lstStyle/>
                  <a:p>
                    <a:r>
                      <a:rPr lang="en-US"/>
                      <a:t>78,7%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47</c:v>
              </c:pt>
            </c:numLit>
          </c:val>
        </c:ser>
        <c:dLbls>
          <c:showLegendKey val="0"/>
          <c:showVal val="0"/>
          <c:showCatName val="0"/>
          <c:showSerName val="0"/>
          <c:showPercent val="0"/>
          <c:showBubbleSize val="0"/>
        </c:dLbls>
        <c:gapWidth val="150"/>
        <c:shape val="box"/>
        <c:axId val="35539200"/>
        <c:axId val="35557376"/>
        <c:axId val="0"/>
      </c:bar3DChart>
      <c:catAx>
        <c:axId val="35539200"/>
        <c:scaling>
          <c:orientation val="minMax"/>
        </c:scaling>
        <c:delete val="1"/>
        <c:axPos val="b"/>
        <c:numFmt formatCode="General" sourceLinked="1"/>
        <c:majorTickMark val="out"/>
        <c:minorTickMark val="none"/>
        <c:tickLblPos val="nextTo"/>
        <c:crossAx val="35557376"/>
        <c:crosses val="autoZero"/>
        <c:auto val="1"/>
        <c:lblAlgn val="ctr"/>
        <c:lblOffset val="100"/>
        <c:noMultiLvlLbl val="0"/>
      </c:catAx>
      <c:valAx>
        <c:axId val="35557376"/>
        <c:scaling>
          <c:orientation val="minMax"/>
          <c:max val="700"/>
        </c:scaling>
        <c:delete val="0"/>
        <c:axPos val="l"/>
        <c:majorGridlines>
          <c:spPr>
            <a:ln>
              <a:noFill/>
            </a:ln>
          </c:spPr>
        </c:majorGridlines>
        <c:numFmt formatCode="General" sourceLinked="1"/>
        <c:majorTickMark val="out"/>
        <c:minorTickMark val="none"/>
        <c:tickLblPos val="nextTo"/>
        <c:crossAx val="35539200"/>
        <c:crosses val="autoZero"/>
        <c:crossBetween val="between"/>
      </c:valAx>
    </c:plotArea>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90"/>
      <c:rAngAx val="0"/>
      <c:perspective val="30"/>
    </c:view3D>
    <c:floor>
      <c:thickness val="0"/>
      <c:spPr>
        <a:ln>
          <a:solidFill>
            <a:schemeClr val="bg1">
              <a:lumMod val="50000"/>
            </a:schemeClr>
          </a:solidFill>
        </a:ln>
      </c:spPr>
    </c:floor>
    <c:sideWall>
      <c:thickness val="0"/>
    </c:sideWall>
    <c:backWall>
      <c:thickness val="0"/>
    </c:backWall>
    <c:plotArea>
      <c:layout>
        <c:manualLayout>
          <c:layoutTarget val="inner"/>
          <c:xMode val="edge"/>
          <c:yMode val="edge"/>
          <c:x val="5.6020110942596547E-2"/>
          <c:y val="0.21198059168146718"/>
          <c:w val="0.93962877859264948"/>
          <c:h val="0.65893512303095958"/>
        </c:manualLayout>
      </c:layout>
      <c:bar3DChart>
        <c:barDir val="col"/>
        <c:grouping val="clustered"/>
        <c:varyColors val="0"/>
        <c:ser>
          <c:idx val="1"/>
          <c:order val="0"/>
          <c:tx>
            <c:v>KR</c:v>
          </c:tx>
          <c:spPr>
            <a:solidFill>
              <a:srgbClr val="009999"/>
            </a:solidFill>
            <a:ln>
              <a:solidFill>
                <a:schemeClr val="bg1"/>
              </a:solidFill>
            </a:ln>
          </c:spPr>
          <c:invertIfNegative val="0"/>
          <c:dLbls>
            <c:dLbl>
              <c:idx val="0"/>
              <c:layout>
                <c:manualLayout>
                  <c:x val="6.3182822368810544E-3"/>
                  <c:y val="8.4405678958918897E-3"/>
                </c:manualLayout>
              </c:layout>
              <c:tx>
                <c:rich>
                  <a:bodyPr/>
                  <a:lstStyle/>
                  <a:p>
                    <a:r>
                      <a:rPr lang="en-US"/>
                      <a:t>71,1%</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190</c:v>
              </c:pt>
            </c:numLit>
          </c:val>
        </c:ser>
        <c:ser>
          <c:idx val="3"/>
          <c:order val="1"/>
          <c:tx>
            <c:v>DE</c:v>
          </c:tx>
          <c:spPr>
            <a:solidFill>
              <a:srgbClr val="FFC000"/>
            </a:solidFill>
            <a:ln>
              <a:solidFill>
                <a:schemeClr val="bg1"/>
              </a:solidFill>
            </a:ln>
          </c:spPr>
          <c:invertIfNegative val="0"/>
          <c:dLbls>
            <c:dLbl>
              <c:idx val="0"/>
              <c:layout>
                <c:manualLayout>
                  <c:x val="2.1643232596994341E-2"/>
                  <c:y val="-1.2935462829835709E-2"/>
                </c:manualLayout>
              </c:layout>
              <c:tx>
                <c:rich>
                  <a:bodyPr/>
                  <a:lstStyle/>
                  <a:p>
                    <a:r>
                      <a:rPr lang="en-US"/>
                      <a:t>37,5%</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80</c:v>
              </c:pt>
            </c:numLit>
          </c:val>
        </c:ser>
        <c:ser>
          <c:idx val="4"/>
          <c:order val="2"/>
          <c:tx>
            <c:v>JP</c:v>
          </c:tx>
          <c:spPr>
            <a:solidFill>
              <a:schemeClr val="accent5">
                <a:lumMod val="40000"/>
                <a:lumOff val="60000"/>
              </a:schemeClr>
            </a:solidFill>
            <a:ln>
              <a:solidFill>
                <a:schemeClr val="bg1"/>
              </a:solidFill>
            </a:ln>
          </c:spPr>
          <c:invertIfNegative val="0"/>
          <c:dLbls>
            <c:dLbl>
              <c:idx val="0"/>
              <c:layout>
                <c:manualLayout>
                  <c:x val="1.4214796662387485E-2"/>
                  <c:y val="-1.7278814416357976E-2"/>
                </c:manualLayout>
              </c:layout>
              <c:tx>
                <c:rich>
                  <a:bodyPr/>
                  <a:lstStyle/>
                  <a:p>
                    <a:r>
                      <a:rPr lang="en-US"/>
                      <a:t>62,5%</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24</c:v>
              </c:pt>
            </c:numLit>
          </c:val>
        </c:ser>
        <c:ser>
          <c:idx val="2"/>
          <c:order val="3"/>
          <c:tx>
            <c:v>US</c:v>
          </c:tx>
          <c:spPr>
            <a:solidFill>
              <a:srgbClr val="7030A0"/>
            </a:solidFill>
            <a:ln>
              <a:solidFill>
                <a:schemeClr val="bg1"/>
              </a:solidFill>
            </a:ln>
          </c:spPr>
          <c:invertIfNegative val="0"/>
          <c:dPt>
            <c:idx val="0"/>
            <c:invertIfNegative val="0"/>
            <c:bubble3D val="0"/>
            <c:spPr>
              <a:solidFill>
                <a:srgbClr val="800080"/>
              </a:solidFill>
              <a:ln>
                <a:solidFill>
                  <a:schemeClr val="bg1"/>
                </a:solidFill>
              </a:ln>
            </c:spPr>
          </c:dPt>
          <c:dLbls>
            <c:dLbl>
              <c:idx val="0"/>
              <c:layout>
                <c:manualLayout>
                  <c:x val="6.3136844157569974E-3"/>
                  <c:y val="1.7200605224035478E-2"/>
                </c:manualLayout>
              </c:layout>
              <c:tx>
                <c:rich>
                  <a:bodyPr/>
                  <a:lstStyle/>
                  <a:p>
                    <a:r>
                      <a:rPr lang="en-US"/>
                      <a:t>50%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24</c:v>
              </c:pt>
            </c:numLit>
          </c:val>
        </c:ser>
        <c:ser>
          <c:idx val="0"/>
          <c:order val="4"/>
          <c:tx>
            <c:v>CH</c:v>
          </c:tx>
          <c:spPr>
            <a:solidFill>
              <a:srgbClr val="FF0000"/>
            </a:solidFill>
            <a:ln>
              <a:solidFill>
                <a:schemeClr val="bg1"/>
              </a:solidFill>
            </a:ln>
          </c:spPr>
          <c:invertIfNegative val="0"/>
          <c:dLbls>
            <c:dLbl>
              <c:idx val="0"/>
              <c:layout>
                <c:manualLayout>
                  <c:x val="7.8742650243511809E-3"/>
                  <c:y val="8.4405678958918099E-3"/>
                </c:manualLayout>
              </c:layout>
              <c:tx>
                <c:rich>
                  <a:bodyPr/>
                  <a:lstStyle/>
                  <a:p>
                    <a:r>
                      <a:rPr lang="en-US"/>
                      <a:t>7,7%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142</c:v>
              </c:pt>
            </c:numLit>
          </c:val>
        </c:ser>
        <c:ser>
          <c:idx val="5"/>
          <c:order val="5"/>
          <c:tx>
            <c:v>espace</c:v>
          </c:tx>
          <c:spPr>
            <a:noFill/>
          </c:spPr>
          <c:invertIfNegative val="0"/>
          <c:val>
            <c:numLit>
              <c:formatCode>General</c:formatCode>
              <c:ptCount val="1"/>
              <c:pt idx="0">
                <c:v>1</c:v>
              </c:pt>
            </c:numLit>
          </c:val>
        </c:ser>
        <c:ser>
          <c:idx val="6"/>
          <c:order val="6"/>
          <c:tx>
            <c:v>KR</c:v>
          </c:tx>
          <c:spPr>
            <a:solidFill>
              <a:srgbClr val="009999"/>
            </a:solidFill>
            <a:ln>
              <a:solidFill>
                <a:schemeClr val="bg1"/>
              </a:solidFill>
            </a:ln>
          </c:spPr>
          <c:invertIfNegative val="0"/>
          <c:dLbls>
            <c:dLbl>
              <c:idx val="0"/>
              <c:layout>
                <c:manualLayout>
                  <c:x val="-1.662061371616147E-7"/>
                  <c:y val="-5.5569673867005509E-2"/>
                </c:manualLayout>
              </c:layout>
              <c:tx>
                <c:rich>
                  <a:bodyPr/>
                  <a:lstStyle/>
                  <a:p>
                    <a:r>
                      <a:rPr lang="en-US"/>
                      <a:t>45,7%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35</c:v>
              </c:pt>
            </c:numLit>
          </c:val>
        </c:ser>
        <c:ser>
          <c:idx val="8"/>
          <c:order val="7"/>
          <c:tx>
            <c:v>NL</c:v>
          </c:tx>
          <c:spPr>
            <a:solidFill>
              <a:schemeClr val="bg1">
                <a:lumMod val="65000"/>
              </a:schemeClr>
            </a:solidFill>
          </c:spPr>
          <c:invertIfNegative val="0"/>
          <c:dLbls>
            <c:dLbl>
              <c:idx val="0"/>
              <c:layout>
                <c:manualLayout>
                  <c:x val="-1.6620613720031257E-7"/>
                  <c:y val="-2.5695782268311679E-2"/>
                </c:manualLayout>
              </c:layout>
              <c:tx>
                <c:rich>
                  <a:bodyPr/>
                  <a:lstStyle/>
                  <a:p>
                    <a:r>
                      <a:rPr lang="en-US"/>
                      <a:t>88,2%</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17</c:v>
              </c:pt>
            </c:numLit>
          </c:val>
        </c:ser>
        <c:ser>
          <c:idx val="7"/>
          <c:order val="8"/>
          <c:tx>
            <c:v>US</c:v>
          </c:tx>
          <c:spPr>
            <a:solidFill>
              <a:srgbClr val="800080"/>
            </a:solidFill>
            <a:ln>
              <a:solidFill>
                <a:schemeClr val="bg1"/>
              </a:solidFill>
            </a:ln>
          </c:spPr>
          <c:invertIfNegative val="0"/>
          <c:dLbls>
            <c:dLbl>
              <c:idx val="0"/>
              <c:layout>
                <c:manualLayout>
                  <c:x val="1.5784428946703814E-3"/>
                  <c:y val="8.4405487951781204E-3"/>
                </c:manualLayout>
              </c:layout>
              <c:tx>
                <c:rich>
                  <a:bodyPr/>
                  <a:lstStyle/>
                  <a:p>
                    <a:r>
                      <a:rPr lang="en-US"/>
                      <a:t>81,8%</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11</c:v>
              </c:pt>
            </c:numLit>
          </c:val>
        </c:ser>
        <c:ser>
          <c:idx val="9"/>
          <c:order val="9"/>
          <c:tx>
            <c:v>CH</c:v>
          </c:tx>
          <c:spPr>
            <a:solidFill>
              <a:srgbClr val="FF0000"/>
            </a:solidFill>
            <a:ln>
              <a:solidFill>
                <a:schemeClr val="bg1"/>
              </a:solidFill>
            </a:ln>
          </c:spPr>
          <c:invertIfNegative val="0"/>
          <c:dLbls>
            <c:dLbl>
              <c:idx val="0"/>
              <c:layout>
                <c:manualLayout>
                  <c:x val="1.1049051586229822E-2"/>
                  <c:y val="-1.7207033651678486E-2"/>
                </c:manualLayout>
              </c:layout>
              <c:tx>
                <c:rich>
                  <a:bodyPr/>
                  <a:lstStyle/>
                  <a:p>
                    <a:r>
                      <a:rPr lang="en-US"/>
                      <a:t>26,3%</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19</c:v>
              </c:pt>
            </c:numLit>
          </c:val>
        </c:ser>
        <c:ser>
          <c:idx val="10"/>
          <c:order val="10"/>
          <c:tx>
            <c:v>SI</c:v>
          </c:tx>
          <c:spPr>
            <a:solidFill>
              <a:srgbClr val="7500CC"/>
            </a:solidFill>
            <a:ln>
              <a:solidFill>
                <a:schemeClr val="bg1"/>
              </a:solidFill>
            </a:ln>
          </c:spPr>
          <c:invertIfNegative val="0"/>
          <c:dLbls>
            <c:dLbl>
              <c:idx val="0"/>
              <c:layout>
                <c:manualLayout>
                  <c:x val="1.5784428946703812E-2"/>
                  <c:y val="1.2660823192767181E-2"/>
                </c:manualLayout>
              </c:layout>
              <c:tx>
                <c:rich>
                  <a:bodyPr/>
                  <a:lstStyle/>
                  <a:p>
                    <a:r>
                      <a:rPr lang="en-US"/>
                      <a:t>71,4%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7</c:v>
              </c:pt>
            </c:numLit>
          </c:val>
        </c:ser>
        <c:ser>
          <c:idx val="11"/>
          <c:order val="11"/>
          <c:tx>
            <c:v>espace</c:v>
          </c:tx>
          <c:spPr>
            <a:noFill/>
          </c:spPr>
          <c:invertIfNegative val="0"/>
          <c:val>
            <c:numLit>
              <c:formatCode>General</c:formatCode>
              <c:ptCount val="1"/>
              <c:pt idx="0">
                <c:v>1</c:v>
              </c:pt>
            </c:numLit>
          </c:val>
        </c:ser>
        <c:ser>
          <c:idx val="12"/>
          <c:order val="12"/>
          <c:tx>
            <c:v>NL</c:v>
          </c:tx>
          <c:spPr>
            <a:solidFill>
              <a:srgbClr val="00B0F0"/>
            </a:solidFill>
            <a:ln>
              <a:solidFill>
                <a:schemeClr val="bg1"/>
              </a:solidFill>
            </a:ln>
          </c:spPr>
          <c:invertIfNegative val="0"/>
          <c:dPt>
            <c:idx val="0"/>
            <c:invertIfNegative val="0"/>
            <c:bubble3D val="0"/>
            <c:spPr>
              <a:solidFill>
                <a:schemeClr val="bg1">
                  <a:lumMod val="65000"/>
                </a:schemeClr>
              </a:solidFill>
              <a:ln>
                <a:solidFill>
                  <a:schemeClr val="bg1"/>
                </a:solidFill>
              </a:ln>
            </c:spPr>
          </c:dPt>
          <c:dLbls>
            <c:dLbl>
              <c:idx val="0"/>
              <c:layout>
                <c:manualLayout>
                  <c:x val="2.6395196642636028E-3"/>
                  <c:y val="-2.585495484417491E-2"/>
                </c:manualLayout>
              </c:layout>
              <c:tx>
                <c:rich>
                  <a:bodyPr/>
                  <a:lstStyle/>
                  <a:p>
                    <a:endParaRPr lang="en-US"/>
                  </a:p>
                  <a:p>
                    <a:r>
                      <a:rPr lang="en-US"/>
                      <a:t>88,2%</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17</c:v>
              </c:pt>
            </c:numLit>
          </c:val>
        </c:ser>
        <c:ser>
          <c:idx val="13"/>
          <c:order val="13"/>
          <c:tx>
            <c:v>US</c:v>
          </c:tx>
          <c:spPr>
            <a:solidFill>
              <a:srgbClr val="800080"/>
            </a:solidFill>
            <a:ln>
              <a:solidFill>
                <a:schemeClr val="bg1"/>
              </a:solidFill>
            </a:ln>
          </c:spPr>
          <c:invertIfNegative val="0"/>
          <c:dLbls>
            <c:dLbl>
              <c:idx val="0"/>
              <c:layout>
                <c:manualLayout>
                  <c:x val="-3.6125349481613694E-6"/>
                  <c:y val="1.2840683047898691E-2"/>
                </c:manualLayout>
              </c:layout>
              <c:tx>
                <c:rich>
                  <a:bodyPr/>
                  <a:lstStyle/>
                  <a:p>
                    <a:r>
                      <a:rPr lang="en-US"/>
                      <a:t>72,7%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11</c:v>
              </c:pt>
            </c:numLit>
          </c:val>
        </c:ser>
        <c:ser>
          <c:idx val="14"/>
          <c:order val="14"/>
          <c:tx>
            <c:v>JP</c:v>
          </c:tx>
          <c:spPr>
            <a:solidFill>
              <a:schemeClr val="accent5">
                <a:lumMod val="40000"/>
                <a:lumOff val="60000"/>
              </a:schemeClr>
            </a:solidFill>
            <a:ln>
              <a:solidFill>
                <a:schemeClr val="bg1"/>
              </a:solidFill>
            </a:ln>
          </c:spPr>
          <c:invertIfNegative val="0"/>
          <c:dLbls>
            <c:dLbl>
              <c:idx val="0"/>
              <c:layout>
                <c:manualLayout>
                  <c:x val="-7.1468638979494315E-6"/>
                  <c:y val="-4.7371944638002102E-2"/>
                </c:manualLayout>
              </c:layout>
              <c:tx>
                <c:rich>
                  <a:bodyPr/>
                  <a:lstStyle/>
                  <a:p>
                    <a:r>
                      <a:rPr lang="en-US"/>
                      <a:t>85,7%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7</c:v>
              </c:pt>
            </c:numLit>
          </c:val>
        </c:ser>
        <c:ser>
          <c:idx val="15"/>
          <c:order val="15"/>
          <c:tx>
            <c:v>DE</c:v>
          </c:tx>
          <c:spPr>
            <a:solidFill>
              <a:srgbClr val="FFC000"/>
            </a:solidFill>
            <a:ln>
              <a:solidFill>
                <a:schemeClr val="bg1"/>
              </a:solidFill>
            </a:ln>
          </c:spPr>
          <c:invertIfNegative val="0"/>
          <c:dLbls>
            <c:dLbl>
              <c:idx val="0"/>
              <c:layout>
                <c:manualLayout>
                  <c:x val="-7.9102058347671356E-3"/>
                  <c:y val="1.7121360110062035E-2"/>
                </c:manualLayout>
              </c:layout>
              <c:tx>
                <c:rich>
                  <a:bodyPr/>
                  <a:lstStyle/>
                  <a:p>
                    <a:r>
                      <a:rPr lang="en-US"/>
                      <a:t>38,5%</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13</c:v>
              </c:pt>
            </c:numLit>
          </c:val>
        </c:ser>
        <c:ser>
          <c:idx val="16"/>
          <c:order val="16"/>
          <c:tx>
            <c:v>CH</c:v>
          </c:tx>
          <c:spPr>
            <a:solidFill>
              <a:srgbClr val="FF0000"/>
            </a:solidFill>
            <a:ln>
              <a:solidFill>
                <a:schemeClr val="bg1"/>
              </a:solidFill>
            </a:ln>
          </c:spPr>
          <c:invertIfNegative val="0"/>
          <c:dLbls>
            <c:dLbl>
              <c:idx val="0"/>
              <c:layout>
                <c:manualLayout>
                  <c:x val="-1.5820411669534272E-3"/>
                  <c:y val="4.2803400275155086E-3"/>
                </c:manualLayout>
              </c:layout>
              <c:tx>
                <c:rich>
                  <a:bodyPr/>
                  <a:lstStyle/>
                  <a:p>
                    <a:r>
                      <a:rPr lang="en-US"/>
                      <a:t>7,8%</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51</c:v>
              </c:pt>
            </c:numLit>
          </c:val>
        </c:ser>
        <c:ser>
          <c:idx val="18"/>
          <c:order val="17"/>
          <c:tx>
            <c:v>espace</c:v>
          </c:tx>
          <c:spPr>
            <a:noFill/>
          </c:spPr>
          <c:invertIfNegative val="0"/>
          <c:val>
            <c:numLit>
              <c:formatCode>General</c:formatCode>
              <c:ptCount val="1"/>
              <c:pt idx="0">
                <c:v>1</c:v>
              </c:pt>
            </c:numLit>
          </c:val>
        </c:ser>
        <c:ser>
          <c:idx val="17"/>
          <c:order val="18"/>
          <c:tx>
            <c:v>KR</c:v>
          </c:tx>
          <c:spPr>
            <a:solidFill>
              <a:srgbClr val="009999"/>
            </a:solidFill>
            <a:ln>
              <a:solidFill>
                <a:schemeClr val="bg1"/>
              </a:solidFill>
            </a:ln>
          </c:spPr>
          <c:invertIfNegative val="0"/>
          <c:dLbls>
            <c:dLbl>
              <c:idx val="0"/>
              <c:layout>
                <c:manualLayout>
                  <c:x val="-1.5854403423846426E-3"/>
                  <c:y val="-2.63457938817615E-2"/>
                </c:manualLayout>
              </c:layout>
              <c:tx>
                <c:rich>
                  <a:bodyPr/>
                  <a:lstStyle/>
                  <a:p>
                    <a:r>
                      <a:rPr lang="en-US"/>
                      <a:t>81,4%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70</c:v>
              </c:pt>
            </c:numLit>
          </c:val>
        </c:ser>
        <c:ser>
          <c:idx val="20"/>
          <c:order val="19"/>
          <c:tx>
            <c:v>NL</c:v>
          </c:tx>
          <c:spPr>
            <a:solidFill>
              <a:schemeClr val="bg1">
                <a:lumMod val="65000"/>
              </a:schemeClr>
            </a:solidFill>
            <a:ln>
              <a:solidFill>
                <a:schemeClr val="bg1"/>
              </a:solidFill>
            </a:ln>
          </c:spPr>
          <c:invertIfNegative val="0"/>
          <c:dLbls>
            <c:dLbl>
              <c:idx val="0"/>
              <c:layout>
                <c:manualLayout>
                  <c:x val="4.7352128477344026E-3"/>
                  <c:y val="-2.5461463841182658E-2"/>
                </c:manualLayout>
              </c:layout>
              <c:tx>
                <c:rich>
                  <a:bodyPr/>
                  <a:lstStyle/>
                  <a:p>
                    <a:r>
                      <a:rPr lang="en-US"/>
                      <a:t>80,8%</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26</c:v>
              </c:pt>
            </c:numLit>
          </c:val>
        </c:ser>
        <c:ser>
          <c:idx val="19"/>
          <c:order val="20"/>
          <c:tx>
            <c:v>IT</c:v>
          </c:tx>
          <c:spPr>
            <a:solidFill>
              <a:srgbClr val="92D050"/>
            </a:solidFill>
          </c:spPr>
          <c:invertIfNegative val="0"/>
          <c:dLbls>
            <c:dLbl>
              <c:idx val="0"/>
              <c:layout>
                <c:manualLayout>
                  <c:x val="-6.3324538258575196E-3"/>
                  <c:y val="4.3379650503475612E-3"/>
                </c:manualLayout>
              </c:layout>
              <c:tx>
                <c:rich>
                  <a:bodyPr/>
                  <a:lstStyle/>
                  <a:p>
                    <a:r>
                      <a:rPr lang="en-US"/>
                      <a:t>50%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16</c:v>
              </c:pt>
            </c:numLit>
          </c:val>
        </c:ser>
        <c:ser>
          <c:idx val="21"/>
          <c:order val="21"/>
          <c:tx>
            <c:v>FR</c:v>
          </c:tx>
          <c:spPr>
            <a:solidFill>
              <a:srgbClr val="0070C0"/>
            </a:solidFill>
          </c:spPr>
          <c:invertIfNegative val="0"/>
          <c:dLbls>
            <c:dLbl>
              <c:idx val="0"/>
              <c:layout/>
              <c:tx>
                <c:rich>
                  <a:bodyPr/>
                  <a:lstStyle/>
                  <a:p>
                    <a:r>
                      <a:rPr lang="en-US"/>
                      <a:t>50%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16</c:v>
              </c:pt>
            </c:numLit>
          </c:val>
        </c:ser>
        <c:ser>
          <c:idx val="22"/>
          <c:order val="22"/>
          <c:tx>
            <c:v>JP</c:v>
          </c:tx>
          <c:spPr>
            <a:solidFill>
              <a:schemeClr val="accent5">
                <a:lumMod val="40000"/>
                <a:lumOff val="60000"/>
              </a:schemeClr>
            </a:solidFill>
            <a:ln>
              <a:solidFill>
                <a:schemeClr val="bg1"/>
              </a:solidFill>
            </a:ln>
          </c:spPr>
          <c:invertIfNegative val="0"/>
          <c:dLbls>
            <c:dLbl>
              <c:idx val="0"/>
              <c:layout>
                <c:manualLayout>
                  <c:x val="9.4915127285664803E-3"/>
                  <c:y val="4.22015978377519E-3"/>
                </c:manualLayout>
              </c:layout>
              <c:tx>
                <c:rich>
                  <a:bodyPr/>
                  <a:lstStyle/>
                  <a:p>
                    <a:r>
                      <a:rPr lang="en-US"/>
                      <a:t>41,7%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12</c:v>
              </c:pt>
            </c:numLit>
          </c:val>
        </c:ser>
        <c:dLbls>
          <c:showLegendKey val="0"/>
          <c:showVal val="0"/>
          <c:showCatName val="0"/>
          <c:showSerName val="0"/>
          <c:showPercent val="0"/>
          <c:showBubbleSize val="0"/>
        </c:dLbls>
        <c:gapWidth val="150"/>
        <c:shape val="box"/>
        <c:axId val="36899072"/>
        <c:axId val="36909056"/>
        <c:axId val="0"/>
      </c:bar3DChart>
      <c:catAx>
        <c:axId val="36899072"/>
        <c:scaling>
          <c:orientation val="minMax"/>
        </c:scaling>
        <c:delete val="1"/>
        <c:axPos val="b"/>
        <c:numFmt formatCode="General" sourceLinked="1"/>
        <c:majorTickMark val="out"/>
        <c:minorTickMark val="none"/>
        <c:tickLblPos val="nextTo"/>
        <c:crossAx val="36909056"/>
        <c:crosses val="autoZero"/>
        <c:auto val="1"/>
        <c:lblAlgn val="ctr"/>
        <c:lblOffset val="100"/>
        <c:noMultiLvlLbl val="0"/>
      </c:catAx>
      <c:valAx>
        <c:axId val="36909056"/>
        <c:scaling>
          <c:orientation val="minMax"/>
          <c:max val="700"/>
        </c:scaling>
        <c:delete val="0"/>
        <c:axPos val="l"/>
        <c:majorGridlines>
          <c:spPr>
            <a:ln>
              <a:noFill/>
            </a:ln>
          </c:spPr>
        </c:majorGridlines>
        <c:numFmt formatCode="General" sourceLinked="1"/>
        <c:majorTickMark val="out"/>
        <c:minorTickMark val="none"/>
        <c:tickLblPos val="nextTo"/>
        <c:crossAx val="36899072"/>
        <c:crosses val="autoZero"/>
        <c:crossBetween val="between"/>
      </c:valAx>
    </c:plotArea>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90"/>
      <c:rAngAx val="0"/>
      <c:perspective val="30"/>
    </c:view3D>
    <c:floor>
      <c:thickness val="0"/>
      <c:spPr>
        <a:noFill/>
      </c:spPr>
    </c:floor>
    <c:sideWall>
      <c:thickness val="0"/>
    </c:sideWall>
    <c:backWall>
      <c:thickness val="0"/>
    </c:backWall>
    <c:plotArea>
      <c:layout>
        <c:manualLayout>
          <c:layoutTarget val="inner"/>
          <c:xMode val="edge"/>
          <c:yMode val="edge"/>
          <c:x val="0.10189594505822015"/>
          <c:y val="0.25756210503900051"/>
          <c:w val="0.86193089087227026"/>
          <c:h val="0.65861646966081189"/>
        </c:manualLayout>
      </c:layout>
      <c:bar3DChart>
        <c:barDir val="col"/>
        <c:grouping val="clustered"/>
        <c:varyColors val="0"/>
        <c:ser>
          <c:idx val="3"/>
          <c:order val="0"/>
          <c:tx>
            <c:v>FR1</c:v>
          </c:tx>
          <c:spPr>
            <a:solidFill>
              <a:srgbClr val="0070C0"/>
            </a:solidFill>
            <a:ln>
              <a:solidFill>
                <a:schemeClr val="bg1"/>
              </a:solidFill>
            </a:ln>
          </c:spPr>
          <c:invertIfNegative val="0"/>
          <c:dLbls>
            <c:dLbl>
              <c:idx val="0"/>
              <c:layout/>
              <c:tx>
                <c:rich>
                  <a:bodyPr/>
                  <a:lstStyle/>
                  <a:p>
                    <a:pPr>
                      <a:defRPr/>
                    </a:pPr>
                    <a:r>
                      <a:rPr lang="en-US"/>
                      <a:t>14,5%</a:t>
                    </a:r>
                  </a:p>
                </c:rich>
              </c:tx>
              <c:numFmt formatCode="General" sourceLinked="0"/>
              <c:spPr/>
              <c:showLegendKey val="0"/>
              <c:showVal val="1"/>
              <c:showCatName val="0"/>
              <c:showSerName val="0"/>
              <c:showPercent val="0"/>
              <c:showBubbleSize val="0"/>
            </c:dLbl>
            <c:numFmt formatCode="0%" sourceLinked="0"/>
            <c:showLegendKey val="0"/>
            <c:showVal val="1"/>
            <c:showCatName val="0"/>
            <c:showSerName val="0"/>
            <c:showPercent val="0"/>
            <c:showBubbleSize val="0"/>
            <c:showLeaderLines val="0"/>
          </c:dLbls>
          <c:val>
            <c:numLit>
              <c:formatCode>General</c:formatCode>
              <c:ptCount val="1"/>
              <c:pt idx="0">
                <c:v>14.5</c:v>
              </c:pt>
            </c:numLit>
          </c:val>
        </c:ser>
        <c:ser>
          <c:idx val="4"/>
          <c:order val="1"/>
          <c:tx>
            <c:v>FR2</c:v>
          </c:tx>
          <c:spPr>
            <a:solidFill>
              <a:srgbClr val="00B0F0"/>
            </a:solidFill>
            <a:ln>
              <a:solidFill>
                <a:schemeClr val="bg1"/>
              </a:solidFill>
            </a:ln>
          </c:spPr>
          <c:invertIfNegative val="0"/>
          <c:dLbls>
            <c:dLbl>
              <c:idx val="0"/>
              <c:layout/>
              <c:tx>
                <c:rich>
                  <a:bodyPr/>
                  <a:lstStyle/>
                  <a:p>
                    <a:r>
                      <a:rPr lang="en-US"/>
                      <a:t>72,3%</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72.3</c:v>
              </c:pt>
            </c:numLit>
          </c:val>
        </c:ser>
        <c:ser>
          <c:idx val="1"/>
          <c:order val="2"/>
          <c:tx>
            <c:v>espace</c:v>
          </c:tx>
          <c:spPr>
            <a:noFill/>
            <a:ln>
              <a:noFill/>
            </a:ln>
          </c:spPr>
          <c:invertIfNegative val="0"/>
          <c:val>
            <c:numLit>
              <c:formatCode>General</c:formatCode>
              <c:ptCount val="1"/>
              <c:pt idx="0">
                <c:v>1</c:v>
              </c:pt>
            </c:numLit>
          </c:val>
        </c:ser>
        <c:ser>
          <c:idx val="0"/>
          <c:order val="3"/>
          <c:tx>
            <c:v>CH</c:v>
          </c:tx>
          <c:spPr>
            <a:solidFill>
              <a:srgbClr val="FF0000"/>
            </a:solidFill>
            <a:ln>
              <a:solidFill>
                <a:schemeClr val="bg1"/>
              </a:solidFill>
            </a:ln>
          </c:spPr>
          <c:invertIfNegative val="0"/>
          <c:dLbls>
            <c:dLbl>
              <c:idx val="0"/>
              <c:layout/>
              <c:tx>
                <c:rich>
                  <a:bodyPr/>
                  <a:lstStyle/>
                  <a:p>
                    <a:r>
                      <a:rPr lang="en-US"/>
                      <a:t>84,4%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84.4</c:v>
              </c:pt>
            </c:numLit>
          </c:val>
        </c:ser>
        <c:ser>
          <c:idx val="2"/>
          <c:order val="4"/>
          <c:tx>
            <c:v>espace</c:v>
          </c:tx>
          <c:spPr>
            <a:noFill/>
          </c:spPr>
          <c:invertIfNegative val="0"/>
          <c:val>
            <c:numLit>
              <c:formatCode>General</c:formatCode>
              <c:ptCount val="1"/>
              <c:pt idx="0">
                <c:v>0</c:v>
              </c:pt>
            </c:numLit>
          </c:val>
        </c:ser>
        <c:ser>
          <c:idx val="19"/>
          <c:order val="5"/>
          <c:tx>
            <c:v>ES1</c:v>
          </c:tx>
          <c:spPr>
            <a:solidFill>
              <a:srgbClr val="F55592"/>
            </a:solidFill>
            <a:ln>
              <a:solidFill>
                <a:schemeClr val="bg1"/>
              </a:solidFill>
            </a:ln>
          </c:spPr>
          <c:invertIfNegative val="0"/>
          <c:dLbls>
            <c:dLbl>
              <c:idx val="0"/>
              <c:layout/>
              <c:tx>
                <c:rich>
                  <a:bodyPr/>
                  <a:lstStyle/>
                  <a:p>
                    <a:r>
                      <a:rPr lang="en-US"/>
                      <a:t>2,9%</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2.9</c:v>
              </c:pt>
            </c:numLit>
          </c:val>
        </c:ser>
        <c:ser>
          <c:idx val="20"/>
          <c:order val="6"/>
          <c:tx>
            <c:v>ES2</c:v>
          </c:tx>
          <c:spPr>
            <a:solidFill>
              <a:srgbClr val="00B0F0"/>
            </a:solidFill>
            <a:ln>
              <a:solidFill>
                <a:schemeClr val="bg1"/>
              </a:solidFill>
            </a:ln>
          </c:spPr>
          <c:invertIfNegative val="0"/>
          <c:dLbls>
            <c:dLbl>
              <c:idx val="0"/>
              <c:layout/>
              <c:tx>
                <c:rich>
                  <a:bodyPr/>
                  <a:lstStyle/>
                  <a:p>
                    <a:r>
                      <a:rPr lang="en-US"/>
                      <a:t>79,4%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79.400000000000006</c:v>
              </c:pt>
            </c:numLit>
          </c:val>
        </c:ser>
        <c:ser>
          <c:idx val="18"/>
          <c:order val="7"/>
          <c:tx>
            <c:v>espace</c:v>
          </c:tx>
          <c:spPr>
            <a:noFill/>
          </c:spPr>
          <c:invertIfNegative val="0"/>
          <c:val>
            <c:numLit>
              <c:formatCode>General</c:formatCode>
              <c:ptCount val="1"/>
              <c:pt idx="0">
                <c:v>0</c:v>
              </c:pt>
            </c:numLit>
          </c:val>
        </c:ser>
        <c:ser>
          <c:idx val="6"/>
          <c:order val="8"/>
          <c:tx>
            <c:v>DE1</c:v>
          </c:tx>
          <c:spPr>
            <a:solidFill>
              <a:srgbClr val="FFC000"/>
            </a:solidFill>
            <a:ln>
              <a:solidFill>
                <a:schemeClr val="bg1"/>
              </a:solidFill>
            </a:ln>
          </c:spPr>
          <c:invertIfNegative val="0"/>
          <c:dLbls>
            <c:dLbl>
              <c:idx val="0"/>
              <c:layout/>
              <c:tx>
                <c:rich>
                  <a:bodyPr/>
                  <a:lstStyle/>
                  <a:p>
                    <a:r>
                      <a:rPr lang="en-US"/>
                      <a:t>13,1%</a:t>
                    </a:r>
                  </a:p>
                </c:rich>
              </c:tx>
              <c:showLegendKey val="0"/>
              <c:showVal val="1"/>
              <c:showCatName val="0"/>
              <c:showSerName val="0"/>
              <c:showPercent val="0"/>
              <c:showBubbleSize val="0"/>
            </c:dLbl>
            <c:showLegendKey val="0"/>
            <c:showVal val="1"/>
            <c:showCatName val="0"/>
            <c:showSerName val="0"/>
            <c:showPercent val="0"/>
            <c:showBubbleSize val="0"/>
            <c:showLeaderLines val="0"/>
          </c:dLbls>
          <c:cat>
            <c:numLit>
              <c:formatCode>General</c:formatCode>
              <c:ptCount val="1"/>
              <c:pt idx="0">
                <c:v>2014</c:v>
              </c:pt>
            </c:numLit>
          </c:cat>
          <c:val>
            <c:numLit>
              <c:formatCode>General</c:formatCode>
              <c:ptCount val="1"/>
              <c:pt idx="0">
                <c:v>13.1</c:v>
              </c:pt>
            </c:numLit>
          </c:val>
        </c:ser>
        <c:ser>
          <c:idx val="9"/>
          <c:order val="9"/>
          <c:tx>
            <c:v>DE2</c:v>
          </c:tx>
          <c:spPr>
            <a:solidFill>
              <a:srgbClr val="00B0F0"/>
            </a:solidFill>
            <a:ln>
              <a:solidFill>
                <a:schemeClr val="bg1"/>
              </a:solidFill>
            </a:ln>
          </c:spPr>
          <c:invertIfNegative val="0"/>
          <c:dLbls>
            <c:dLbl>
              <c:idx val="0"/>
              <c:layout/>
              <c:tx>
                <c:rich>
                  <a:bodyPr/>
                  <a:lstStyle/>
                  <a:p>
                    <a:r>
                      <a:rPr lang="en-US"/>
                      <a:t>64%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64</c:v>
              </c:pt>
            </c:numLit>
          </c:val>
        </c:ser>
        <c:ser>
          <c:idx val="5"/>
          <c:order val="10"/>
          <c:tx>
            <c:v>espace</c:v>
          </c:tx>
          <c:spPr>
            <a:noFill/>
          </c:spPr>
          <c:invertIfNegative val="0"/>
          <c:val>
            <c:numLit>
              <c:formatCode>General</c:formatCode>
              <c:ptCount val="1"/>
              <c:pt idx="0">
                <c:v>0</c:v>
              </c:pt>
            </c:numLit>
          </c:val>
        </c:ser>
        <c:ser>
          <c:idx val="16"/>
          <c:order val="11"/>
          <c:tx>
            <c:v>BE</c:v>
          </c:tx>
          <c:spPr>
            <a:solidFill>
              <a:srgbClr val="FFFFB3"/>
            </a:solidFill>
            <a:ln w="3175">
              <a:solidFill>
                <a:schemeClr val="bg1">
                  <a:lumMod val="65000"/>
                </a:schemeClr>
              </a:solidFill>
            </a:ln>
          </c:spPr>
          <c:invertIfNegative val="0"/>
          <c:dLbls>
            <c:dLbl>
              <c:idx val="0"/>
              <c:layout/>
              <c:tx>
                <c:rich>
                  <a:bodyPr/>
                  <a:lstStyle/>
                  <a:p>
                    <a:r>
                      <a:rPr lang="en-US"/>
                      <a:t>13,8%</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13.8</c:v>
              </c:pt>
            </c:numLit>
          </c:val>
        </c:ser>
        <c:ser>
          <c:idx val="17"/>
          <c:order val="12"/>
          <c:tx>
            <c:v>BE</c:v>
          </c:tx>
          <c:spPr>
            <a:solidFill>
              <a:srgbClr val="00B0F0"/>
            </a:solidFill>
            <a:ln>
              <a:solidFill>
                <a:schemeClr val="bg1"/>
              </a:solidFill>
            </a:ln>
          </c:spPr>
          <c:invertIfNegative val="0"/>
          <c:dLbls>
            <c:dLbl>
              <c:idx val="0"/>
              <c:layout/>
              <c:tx>
                <c:rich>
                  <a:bodyPr/>
                  <a:lstStyle/>
                  <a:p>
                    <a:r>
                      <a:rPr lang="en-US"/>
                      <a:t>62,1%</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62.1</c:v>
              </c:pt>
            </c:numLit>
          </c:val>
        </c:ser>
        <c:ser>
          <c:idx val="14"/>
          <c:order val="13"/>
          <c:tx>
            <c:v>espace</c:v>
          </c:tx>
          <c:spPr>
            <a:noFill/>
          </c:spPr>
          <c:invertIfNegative val="0"/>
          <c:val>
            <c:numLit>
              <c:formatCode>General</c:formatCode>
              <c:ptCount val="1"/>
              <c:pt idx="0">
                <c:v>0</c:v>
              </c:pt>
            </c:numLit>
          </c:val>
        </c:ser>
        <c:ser>
          <c:idx val="7"/>
          <c:order val="14"/>
          <c:tx>
            <c:v>IT1</c:v>
          </c:tx>
          <c:spPr>
            <a:solidFill>
              <a:srgbClr val="92D050"/>
            </a:solidFill>
            <a:ln>
              <a:noFill/>
            </a:ln>
          </c:spPr>
          <c:invertIfNegative val="0"/>
          <c:dLbls>
            <c:dLbl>
              <c:idx val="0"/>
              <c:layout/>
              <c:tx>
                <c:rich>
                  <a:bodyPr/>
                  <a:lstStyle/>
                  <a:p>
                    <a:r>
                      <a:rPr lang="en-US"/>
                      <a:t>1%</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c:v>
              </c:pt>
            </c:numLit>
          </c:val>
        </c:ser>
        <c:ser>
          <c:idx val="8"/>
          <c:order val="15"/>
          <c:tx>
            <c:v>IT2</c:v>
          </c:tx>
          <c:spPr>
            <a:solidFill>
              <a:srgbClr val="00B0F0"/>
            </a:solidFill>
            <a:ln>
              <a:solidFill>
                <a:schemeClr val="bg1"/>
              </a:solidFill>
            </a:ln>
          </c:spPr>
          <c:invertIfNegative val="0"/>
          <c:dLbls>
            <c:dLbl>
              <c:idx val="0"/>
              <c:layout/>
              <c:tx>
                <c:rich>
                  <a:bodyPr/>
                  <a:lstStyle/>
                  <a:p>
                    <a:r>
                      <a:rPr lang="en-US"/>
                      <a:t>66%</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66</c:v>
              </c:pt>
            </c:numLit>
          </c:val>
        </c:ser>
        <c:ser>
          <c:idx val="13"/>
          <c:order val="16"/>
          <c:tx>
            <c:v>espace</c:v>
          </c:tx>
          <c:spPr>
            <a:noFill/>
          </c:spPr>
          <c:invertIfNegative val="0"/>
          <c:val>
            <c:numLit>
              <c:formatCode>General</c:formatCode>
              <c:ptCount val="1"/>
              <c:pt idx="0">
                <c:v>0</c:v>
              </c:pt>
            </c:numLit>
          </c:val>
        </c:ser>
        <c:ser>
          <c:idx val="26"/>
          <c:order val="17"/>
          <c:tx>
            <c:v>LI</c:v>
          </c:tx>
          <c:spPr>
            <a:solidFill>
              <a:srgbClr val="6600FF"/>
            </a:solidFill>
            <a:ln>
              <a:solidFill>
                <a:schemeClr val="bg1"/>
              </a:solidFill>
            </a:ln>
          </c:spPr>
          <c:invertIfNegative val="0"/>
          <c:dLbls>
            <c:dLbl>
              <c:idx val="0"/>
              <c:layout/>
              <c:tx>
                <c:rich>
                  <a:bodyPr/>
                  <a:lstStyle/>
                  <a:p>
                    <a:r>
                      <a:rPr lang="en-US"/>
                      <a:t>25%</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25</c:v>
              </c:pt>
            </c:numLit>
          </c:val>
        </c:ser>
        <c:ser>
          <c:idx val="25"/>
          <c:order val="18"/>
          <c:tx>
            <c:v>espace</c:v>
          </c:tx>
          <c:spPr>
            <a:noFill/>
          </c:spPr>
          <c:invertIfNegative val="0"/>
          <c:val>
            <c:numLit>
              <c:formatCode>General</c:formatCode>
              <c:ptCount val="1"/>
              <c:pt idx="0">
                <c:v>0</c:v>
              </c:pt>
            </c:numLit>
          </c:val>
        </c:ser>
        <c:ser>
          <c:idx val="11"/>
          <c:order val="19"/>
          <c:tx>
            <c:v>NL2</c:v>
          </c:tx>
          <c:spPr>
            <a:solidFill>
              <a:srgbClr val="FFFFB3"/>
            </a:solidFill>
            <a:ln w="6350">
              <a:noFill/>
            </a:ln>
          </c:spPr>
          <c:invertIfNegative val="0"/>
          <c:dLbls>
            <c:dLbl>
              <c:idx val="0"/>
              <c:layout>
                <c:manualLayout>
                  <c:x val="3.2790339088253004E-3"/>
                  <c:y val="4.2849440561752794E-3"/>
                </c:manualLayout>
              </c:layout>
              <c:tx>
                <c:rich>
                  <a:bodyPr/>
                  <a:lstStyle/>
                  <a:p>
                    <a:r>
                      <a:rPr lang="en-US"/>
                      <a:t>0,9%</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0.9</c:v>
              </c:pt>
            </c:numLit>
          </c:val>
        </c:ser>
        <c:ser>
          <c:idx val="12"/>
          <c:order val="20"/>
          <c:tx>
            <c:v>NL3</c:v>
          </c:tx>
          <c:spPr>
            <a:solidFill>
              <a:srgbClr val="00B0F0"/>
            </a:solidFill>
            <a:ln>
              <a:solidFill>
                <a:schemeClr val="bg1"/>
              </a:solidFill>
            </a:ln>
          </c:spPr>
          <c:invertIfNegative val="0"/>
          <c:dLbls>
            <c:dLbl>
              <c:idx val="0"/>
              <c:layout>
                <c:manualLayout>
                  <c:x val="0"/>
                  <c:y val="-8.5698881123506369E-3"/>
                </c:manualLayout>
              </c:layout>
              <c:tx>
                <c:rich>
                  <a:bodyPr/>
                  <a:lstStyle/>
                  <a:p>
                    <a:r>
                      <a:rPr lang="en-US"/>
                      <a:t>18,9%</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18.899999999999999</c:v>
              </c:pt>
            </c:numLit>
          </c:val>
        </c:ser>
        <c:ser>
          <c:idx val="23"/>
          <c:order val="21"/>
          <c:tx>
            <c:v>espace</c:v>
          </c:tx>
          <c:spPr>
            <a:noFill/>
          </c:spPr>
          <c:invertIfNegative val="0"/>
          <c:val>
            <c:numLit>
              <c:formatCode>General</c:formatCode>
              <c:ptCount val="1"/>
              <c:pt idx="0">
                <c:v>1</c:v>
              </c:pt>
            </c:numLit>
          </c:val>
        </c:ser>
        <c:ser>
          <c:idx val="24"/>
          <c:order val="22"/>
          <c:tx>
            <c:v>TR</c:v>
          </c:tx>
          <c:spPr>
            <a:solidFill>
              <a:srgbClr val="A6042C"/>
            </a:solidFill>
            <a:ln>
              <a:solidFill>
                <a:schemeClr val="bg1"/>
              </a:solidFill>
            </a:ln>
          </c:spPr>
          <c:invertIfNegative val="0"/>
          <c:dLbls>
            <c:dLbl>
              <c:idx val="0"/>
              <c:layout/>
              <c:tx>
                <c:rich>
                  <a:bodyPr/>
                  <a:lstStyle/>
                  <a:p>
                    <a:r>
                      <a:rPr lang="en-US"/>
                      <a:t>15,4%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15.4</c:v>
              </c:pt>
            </c:numLit>
          </c:val>
        </c:ser>
        <c:dLbls>
          <c:showLegendKey val="0"/>
          <c:showVal val="0"/>
          <c:showCatName val="0"/>
          <c:showSerName val="0"/>
          <c:showPercent val="0"/>
          <c:showBubbleSize val="0"/>
        </c:dLbls>
        <c:gapWidth val="150"/>
        <c:shape val="box"/>
        <c:axId val="37358592"/>
        <c:axId val="37364480"/>
        <c:axId val="0"/>
      </c:bar3DChart>
      <c:catAx>
        <c:axId val="37358592"/>
        <c:scaling>
          <c:orientation val="minMax"/>
        </c:scaling>
        <c:delete val="1"/>
        <c:axPos val="b"/>
        <c:numFmt formatCode="General" sourceLinked="1"/>
        <c:majorTickMark val="out"/>
        <c:minorTickMark val="none"/>
        <c:tickLblPos val="nextTo"/>
        <c:crossAx val="37364480"/>
        <c:crosses val="autoZero"/>
        <c:auto val="1"/>
        <c:lblAlgn val="ctr"/>
        <c:lblOffset val="100"/>
        <c:noMultiLvlLbl val="0"/>
      </c:catAx>
      <c:valAx>
        <c:axId val="37364480"/>
        <c:scaling>
          <c:orientation val="minMax"/>
          <c:max val="100"/>
        </c:scaling>
        <c:delete val="0"/>
        <c:axPos val="l"/>
        <c:majorGridlines>
          <c:spPr>
            <a:ln>
              <a:noFill/>
            </a:ln>
          </c:spPr>
        </c:majorGridlines>
        <c:numFmt formatCode="General" sourceLinked="0"/>
        <c:majorTickMark val="out"/>
        <c:minorTickMark val="none"/>
        <c:tickLblPos val="nextTo"/>
        <c:crossAx val="37358592"/>
        <c:crosses val="autoZero"/>
        <c:crossBetween val="between"/>
      </c:valAx>
    </c:plotArea>
    <c:plotVisOnly val="1"/>
    <c:dispBlanksAs val="gap"/>
    <c:showDLblsOverMax val="0"/>
  </c:chart>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90"/>
      <c:rAngAx val="0"/>
      <c:perspective val="30"/>
    </c:view3D>
    <c:floor>
      <c:thickness val="0"/>
      <c:spPr>
        <a:noFill/>
      </c:spPr>
    </c:floor>
    <c:sideWall>
      <c:thickness val="0"/>
    </c:sideWall>
    <c:backWall>
      <c:thickness val="0"/>
    </c:backWall>
    <c:plotArea>
      <c:layout>
        <c:manualLayout>
          <c:layoutTarget val="inner"/>
          <c:xMode val="edge"/>
          <c:yMode val="edge"/>
          <c:x val="0.10189594505822015"/>
          <c:y val="0.25756210503900051"/>
          <c:w val="0.86193089087227026"/>
          <c:h val="0.65861646966081189"/>
        </c:manualLayout>
      </c:layout>
      <c:bar3DChart>
        <c:barDir val="col"/>
        <c:grouping val="clustered"/>
        <c:varyColors val="0"/>
        <c:ser>
          <c:idx val="0"/>
          <c:order val="0"/>
          <c:tx>
            <c:v>CH</c:v>
          </c:tx>
          <c:spPr>
            <a:solidFill>
              <a:srgbClr val="FF0000"/>
            </a:solidFill>
            <a:ln>
              <a:solidFill>
                <a:schemeClr val="bg1"/>
              </a:solidFill>
            </a:ln>
          </c:spPr>
          <c:invertIfNegative val="0"/>
          <c:dLbls>
            <c:dLbl>
              <c:idx val="0"/>
              <c:layout/>
              <c:tx>
                <c:rich>
                  <a:bodyPr/>
                  <a:lstStyle/>
                  <a:p>
                    <a:r>
                      <a:rPr lang="en-US"/>
                      <a:t>86,6%</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86.6</c:v>
              </c:pt>
            </c:numLit>
          </c:val>
        </c:ser>
        <c:ser>
          <c:idx val="2"/>
          <c:order val="1"/>
          <c:tx>
            <c:v>espace</c:v>
          </c:tx>
          <c:spPr>
            <a:noFill/>
          </c:spPr>
          <c:invertIfNegative val="0"/>
          <c:val>
            <c:numLit>
              <c:formatCode>General</c:formatCode>
              <c:ptCount val="1"/>
              <c:pt idx="0">
                <c:v>0</c:v>
              </c:pt>
            </c:numLit>
          </c:val>
        </c:ser>
        <c:ser>
          <c:idx val="3"/>
          <c:order val="2"/>
          <c:tx>
            <c:v>FR1</c:v>
          </c:tx>
          <c:spPr>
            <a:solidFill>
              <a:srgbClr val="0070C0"/>
            </a:solidFill>
            <a:ln>
              <a:solidFill>
                <a:schemeClr val="bg1"/>
              </a:solidFill>
            </a:ln>
          </c:spPr>
          <c:invertIfNegative val="0"/>
          <c:dLbls>
            <c:dLbl>
              <c:idx val="0"/>
              <c:layout/>
              <c:tx>
                <c:rich>
                  <a:bodyPr/>
                  <a:lstStyle/>
                  <a:p>
                    <a:r>
                      <a:rPr lang="en-US"/>
                      <a:t>12,9%</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12.9</c:v>
              </c:pt>
            </c:numLit>
          </c:val>
        </c:ser>
        <c:ser>
          <c:idx val="4"/>
          <c:order val="3"/>
          <c:tx>
            <c:v>FR2</c:v>
          </c:tx>
          <c:spPr>
            <a:solidFill>
              <a:srgbClr val="00B0F0"/>
            </a:solidFill>
            <a:ln>
              <a:solidFill>
                <a:schemeClr val="bg1"/>
              </a:solidFill>
            </a:ln>
          </c:spPr>
          <c:invertIfNegative val="0"/>
          <c:dLbls>
            <c:dLbl>
              <c:idx val="0"/>
              <c:layout/>
              <c:tx>
                <c:rich>
                  <a:bodyPr/>
                  <a:lstStyle/>
                  <a:p>
                    <a:r>
                      <a:rPr lang="en-US"/>
                      <a:t>70,2%</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70.2</c:v>
              </c:pt>
            </c:numLit>
          </c:val>
        </c:ser>
        <c:ser>
          <c:idx val="1"/>
          <c:order val="4"/>
          <c:tx>
            <c:v>espace</c:v>
          </c:tx>
          <c:spPr>
            <a:noFill/>
            <a:ln>
              <a:noFill/>
            </a:ln>
          </c:spPr>
          <c:invertIfNegative val="0"/>
          <c:val>
            <c:numLit>
              <c:formatCode>General</c:formatCode>
              <c:ptCount val="1"/>
              <c:pt idx="0">
                <c:v>1</c:v>
              </c:pt>
            </c:numLit>
          </c:val>
        </c:ser>
        <c:ser>
          <c:idx val="6"/>
          <c:order val="5"/>
          <c:tx>
            <c:v>DE1</c:v>
          </c:tx>
          <c:spPr>
            <a:solidFill>
              <a:srgbClr val="FFC000"/>
            </a:solidFill>
            <a:ln>
              <a:solidFill>
                <a:schemeClr val="bg1"/>
              </a:solidFill>
            </a:ln>
          </c:spPr>
          <c:invertIfNegative val="0"/>
          <c:dLbls>
            <c:dLbl>
              <c:idx val="0"/>
              <c:layout/>
              <c:tx>
                <c:rich>
                  <a:bodyPr/>
                  <a:lstStyle/>
                  <a:p>
                    <a:r>
                      <a:rPr lang="en-US"/>
                      <a:t>8,5%</a:t>
                    </a:r>
                  </a:p>
                </c:rich>
              </c:tx>
              <c:showLegendKey val="0"/>
              <c:showVal val="1"/>
              <c:showCatName val="0"/>
              <c:showSerName val="0"/>
              <c:showPercent val="0"/>
              <c:showBubbleSize val="0"/>
            </c:dLbl>
            <c:showLegendKey val="0"/>
            <c:showVal val="1"/>
            <c:showCatName val="0"/>
            <c:showSerName val="0"/>
            <c:showPercent val="0"/>
            <c:showBubbleSize val="0"/>
            <c:showLeaderLines val="0"/>
          </c:dLbls>
          <c:cat>
            <c:numLit>
              <c:formatCode>General</c:formatCode>
              <c:ptCount val="1"/>
              <c:pt idx="0">
                <c:v>2014</c:v>
              </c:pt>
            </c:numLit>
          </c:cat>
          <c:val>
            <c:numLit>
              <c:formatCode>General</c:formatCode>
              <c:ptCount val="1"/>
              <c:pt idx="0">
                <c:v>8.5</c:v>
              </c:pt>
            </c:numLit>
          </c:val>
        </c:ser>
        <c:ser>
          <c:idx val="9"/>
          <c:order val="6"/>
          <c:tx>
            <c:v>DE2</c:v>
          </c:tx>
          <c:spPr>
            <a:solidFill>
              <a:srgbClr val="00B0F0"/>
            </a:solidFill>
            <a:ln>
              <a:solidFill>
                <a:schemeClr val="bg1"/>
              </a:solidFill>
            </a:ln>
          </c:spPr>
          <c:invertIfNegative val="0"/>
          <c:dLbls>
            <c:dLbl>
              <c:idx val="0"/>
              <c:layout/>
              <c:tx>
                <c:rich>
                  <a:bodyPr/>
                  <a:lstStyle/>
                  <a:p>
                    <a:r>
                      <a:rPr lang="en-US"/>
                      <a:t>63,9%</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63.9</c:v>
              </c:pt>
            </c:numLit>
          </c:val>
        </c:ser>
        <c:ser>
          <c:idx val="5"/>
          <c:order val="7"/>
          <c:tx>
            <c:v>espace</c:v>
          </c:tx>
          <c:spPr>
            <a:noFill/>
          </c:spPr>
          <c:invertIfNegative val="0"/>
          <c:val>
            <c:numLit>
              <c:formatCode>General</c:formatCode>
              <c:ptCount val="1"/>
              <c:pt idx="0">
                <c:v>0</c:v>
              </c:pt>
            </c:numLit>
          </c:val>
        </c:ser>
        <c:ser>
          <c:idx val="19"/>
          <c:order val="8"/>
          <c:tx>
            <c:v>ES1</c:v>
          </c:tx>
          <c:spPr>
            <a:solidFill>
              <a:srgbClr val="F55592"/>
            </a:solidFill>
            <a:ln>
              <a:solidFill>
                <a:schemeClr val="bg1"/>
              </a:solidFill>
            </a:ln>
          </c:spPr>
          <c:invertIfNegative val="0"/>
          <c:dLbls>
            <c:dLbl>
              <c:idx val="0"/>
              <c:layout/>
              <c:tx>
                <c:rich>
                  <a:bodyPr/>
                  <a:lstStyle/>
                  <a:p>
                    <a:r>
                      <a:rPr lang="en-US"/>
                      <a:t>2,9%</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2.9</c:v>
              </c:pt>
            </c:numLit>
          </c:val>
        </c:ser>
        <c:ser>
          <c:idx val="20"/>
          <c:order val="9"/>
          <c:tx>
            <c:v>ES2</c:v>
          </c:tx>
          <c:spPr>
            <a:solidFill>
              <a:srgbClr val="00B0F0"/>
            </a:solidFill>
            <a:ln>
              <a:solidFill>
                <a:schemeClr val="bg1"/>
              </a:solidFill>
            </a:ln>
          </c:spPr>
          <c:invertIfNegative val="0"/>
          <c:dLbls>
            <c:dLbl>
              <c:idx val="0"/>
              <c:layout/>
              <c:tx>
                <c:rich>
                  <a:bodyPr/>
                  <a:lstStyle/>
                  <a:p>
                    <a:r>
                      <a:rPr lang="en-US"/>
                      <a:t>58,8%</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58.8</c:v>
              </c:pt>
            </c:numLit>
          </c:val>
        </c:ser>
        <c:ser>
          <c:idx val="18"/>
          <c:order val="10"/>
          <c:tx>
            <c:v>espace</c:v>
          </c:tx>
          <c:spPr>
            <a:noFill/>
          </c:spPr>
          <c:invertIfNegative val="0"/>
          <c:val>
            <c:numLit>
              <c:formatCode>General</c:formatCode>
              <c:ptCount val="1"/>
              <c:pt idx="0">
                <c:v>0</c:v>
              </c:pt>
            </c:numLit>
          </c:val>
        </c:ser>
        <c:ser>
          <c:idx val="16"/>
          <c:order val="11"/>
          <c:tx>
            <c:v>BE</c:v>
          </c:tx>
          <c:spPr>
            <a:solidFill>
              <a:srgbClr val="FFFFB3"/>
            </a:solidFill>
            <a:ln w="3175">
              <a:solidFill>
                <a:schemeClr val="bg1">
                  <a:lumMod val="65000"/>
                </a:schemeClr>
              </a:solidFill>
            </a:ln>
          </c:spPr>
          <c:invertIfNegative val="0"/>
          <c:dLbls>
            <c:dLbl>
              <c:idx val="0"/>
              <c:layout/>
              <c:tx>
                <c:rich>
                  <a:bodyPr/>
                  <a:lstStyle/>
                  <a:p>
                    <a:r>
                      <a:rPr lang="en-US"/>
                      <a:t>5,7%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5.7</c:v>
              </c:pt>
            </c:numLit>
          </c:val>
        </c:ser>
        <c:ser>
          <c:idx val="17"/>
          <c:order val="12"/>
          <c:tx>
            <c:v>BE</c:v>
          </c:tx>
          <c:spPr>
            <a:solidFill>
              <a:srgbClr val="00B0F0"/>
            </a:solidFill>
            <a:ln>
              <a:solidFill>
                <a:schemeClr val="bg1"/>
              </a:solidFill>
            </a:ln>
          </c:spPr>
          <c:invertIfNegative val="0"/>
          <c:dLbls>
            <c:dLbl>
              <c:idx val="0"/>
              <c:layout/>
              <c:tx>
                <c:rich>
                  <a:bodyPr/>
                  <a:lstStyle/>
                  <a:p>
                    <a:r>
                      <a:rPr lang="en-US"/>
                      <a:t>54,7%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54.7</c:v>
              </c:pt>
            </c:numLit>
          </c:val>
        </c:ser>
        <c:ser>
          <c:idx val="22"/>
          <c:order val="13"/>
          <c:tx>
            <c:v>espace</c:v>
          </c:tx>
          <c:spPr>
            <a:noFill/>
          </c:spPr>
          <c:invertIfNegative val="0"/>
          <c:val>
            <c:numLit>
              <c:formatCode>General</c:formatCode>
              <c:ptCount val="1"/>
              <c:pt idx="0">
                <c:v>1</c:v>
              </c:pt>
            </c:numLit>
          </c:val>
        </c:ser>
        <c:ser>
          <c:idx val="7"/>
          <c:order val="14"/>
          <c:tx>
            <c:v>IT1</c:v>
          </c:tx>
          <c:spPr>
            <a:solidFill>
              <a:srgbClr val="92D050"/>
            </a:solidFill>
            <a:ln>
              <a:noFill/>
            </a:ln>
          </c:spPr>
          <c:invertIfNegative val="0"/>
          <c:dLbls>
            <c:dLbl>
              <c:idx val="0"/>
              <c:layout/>
              <c:tx>
                <c:rich>
                  <a:bodyPr/>
                  <a:lstStyle/>
                  <a:p>
                    <a:r>
                      <a:rPr lang="en-US"/>
                      <a:t>0,7%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0.7</c:v>
              </c:pt>
            </c:numLit>
          </c:val>
        </c:ser>
        <c:ser>
          <c:idx val="8"/>
          <c:order val="15"/>
          <c:tx>
            <c:v>IT2</c:v>
          </c:tx>
          <c:spPr>
            <a:solidFill>
              <a:srgbClr val="00B0F0"/>
            </a:solidFill>
            <a:ln>
              <a:solidFill>
                <a:schemeClr val="bg1"/>
              </a:solidFill>
            </a:ln>
          </c:spPr>
          <c:invertIfNegative val="0"/>
          <c:dLbls>
            <c:dLbl>
              <c:idx val="0"/>
              <c:layout/>
              <c:tx>
                <c:rich>
                  <a:bodyPr/>
                  <a:lstStyle/>
                  <a:p>
                    <a:r>
                      <a:rPr lang="en-US"/>
                      <a:t>54,7%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54.7</c:v>
              </c:pt>
            </c:numLit>
          </c:val>
        </c:ser>
        <c:ser>
          <c:idx val="13"/>
          <c:order val="16"/>
          <c:tx>
            <c:v>espace</c:v>
          </c:tx>
          <c:spPr>
            <a:noFill/>
          </c:spPr>
          <c:invertIfNegative val="0"/>
          <c:val>
            <c:numLit>
              <c:formatCode>General</c:formatCode>
              <c:ptCount val="1"/>
              <c:pt idx="0">
                <c:v>0</c:v>
              </c:pt>
            </c:numLit>
          </c:val>
        </c:ser>
        <c:ser>
          <c:idx val="11"/>
          <c:order val="17"/>
          <c:tx>
            <c:v>NL2</c:v>
          </c:tx>
          <c:spPr>
            <a:solidFill>
              <a:srgbClr val="FFFFB3"/>
            </a:solidFill>
            <a:ln w="6350">
              <a:noFill/>
            </a:ln>
          </c:spPr>
          <c:invertIfNegative val="0"/>
          <c:dLbls>
            <c:dLbl>
              <c:idx val="0"/>
              <c:layout>
                <c:manualLayout>
                  <c:x val="0"/>
                  <c:y val="-1.6797880821680905E-2"/>
                </c:manualLayout>
              </c:layout>
              <c:tx>
                <c:rich>
                  <a:bodyPr/>
                  <a:lstStyle/>
                  <a:p>
                    <a:r>
                      <a:rPr lang="en-US"/>
                      <a:t>3,4%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3.4</c:v>
              </c:pt>
            </c:numLit>
          </c:val>
        </c:ser>
        <c:ser>
          <c:idx val="12"/>
          <c:order val="18"/>
          <c:tx>
            <c:v>NL3</c:v>
          </c:tx>
          <c:spPr>
            <a:solidFill>
              <a:srgbClr val="00B0F0"/>
            </a:solidFill>
            <a:ln>
              <a:solidFill>
                <a:schemeClr val="bg1"/>
              </a:solidFill>
            </a:ln>
          </c:spPr>
          <c:invertIfNegative val="0"/>
          <c:dLbls>
            <c:dLbl>
              <c:idx val="0"/>
              <c:layout/>
              <c:tx>
                <c:rich>
                  <a:bodyPr/>
                  <a:lstStyle/>
                  <a:p>
                    <a:r>
                      <a:rPr lang="en-US"/>
                      <a:t>36,7%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36.700000000000003</c:v>
              </c:pt>
            </c:numLit>
          </c:val>
        </c:ser>
        <c:ser>
          <c:idx val="14"/>
          <c:order val="19"/>
          <c:tx>
            <c:v>espace</c:v>
          </c:tx>
          <c:spPr>
            <a:noFill/>
          </c:spPr>
          <c:invertIfNegative val="0"/>
          <c:val>
            <c:numLit>
              <c:formatCode>General</c:formatCode>
              <c:ptCount val="1"/>
              <c:pt idx="0">
                <c:v>0</c:v>
              </c:pt>
            </c:numLit>
          </c:val>
        </c:ser>
        <c:ser>
          <c:idx val="26"/>
          <c:order val="20"/>
          <c:tx>
            <c:v>LI</c:v>
          </c:tx>
          <c:spPr>
            <a:solidFill>
              <a:srgbClr val="6600FF"/>
            </a:solidFill>
            <a:ln>
              <a:solidFill>
                <a:schemeClr val="bg1"/>
              </a:solidFill>
            </a:ln>
          </c:spPr>
          <c:invertIfNegative val="0"/>
          <c:dLbls>
            <c:dLbl>
              <c:idx val="0"/>
              <c:layout/>
              <c:tx>
                <c:rich>
                  <a:bodyPr/>
                  <a:lstStyle/>
                  <a:p>
                    <a:r>
                      <a:rPr lang="en-US"/>
                      <a:t>21,4%</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21.4</c:v>
              </c:pt>
            </c:numLit>
          </c:val>
        </c:ser>
        <c:ser>
          <c:idx val="23"/>
          <c:order val="21"/>
          <c:tx>
            <c:v>espace</c:v>
          </c:tx>
          <c:spPr>
            <a:noFill/>
          </c:spPr>
          <c:invertIfNegative val="0"/>
          <c:val>
            <c:numLit>
              <c:formatCode>General</c:formatCode>
              <c:ptCount val="1"/>
              <c:pt idx="0">
                <c:v>1</c:v>
              </c:pt>
            </c:numLit>
          </c:val>
        </c:ser>
        <c:ser>
          <c:idx val="24"/>
          <c:order val="22"/>
          <c:tx>
            <c:v>TR</c:v>
          </c:tx>
          <c:spPr>
            <a:solidFill>
              <a:srgbClr val="A6042C"/>
            </a:solidFill>
            <a:ln>
              <a:solidFill>
                <a:schemeClr val="bg1"/>
              </a:solidFill>
            </a:ln>
          </c:spPr>
          <c:invertIfNegative val="0"/>
          <c:dLbls>
            <c:dLbl>
              <c:idx val="0"/>
              <c:layout/>
              <c:tx>
                <c:rich>
                  <a:bodyPr/>
                  <a:lstStyle/>
                  <a:p>
                    <a:r>
                      <a:rPr lang="en-US"/>
                      <a:t>9,3%</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9.3000000000000007</c:v>
              </c:pt>
            </c:numLit>
          </c:val>
        </c:ser>
        <c:dLbls>
          <c:showLegendKey val="0"/>
          <c:showVal val="0"/>
          <c:showCatName val="0"/>
          <c:showSerName val="0"/>
          <c:showPercent val="0"/>
          <c:showBubbleSize val="0"/>
        </c:dLbls>
        <c:gapWidth val="150"/>
        <c:shape val="box"/>
        <c:axId val="37596160"/>
        <c:axId val="38077184"/>
        <c:axId val="0"/>
      </c:bar3DChart>
      <c:catAx>
        <c:axId val="37596160"/>
        <c:scaling>
          <c:orientation val="minMax"/>
        </c:scaling>
        <c:delete val="1"/>
        <c:axPos val="b"/>
        <c:numFmt formatCode="General" sourceLinked="1"/>
        <c:majorTickMark val="out"/>
        <c:minorTickMark val="none"/>
        <c:tickLblPos val="nextTo"/>
        <c:crossAx val="38077184"/>
        <c:crosses val="autoZero"/>
        <c:auto val="1"/>
        <c:lblAlgn val="ctr"/>
        <c:lblOffset val="100"/>
        <c:noMultiLvlLbl val="0"/>
      </c:catAx>
      <c:valAx>
        <c:axId val="38077184"/>
        <c:scaling>
          <c:orientation val="minMax"/>
          <c:max val="100"/>
        </c:scaling>
        <c:delete val="0"/>
        <c:axPos val="l"/>
        <c:majorGridlines>
          <c:spPr>
            <a:ln>
              <a:noFill/>
            </a:ln>
          </c:spPr>
        </c:majorGridlines>
        <c:numFmt formatCode="General" sourceLinked="0"/>
        <c:majorTickMark val="out"/>
        <c:minorTickMark val="none"/>
        <c:tickLblPos val="nextTo"/>
        <c:crossAx val="37596160"/>
        <c:crosses val="autoZero"/>
        <c:crossBetween val="between"/>
      </c:valAx>
    </c:plotArea>
    <c:plotVisOnly val="1"/>
    <c:dispBlanksAs val="gap"/>
    <c:showDLblsOverMax val="0"/>
  </c:chart>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90"/>
      <c:rAngAx val="0"/>
      <c:perspective val="30"/>
    </c:view3D>
    <c:floor>
      <c:thickness val="0"/>
      <c:spPr>
        <a:noFill/>
      </c:spPr>
    </c:floor>
    <c:sideWall>
      <c:thickness val="0"/>
    </c:sideWall>
    <c:backWall>
      <c:thickness val="0"/>
    </c:backWall>
    <c:plotArea>
      <c:layout>
        <c:manualLayout>
          <c:layoutTarget val="inner"/>
          <c:xMode val="edge"/>
          <c:yMode val="edge"/>
          <c:x val="0.10189594505822015"/>
          <c:y val="0.25756210503900051"/>
          <c:w val="0.86193089087227026"/>
          <c:h val="0.65861646966081189"/>
        </c:manualLayout>
      </c:layout>
      <c:bar3DChart>
        <c:barDir val="col"/>
        <c:grouping val="clustered"/>
        <c:varyColors val="0"/>
        <c:ser>
          <c:idx val="0"/>
          <c:order val="0"/>
          <c:tx>
            <c:v>CH</c:v>
          </c:tx>
          <c:spPr>
            <a:solidFill>
              <a:srgbClr val="FF0000"/>
            </a:solidFill>
            <a:ln>
              <a:solidFill>
                <a:schemeClr val="bg1"/>
              </a:solidFill>
            </a:ln>
          </c:spPr>
          <c:invertIfNegative val="0"/>
          <c:dLbls>
            <c:dLbl>
              <c:idx val="0"/>
              <c:layout/>
              <c:tx>
                <c:rich>
                  <a:bodyPr/>
                  <a:lstStyle/>
                  <a:p>
                    <a:r>
                      <a:rPr lang="en-US"/>
                      <a:t>91,5%</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91.5</c:v>
              </c:pt>
            </c:numLit>
          </c:val>
        </c:ser>
        <c:ser>
          <c:idx val="1"/>
          <c:order val="1"/>
          <c:tx>
            <c:v>espace</c:v>
          </c:tx>
          <c:spPr>
            <a:noFill/>
            <a:ln>
              <a:noFill/>
            </a:ln>
          </c:spPr>
          <c:invertIfNegative val="0"/>
          <c:val>
            <c:numLit>
              <c:formatCode>General</c:formatCode>
              <c:ptCount val="1"/>
              <c:pt idx="0">
                <c:v>1</c:v>
              </c:pt>
            </c:numLit>
          </c:val>
        </c:ser>
        <c:ser>
          <c:idx val="6"/>
          <c:order val="2"/>
          <c:tx>
            <c:v>DE1</c:v>
          </c:tx>
          <c:spPr>
            <a:solidFill>
              <a:srgbClr val="FFC000"/>
            </a:solidFill>
            <a:ln>
              <a:solidFill>
                <a:schemeClr val="bg1"/>
              </a:solidFill>
            </a:ln>
          </c:spPr>
          <c:invertIfNegative val="0"/>
          <c:dLbls>
            <c:dLbl>
              <c:idx val="0"/>
              <c:layout/>
              <c:tx>
                <c:rich>
                  <a:bodyPr/>
                  <a:lstStyle/>
                  <a:p>
                    <a:r>
                      <a:rPr lang="en-US"/>
                      <a:t>2,1%</a:t>
                    </a:r>
                  </a:p>
                </c:rich>
              </c:tx>
              <c:showLegendKey val="0"/>
              <c:showVal val="1"/>
              <c:showCatName val="0"/>
              <c:showSerName val="0"/>
              <c:showPercent val="0"/>
              <c:showBubbleSize val="0"/>
            </c:dLbl>
            <c:showLegendKey val="0"/>
            <c:showVal val="1"/>
            <c:showCatName val="0"/>
            <c:showSerName val="0"/>
            <c:showPercent val="0"/>
            <c:showBubbleSize val="0"/>
            <c:showLeaderLines val="0"/>
          </c:dLbls>
          <c:cat>
            <c:numLit>
              <c:formatCode>General</c:formatCode>
              <c:ptCount val="1"/>
              <c:pt idx="0">
                <c:v>2014</c:v>
              </c:pt>
            </c:numLit>
          </c:cat>
          <c:val>
            <c:numLit>
              <c:formatCode>General</c:formatCode>
              <c:ptCount val="1"/>
              <c:pt idx="0">
                <c:v>2.1</c:v>
              </c:pt>
            </c:numLit>
          </c:val>
        </c:ser>
        <c:ser>
          <c:idx val="9"/>
          <c:order val="3"/>
          <c:tx>
            <c:v>DE2</c:v>
          </c:tx>
          <c:spPr>
            <a:solidFill>
              <a:srgbClr val="00B0F0"/>
            </a:solidFill>
            <a:ln>
              <a:solidFill>
                <a:schemeClr val="bg1"/>
              </a:solidFill>
            </a:ln>
          </c:spPr>
          <c:invertIfNegative val="0"/>
          <c:dLbls>
            <c:dLbl>
              <c:idx val="0"/>
              <c:layout/>
              <c:tx>
                <c:rich>
                  <a:bodyPr/>
                  <a:lstStyle/>
                  <a:p>
                    <a:r>
                      <a:rPr lang="en-US"/>
                      <a:t>84,2%</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84.2</c:v>
              </c:pt>
            </c:numLit>
          </c:val>
        </c:ser>
        <c:ser>
          <c:idx val="2"/>
          <c:order val="4"/>
          <c:tx>
            <c:v>espace</c:v>
          </c:tx>
          <c:spPr>
            <a:noFill/>
          </c:spPr>
          <c:invertIfNegative val="0"/>
          <c:val>
            <c:numLit>
              <c:formatCode>General</c:formatCode>
              <c:ptCount val="1"/>
              <c:pt idx="0">
                <c:v>0</c:v>
              </c:pt>
            </c:numLit>
          </c:val>
        </c:ser>
        <c:ser>
          <c:idx val="3"/>
          <c:order val="5"/>
          <c:tx>
            <c:v>FR1</c:v>
          </c:tx>
          <c:spPr>
            <a:solidFill>
              <a:srgbClr val="0070C0"/>
            </a:solidFill>
            <a:ln>
              <a:solidFill>
                <a:schemeClr val="bg1"/>
              </a:solidFill>
            </a:ln>
          </c:spPr>
          <c:invertIfNegative val="0"/>
          <c:dLbls>
            <c:dLbl>
              <c:idx val="0"/>
              <c:layout/>
              <c:tx>
                <c:rich>
                  <a:bodyPr/>
                  <a:lstStyle/>
                  <a:p>
                    <a:r>
                      <a:rPr lang="en-US"/>
                      <a:t>37,3%</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37.299999999999997</c:v>
              </c:pt>
            </c:numLit>
          </c:val>
        </c:ser>
        <c:ser>
          <c:idx val="4"/>
          <c:order val="6"/>
          <c:tx>
            <c:v>FR2</c:v>
          </c:tx>
          <c:spPr>
            <a:solidFill>
              <a:srgbClr val="00B0F0"/>
            </a:solidFill>
            <a:ln>
              <a:solidFill>
                <a:schemeClr val="bg1"/>
              </a:solidFill>
            </a:ln>
          </c:spPr>
          <c:invertIfNegative val="0"/>
          <c:dLbls>
            <c:dLbl>
              <c:idx val="0"/>
              <c:layout/>
              <c:tx>
                <c:rich>
                  <a:bodyPr/>
                  <a:lstStyle/>
                  <a:p>
                    <a:r>
                      <a:rPr lang="en-US"/>
                      <a:t>48%</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48</c:v>
              </c:pt>
            </c:numLit>
          </c:val>
        </c:ser>
        <c:ser>
          <c:idx val="5"/>
          <c:order val="7"/>
          <c:tx>
            <c:v>espace</c:v>
          </c:tx>
          <c:spPr>
            <a:noFill/>
          </c:spPr>
          <c:invertIfNegative val="0"/>
          <c:val>
            <c:numLit>
              <c:formatCode>General</c:formatCode>
              <c:ptCount val="1"/>
              <c:pt idx="0">
                <c:v>0</c:v>
              </c:pt>
            </c:numLit>
          </c:val>
        </c:ser>
        <c:ser>
          <c:idx val="19"/>
          <c:order val="8"/>
          <c:tx>
            <c:v>ES1</c:v>
          </c:tx>
          <c:spPr>
            <a:solidFill>
              <a:srgbClr val="F55592"/>
            </a:solidFill>
            <a:ln>
              <a:solidFill>
                <a:schemeClr val="bg1"/>
              </a:solidFill>
            </a:ln>
          </c:spPr>
          <c:invertIfNegative val="0"/>
          <c:dLbls>
            <c:dLbl>
              <c:idx val="0"/>
              <c:layout>
                <c:manualLayout>
                  <c:x val="0"/>
                  <c:y val="8.5698881123505589E-3"/>
                </c:manualLayout>
              </c:layout>
              <c:tx>
                <c:rich>
                  <a:bodyPr/>
                  <a:lstStyle/>
                  <a:p>
                    <a:r>
                      <a:rPr lang="en-US"/>
                      <a:t>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0</c:v>
              </c:pt>
            </c:numLit>
          </c:val>
        </c:ser>
        <c:ser>
          <c:idx val="20"/>
          <c:order val="9"/>
          <c:tx>
            <c:v>ES2</c:v>
          </c:tx>
          <c:spPr>
            <a:solidFill>
              <a:srgbClr val="00B0F0"/>
            </a:solidFill>
            <a:ln>
              <a:solidFill>
                <a:schemeClr val="bg1"/>
              </a:solidFill>
            </a:ln>
          </c:spPr>
          <c:invertIfNegative val="0"/>
          <c:dLbls>
            <c:dLbl>
              <c:idx val="0"/>
              <c:layout/>
              <c:tx>
                <c:rich>
                  <a:bodyPr/>
                  <a:lstStyle/>
                  <a:p>
                    <a:r>
                      <a:rPr lang="en-US"/>
                      <a:t>83,3%</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83.3</c:v>
              </c:pt>
            </c:numLit>
          </c:val>
        </c:ser>
        <c:ser>
          <c:idx val="22"/>
          <c:order val="10"/>
          <c:tx>
            <c:v>espace</c:v>
          </c:tx>
          <c:spPr>
            <a:noFill/>
          </c:spPr>
          <c:invertIfNegative val="0"/>
          <c:val>
            <c:numLit>
              <c:formatCode>General</c:formatCode>
              <c:ptCount val="1"/>
              <c:pt idx="0">
                <c:v>1</c:v>
              </c:pt>
            </c:numLit>
          </c:val>
        </c:ser>
        <c:ser>
          <c:idx val="16"/>
          <c:order val="11"/>
          <c:tx>
            <c:v>BE</c:v>
          </c:tx>
          <c:spPr>
            <a:solidFill>
              <a:srgbClr val="FFFFB3"/>
            </a:solidFill>
            <a:ln w="3175">
              <a:solidFill>
                <a:srgbClr val="FFFFB3"/>
              </a:solidFill>
            </a:ln>
          </c:spPr>
          <c:invertIfNegative val="0"/>
          <c:dLbls>
            <c:dLbl>
              <c:idx val="0"/>
              <c:layout>
                <c:manualLayout>
                  <c:x val="-3.2790339088253004E-3"/>
                  <c:y val="8.5698881123505589E-3"/>
                </c:manualLayout>
              </c:layout>
              <c:tx>
                <c:rich>
                  <a:bodyPr/>
                  <a:lstStyle/>
                  <a:p>
                    <a:r>
                      <a:rPr lang="en-US"/>
                      <a:t>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0</c:v>
              </c:pt>
            </c:numLit>
          </c:val>
        </c:ser>
        <c:ser>
          <c:idx val="17"/>
          <c:order val="12"/>
          <c:tx>
            <c:v>BE</c:v>
          </c:tx>
          <c:spPr>
            <a:solidFill>
              <a:srgbClr val="00B0F0"/>
            </a:solidFill>
            <a:ln>
              <a:solidFill>
                <a:schemeClr val="bg1"/>
              </a:solidFill>
            </a:ln>
          </c:spPr>
          <c:invertIfNegative val="0"/>
          <c:dLbls>
            <c:dLbl>
              <c:idx val="0"/>
              <c:layout/>
              <c:tx>
                <c:rich>
                  <a:bodyPr/>
                  <a:lstStyle/>
                  <a:p>
                    <a:r>
                      <a:rPr lang="en-US"/>
                      <a:t>66,7%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66.7</c:v>
              </c:pt>
            </c:numLit>
          </c:val>
        </c:ser>
        <c:ser>
          <c:idx val="18"/>
          <c:order val="13"/>
          <c:tx>
            <c:v>espace</c:v>
          </c:tx>
          <c:spPr>
            <a:noFill/>
          </c:spPr>
          <c:invertIfNegative val="0"/>
          <c:val>
            <c:numLit>
              <c:formatCode>General</c:formatCode>
              <c:ptCount val="1"/>
              <c:pt idx="0">
                <c:v>0</c:v>
              </c:pt>
            </c:numLit>
          </c:val>
        </c:ser>
        <c:ser>
          <c:idx val="7"/>
          <c:order val="14"/>
          <c:tx>
            <c:v>IT1</c:v>
          </c:tx>
          <c:spPr>
            <a:solidFill>
              <a:srgbClr val="92D050"/>
            </a:solidFill>
            <a:ln>
              <a:noFill/>
            </a:ln>
          </c:spPr>
          <c:invertIfNegative val="0"/>
          <c:dLbls>
            <c:dLbl>
              <c:idx val="0"/>
              <c:layout>
                <c:manualLayout>
                  <c:x val="0"/>
                  <c:y val="4.2849440561752794E-3"/>
                </c:manualLayout>
              </c:layout>
              <c:tx>
                <c:rich>
                  <a:bodyPr/>
                  <a:lstStyle/>
                  <a:p>
                    <a:r>
                      <a:rPr lang="en-US"/>
                      <a:t>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0</c:v>
              </c:pt>
            </c:numLit>
          </c:val>
        </c:ser>
        <c:ser>
          <c:idx val="8"/>
          <c:order val="15"/>
          <c:tx>
            <c:v>IT2</c:v>
          </c:tx>
          <c:spPr>
            <a:solidFill>
              <a:srgbClr val="00B0F0"/>
            </a:solidFill>
            <a:ln>
              <a:solidFill>
                <a:schemeClr val="bg1"/>
              </a:solidFill>
            </a:ln>
          </c:spPr>
          <c:invertIfNegative val="0"/>
          <c:dLbls>
            <c:dLbl>
              <c:idx val="0"/>
              <c:layout/>
              <c:tx>
                <c:rich>
                  <a:bodyPr/>
                  <a:lstStyle/>
                  <a:p>
                    <a:r>
                      <a:rPr lang="en-US"/>
                      <a:t>60%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60</c:v>
              </c:pt>
            </c:numLit>
          </c:val>
        </c:ser>
        <c:ser>
          <c:idx val="13"/>
          <c:order val="16"/>
          <c:tx>
            <c:v>espace</c:v>
          </c:tx>
          <c:spPr>
            <a:noFill/>
          </c:spPr>
          <c:invertIfNegative val="0"/>
          <c:val>
            <c:numLit>
              <c:formatCode>General</c:formatCode>
              <c:ptCount val="1"/>
              <c:pt idx="0">
                <c:v>0</c:v>
              </c:pt>
            </c:numLit>
          </c:val>
        </c:ser>
        <c:ser>
          <c:idx val="26"/>
          <c:order val="17"/>
          <c:tx>
            <c:v>LI</c:v>
          </c:tx>
          <c:spPr>
            <a:solidFill>
              <a:srgbClr val="6600FF"/>
            </a:solidFill>
            <a:ln>
              <a:solidFill>
                <a:schemeClr val="bg1"/>
              </a:solidFill>
            </a:ln>
          </c:spPr>
          <c:invertIfNegative val="0"/>
          <c:dLbls>
            <c:dLbl>
              <c:idx val="0"/>
              <c:layout/>
              <c:tx>
                <c:rich>
                  <a:bodyPr/>
                  <a:lstStyle/>
                  <a:p>
                    <a:r>
                      <a:rPr lang="en-US"/>
                      <a:t>50%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50</c:v>
              </c:pt>
            </c:numLit>
          </c:val>
        </c:ser>
        <c:ser>
          <c:idx val="25"/>
          <c:order val="18"/>
          <c:tx>
            <c:v>espace</c:v>
          </c:tx>
          <c:spPr>
            <a:noFill/>
          </c:spPr>
          <c:invertIfNegative val="0"/>
          <c:val>
            <c:numLit>
              <c:formatCode>General</c:formatCode>
              <c:ptCount val="1"/>
              <c:pt idx="0">
                <c:v>0</c:v>
              </c:pt>
            </c:numLit>
          </c:val>
        </c:ser>
        <c:ser>
          <c:idx val="11"/>
          <c:order val="19"/>
          <c:tx>
            <c:v>NL2</c:v>
          </c:tx>
          <c:spPr>
            <a:solidFill>
              <a:srgbClr val="FFFFB3"/>
            </a:solidFill>
            <a:ln w="6350">
              <a:noFill/>
            </a:ln>
          </c:spPr>
          <c:invertIfNegative val="0"/>
          <c:dLbls>
            <c:dLbl>
              <c:idx val="0"/>
              <c:layout>
                <c:manualLayout>
                  <c:x val="-9.8371017264759011E-3"/>
                  <c:y val="4.2849440561752794E-3"/>
                </c:manualLayout>
              </c:layout>
              <c:tx>
                <c:rich>
                  <a:bodyPr/>
                  <a:lstStyle/>
                  <a:p>
                    <a:r>
                      <a:rPr lang="en-US"/>
                      <a:t>0%</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0</c:v>
              </c:pt>
            </c:numLit>
          </c:val>
        </c:ser>
        <c:ser>
          <c:idx val="12"/>
          <c:order val="20"/>
          <c:tx>
            <c:v>NL3</c:v>
          </c:tx>
          <c:spPr>
            <a:solidFill>
              <a:srgbClr val="00B0F0"/>
            </a:solidFill>
            <a:ln>
              <a:solidFill>
                <a:schemeClr val="bg1"/>
              </a:solidFill>
            </a:ln>
          </c:spPr>
          <c:invertIfNegative val="0"/>
          <c:dLbls>
            <c:dLbl>
              <c:idx val="0"/>
              <c:layout/>
              <c:tx>
                <c:rich>
                  <a:bodyPr/>
                  <a:lstStyle/>
                  <a:p>
                    <a:r>
                      <a:rPr lang="en-US"/>
                      <a:t>38,5%</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38.5</c:v>
              </c:pt>
            </c:numLit>
          </c:val>
        </c:ser>
        <c:ser>
          <c:idx val="23"/>
          <c:order val="21"/>
          <c:tx>
            <c:v>espace</c:v>
          </c:tx>
          <c:spPr>
            <a:noFill/>
          </c:spPr>
          <c:invertIfNegative val="0"/>
          <c:val>
            <c:numLit>
              <c:formatCode>General</c:formatCode>
              <c:ptCount val="1"/>
              <c:pt idx="0">
                <c:v>1</c:v>
              </c:pt>
            </c:numLit>
          </c:val>
        </c:ser>
        <c:ser>
          <c:idx val="24"/>
          <c:order val="22"/>
          <c:tx>
            <c:v>TR</c:v>
          </c:tx>
          <c:spPr>
            <a:solidFill>
              <a:srgbClr val="A6042C"/>
            </a:solidFill>
            <a:ln>
              <a:solidFill>
                <a:schemeClr val="bg1"/>
              </a:solidFill>
            </a:ln>
          </c:spPr>
          <c:invertIfNegative val="0"/>
          <c:dLbls>
            <c:dLbl>
              <c:idx val="0"/>
              <c:layout/>
              <c:tx>
                <c:rich>
                  <a:bodyPr/>
                  <a:lstStyle/>
                  <a:p>
                    <a:r>
                      <a:rPr lang="en-US"/>
                      <a:t>6,7%</a:t>
                    </a:r>
                  </a:p>
                </c:rich>
              </c:tx>
              <c:showLegendKey val="0"/>
              <c:showVal val="1"/>
              <c:showCatName val="0"/>
              <c:showSerName val="0"/>
              <c:showPercent val="0"/>
              <c:showBubbleSize val="0"/>
            </c:dLbl>
            <c:showLegendKey val="0"/>
            <c:showVal val="1"/>
            <c:showCatName val="0"/>
            <c:showSerName val="0"/>
            <c:showPercent val="0"/>
            <c:showBubbleSize val="0"/>
            <c:showLeaderLines val="0"/>
          </c:dLbls>
          <c:val>
            <c:numLit>
              <c:formatCode>General</c:formatCode>
              <c:ptCount val="1"/>
              <c:pt idx="0">
                <c:v>6.7</c:v>
              </c:pt>
            </c:numLit>
          </c:val>
        </c:ser>
        <c:dLbls>
          <c:showLegendKey val="0"/>
          <c:showVal val="0"/>
          <c:showCatName val="0"/>
          <c:showSerName val="0"/>
          <c:showPercent val="0"/>
          <c:showBubbleSize val="0"/>
        </c:dLbls>
        <c:gapWidth val="150"/>
        <c:shape val="box"/>
        <c:axId val="38607488"/>
        <c:axId val="38617472"/>
        <c:axId val="0"/>
      </c:bar3DChart>
      <c:catAx>
        <c:axId val="38607488"/>
        <c:scaling>
          <c:orientation val="minMax"/>
        </c:scaling>
        <c:delete val="1"/>
        <c:axPos val="b"/>
        <c:numFmt formatCode="General" sourceLinked="1"/>
        <c:majorTickMark val="out"/>
        <c:minorTickMark val="none"/>
        <c:tickLblPos val="nextTo"/>
        <c:crossAx val="38617472"/>
        <c:crosses val="autoZero"/>
        <c:auto val="1"/>
        <c:lblAlgn val="ctr"/>
        <c:lblOffset val="100"/>
        <c:noMultiLvlLbl val="0"/>
      </c:catAx>
      <c:valAx>
        <c:axId val="38617472"/>
        <c:scaling>
          <c:orientation val="minMax"/>
          <c:max val="100"/>
        </c:scaling>
        <c:delete val="0"/>
        <c:axPos val="l"/>
        <c:majorGridlines>
          <c:spPr>
            <a:ln>
              <a:noFill/>
            </a:ln>
          </c:spPr>
        </c:majorGridlines>
        <c:numFmt formatCode="General" sourceLinked="0"/>
        <c:majorTickMark val="out"/>
        <c:minorTickMark val="none"/>
        <c:tickLblPos val="nextTo"/>
        <c:crossAx val="38607488"/>
        <c:crosses val="autoZero"/>
        <c:crossBetween val="between"/>
      </c:valAx>
    </c:plotArea>
    <c:plotVisOnly val="1"/>
    <c:dispBlanksAs val="gap"/>
    <c:showDLblsOverMax val="0"/>
  </c:chart>
  <c:externalData r:id="rId2">
    <c:autoUpdate val="0"/>
  </c:externalData>
  <c:userShapes r:id="rId3"/>
</c:chartSpace>
</file>

<file path=word/drawings/_rels/drawing4.xml.rels><?xml version="1.0" encoding="UTF-8" standalone="yes"?>
<Relationships xmlns="http://schemas.openxmlformats.org/package/2006/relationships"><Relationship Id="rId1" Type="http://schemas.openxmlformats.org/officeDocument/2006/relationships/image" Target="../media/image2.jpeg"/></Relationships>
</file>

<file path=word/drawings/_rels/drawing5.xml.rels><?xml version="1.0" encoding="UTF-8" standalone="yes"?>
<Relationships xmlns="http://schemas.openxmlformats.org/package/2006/relationships"><Relationship Id="rId1" Type="http://schemas.openxmlformats.org/officeDocument/2006/relationships/image" Target="../media/image2.jpeg"/></Relationships>
</file>

<file path=word/drawings/_rels/drawing6.xml.rels><?xml version="1.0" encoding="UTF-8" standalone="yes"?>
<Relationships xmlns="http://schemas.openxmlformats.org/package/2006/relationships"><Relationship Id="rId1" Type="http://schemas.openxmlformats.org/officeDocument/2006/relationships/image" Target="../media/image2.jpeg"/></Relationships>
</file>

<file path=word/drawings/drawing1.xml><?xml version="1.0" encoding="utf-8"?>
<c:userShapes xmlns:c="http://schemas.openxmlformats.org/drawingml/2006/chart">
  <cdr:relSizeAnchor xmlns:cdr="http://schemas.openxmlformats.org/drawingml/2006/chartDrawing">
    <cdr:from>
      <cdr:x>0.04318</cdr:x>
      <cdr:y>0.89089</cdr:y>
    </cdr:from>
    <cdr:to>
      <cdr:x>0.11489</cdr:x>
      <cdr:y>1</cdr:y>
    </cdr:to>
    <cdr:sp macro="" textlink="">
      <cdr:nvSpPr>
        <cdr:cNvPr id="7" name="TextBox 1"/>
        <cdr:cNvSpPr txBox="1"/>
      </cdr:nvSpPr>
      <cdr:spPr>
        <a:xfrm xmlns:a="http://schemas.openxmlformats.org/drawingml/2006/main">
          <a:off x="255794" y="2117551"/>
          <a:ext cx="424800" cy="2592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CH</a:t>
          </a:r>
          <a:endParaRPr lang="en-US" sz="1100"/>
        </a:p>
      </cdr:txBody>
    </cdr:sp>
  </cdr:relSizeAnchor>
  <cdr:relSizeAnchor xmlns:cdr="http://schemas.openxmlformats.org/drawingml/2006/chartDrawing">
    <cdr:from>
      <cdr:x>0.10398</cdr:x>
      <cdr:y>0.89281</cdr:y>
    </cdr:from>
    <cdr:to>
      <cdr:x>0.16475</cdr:x>
      <cdr:y>0.99738</cdr:y>
    </cdr:to>
    <cdr:sp macro="" textlink="">
      <cdr:nvSpPr>
        <cdr:cNvPr id="8" name="TextBox 1"/>
        <cdr:cNvSpPr txBox="1"/>
      </cdr:nvSpPr>
      <cdr:spPr>
        <a:xfrm xmlns:a="http://schemas.openxmlformats.org/drawingml/2006/main">
          <a:off x="615950" y="2120900"/>
          <a:ext cx="360000" cy="2484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TR</a:t>
          </a:r>
          <a:endParaRPr lang="en-US" sz="1100"/>
        </a:p>
      </cdr:txBody>
    </cdr:sp>
  </cdr:relSizeAnchor>
  <cdr:relSizeAnchor xmlns:cdr="http://schemas.openxmlformats.org/drawingml/2006/chartDrawing">
    <cdr:from>
      <cdr:x>0.16476</cdr:x>
      <cdr:y>0.89281</cdr:y>
    </cdr:from>
    <cdr:to>
      <cdr:x>0.23646</cdr:x>
      <cdr:y>0.99889</cdr:y>
    </cdr:to>
    <cdr:sp macro="" textlink="">
      <cdr:nvSpPr>
        <cdr:cNvPr id="9" name="TextBox 1"/>
        <cdr:cNvSpPr txBox="1"/>
      </cdr:nvSpPr>
      <cdr:spPr>
        <a:xfrm xmlns:a="http://schemas.openxmlformats.org/drawingml/2006/main">
          <a:off x="975995" y="2120900"/>
          <a:ext cx="424800" cy="2520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MA</a:t>
          </a:r>
          <a:endParaRPr lang="en-US" sz="1100"/>
        </a:p>
      </cdr:txBody>
    </cdr:sp>
  </cdr:relSizeAnchor>
  <cdr:relSizeAnchor xmlns:cdr="http://schemas.openxmlformats.org/drawingml/2006/chartDrawing">
    <cdr:from>
      <cdr:x>0.2287</cdr:x>
      <cdr:y>0.89233</cdr:y>
    </cdr:from>
    <cdr:to>
      <cdr:x>0.29676</cdr:x>
      <cdr:y>1</cdr:y>
    </cdr:to>
    <cdr:sp macro="" textlink="">
      <cdr:nvSpPr>
        <cdr:cNvPr id="10" name="TextBox 1"/>
        <cdr:cNvSpPr txBox="1"/>
      </cdr:nvSpPr>
      <cdr:spPr>
        <a:xfrm xmlns:a="http://schemas.openxmlformats.org/drawingml/2006/main">
          <a:off x="1354798" y="2120378"/>
          <a:ext cx="403200" cy="25577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EM</a:t>
          </a:r>
          <a:endParaRPr lang="en-US" sz="1100"/>
        </a:p>
      </cdr:txBody>
    </cdr:sp>
  </cdr:relSizeAnchor>
  <cdr:relSizeAnchor xmlns:cdr="http://schemas.openxmlformats.org/drawingml/2006/chartDrawing">
    <cdr:from>
      <cdr:x>0.29178</cdr:x>
      <cdr:y>0.8924</cdr:y>
    </cdr:from>
    <cdr:to>
      <cdr:x>0.36166</cdr:x>
      <cdr:y>1</cdr:y>
    </cdr:to>
    <cdr:sp macro="" textlink="">
      <cdr:nvSpPr>
        <cdr:cNvPr id="11" name="TextBox 1"/>
        <cdr:cNvSpPr txBox="1"/>
      </cdr:nvSpPr>
      <cdr:spPr>
        <a:xfrm xmlns:a="http://schemas.openxmlformats.org/drawingml/2006/main">
          <a:off x="1728470" y="2119935"/>
          <a:ext cx="414000" cy="255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50"/>
            <a:t>UA</a:t>
          </a:r>
          <a:endParaRPr lang="en-US" sz="1100"/>
        </a:p>
      </cdr:txBody>
    </cdr:sp>
  </cdr:relSizeAnchor>
  <cdr:relSizeAnchor xmlns:cdr="http://schemas.openxmlformats.org/drawingml/2006/chartDrawing">
    <cdr:from>
      <cdr:x>0.35556</cdr:x>
      <cdr:y>0.89233</cdr:y>
    </cdr:from>
    <cdr:to>
      <cdr:x>0.42605</cdr:x>
      <cdr:y>0.99993</cdr:y>
    </cdr:to>
    <cdr:sp macro="" textlink="">
      <cdr:nvSpPr>
        <cdr:cNvPr id="12" name="TextBox 1"/>
        <cdr:cNvSpPr txBox="1"/>
      </cdr:nvSpPr>
      <cdr:spPr>
        <a:xfrm xmlns:a="http://schemas.openxmlformats.org/drawingml/2006/main">
          <a:off x="2106295" y="2119761"/>
          <a:ext cx="417600" cy="255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MC</a:t>
          </a:r>
          <a:endParaRPr lang="en-US" sz="1100"/>
        </a:p>
      </cdr:txBody>
    </cdr:sp>
  </cdr:relSizeAnchor>
  <cdr:relSizeAnchor xmlns:cdr="http://schemas.openxmlformats.org/drawingml/2006/chartDrawing">
    <cdr:from>
      <cdr:x>0.42623</cdr:x>
      <cdr:y>0.8924</cdr:y>
    </cdr:from>
    <cdr:to>
      <cdr:x>0.47545</cdr:x>
      <cdr:y>1</cdr:y>
    </cdr:to>
    <cdr:sp macro="" textlink="">
      <cdr:nvSpPr>
        <cdr:cNvPr id="13" name="TextBox 1"/>
        <cdr:cNvSpPr txBox="1"/>
      </cdr:nvSpPr>
      <cdr:spPr>
        <a:xfrm xmlns:a="http://schemas.openxmlformats.org/drawingml/2006/main">
          <a:off x="2524950" y="2120379"/>
          <a:ext cx="291600" cy="255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LI</a:t>
          </a:r>
          <a:endParaRPr lang="en-US" sz="1100"/>
        </a:p>
      </cdr:txBody>
    </cdr:sp>
  </cdr:relSizeAnchor>
  <cdr:relSizeAnchor xmlns:cdr="http://schemas.openxmlformats.org/drawingml/2006/chartDrawing">
    <cdr:from>
      <cdr:x>0.48505</cdr:x>
      <cdr:y>0.8924</cdr:y>
    </cdr:from>
    <cdr:to>
      <cdr:x>0.54825</cdr:x>
      <cdr:y>1</cdr:y>
    </cdr:to>
    <cdr:sp macro="" textlink="">
      <cdr:nvSpPr>
        <cdr:cNvPr id="14" name="TextBox 1"/>
        <cdr:cNvSpPr txBox="1"/>
      </cdr:nvSpPr>
      <cdr:spPr>
        <a:xfrm xmlns:a="http://schemas.openxmlformats.org/drawingml/2006/main">
          <a:off x="2873375" y="2120379"/>
          <a:ext cx="374400" cy="255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SG</a:t>
          </a:r>
          <a:endParaRPr lang="en-US" sz="1100"/>
        </a:p>
      </cdr:txBody>
    </cdr:sp>
  </cdr:relSizeAnchor>
  <cdr:relSizeAnchor xmlns:cdr="http://schemas.openxmlformats.org/drawingml/2006/chartDrawing">
    <cdr:from>
      <cdr:x>0.54236</cdr:x>
      <cdr:y>0.8924</cdr:y>
    </cdr:from>
    <cdr:to>
      <cdr:x>0.61468</cdr:x>
      <cdr:y>1</cdr:y>
    </cdr:to>
    <cdr:sp macro="" textlink="">
      <cdr:nvSpPr>
        <cdr:cNvPr id="15" name="TextBox 1"/>
        <cdr:cNvSpPr txBox="1"/>
      </cdr:nvSpPr>
      <cdr:spPr>
        <a:xfrm xmlns:a="http://schemas.openxmlformats.org/drawingml/2006/main">
          <a:off x="3212895" y="2120379"/>
          <a:ext cx="428400" cy="255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NO</a:t>
          </a:r>
          <a:endParaRPr lang="en-US" sz="1100"/>
        </a:p>
      </cdr:txBody>
    </cdr:sp>
  </cdr:relSizeAnchor>
  <cdr:relSizeAnchor xmlns:cdr="http://schemas.openxmlformats.org/drawingml/2006/chartDrawing">
    <cdr:from>
      <cdr:x>0.60657</cdr:x>
      <cdr:y>0.8924</cdr:y>
    </cdr:from>
    <cdr:to>
      <cdr:x>0.68557</cdr:x>
      <cdr:y>1</cdr:y>
    </cdr:to>
    <cdr:sp macro="" textlink="">
      <cdr:nvSpPr>
        <cdr:cNvPr id="16" name="TextBox 1"/>
        <cdr:cNvSpPr txBox="1"/>
      </cdr:nvSpPr>
      <cdr:spPr>
        <a:xfrm xmlns:a="http://schemas.openxmlformats.org/drawingml/2006/main">
          <a:off x="3593269" y="2120379"/>
          <a:ext cx="468000" cy="255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MK</a:t>
          </a:r>
          <a:endParaRPr lang="en-US" sz="1100"/>
        </a:p>
      </cdr:txBody>
    </cdr:sp>
  </cdr:relSizeAnchor>
  <cdr:relSizeAnchor xmlns:cdr="http://schemas.openxmlformats.org/drawingml/2006/chartDrawing">
    <cdr:from>
      <cdr:x>0.67487</cdr:x>
      <cdr:y>0.8924</cdr:y>
    </cdr:from>
    <cdr:to>
      <cdr:x>0.73321</cdr:x>
      <cdr:y>1</cdr:y>
    </cdr:to>
    <cdr:sp macro="" textlink="">
      <cdr:nvSpPr>
        <cdr:cNvPr id="17" name="TextBox 1"/>
        <cdr:cNvSpPr txBox="1"/>
      </cdr:nvSpPr>
      <cdr:spPr>
        <a:xfrm xmlns:a="http://schemas.openxmlformats.org/drawingml/2006/main">
          <a:off x="3997872" y="2120379"/>
          <a:ext cx="345600" cy="255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KR</a:t>
          </a:r>
          <a:endParaRPr lang="en-US" sz="1100"/>
        </a:p>
      </cdr:txBody>
    </cdr:sp>
  </cdr:relSizeAnchor>
  <cdr:relSizeAnchor xmlns:cdr="http://schemas.openxmlformats.org/drawingml/2006/chartDrawing">
    <cdr:from>
      <cdr:x>0.73908</cdr:x>
      <cdr:y>0.89089</cdr:y>
    </cdr:from>
    <cdr:to>
      <cdr:x>0.79803</cdr:x>
      <cdr:y>1</cdr:y>
    </cdr:to>
    <cdr:sp macro="" textlink="">
      <cdr:nvSpPr>
        <cdr:cNvPr id="18" name="TextBox 1"/>
        <cdr:cNvSpPr txBox="1"/>
      </cdr:nvSpPr>
      <cdr:spPr>
        <a:xfrm xmlns:a="http://schemas.openxmlformats.org/drawingml/2006/main">
          <a:off x="4378247" y="2117551"/>
          <a:ext cx="349200" cy="2592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JP</a:t>
          </a:r>
          <a:endParaRPr lang="en-US" sz="1100"/>
        </a:p>
      </cdr:txBody>
    </cdr:sp>
  </cdr:relSizeAnchor>
  <cdr:relSizeAnchor xmlns:cdr="http://schemas.openxmlformats.org/drawingml/2006/chartDrawing">
    <cdr:from>
      <cdr:x>0.79509</cdr:x>
      <cdr:y>0.89089</cdr:y>
    </cdr:from>
    <cdr:to>
      <cdr:x>0.85404</cdr:x>
      <cdr:y>1</cdr:y>
    </cdr:to>
    <cdr:sp macro="" textlink="">
      <cdr:nvSpPr>
        <cdr:cNvPr id="19" name="TextBox 1"/>
        <cdr:cNvSpPr txBox="1"/>
      </cdr:nvSpPr>
      <cdr:spPr>
        <a:xfrm xmlns:a="http://schemas.openxmlformats.org/drawingml/2006/main">
          <a:off x="4710046" y="2117551"/>
          <a:ext cx="349200" cy="2592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US</a:t>
          </a:r>
          <a:endParaRPr lang="en-US" sz="1100"/>
        </a:p>
      </cdr:txBody>
    </cdr:sp>
  </cdr:relSizeAnchor>
  <cdr:relSizeAnchor xmlns:cdr="http://schemas.openxmlformats.org/drawingml/2006/chartDrawing">
    <cdr:from>
      <cdr:x>0.84704</cdr:x>
      <cdr:y>0.8715</cdr:y>
    </cdr:from>
    <cdr:to>
      <cdr:x>1</cdr:x>
      <cdr:y>0.93818</cdr:y>
    </cdr:to>
    <cdr:sp macro="" textlink="">
      <cdr:nvSpPr>
        <cdr:cNvPr id="20" name="TextBox 1"/>
        <cdr:cNvSpPr txBox="1"/>
      </cdr:nvSpPr>
      <cdr:spPr>
        <a:xfrm xmlns:a="http://schemas.openxmlformats.org/drawingml/2006/main">
          <a:off x="5018257" y="1974550"/>
          <a:ext cx="906025" cy="15107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a:t>Part moyenne totale</a:t>
          </a:r>
        </a:p>
      </cdr:txBody>
    </cdr:sp>
  </cdr:relSizeAnchor>
</c:userShapes>
</file>

<file path=word/drawings/drawing10.xml><?xml version="1.0" encoding="utf-8"?>
<c:userShapes xmlns:c="http://schemas.openxmlformats.org/drawingml/2006/chart">
  <cdr:relSizeAnchor xmlns:cdr="http://schemas.openxmlformats.org/drawingml/2006/chartDrawing">
    <cdr:from>
      <cdr:x>0.50963</cdr:x>
      <cdr:y>0.89526</cdr:y>
    </cdr:from>
    <cdr:to>
      <cdr:x>0.72419</cdr:x>
      <cdr:y>0.98909</cdr:y>
    </cdr:to>
    <cdr:sp macro="" textlink="">
      <cdr:nvSpPr>
        <cdr:cNvPr id="3"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0.00095</cdr:x>
      <cdr:y>0.01712</cdr:y>
    </cdr:from>
    <cdr:to>
      <cdr:x>1</cdr:x>
      <cdr:y>0.16569</cdr:y>
    </cdr:to>
    <cdr:sp macro="" textlink="">
      <cdr:nvSpPr>
        <cdr:cNvPr id="4" name="TextBox 1"/>
        <cdr:cNvSpPr txBox="1"/>
      </cdr:nvSpPr>
      <cdr:spPr>
        <a:xfrm xmlns:a="http://schemas.openxmlformats.org/drawingml/2006/main">
          <a:off x="8818" y="38637"/>
          <a:ext cx="5934782" cy="335386"/>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50" b="1" u="none"/>
            <a:t>Pourcentage d’autodésignations lorsque l’État d’origine est un État</a:t>
          </a:r>
          <a:r>
            <a:rPr lang="en-US" sz="1050" b="1" u="none" baseline="0"/>
            <a:t> membre de l’Union européenne qui est individuellement une partie contractante du système de La Haye - Cinq principaux membres</a:t>
          </a:r>
        </a:p>
      </cdr:txBody>
    </cdr:sp>
  </cdr:relSizeAnchor>
  <cdr:relSizeAnchor xmlns:cdr="http://schemas.openxmlformats.org/drawingml/2006/chartDrawing">
    <cdr:from>
      <cdr:x>0.06592</cdr:x>
      <cdr:y>0.86571</cdr:y>
    </cdr:from>
    <cdr:to>
      <cdr:x>0.875</cdr:x>
      <cdr:y>1</cdr:y>
    </cdr:to>
    <cdr:sp macro="" textlink="">
      <cdr:nvSpPr>
        <cdr:cNvPr id="16" name="TextBox 1"/>
        <cdr:cNvSpPr txBox="1"/>
      </cdr:nvSpPr>
      <cdr:spPr>
        <a:xfrm xmlns:a="http://schemas.openxmlformats.org/drawingml/2006/main">
          <a:off x="311432" y="2886075"/>
          <a:ext cx="3822418" cy="4476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en-US" sz="1000"/>
        </a:p>
      </cdr:txBody>
    </cdr:sp>
  </cdr:relSizeAnchor>
  <cdr:relSizeAnchor xmlns:cdr="http://schemas.openxmlformats.org/drawingml/2006/chartDrawing">
    <cdr:from>
      <cdr:x>0.51659</cdr:x>
      <cdr:y>0.89905</cdr:y>
    </cdr:from>
    <cdr:to>
      <cdr:x>0.73115</cdr:x>
      <cdr:y>0.99288</cdr:y>
    </cdr:to>
    <cdr:sp macro="" textlink="">
      <cdr:nvSpPr>
        <cdr:cNvPr id="17" name="TextBox 1"/>
        <cdr:cNvSpPr txBox="1"/>
      </cdr:nvSpPr>
      <cdr:spPr>
        <a:xfrm xmlns:a="http://schemas.openxmlformats.org/drawingml/2006/main">
          <a:off x="4156422" y="2659701"/>
          <a:ext cx="1726312" cy="27758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0.30786</cdr:x>
      <cdr:y>0.89581</cdr:y>
    </cdr:from>
    <cdr:to>
      <cdr:x>0.3715</cdr:x>
      <cdr:y>1</cdr:y>
    </cdr:to>
    <cdr:sp macro="" textlink="">
      <cdr:nvSpPr>
        <cdr:cNvPr id="2" name="TextBox 1"/>
        <cdr:cNvSpPr txBox="1"/>
      </cdr:nvSpPr>
      <cdr:spPr>
        <a:xfrm xmlns:a="http://schemas.openxmlformats.org/drawingml/2006/main">
          <a:off x="1828800" y="2022230"/>
          <a:ext cx="378070" cy="2351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0">
              <a:solidFill>
                <a:sysClr val="windowText" lastClr="000000"/>
              </a:solidFill>
            </a:rPr>
            <a:t>FR</a:t>
          </a:r>
        </a:p>
      </cdr:txBody>
    </cdr:sp>
  </cdr:relSizeAnchor>
  <cdr:relSizeAnchor xmlns:cdr="http://schemas.openxmlformats.org/drawingml/2006/chartDrawing">
    <cdr:from>
      <cdr:x>0.12285</cdr:x>
      <cdr:y>0.89581</cdr:y>
    </cdr:from>
    <cdr:to>
      <cdr:x>0.23405</cdr:x>
      <cdr:y>0.99781</cdr:y>
    </cdr:to>
    <cdr:sp macro="" textlink="">
      <cdr:nvSpPr>
        <cdr:cNvPr id="8" name="TextBox 7"/>
        <cdr:cNvSpPr txBox="1"/>
      </cdr:nvSpPr>
      <cdr:spPr>
        <a:xfrm xmlns:a="http://schemas.openxmlformats.org/drawingml/2006/main">
          <a:off x="729762" y="2022230"/>
          <a:ext cx="660594" cy="230251"/>
        </a:xfrm>
        <a:prstGeom xmlns:a="http://schemas.openxmlformats.org/drawingml/2006/main" prst="rect">
          <a:avLst/>
        </a:prstGeom>
        <a:noFill xmlns:a="http://schemas.openxmlformats.org/drawingml/2006/main"/>
      </cdr:spPr>
      <cdr:txBody>
        <a:bodyPr xmlns:a="http://schemas.openxmlformats.org/drawingml/2006/main" vertOverflow="clip" wrap="none" rtlCol="0"/>
        <a:lstStyle xmlns:a="http://schemas.openxmlformats.org/drawingml/2006/main"/>
        <a:p xmlns:a="http://schemas.openxmlformats.org/drawingml/2006/main">
          <a:r>
            <a:rPr lang="en-US" sz="1100" b="0">
              <a:solidFill>
                <a:sysClr val="windowText" lastClr="000000"/>
              </a:solidFill>
            </a:rPr>
            <a:t>DE</a:t>
          </a:r>
        </a:p>
      </cdr:txBody>
    </cdr:sp>
  </cdr:relSizeAnchor>
  <cdr:relSizeAnchor xmlns:cdr="http://schemas.openxmlformats.org/drawingml/2006/chartDrawing">
    <cdr:from>
      <cdr:x>0.50767</cdr:x>
      <cdr:y>0.89971</cdr:y>
    </cdr:from>
    <cdr:to>
      <cdr:x>0.57427</cdr:x>
      <cdr:y>1</cdr:y>
    </cdr:to>
    <cdr:sp macro="" textlink="">
      <cdr:nvSpPr>
        <cdr:cNvPr id="13" name="TextBox 1"/>
        <cdr:cNvSpPr txBox="1"/>
      </cdr:nvSpPr>
      <cdr:spPr>
        <a:xfrm xmlns:a="http://schemas.openxmlformats.org/drawingml/2006/main">
          <a:off x="3015762" y="2031023"/>
          <a:ext cx="395654" cy="22640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0">
              <a:solidFill>
                <a:sysClr val="windowText" lastClr="000000"/>
              </a:solidFill>
            </a:rPr>
            <a:t>IT</a:t>
          </a:r>
        </a:p>
      </cdr:txBody>
    </cdr:sp>
  </cdr:relSizeAnchor>
  <cdr:relSizeAnchor xmlns:cdr="http://schemas.openxmlformats.org/drawingml/2006/chartDrawing">
    <cdr:from>
      <cdr:x>0.69244</cdr:x>
      <cdr:y>0.89971</cdr:y>
    </cdr:from>
    <cdr:to>
      <cdr:x>0.75071</cdr:x>
      <cdr:y>1</cdr:y>
    </cdr:to>
    <cdr:sp macro="" textlink="">
      <cdr:nvSpPr>
        <cdr:cNvPr id="14" name="TextBox 1"/>
        <cdr:cNvSpPr txBox="1"/>
      </cdr:nvSpPr>
      <cdr:spPr>
        <a:xfrm xmlns:a="http://schemas.openxmlformats.org/drawingml/2006/main">
          <a:off x="4113388" y="2031024"/>
          <a:ext cx="346148" cy="22640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0">
              <a:solidFill>
                <a:sysClr val="windowText" lastClr="000000"/>
              </a:solidFill>
            </a:rPr>
            <a:t>NL</a:t>
          </a:r>
        </a:p>
      </cdr:txBody>
    </cdr:sp>
  </cdr:relSizeAnchor>
  <cdr:relSizeAnchor xmlns:cdr="http://schemas.openxmlformats.org/drawingml/2006/chartDrawing">
    <cdr:from>
      <cdr:x>0.87769</cdr:x>
      <cdr:y>0.89192</cdr:y>
    </cdr:from>
    <cdr:to>
      <cdr:x>0.93837</cdr:x>
      <cdr:y>1</cdr:y>
    </cdr:to>
    <cdr:sp macro="" textlink="">
      <cdr:nvSpPr>
        <cdr:cNvPr id="20" name="TextBox 1"/>
        <cdr:cNvSpPr txBox="1"/>
      </cdr:nvSpPr>
      <cdr:spPr>
        <a:xfrm xmlns:a="http://schemas.openxmlformats.org/drawingml/2006/main">
          <a:off x="5213839" y="2013437"/>
          <a:ext cx="360484" cy="24398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0">
              <a:solidFill>
                <a:sysClr val="windowText" lastClr="000000"/>
              </a:solidFill>
            </a:rPr>
            <a:t>ES</a:t>
          </a:r>
        </a:p>
      </cdr:txBody>
    </cdr:sp>
  </cdr:relSizeAnchor>
  <cdr:relSizeAnchor xmlns:cdr="http://schemas.openxmlformats.org/drawingml/2006/chartDrawing">
    <cdr:from>
      <cdr:x>0.0668</cdr:x>
      <cdr:y>0.82181</cdr:y>
    </cdr:from>
    <cdr:to>
      <cdr:x>0.25413</cdr:x>
      <cdr:y>0.93476</cdr:y>
    </cdr:to>
    <cdr:sp macro="" textlink="">
      <cdr:nvSpPr>
        <cdr:cNvPr id="6" name="TextBox 5"/>
        <cdr:cNvSpPr txBox="1"/>
      </cdr:nvSpPr>
      <cdr:spPr>
        <a:xfrm xmlns:a="http://schemas.openxmlformats.org/drawingml/2006/main">
          <a:off x="396815" y="1855174"/>
          <a:ext cx="1112808" cy="2549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2014  2015</a:t>
          </a:r>
          <a:r>
            <a:rPr lang="en-US" sz="1000" baseline="0"/>
            <a:t> 2016</a:t>
          </a:r>
          <a:r>
            <a:rPr lang="en-US" sz="1000"/>
            <a:t>  </a:t>
          </a:r>
        </a:p>
      </cdr:txBody>
    </cdr:sp>
  </cdr:relSizeAnchor>
  <cdr:relSizeAnchor xmlns:cdr="http://schemas.openxmlformats.org/drawingml/2006/chartDrawing">
    <cdr:from>
      <cdr:x>0.24832</cdr:x>
      <cdr:y>0.82571</cdr:y>
    </cdr:from>
    <cdr:to>
      <cdr:x>0.44</cdr:x>
      <cdr:y>0.92095</cdr:y>
    </cdr:to>
    <cdr:sp macro="" textlink="">
      <cdr:nvSpPr>
        <cdr:cNvPr id="12" name="TextBox 1"/>
        <cdr:cNvSpPr txBox="1"/>
      </cdr:nvSpPr>
      <cdr:spPr>
        <a:xfrm xmlns:a="http://schemas.openxmlformats.org/drawingml/2006/main">
          <a:off x="1475117" y="1863977"/>
          <a:ext cx="1138686" cy="21498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2014   2015</a:t>
          </a:r>
          <a:r>
            <a:rPr lang="en-US" sz="1000" baseline="0"/>
            <a:t>  2016</a:t>
          </a:r>
          <a:r>
            <a:rPr lang="en-US" sz="1000"/>
            <a:t>  </a:t>
          </a:r>
        </a:p>
      </cdr:txBody>
    </cdr:sp>
  </cdr:relSizeAnchor>
  <cdr:relSizeAnchor xmlns:cdr="http://schemas.openxmlformats.org/drawingml/2006/chartDrawing">
    <cdr:from>
      <cdr:x>0.43855</cdr:x>
      <cdr:y>0.82953</cdr:y>
    </cdr:from>
    <cdr:to>
      <cdr:x>0.64091</cdr:x>
      <cdr:y>0.9133</cdr:y>
    </cdr:to>
    <cdr:sp macro="" textlink="">
      <cdr:nvSpPr>
        <cdr:cNvPr id="18" name="TextBox 1"/>
        <cdr:cNvSpPr txBox="1"/>
      </cdr:nvSpPr>
      <cdr:spPr>
        <a:xfrm xmlns:a="http://schemas.openxmlformats.org/drawingml/2006/main">
          <a:off x="2605178" y="1872604"/>
          <a:ext cx="1202086" cy="1891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2014   2015 </a:t>
          </a:r>
          <a:r>
            <a:rPr lang="en-US" sz="1000" baseline="0"/>
            <a:t> 2016</a:t>
          </a:r>
          <a:r>
            <a:rPr lang="en-US" sz="1000"/>
            <a:t>  </a:t>
          </a:r>
        </a:p>
      </cdr:txBody>
    </cdr:sp>
  </cdr:relSizeAnchor>
  <cdr:relSizeAnchor xmlns:cdr="http://schemas.openxmlformats.org/drawingml/2006/chartDrawing">
    <cdr:from>
      <cdr:x>0.62152</cdr:x>
      <cdr:y>0.82181</cdr:y>
    </cdr:from>
    <cdr:to>
      <cdr:x>0.83181</cdr:x>
      <cdr:y>0.9213</cdr:y>
    </cdr:to>
    <cdr:sp macro="" textlink="">
      <cdr:nvSpPr>
        <cdr:cNvPr id="19" name="TextBox 1"/>
        <cdr:cNvSpPr txBox="1"/>
      </cdr:nvSpPr>
      <cdr:spPr>
        <a:xfrm xmlns:a="http://schemas.openxmlformats.org/drawingml/2006/main">
          <a:off x="3692106" y="1855174"/>
          <a:ext cx="1249199" cy="22459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2014   2015 </a:t>
          </a:r>
          <a:r>
            <a:rPr lang="en-US" sz="1000" baseline="0"/>
            <a:t> 2016</a:t>
          </a:r>
          <a:r>
            <a:rPr lang="en-US" sz="1000"/>
            <a:t>  </a:t>
          </a:r>
        </a:p>
      </cdr:txBody>
    </cdr:sp>
  </cdr:relSizeAnchor>
  <cdr:relSizeAnchor xmlns:cdr="http://schemas.openxmlformats.org/drawingml/2006/chartDrawing">
    <cdr:from>
      <cdr:x>0.80812</cdr:x>
      <cdr:y>0.82181</cdr:y>
    </cdr:from>
    <cdr:to>
      <cdr:x>0.99395</cdr:x>
      <cdr:y>0.91909</cdr:y>
    </cdr:to>
    <cdr:sp macro="" textlink="">
      <cdr:nvSpPr>
        <cdr:cNvPr id="21" name="TextBox 1"/>
        <cdr:cNvSpPr txBox="1"/>
      </cdr:nvSpPr>
      <cdr:spPr>
        <a:xfrm xmlns:a="http://schemas.openxmlformats.org/drawingml/2006/main">
          <a:off x="4800600" y="1855178"/>
          <a:ext cx="1103886" cy="219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2014   2015</a:t>
          </a:r>
          <a:r>
            <a:rPr lang="en-US" sz="1000" baseline="0"/>
            <a:t>  2016</a:t>
          </a:r>
          <a:r>
            <a:rPr lang="en-US" sz="1000"/>
            <a:t>  </a:t>
          </a:r>
        </a:p>
      </cdr:txBody>
    </cdr:sp>
  </cdr:relSizeAnchor>
</c:userShapes>
</file>

<file path=word/drawings/drawing11.xml><?xml version="1.0" encoding="utf-8"?>
<c:userShapes xmlns:c="http://schemas.openxmlformats.org/drawingml/2006/chart">
  <cdr:relSizeAnchor xmlns:cdr="http://schemas.openxmlformats.org/drawingml/2006/chartDrawing">
    <cdr:from>
      <cdr:x>0.50963</cdr:x>
      <cdr:y>0.89526</cdr:y>
    </cdr:from>
    <cdr:to>
      <cdr:x>0.72419</cdr:x>
      <cdr:y>0.98909</cdr:y>
    </cdr:to>
    <cdr:sp macro="" textlink="">
      <cdr:nvSpPr>
        <cdr:cNvPr id="3"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0.06592</cdr:x>
      <cdr:y>0.86571</cdr:y>
    </cdr:from>
    <cdr:to>
      <cdr:x>0.875</cdr:x>
      <cdr:y>1</cdr:y>
    </cdr:to>
    <cdr:sp macro="" textlink="">
      <cdr:nvSpPr>
        <cdr:cNvPr id="16" name="TextBox 1"/>
        <cdr:cNvSpPr txBox="1"/>
      </cdr:nvSpPr>
      <cdr:spPr>
        <a:xfrm xmlns:a="http://schemas.openxmlformats.org/drawingml/2006/main">
          <a:off x="311432" y="2886075"/>
          <a:ext cx="3822418" cy="4476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en-US" sz="1000"/>
        </a:p>
      </cdr:txBody>
    </cdr:sp>
  </cdr:relSizeAnchor>
  <cdr:relSizeAnchor xmlns:cdr="http://schemas.openxmlformats.org/drawingml/2006/chartDrawing">
    <cdr:from>
      <cdr:x>0.51659</cdr:x>
      <cdr:y>0.89905</cdr:y>
    </cdr:from>
    <cdr:to>
      <cdr:x>0.73115</cdr:x>
      <cdr:y>0.99288</cdr:y>
    </cdr:to>
    <cdr:sp macro="" textlink="">
      <cdr:nvSpPr>
        <cdr:cNvPr id="17" name="TextBox 1"/>
        <cdr:cNvSpPr txBox="1"/>
      </cdr:nvSpPr>
      <cdr:spPr>
        <a:xfrm xmlns:a="http://schemas.openxmlformats.org/drawingml/2006/main">
          <a:off x="4156422" y="2659701"/>
          <a:ext cx="1726312" cy="27758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0.30713</cdr:x>
      <cdr:y>0.90159</cdr:y>
    </cdr:from>
    <cdr:to>
      <cdr:x>0.36097</cdr:x>
      <cdr:y>1</cdr:y>
    </cdr:to>
    <cdr:sp macro="" textlink="">
      <cdr:nvSpPr>
        <cdr:cNvPr id="2" name="TextBox 1"/>
        <cdr:cNvSpPr txBox="1"/>
      </cdr:nvSpPr>
      <cdr:spPr>
        <a:xfrm xmlns:a="http://schemas.openxmlformats.org/drawingml/2006/main">
          <a:off x="1824483" y="2082800"/>
          <a:ext cx="319832" cy="2273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0">
              <a:solidFill>
                <a:sysClr val="windowText" lastClr="000000"/>
              </a:solidFill>
            </a:rPr>
            <a:t>SE</a:t>
          </a:r>
        </a:p>
      </cdr:txBody>
    </cdr:sp>
  </cdr:relSizeAnchor>
  <cdr:relSizeAnchor xmlns:cdr="http://schemas.openxmlformats.org/drawingml/2006/chartDrawing">
    <cdr:from>
      <cdr:x>0.11775</cdr:x>
      <cdr:y>0.89885</cdr:y>
    </cdr:from>
    <cdr:to>
      <cdr:x>0.23405</cdr:x>
      <cdr:y>0.99781</cdr:y>
    </cdr:to>
    <cdr:sp macro="" textlink="">
      <cdr:nvSpPr>
        <cdr:cNvPr id="8" name="TextBox 7"/>
        <cdr:cNvSpPr txBox="1"/>
      </cdr:nvSpPr>
      <cdr:spPr>
        <a:xfrm xmlns:a="http://schemas.openxmlformats.org/drawingml/2006/main">
          <a:off x="699485" y="2076450"/>
          <a:ext cx="690871" cy="228621"/>
        </a:xfrm>
        <a:prstGeom xmlns:a="http://schemas.openxmlformats.org/drawingml/2006/main" prst="rect">
          <a:avLst/>
        </a:prstGeom>
        <a:noFill xmlns:a="http://schemas.openxmlformats.org/drawingml/2006/main"/>
      </cdr:spPr>
      <cdr:txBody>
        <a:bodyPr xmlns:a="http://schemas.openxmlformats.org/drawingml/2006/main" vertOverflow="clip" wrap="none" rtlCol="0"/>
        <a:lstStyle xmlns:a="http://schemas.openxmlformats.org/drawingml/2006/main"/>
        <a:p xmlns:a="http://schemas.openxmlformats.org/drawingml/2006/main">
          <a:r>
            <a:rPr lang="en-US" sz="1100" b="0">
              <a:solidFill>
                <a:sysClr val="windowText" lastClr="000000"/>
              </a:solidFill>
            </a:rPr>
            <a:t>GB</a:t>
          </a:r>
        </a:p>
      </cdr:txBody>
    </cdr:sp>
  </cdr:relSizeAnchor>
  <cdr:relSizeAnchor xmlns:cdr="http://schemas.openxmlformats.org/drawingml/2006/chartDrawing">
    <cdr:from>
      <cdr:x>0.4965</cdr:x>
      <cdr:y>0.89885</cdr:y>
    </cdr:from>
    <cdr:to>
      <cdr:x>0.58255</cdr:x>
      <cdr:y>1</cdr:y>
    </cdr:to>
    <cdr:sp macro="" textlink="">
      <cdr:nvSpPr>
        <cdr:cNvPr id="13" name="TextBox 1"/>
        <cdr:cNvSpPr txBox="1"/>
      </cdr:nvSpPr>
      <cdr:spPr>
        <a:xfrm xmlns:a="http://schemas.openxmlformats.org/drawingml/2006/main">
          <a:off x="2949421" y="2076450"/>
          <a:ext cx="511174" cy="2336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0">
              <a:solidFill>
                <a:sysClr val="windowText" lastClr="000000"/>
              </a:solidFill>
            </a:rPr>
            <a:t>AT</a:t>
          </a:r>
        </a:p>
      </cdr:txBody>
    </cdr:sp>
  </cdr:relSizeAnchor>
  <cdr:relSizeAnchor xmlns:cdr="http://schemas.openxmlformats.org/drawingml/2006/chartDrawing">
    <cdr:from>
      <cdr:x>0.6883</cdr:x>
      <cdr:y>0.90159</cdr:y>
    </cdr:from>
    <cdr:to>
      <cdr:x>0.75071</cdr:x>
      <cdr:y>1</cdr:y>
    </cdr:to>
    <cdr:sp macro="" textlink="">
      <cdr:nvSpPr>
        <cdr:cNvPr id="14" name="TextBox 1"/>
        <cdr:cNvSpPr txBox="1"/>
      </cdr:nvSpPr>
      <cdr:spPr>
        <a:xfrm xmlns:a="http://schemas.openxmlformats.org/drawingml/2006/main">
          <a:off x="4088795" y="2082801"/>
          <a:ext cx="370741" cy="22733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0">
              <a:solidFill>
                <a:sysClr val="windowText" lastClr="000000"/>
              </a:solidFill>
            </a:rPr>
            <a:t>CZ</a:t>
          </a:r>
        </a:p>
      </cdr:txBody>
    </cdr:sp>
  </cdr:relSizeAnchor>
  <cdr:relSizeAnchor xmlns:cdr="http://schemas.openxmlformats.org/drawingml/2006/chartDrawing">
    <cdr:from>
      <cdr:x>0.87405</cdr:x>
      <cdr:y>0.89885</cdr:y>
    </cdr:from>
    <cdr:to>
      <cdr:x>0.93026</cdr:x>
      <cdr:y>1</cdr:y>
    </cdr:to>
    <cdr:sp macro="" textlink="">
      <cdr:nvSpPr>
        <cdr:cNvPr id="20" name="TextBox 1"/>
        <cdr:cNvSpPr txBox="1"/>
      </cdr:nvSpPr>
      <cdr:spPr>
        <a:xfrm xmlns:a="http://schemas.openxmlformats.org/drawingml/2006/main">
          <a:off x="5192228" y="2076451"/>
          <a:ext cx="333912" cy="2336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0">
              <a:solidFill>
                <a:sysClr val="windowText" lastClr="000000"/>
              </a:solidFill>
            </a:rPr>
            <a:t>PT</a:t>
          </a:r>
        </a:p>
      </cdr:txBody>
    </cdr:sp>
  </cdr:relSizeAnchor>
  <cdr:relSizeAnchor xmlns:cdr="http://schemas.openxmlformats.org/drawingml/2006/chartDrawing">
    <cdr:from>
      <cdr:x>0.00013</cdr:x>
      <cdr:y>0.01921</cdr:y>
    </cdr:from>
    <cdr:to>
      <cdr:x>1</cdr:x>
      <cdr:y>0.1657</cdr:y>
    </cdr:to>
    <cdr:grpSp>
      <cdr:nvGrpSpPr>
        <cdr:cNvPr id="5" name="Group 4"/>
        <cdr:cNvGrpSpPr/>
      </cdr:nvGrpSpPr>
      <cdr:grpSpPr>
        <a:xfrm xmlns:a="http://schemas.openxmlformats.org/drawingml/2006/main">
          <a:off x="3975" y="44386"/>
          <a:ext cx="5939625" cy="338396"/>
          <a:chOff x="3975" y="70773"/>
          <a:chExt cx="5939625" cy="106530"/>
        </a:xfrm>
      </cdr:grpSpPr>
      <cdr:sp macro="" textlink="">
        <cdr:nvSpPr>
          <cdr:cNvPr id="4" name="TextBox 1"/>
          <cdr:cNvSpPr txBox="1"/>
        </cdr:nvSpPr>
        <cdr:spPr>
          <a:xfrm xmlns:a="http://schemas.openxmlformats.org/drawingml/2006/main">
            <a:off x="3975" y="70773"/>
            <a:ext cx="5939625" cy="10653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50" b="1" u="none"/>
              <a:t>Pourcentage d’autodésignations</a:t>
            </a:r>
            <a:r>
              <a:rPr lang="en-US" sz="1050" b="1" u="none" baseline="0"/>
              <a:t> lorsque l’État d’origine est un État membre de l’Union européenne qui n’est pas individuellement une partie contractante du système de La Haye -</a:t>
            </a:r>
            <a:r>
              <a:rPr lang="en-US" sz="1050" b="0" u="none" baseline="0">
                <a:effectLst/>
                <a:latin typeface="+mn-lt"/>
                <a:ea typeface="+mn-ea"/>
                <a:cs typeface="+mn-cs"/>
              </a:rPr>
              <a:t> </a:t>
            </a:r>
            <a:r>
              <a:rPr lang="en-US" sz="1050" b="1" u="none" baseline="0"/>
              <a:t>Cinq principaux membres</a:t>
            </a:r>
          </a:p>
        </cdr:txBody>
      </cdr:sp>
    </cdr:grpSp>
  </cdr:relSizeAnchor>
  <cdr:relSizeAnchor xmlns:cdr="http://schemas.openxmlformats.org/drawingml/2006/chartDrawing">
    <cdr:from>
      <cdr:x>0.05086</cdr:x>
      <cdr:y>0.82188</cdr:y>
    </cdr:from>
    <cdr:to>
      <cdr:x>0.2503</cdr:x>
      <cdr:y>0.92244</cdr:y>
    </cdr:to>
    <cdr:sp macro="" textlink="">
      <cdr:nvSpPr>
        <cdr:cNvPr id="15" name="TextBox 1"/>
        <cdr:cNvSpPr txBox="1"/>
      </cdr:nvSpPr>
      <cdr:spPr>
        <a:xfrm xmlns:a="http://schemas.openxmlformats.org/drawingml/2006/main">
          <a:off x="302130" y="1898650"/>
          <a:ext cx="1184758" cy="23230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2014    2015 </a:t>
          </a:r>
          <a:r>
            <a:rPr lang="en-US" sz="1000" baseline="0"/>
            <a:t>  2016</a:t>
          </a:r>
          <a:r>
            <a:rPr lang="en-US" sz="1000"/>
            <a:t>  </a:t>
          </a:r>
        </a:p>
      </cdr:txBody>
    </cdr:sp>
  </cdr:relSizeAnchor>
  <cdr:relSizeAnchor xmlns:cdr="http://schemas.openxmlformats.org/drawingml/2006/chartDrawing">
    <cdr:from>
      <cdr:x>0.25298</cdr:x>
      <cdr:y>0.82188</cdr:y>
    </cdr:from>
    <cdr:to>
      <cdr:x>0.44037</cdr:x>
      <cdr:y>0.92932</cdr:y>
    </cdr:to>
    <cdr:sp macro="" textlink="">
      <cdr:nvSpPr>
        <cdr:cNvPr id="18" name="TextBox 1"/>
        <cdr:cNvSpPr txBox="1"/>
      </cdr:nvSpPr>
      <cdr:spPr>
        <a:xfrm xmlns:a="http://schemas.openxmlformats.org/drawingml/2006/main">
          <a:off x="1502809" y="1898651"/>
          <a:ext cx="1113176" cy="2482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2014   2015 </a:t>
          </a:r>
          <a:r>
            <a:rPr lang="en-US" sz="1000" baseline="0"/>
            <a:t> 2016</a:t>
          </a:r>
          <a:r>
            <a:rPr lang="en-US" sz="1000"/>
            <a:t>  </a:t>
          </a:r>
        </a:p>
      </cdr:txBody>
    </cdr:sp>
  </cdr:relSizeAnchor>
  <cdr:relSizeAnchor xmlns:cdr="http://schemas.openxmlformats.org/drawingml/2006/chartDrawing">
    <cdr:from>
      <cdr:x>0.43368</cdr:x>
      <cdr:y>0.82188</cdr:y>
    </cdr:from>
    <cdr:to>
      <cdr:x>0.61973</cdr:x>
      <cdr:y>0.92932</cdr:y>
    </cdr:to>
    <cdr:sp macro="" textlink="">
      <cdr:nvSpPr>
        <cdr:cNvPr id="19" name="TextBox 1"/>
        <cdr:cNvSpPr txBox="1"/>
      </cdr:nvSpPr>
      <cdr:spPr>
        <a:xfrm xmlns:a="http://schemas.openxmlformats.org/drawingml/2006/main">
          <a:off x="2576244" y="1898651"/>
          <a:ext cx="1105216" cy="2482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2014   2015 </a:t>
          </a:r>
          <a:r>
            <a:rPr lang="en-US" sz="1000" baseline="0"/>
            <a:t>2016</a:t>
          </a:r>
          <a:r>
            <a:rPr lang="en-US" sz="1000"/>
            <a:t>  </a:t>
          </a:r>
        </a:p>
      </cdr:txBody>
    </cdr:sp>
  </cdr:relSizeAnchor>
  <cdr:relSizeAnchor xmlns:cdr="http://schemas.openxmlformats.org/drawingml/2006/chartDrawing">
    <cdr:from>
      <cdr:x>0.62508</cdr:x>
      <cdr:y>0.82463</cdr:y>
    </cdr:from>
    <cdr:to>
      <cdr:x>0.81381</cdr:x>
      <cdr:y>0.9362</cdr:y>
    </cdr:to>
    <cdr:sp macro="" textlink="">
      <cdr:nvSpPr>
        <cdr:cNvPr id="21" name="TextBox 1"/>
        <cdr:cNvSpPr txBox="1"/>
      </cdr:nvSpPr>
      <cdr:spPr>
        <a:xfrm xmlns:a="http://schemas.openxmlformats.org/drawingml/2006/main">
          <a:off x="3713241" y="1905000"/>
          <a:ext cx="1121136" cy="25774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2014   2015 </a:t>
          </a:r>
          <a:r>
            <a:rPr lang="en-US" sz="1000" baseline="0"/>
            <a:t> 2016</a:t>
          </a:r>
          <a:r>
            <a:rPr lang="en-US" sz="1000"/>
            <a:t>  </a:t>
          </a:r>
        </a:p>
      </cdr:txBody>
    </cdr:sp>
  </cdr:relSizeAnchor>
  <cdr:relSizeAnchor xmlns:cdr="http://schemas.openxmlformats.org/drawingml/2006/chartDrawing">
    <cdr:from>
      <cdr:x>0.81114</cdr:x>
      <cdr:y>0.82188</cdr:y>
    </cdr:from>
    <cdr:to>
      <cdr:x>0.99947</cdr:x>
      <cdr:y>0.92244</cdr:y>
    </cdr:to>
    <cdr:sp macro="" textlink="">
      <cdr:nvSpPr>
        <cdr:cNvPr id="22" name="TextBox 1"/>
        <cdr:cNvSpPr txBox="1"/>
      </cdr:nvSpPr>
      <cdr:spPr>
        <a:xfrm xmlns:a="http://schemas.openxmlformats.org/drawingml/2006/main">
          <a:off x="4818516" y="1898650"/>
          <a:ext cx="1118734" cy="23230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2014   2015 </a:t>
          </a:r>
          <a:r>
            <a:rPr lang="en-US" sz="1000" baseline="0"/>
            <a:t> 2016</a:t>
          </a:r>
          <a:r>
            <a:rPr lang="en-US" sz="1000"/>
            <a:t>  </a:t>
          </a:r>
        </a:p>
      </cdr:txBody>
    </cdr:sp>
  </cdr:relSizeAnchor>
</c:userShapes>
</file>

<file path=word/drawings/drawing12.xml><?xml version="1.0" encoding="utf-8"?>
<c:userShapes xmlns:c="http://schemas.openxmlformats.org/drawingml/2006/chart">
  <cdr:relSizeAnchor xmlns:cdr="http://schemas.openxmlformats.org/drawingml/2006/chartDrawing">
    <cdr:from>
      <cdr:x>0.43338</cdr:x>
      <cdr:y>0.89605</cdr:y>
    </cdr:from>
    <cdr:to>
      <cdr:x>0.55213</cdr:x>
      <cdr:y>0.98522</cdr:y>
    </cdr:to>
    <cdr:sp macro="" textlink="">
      <cdr:nvSpPr>
        <cdr:cNvPr id="3" name="TextBox 1"/>
        <cdr:cNvSpPr txBox="1"/>
      </cdr:nvSpPr>
      <cdr:spPr>
        <a:xfrm xmlns:a="http://schemas.openxmlformats.org/drawingml/2006/main">
          <a:off x="1682269" y="2760616"/>
          <a:ext cx="460954" cy="27472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2015</a:t>
          </a:r>
        </a:p>
      </cdr:txBody>
    </cdr:sp>
  </cdr:relSizeAnchor>
  <cdr:relSizeAnchor xmlns:cdr="http://schemas.openxmlformats.org/drawingml/2006/chartDrawing">
    <cdr:from>
      <cdr:x>0.5781</cdr:x>
      <cdr:y>0.891</cdr:y>
    </cdr:from>
    <cdr:to>
      <cdr:x>0.87721</cdr:x>
      <cdr:y>0.97673</cdr:y>
    </cdr:to>
    <cdr:sp macro="" textlink="">
      <cdr:nvSpPr>
        <cdr:cNvPr id="4" name="TextBox 1"/>
        <cdr:cNvSpPr txBox="1"/>
      </cdr:nvSpPr>
      <cdr:spPr>
        <a:xfrm xmlns:a="http://schemas.openxmlformats.org/drawingml/2006/main">
          <a:off x="2249197" y="2637136"/>
          <a:ext cx="1163704" cy="25373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janvier-mars</a:t>
          </a:r>
          <a:r>
            <a:rPr lang="en-US" sz="1000" baseline="0"/>
            <a:t> 2016</a:t>
          </a:r>
        </a:p>
      </cdr:txBody>
    </cdr:sp>
  </cdr:relSizeAnchor>
  <cdr:relSizeAnchor xmlns:cdr="http://schemas.openxmlformats.org/drawingml/2006/chartDrawing">
    <cdr:from>
      <cdr:x>0.19583</cdr:x>
      <cdr:y>0.86624</cdr:y>
    </cdr:from>
    <cdr:to>
      <cdr:x>0.30625</cdr:x>
      <cdr:y>1</cdr:y>
    </cdr:to>
    <cdr:sp macro="" textlink="">
      <cdr:nvSpPr>
        <cdr:cNvPr id="5" name="TextBox 4"/>
        <cdr:cNvSpPr txBox="1"/>
      </cdr:nvSpPr>
      <cdr:spPr>
        <a:xfrm xmlns:a="http://schemas.openxmlformats.org/drawingml/2006/main">
          <a:off x="895350" y="2590800"/>
          <a:ext cx="504825" cy="4000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0.37573</cdr:x>
      <cdr:y>0.71508</cdr:y>
    </cdr:from>
    <cdr:to>
      <cdr:x>0.48198</cdr:x>
      <cdr:y>0.80744</cdr:y>
    </cdr:to>
    <cdr:sp macro="" textlink="">
      <cdr:nvSpPr>
        <cdr:cNvPr id="6" name="TextBox 5"/>
        <cdr:cNvSpPr txBox="1"/>
      </cdr:nvSpPr>
      <cdr:spPr>
        <a:xfrm xmlns:a="http://schemas.openxmlformats.org/drawingml/2006/main">
          <a:off x="1458488" y="2203071"/>
          <a:ext cx="412432" cy="28454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a:t>13,7%</a:t>
          </a:r>
        </a:p>
      </cdr:txBody>
    </cdr:sp>
  </cdr:relSizeAnchor>
  <cdr:relSizeAnchor xmlns:cdr="http://schemas.openxmlformats.org/drawingml/2006/chartDrawing">
    <cdr:from>
      <cdr:x>0.44465</cdr:x>
      <cdr:y>0.75478</cdr:y>
    </cdr:from>
    <cdr:to>
      <cdr:x>0.54743</cdr:x>
      <cdr:y>0.84714</cdr:y>
    </cdr:to>
    <cdr:sp macro="" textlink="">
      <cdr:nvSpPr>
        <cdr:cNvPr id="7" name="TextBox 1"/>
        <cdr:cNvSpPr txBox="1"/>
      </cdr:nvSpPr>
      <cdr:spPr>
        <a:xfrm xmlns:a="http://schemas.openxmlformats.org/drawingml/2006/main">
          <a:off x="1726003" y="2325388"/>
          <a:ext cx="398963" cy="28454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10,4%</a:t>
          </a:r>
        </a:p>
      </cdr:txBody>
    </cdr:sp>
  </cdr:relSizeAnchor>
  <cdr:relSizeAnchor xmlns:cdr="http://schemas.openxmlformats.org/drawingml/2006/chartDrawing">
    <cdr:from>
      <cdr:x>0.66166</cdr:x>
      <cdr:y>0.77808</cdr:y>
    </cdr:from>
    <cdr:to>
      <cdr:x>0.78041</cdr:x>
      <cdr:y>0.87043</cdr:y>
    </cdr:to>
    <cdr:sp macro="" textlink="">
      <cdr:nvSpPr>
        <cdr:cNvPr id="8" name="TextBox 1"/>
        <cdr:cNvSpPr txBox="1"/>
      </cdr:nvSpPr>
      <cdr:spPr>
        <a:xfrm xmlns:a="http://schemas.openxmlformats.org/drawingml/2006/main">
          <a:off x="2568373" y="2397169"/>
          <a:ext cx="460954" cy="28451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6,9%</a:t>
          </a:r>
        </a:p>
      </cdr:txBody>
    </cdr:sp>
  </cdr:relSizeAnchor>
  <cdr:relSizeAnchor xmlns:cdr="http://schemas.openxmlformats.org/drawingml/2006/chartDrawing">
    <cdr:from>
      <cdr:x>0</cdr:x>
      <cdr:y>0.05546</cdr:y>
    </cdr:from>
    <cdr:to>
      <cdr:x>1</cdr:x>
      <cdr:y>0.26674</cdr:y>
    </cdr:to>
    <cdr:sp macro="" textlink="">
      <cdr:nvSpPr>
        <cdr:cNvPr id="9" name="TextBox 8"/>
        <cdr:cNvSpPr txBox="1"/>
      </cdr:nvSpPr>
      <cdr:spPr>
        <a:xfrm xmlns:a="http://schemas.openxmlformats.org/drawingml/2006/main">
          <a:off x="0" y="164147"/>
          <a:ext cx="3890645" cy="62533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200" b="1" u="none"/>
            <a:t>Pourcentage d’autodésignations</a:t>
          </a:r>
          <a:r>
            <a:rPr lang="en-US" sz="1200" b="1" u="none" baseline="0"/>
            <a:t> lorsque l'État d’origine est une “nouvelle” partie contractante </a:t>
          </a:r>
        </a:p>
      </cdr:txBody>
    </cdr:sp>
  </cdr:relSizeAnchor>
  <cdr:relSizeAnchor xmlns:cdr="http://schemas.openxmlformats.org/drawingml/2006/chartDrawing">
    <cdr:from>
      <cdr:x>0.71438</cdr:x>
      <cdr:y>0.81931</cdr:y>
    </cdr:from>
    <cdr:to>
      <cdr:x>0.81716</cdr:x>
      <cdr:y>0.89398</cdr:y>
    </cdr:to>
    <cdr:sp macro="" textlink="">
      <cdr:nvSpPr>
        <cdr:cNvPr id="10" name="TextBox 1"/>
        <cdr:cNvSpPr txBox="1"/>
      </cdr:nvSpPr>
      <cdr:spPr>
        <a:xfrm xmlns:a="http://schemas.openxmlformats.org/drawingml/2006/main">
          <a:off x="2773011" y="2524183"/>
          <a:ext cx="398963" cy="23004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0%</a:t>
          </a:r>
        </a:p>
      </cdr:txBody>
    </cdr:sp>
  </cdr:relSizeAnchor>
  <cdr:relSizeAnchor xmlns:cdr="http://schemas.openxmlformats.org/drawingml/2006/chartDrawing">
    <cdr:from>
      <cdr:x>0.59001</cdr:x>
      <cdr:y>0.71403</cdr:y>
    </cdr:from>
    <cdr:to>
      <cdr:x>0.69279</cdr:x>
      <cdr:y>0.79785</cdr:y>
    </cdr:to>
    <cdr:sp macro="" textlink="">
      <cdr:nvSpPr>
        <cdr:cNvPr id="11" name="TextBox 1"/>
        <cdr:cNvSpPr txBox="1"/>
      </cdr:nvSpPr>
      <cdr:spPr>
        <a:xfrm xmlns:a="http://schemas.openxmlformats.org/drawingml/2006/main">
          <a:off x="2290266" y="2199843"/>
          <a:ext cx="398963" cy="25823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17,2%</a:t>
          </a:r>
        </a:p>
      </cdr:txBody>
    </cdr:sp>
  </cdr:relSizeAnchor>
  <cdr:relSizeAnchor xmlns:cdr="http://schemas.openxmlformats.org/drawingml/2006/chartDrawing">
    <cdr:from>
      <cdr:x>0.19583</cdr:x>
      <cdr:y>0.86624</cdr:y>
    </cdr:from>
    <cdr:to>
      <cdr:x>0.30625</cdr:x>
      <cdr:y>1</cdr:y>
    </cdr:to>
    <cdr:sp macro="" textlink="">
      <cdr:nvSpPr>
        <cdr:cNvPr id="15" name="TextBox 4"/>
        <cdr:cNvSpPr txBox="1"/>
      </cdr:nvSpPr>
      <cdr:spPr>
        <a:xfrm xmlns:a="http://schemas.openxmlformats.org/drawingml/2006/main">
          <a:off x="895350" y="2590800"/>
          <a:ext cx="504825" cy="4000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0.19583</cdr:x>
      <cdr:y>0.86624</cdr:y>
    </cdr:from>
    <cdr:to>
      <cdr:x>0.30625</cdr:x>
      <cdr:y>1</cdr:y>
    </cdr:to>
    <cdr:sp macro="" textlink="">
      <cdr:nvSpPr>
        <cdr:cNvPr id="25" name="TextBox 4"/>
        <cdr:cNvSpPr txBox="1"/>
      </cdr:nvSpPr>
      <cdr:spPr>
        <a:xfrm xmlns:a="http://schemas.openxmlformats.org/drawingml/2006/main">
          <a:off x="895350" y="2590800"/>
          <a:ext cx="504825" cy="4000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0.19583</cdr:x>
      <cdr:y>0.86624</cdr:y>
    </cdr:from>
    <cdr:to>
      <cdr:x>0.30625</cdr:x>
      <cdr:y>1</cdr:y>
    </cdr:to>
    <cdr:sp macro="" textlink="">
      <cdr:nvSpPr>
        <cdr:cNvPr id="35" name="TextBox 4"/>
        <cdr:cNvSpPr txBox="1"/>
      </cdr:nvSpPr>
      <cdr:spPr>
        <a:xfrm xmlns:a="http://schemas.openxmlformats.org/drawingml/2006/main">
          <a:off x="895350" y="2590800"/>
          <a:ext cx="504825" cy="4000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0.49975</cdr:x>
      <cdr:y>0.81178</cdr:y>
    </cdr:from>
    <cdr:to>
      <cdr:x>0.60772</cdr:x>
      <cdr:y>0.89062</cdr:y>
    </cdr:to>
    <cdr:sp macro="" textlink="">
      <cdr:nvSpPr>
        <cdr:cNvPr id="42" name="TextBox 1"/>
        <cdr:cNvSpPr txBox="1"/>
      </cdr:nvSpPr>
      <cdr:spPr>
        <a:xfrm xmlns:a="http://schemas.openxmlformats.org/drawingml/2006/main">
          <a:off x="1939904" y="2500998"/>
          <a:ext cx="419109" cy="24289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1,3%</a:t>
          </a:r>
        </a:p>
      </cdr:txBody>
    </cdr:sp>
  </cdr:relSizeAnchor>
  <cdr:relSizeAnchor xmlns:cdr="http://schemas.openxmlformats.org/drawingml/2006/chartDrawing">
    <cdr:from>
      <cdr:x>0.28873</cdr:x>
      <cdr:y>0.79559</cdr:y>
    </cdr:from>
    <cdr:to>
      <cdr:x>0.38762</cdr:x>
      <cdr:y>0.88795</cdr:y>
    </cdr:to>
    <cdr:sp macro="" textlink="">
      <cdr:nvSpPr>
        <cdr:cNvPr id="18" name="TextBox 1"/>
        <cdr:cNvSpPr txBox="1"/>
      </cdr:nvSpPr>
      <cdr:spPr>
        <a:xfrm xmlns:a="http://schemas.openxmlformats.org/drawingml/2006/main">
          <a:off x="1120770" y="2451100"/>
          <a:ext cx="383861" cy="28454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0,8%</a:t>
          </a:r>
        </a:p>
      </cdr:txBody>
    </cdr:sp>
  </cdr:relSizeAnchor>
  <cdr:relSizeAnchor xmlns:cdr="http://schemas.openxmlformats.org/drawingml/2006/chartDrawing">
    <cdr:from>
      <cdr:x>0.21348</cdr:x>
      <cdr:y>0.89566</cdr:y>
    </cdr:from>
    <cdr:to>
      <cdr:x>0.33796</cdr:x>
      <cdr:y>0.99194</cdr:y>
    </cdr:to>
    <cdr:sp macro="" textlink="">
      <cdr:nvSpPr>
        <cdr:cNvPr id="19" name="TextBox 1"/>
        <cdr:cNvSpPr txBox="1"/>
      </cdr:nvSpPr>
      <cdr:spPr>
        <a:xfrm xmlns:a="http://schemas.openxmlformats.org/drawingml/2006/main">
          <a:off x="827313" y="2741394"/>
          <a:ext cx="482406" cy="29469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0"/>
            <a:t>2014</a:t>
          </a:r>
        </a:p>
      </cdr:txBody>
    </cdr:sp>
  </cdr:relSizeAnchor>
</c:userShapes>
</file>

<file path=word/drawings/drawing13.xml><?xml version="1.0" encoding="utf-8"?>
<c:userShapes xmlns:c="http://schemas.openxmlformats.org/drawingml/2006/chart">
  <cdr:relSizeAnchor xmlns:cdr="http://schemas.openxmlformats.org/drawingml/2006/chartDrawing">
    <cdr:from>
      <cdr:x>0.50963</cdr:x>
      <cdr:y>0.89526</cdr:y>
    </cdr:from>
    <cdr:to>
      <cdr:x>0.72419</cdr:x>
      <cdr:y>0.98909</cdr:y>
    </cdr:to>
    <cdr:sp macro="" textlink="">
      <cdr:nvSpPr>
        <cdr:cNvPr id="3"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0.06592</cdr:x>
      <cdr:y>0.86571</cdr:y>
    </cdr:from>
    <cdr:to>
      <cdr:x>0.875</cdr:x>
      <cdr:y>1</cdr:y>
    </cdr:to>
    <cdr:sp macro="" textlink="">
      <cdr:nvSpPr>
        <cdr:cNvPr id="16" name="TextBox 1"/>
        <cdr:cNvSpPr txBox="1"/>
      </cdr:nvSpPr>
      <cdr:spPr>
        <a:xfrm xmlns:a="http://schemas.openxmlformats.org/drawingml/2006/main">
          <a:off x="311432" y="2886075"/>
          <a:ext cx="3822418" cy="4476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en-US" sz="1000"/>
        </a:p>
      </cdr:txBody>
    </cdr:sp>
  </cdr:relSizeAnchor>
  <cdr:relSizeAnchor xmlns:cdr="http://schemas.openxmlformats.org/drawingml/2006/chartDrawing">
    <cdr:from>
      <cdr:x>0.51659</cdr:x>
      <cdr:y>0.89905</cdr:y>
    </cdr:from>
    <cdr:to>
      <cdr:x>0.73115</cdr:x>
      <cdr:y>0.99288</cdr:y>
    </cdr:to>
    <cdr:sp macro="" textlink="">
      <cdr:nvSpPr>
        <cdr:cNvPr id="17" name="TextBox 1"/>
        <cdr:cNvSpPr txBox="1"/>
      </cdr:nvSpPr>
      <cdr:spPr>
        <a:xfrm xmlns:a="http://schemas.openxmlformats.org/drawingml/2006/main">
          <a:off x="4156422" y="2659701"/>
          <a:ext cx="1726312" cy="27758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0.30003</cdr:x>
      <cdr:y>0.88239</cdr:y>
    </cdr:from>
    <cdr:to>
      <cdr:x>0.37395</cdr:x>
      <cdr:y>1</cdr:y>
    </cdr:to>
    <cdr:sp macro="" textlink="">
      <cdr:nvSpPr>
        <cdr:cNvPr id="2" name="TextBox 1"/>
        <cdr:cNvSpPr txBox="1"/>
      </cdr:nvSpPr>
      <cdr:spPr>
        <a:xfrm xmlns:a="http://schemas.openxmlformats.org/drawingml/2006/main">
          <a:off x="1820008" y="2110154"/>
          <a:ext cx="448408" cy="2812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0">
              <a:solidFill>
                <a:sysClr val="windowText" lastClr="000000"/>
              </a:solidFill>
            </a:rPr>
            <a:t>CH</a:t>
          </a:r>
        </a:p>
      </cdr:txBody>
    </cdr:sp>
  </cdr:relSizeAnchor>
  <cdr:relSizeAnchor xmlns:cdr="http://schemas.openxmlformats.org/drawingml/2006/chartDrawing">
    <cdr:from>
      <cdr:x>0.1203</cdr:x>
      <cdr:y>0.88239</cdr:y>
    </cdr:from>
    <cdr:to>
      <cdr:x>0.23405</cdr:x>
      <cdr:y>0.99781</cdr:y>
    </cdr:to>
    <cdr:sp macro="" textlink="">
      <cdr:nvSpPr>
        <cdr:cNvPr id="8" name="TextBox 7"/>
        <cdr:cNvSpPr txBox="1"/>
      </cdr:nvSpPr>
      <cdr:spPr>
        <a:xfrm xmlns:a="http://schemas.openxmlformats.org/drawingml/2006/main">
          <a:off x="729762" y="2110154"/>
          <a:ext cx="690022" cy="276019"/>
        </a:xfrm>
        <a:prstGeom xmlns:a="http://schemas.openxmlformats.org/drawingml/2006/main" prst="rect">
          <a:avLst/>
        </a:prstGeom>
        <a:noFill xmlns:a="http://schemas.openxmlformats.org/drawingml/2006/main"/>
      </cdr:spPr>
      <cdr:txBody>
        <a:bodyPr xmlns:a="http://schemas.openxmlformats.org/drawingml/2006/main" vertOverflow="clip" wrap="none" rtlCol="0"/>
        <a:lstStyle xmlns:a="http://schemas.openxmlformats.org/drawingml/2006/main"/>
        <a:p xmlns:a="http://schemas.openxmlformats.org/drawingml/2006/main">
          <a:r>
            <a:rPr lang="en-US" sz="1100" b="0">
              <a:solidFill>
                <a:sysClr val="windowText" lastClr="000000"/>
              </a:solidFill>
            </a:rPr>
            <a:t>EM</a:t>
          </a:r>
        </a:p>
      </cdr:txBody>
    </cdr:sp>
  </cdr:relSizeAnchor>
  <cdr:relSizeAnchor xmlns:cdr="http://schemas.openxmlformats.org/drawingml/2006/chartDrawing">
    <cdr:from>
      <cdr:x>0.49425</cdr:x>
      <cdr:y>0.87504</cdr:y>
    </cdr:from>
    <cdr:to>
      <cdr:x>0.58255</cdr:x>
      <cdr:y>1</cdr:y>
    </cdr:to>
    <cdr:sp macro="" textlink="">
      <cdr:nvSpPr>
        <cdr:cNvPr id="13" name="TextBox 1"/>
        <cdr:cNvSpPr txBox="1"/>
      </cdr:nvSpPr>
      <cdr:spPr>
        <a:xfrm xmlns:a="http://schemas.openxmlformats.org/drawingml/2006/main">
          <a:off x="2998176" y="2092569"/>
          <a:ext cx="535663" cy="2988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0">
              <a:solidFill>
                <a:sysClr val="windowText" lastClr="000000"/>
              </a:solidFill>
            </a:rPr>
            <a:t>US</a:t>
          </a:r>
        </a:p>
      </cdr:txBody>
    </cdr:sp>
  </cdr:relSizeAnchor>
  <cdr:relSizeAnchor xmlns:cdr="http://schemas.openxmlformats.org/drawingml/2006/chartDrawing">
    <cdr:from>
      <cdr:x>0.68267</cdr:x>
      <cdr:y>0.87504</cdr:y>
    </cdr:from>
    <cdr:to>
      <cdr:x>0.75071</cdr:x>
      <cdr:y>1</cdr:y>
    </cdr:to>
    <cdr:sp macro="" textlink="">
      <cdr:nvSpPr>
        <cdr:cNvPr id="14" name="TextBox 1"/>
        <cdr:cNvSpPr txBox="1"/>
      </cdr:nvSpPr>
      <cdr:spPr>
        <a:xfrm xmlns:a="http://schemas.openxmlformats.org/drawingml/2006/main">
          <a:off x="4141177" y="2092569"/>
          <a:ext cx="412746" cy="2988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0">
              <a:solidFill>
                <a:sysClr val="windowText" lastClr="000000"/>
              </a:solidFill>
            </a:rPr>
            <a:t>KR</a:t>
          </a:r>
        </a:p>
      </cdr:txBody>
    </cdr:sp>
  </cdr:relSizeAnchor>
  <cdr:relSizeAnchor xmlns:cdr="http://schemas.openxmlformats.org/drawingml/2006/chartDrawing">
    <cdr:from>
      <cdr:x>0.87646</cdr:x>
      <cdr:y>0.87504</cdr:y>
    </cdr:from>
    <cdr:to>
      <cdr:x>0.92721</cdr:x>
      <cdr:y>1</cdr:y>
    </cdr:to>
    <cdr:sp macro="" textlink="">
      <cdr:nvSpPr>
        <cdr:cNvPr id="20" name="TextBox 1"/>
        <cdr:cNvSpPr txBox="1"/>
      </cdr:nvSpPr>
      <cdr:spPr>
        <a:xfrm xmlns:a="http://schemas.openxmlformats.org/drawingml/2006/main">
          <a:off x="5316742" y="2092569"/>
          <a:ext cx="307858" cy="2988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0">
              <a:solidFill>
                <a:sysClr val="windowText" lastClr="000000"/>
              </a:solidFill>
            </a:rPr>
            <a:t>JP</a:t>
          </a:r>
        </a:p>
      </cdr:txBody>
    </cdr:sp>
  </cdr:relSizeAnchor>
  <cdr:relSizeAnchor xmlns:cdr="http://schemas.openxmlformats.org/drawingml/2006/chartDrawing">
    <cdr:from>
      <cdr:x>0.04878</cdr:x>
      <cdr:y>0.78312</cdr:y>
    </cdr:from>
    <cdr:to>
      <cdr:x>1</cdr:x>
      <cdr:y>0.8971</cdr:y>
    </cdr:to>
    <cdr:sp macro="" textlink="">
      <cdr:nvSpPr>
        <cdr:cNvPr id="6" name="TextBox 5"/>
        <cdr:cNvSpPr txBox="1"/>
      </cdr:nvSpPr>
      <cdr:spPr>
        <a:xfrm xmlns:a="http://schemas.openxmlformats.org/drawingml/2006/main">
          <a:off x="289775" y="1833476"/>
          <a:ext cx="5650650" cy="2668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2014  2015  </a:t>
          </a:r>
          <a:r>
            <a:rPr lang="en-US" sz="1000" baseline="0"/>
            <a:t>2016         2014 2015 2016          2014 2015  2016         2014  2015  2016          2014  2015  2016</a:t>
          </a:r>
          <a:endParaRPr lang="en-US" sz="1000"/>
        </a:p>
      </cdr:txBody>
    </cdr:sp>
  </cdr:relSizeAnchor>
  <cdr:relSizeAnchor xmlns:cdr="http://schemas.openxmlformats.org/drawingml/2006/chartDrawing">
    <cdr:from>
      <cdr:x>0.03768</cdr:x>
      <cdr:y>0.04563</cdr:y>
    </cdr:from>
    <cdr:to>
      <cdr:x>1</cdr:x>
      <cdr:y>0.16699</cdr:y>
    </cdr:to>
    <cdr:sp macro="" textlink="">
      <cdr:nvSpPr>
        <cdr:cNvPr id="4" name="TextBox 1"/>
        <cdr:cNvSpPr txBox="1"/>
      </cdr:nvSpPr>
      <cdr:spPr>
        <a:xfrm xmlns:a="http://schemas.openxmlformats.org/drawingml/2006/main">
          <a:off x="228600" y="109120"/>
          <a:ext cx="5837555" cy="29022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b="1" u="none"/>
            <a:t>Pourcentage d’autodésignations par partie contractante désignée</a:t>
          </a:r>
          <a:endParaRPr lang="en-US" sz="1200" b="1" u="none" baseline="0"/>
        </a:p>
      </cdr:txBody>
    </cdr:sp>
  </cdr:relSizeAnchor>
</c:userShapes>
</file>

<file path=word/drawings/drawing14.xml><?xml version="1.0" encoding="utf-8"?>
<c:userShapes xmlns:c="http://schemas.openxmlformats.org/drawingml/2006/chart">
  <cdr:relSizeAnchor xmlns:cdr="http://schemas.openxmlformats.org/drawingml/2006/chartDrawing">
    <cdr:from>
      <cdr:x>0.50963</cdr:x>
      <cdr:y>0.89526</cdr:y>
    </cdr:from>
    <cdr:to>
      <cdr:x>0.72419</cdr:x>
      <cdr:y>0.98909</cdr:y>
    </cdr:to>
    <cdr:sp macro="" textlink="">
      <cdr:nvSpPr>
        <cdr:cNvPr id="3"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cdr:x>
      <cdr:y>0.00653</cdr:y>
    </cdr:from>
    <cdr:to>
      <cdr:x>0.99973</cdr:x>
      <cdr:y>0.12553</cdr:y>
    </cdr:to>
    <cdr:sp macro="" textlink="">
      <cdr:nvSpPr>
        <cdr:cNvPr id="4" name="TextBox 1"/>
        <cdr:cNvSpPr txBox="1"/>
      </cdr:nvSpPr>
      <cdr:spPr>
        <a:xfrm xmlns:a="http://schemas.openxmlformats.org/drawingml/2006/main">
          <a:off x="0" y="19318"/>
          <a:ext cx="2646609" cy="35198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b="1" u="none"/>
            <a:t>Désignation</a:t>
          </a:r>
          <a:r>
            <a:rPr lang="en-US" sz="1200" b="1" u="none" baseline="0"/>
            <a:t> de la </a:t>
          </a:r>
          <a:r>
            <a:rPr lang="en-US" sz="1100">
              <a:effectLst/>
              <a:latin typeface="+mn-lt"/>
              <a:ea typeface="+mn-ea"/>
              <a:cs typeface="+mn-cs"/>
            </a:rPr>
            <a:t>“</a:t>
          </a:r>
          <a:r>
            <a:rPr lang="en-US" sz="1200" b="1" u="none"/>
            <a:t>famille géographique européenne</a:t>
          </a:r>
          <a:r>
            <a:rPr lang="en-US" sz="1100">
              <a:effectLst/>
              <a:latin typeface="+mn-lt"/>
              <a:ea typeface="+mn-ea"/>
              <a:cs typeface="+mn-cs"/>
            </a:rPr>
            <a:t>” </a:t>
          </a:r>
          <a:r>
            <a:rPr lang="en-US" sz="1200" b="1">
              <a:effectLst/>
              <a:latin typeface="+mn-lt"/>
              <a:ea typeface="+mn-ea"/>
              <a:cs typeface="+mn-cs"/>
            </a:rPr>
            <a:t>au</a:t>
          </a:r>
          <a:r>
            <a:rPr lang="en-US" sz="1200" b="1" baseline="0">
              <a:effectLst/>
              <a:latin typeface="+mn-lt"/>
              <a:ea typeface="+mn-ea"/>
              <a:cs typeface="+mn-cs"/>
            </a:rPr>
            <a:t> moins</a:t>
          </a:r>
          <a:endParaRPr lang="en-US" sz="1200" b="1" u="none" baseline="0"/>
        </a:p>
      </cdr:txBody>
    </cdr:sp>
  </cdr:relSizeAnchor>
  <cdr:relSizeAnchor xmlns:cdr="http://schemas.openxmlformats.org/drawingml/2006/chartDrawing">
    <cdr:from>
      <cdr:x>0.2194</cdr:x>
      <cdr:y>0.89088</cdr:y>
    </cdr:from>
    <cdr:to>
      <cdr:x>0.4284</cdr:x>
      <cdr:y>0.98911</cdr:y>
    </cdr:to>
    <cdr:sp macro="" textlink="">
      <cdr:nvSpPr>
        <cdr:cNvPr id="5" name="TextBox 1"/>
        <cdr:cNvSpPr txBox="1"/>
      </cdr:nvSpPr>
      <cdr:spPr>
        <a:xfrm xmlns:a="http://schemas.openxmlformats.org/drawingml/2006/main">
          <a:off x="580820" y="2635085"/>
          <a:ext cx="553289" cy="29054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900"/>
            <a:t>2014</a:t>
          </a:r>
        </a:p>
      </cdr:txBody>
    </cdr:sp>
  </cdr:relSizeAnchor>
  <cdr:relSizeAnchor xmlns:cdr="http://schemas.openxmlformats.org/drawingml/2006/chartDrawing">
    <cdr:from>
      <cdr:x>0.47384</cdr:x>
      <cdr:y>0.89491</cdr:y>
    </cdr:from>
    <cdr:to>
      <cdr:x>0.65105</cdr:x>
      <cdr:y>0.98911</cdr:y>
    </cdr:to>
    <cdr:sp macro="" textlink="">
      <cdr:nvSpPr>
        <cdr:cNvPr id="6" name="TextBox 1"/>
        <cdr:cNvSpPr txBox="1"/>
      </cdr:nvSpPr>
      <cdr:spPr>
        <a:xfrm xmlns:a="http://schemas.openxmlformats.org/drawingml/2006/main">
          <a:off x="1254405" y="2647006"/>
          <a:ext cx="469131" cy="27862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900"/>
            <a:t>2015</a:t>
          </a:r>
        </a:p>
      </cdr:txBody>
    </cdr:sp>
  </cdr:relSizeAnchor>
  <cdr:relSizeAnchor xmlns:cdr="http://schemas.openxmlformats.org/drawingml/2006/chartDrawing">
    <cdr:from>
      <cdr:x>0.6446</cdr:x>
      <cdr:y>0.89518</cdr:y>
    </cdr:from>
    <cdr:to>
      <cdr:x>0.99973</cdr:x>
      <cdr:y>1</cdr:y>
    </cdr:to>
    <cdr:sp macro="" textlink="">
      <cdr:nvSpPr>
        <cdr:cNvPr id="7" name="TextBox 1"/>
        <cdr:cNvSpPr txBox="1"/>
      </cdr:nvSpPr>
      <cdr:spPr>
        <a:xfrm xmlns:a="http://schemas.openxmlformats.org/drawingml/2006/main">
          <a:off x="1706451" y="2652100"/>
          <a:ext cx="940158" cy="3100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900"/>
            <a:t>janvier-mars 2016</a:t>
          </a:r>
        </a:p>
      </cdr:txBody>
    </cdr:sp>
  </cdr:relSizeAnchor>
  <cdr:relSizeAnchor xmlns:cdr="http://schemas.openxmlformats.org/drawingml/2006/chartDrawing">
    <cdr:from>
      <cdr:x>0.06592</cdr:x>
      <cdr:y>0.86571</cdr:y>
    </cdr:from>
    <cdr:to>
      <cdr:x>0.875</cdr:x>
      <cdr:y>1</cdr:y>
    </cdr:to>
    <cdr:sp macro="" textlink="">
      <cdr:nvSpPr>
        <cdr:cNvPr id="16" name="TextBox 1"/>
        <cdr:cNvSpPr txBox="1"/>
      </cdr:nvSpPr>
      <cdr:spPr>
        <a:xfrm xmlns:a="http://schemas.openxmlformats.org/drawingml/2006/main">
          <a:off x="311432" y="2886075"/>
          <a:ext cx="3822418" cy="4476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en-US" sz="1000"/>
        </a:p>
      </cdr:txBody>
    </cdr:sp>
  </cdr:relSizeAnchor>
  <cdr:relSizeAnchor xmlns:cdr="http://schemas.openxmlformats.org/drawingml/2006/chartDrawing">
    <cdr:from>
      <cdr:x>0.50963</cdr:x>
      <cdr:y>0.89526</cdr:y>
    </cdr:from>
    <cdr:to>
      <cdr:x>0.72419</cdr:x>
      <cdr:y>0.98909</cdr:y>
    </cdr:to>
    <cdr:sp macro="" textlink="">
      <cdr:nvSpPr>
        <cdr:cNvPr id="17"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userShapes>
</file>

<file path=word/drawings/drawing15.xml><?xml version="1.0" encoding="utf-8"?>
<c:userShapes xmlns:c="http://schemas.openxmlformats.org/drawingml/2006/chart">
  <cdr:relSizeAnchor xmlns:cdr="http://schemas.openxmlformats.org/drawingml/2006/chartDrawing">
    <cdr:from>
      <cdr:x>0.50963</cdr:x>
      <cdr:y>0.89526</cdr:y>
    </cdr:from>
    <cdr:to>
      <cdr:x>0.72419</cdr:x>
      <cdr:y>0.98909</cdr:y>
    </cdr:to>
    <cdr:sp macro="" textlink="">
      <cdr:nvSpPr>
        <cdr:cNvPr id="3"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cdr:x>
      <cdr:y>0</cdr:y>
    </cdr:from>
    <cdr:to>
      <cdr:x>1</cdr:x>
      <cdr:y>0.13891</cdr:y>
    </cdr:to>
    <cdr:sp macro="" textlink="">
      <cdr:nvSpPr>
        <cdr:cNvPr id="4" name="TextBox 1"/>
        <cdr:cNvSpPr txBox="1"/>
      </cdr:nvSpPr>
      <cdr:spPr>
        <a:xfrm xmlns:a="http://schemas.openxmlformats.org/drawingml/2006/main">
          <a:off x="0" y="0"/>
          <a:ext cx="2743200" cy="40866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b="1" u="none"/>
            <a:t>Nombre moyen</a:t>
          </a:r>
          <a:r>
            <a:rPr lang="en-US" sz="1200" b="1" u="none" baseline="0"/>
            <a:t> de dessins et modèles lorsque au moins la </a:t>
          </a:r>
          <a:r>
            <a:rPr lang="en-US" sz="1100">
              <a:effectLst/>
              <a:latin typeface="+mn-lt"/>
              <a:ea typeface="+mn-ea"/>
              <a:cs typeface="+mn-cs"/>
            </a:rPr>
            <a:t>“</a:t>
          </a:r>
          <a:r>
            <a:rPr lang="en-US" sz="1200" b="1" u="none">
              <a:effectLst/>
              <a:latin typeface="+mn-lt"/>
              <a:ea typeface="+mn-ea"/>
              <a:cs typeface="+mn-cs"/>
            </a:rPr>
            <a:t>famille</a:t>
          </a:r>
          <a:r>
            <a:rPr lang="en-US" sz="1200" b="1" u="none" baseline="0">
              <a:effectLst/>
              <a:latin typeface="+mn-lt"/>
              <a:ea typeface="+mn-ea"/>
              <a:cs typeface="+mn-cs"/>
            </a:rPr>
            <a:t> géographique européenne</a:t>
          </a:r>
          <a:r>
            <a:rPr lang="en-US" sz="1100">
              <a:effectLst/>
              <a:latin typeface="+mn-lt"/>
              <a:ea typeface="+mn-ea"/>
              <a:cs typeface="+mn-cs"/>
            </a:rPr>
            <a:t>”</a:t>
          </a:r>
          <a:r>
            <a:rPr lang="en-US" sz="1200" b="1" u="none" baseline="0"/>
            <a:t> est désignée</a:t>
          </a:r>
        </a:p>
      </cdr:txBody>
    </cdr:sp>
  </cdr:relSizeAnchor>
  <cdr:relSizeAnchor xmlns:cdr="http://schemas.openxmlformats.org/drawingml/2006/chartDrawing">
    <cdr:from>
      <cdr:x>0.14247</cdr:x>
      <cdr:y>0.88583</cdr:y>
    </cdr:from>
    <cdr:to>
      <cdr:x>0.38161</cdr:x>
      <cdr:y>1</cdr:y>
    </cdr:to>
    <cdr:sp macro="" textlink="">
      <cdr:nvSpPr>
        <cdr:cNvPr id="5" name="TextBox 1"/>
        <cdr:cNvSpPr txBox="1"/>
      </cdr:nvSpPr>
      <cdr:spPr>
        <a:xfrm xmlns:a="http://schemas.openxmlformats.org/drawingml/2006/main">
          <a:off x="567462" y="2523307"/>
          <a:ext cx="952521" cy="3252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2014</a:t>
          </a:r>
        </a:p>
      </cdr:txBody>
    </cdr:sp>
  </cdr:relSizeAnchor>
  <cdr:relSizeAnchor xmlns:cdr="http://schemas.openxmlformats.org/drawingml/2006/chartDrawing">
    <cdr:from>
      <cdr:x>0.40147</cdr:x>
      <cdr:y>0.88583</cdr:y>
    </cdr:from>
    <cdr:to>
      <cdr:x>0.62075</cdr:x>
      <cdr:y>0.99987</cdr:y>
    </cdr:to>
    <cdr:sp macro="" textlink="">
      <cdr:nvSpPr>
        <cdr:cNvPr id="6" name="TextBox 1"/>
        <cdr:cNvSpPr txBox="1"/>
      </cdr:nvSpPr>
      <cdr:spPr>
        <a:xfrm xmlns:a="http://schemas.openxmlformats.org/drawingml/2006/main">
          <a:off x="1599069" y="2523307"/>
          <a:ext cx="873415" cy="32484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2015</a:t>
          </a:r>
        </a:p>
      </cdr:txBody>
    </cdr:sp>
  </cdr:relSizeAnchor>
  <cdr:relSizeAnchor xmlns:cdr="http://schemas.openxmlformats.org/drawingml/2006/chartDrawing">
    <cdr:from>
      <cdr:x>0.57969</cdr:x>
      <cdr:y>0.8727</cdr:y>
    </cdr:from>
    <cdr:to>
      <cdr:x>0.9416</cdr:x>
      <cdr:y>0.98687</cdr:y>
    </cdr:to>
    <cdr:sp macro="" textlink="">
      <cdr:nvSpPr>
        <cdr:cNvPr id="7" name="TextBox 1"/>
        <cdr:cNvSpPr txBox="1"/>
      </cdr:nvSpPr>
      <cdr:spPr>
        <a:xfrm xmlns:a="http://schemas.openxmlformats.org/drawingml/2006/main">
          <a:off x="1590202" y="2567435"/>
          <a:ext cx="992791" cy="3358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janvier-mars 2016</a:t>
          </a:r>
        </a:p>
      </cdr:txBody>
    </cdr:sp>
  </cdr:relSizeAnchor>
  <cdr:relSizeAnchor xmlns:cdr="http://schemas.openxmlformats.org/drawingml/2006/chartDrawing">
    <cdr:from>
      <cdr:x>0.06592</cdr:x>
      <cdr:y>0.86571</cdr:y>
    </cdr:from>
    <cdr:to>
      <cdr:x>0.875</cdr:x>
      <cdr:y>1</cdr:y>
    </cdr:to>
    <cdr:sp macro="" textlink="">
      <cdr:nvSpPr>
        <cdr:cNvPr id="16" name="TextBox 1"/>
        <cdr:cNvSpPr txBox="1"/>
      </cdr:nvSpPr>
      <cdr:spPr>
        <a:xfrm xmlns:a="http://schemas.openxmlformats.org/drawingml/2006/main">
          <a:off x="311432" y="2886075"/>
          <a:ext cx="3822418" cy="4476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en-US" sz="1000"/>
        </a:p>
      </cdr:txBody>
    </cdr:sp>
  </cdr:relSizeAnchor>
  <cdr:relSizeAnchor xmlns:cdr="http://schemas.openxmlformats.org/drawingml/2006/chartDrawing">
    <cdr:from>
      <cdr:x>0.50963</cdr:x>
      <cdr:y>0.89526</cdr:y>
    </cdr:from>
    <cdr:to>
      <cdr:x>0.72419</cdr:x>
      <cdr:y>0.98909</cdr:y>
    </cdr:to>
    <cdr:sp macro="" textlink="">
      <cdr:nvSpPr>
        <cdr:cNvPr id="17"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userShapes>
</file>

<file path=word/drawings/drawing16.xml><?xml version="1.0" encoding="utf-8"?>
<c:userShapes xmlns:c="http://schemas.openxmlformats.org/drawingml/2006/chart">
  <cdr:relSizeAnchor xmlns:cdr="http://schemas.openxmlformats.org/drawingml/2006/chartDrawing">
    <cdr:from>
      <cdr:x>0.50963</cdr:x>
      <cdr:y>0.89526</cdr:y>
    </cdr:from>
    <cdr:to>
      <cdr:x>0.72419</cdr:x>
      <cdr:y>0.98909</cdr:y>
    </cdr:to>
    <cdr:sp macro="" textlink="">
      <cdr:nvSpPr>
        <cdr:cNvPr id="3"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cdr:x>
      <cdr:y>0</cdr:y>
    </cdr:from>
    <cdr:to>
      <cdr:x>0.98947</cdr:x>
      <cdr:y>0.09354</cdr:y>
    </cdr:to>
    <cdr:sp macro="" textlink="">
      <cdr:nvSpPr>
        <cdr:cNvPr id="4" name="TextBox 1"/>
        <cdr:cNvSpPr txBox="1"/>
      </cdr:nvSpPr>
      <cdr:spPr>
        <a:xfrm xmlns:a="http://schemas.openxmlformats.org/drawingml/2006/main">
          <a:off x="0" y="0"/>
          <a:ext cx="3934495" cy="26729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b="1" u="none"/>
            <a:t>Pourcentage de revendications de priorité lorsque </a:t>
          </a:r>
          <a:br>
            <a:rPr lang="en-US" sz="1200" b="1" u="none"/>
          </a:br>
          <a:r>
            <a:rPr lang="en-US" sz="1200" b="1" u="none"/>
            <a:t>au</a:t>
          </a:r>
          <a:r>
            <a:rPr lang="en-US" sz="1200" b="1" u="none" baseline="0"/>
            <a:t> moins </a:t>
          </a:r>
          <a:r>
            <a:rPr lang="en-US" sz="1200" b="1" u="none"/>
            <a:t>la </a:t>
          </a:r>
          <a:r>
            <a:rPr lang="en-US" sz="1100">
              <a:effectLst/>
              <a:latin typeface="+mn-lt"/>
              <a:ea typeface="+mn-ea"/>
              <a:cs typeface="+mn-cs"/>
            </a:rPr>
            <a:t>“</a:t>
          </a:r>
          <a:r>
            <a:rPr lang="en-US" sz="1200" b="1" u="none"/>
            <a:t>famille géographique européenne</a:t>
          </a:r>
          <a:r>
            <a:rPr lang="en-US" sz="1100">
              <a:effectLst/>
              <a:latin typeface="+mn-lt"/>
              <a:ea typeface="+mn-ea"/>
              <a:cs typeface="+mn-cs"/>
            </a:rPr>
            <a:t>”</a:t>
          </a:r>
          <a:r>
            <a:rPr lang="en-US" sz="1200" b="1" u="none" baseline="0"/>
            <a:t> </a:t>
          </a:r>
          <a:br>
            <a:rPr lang="en-US" sz="1200" b="1" u="none" baseline="0"/>
          </a:br>
          <a:r>
            <a:rPr lang="en-US" sz="1200" b="1" u="none" baseline="0"/>
            <a:t>est désignée</a:t>
          </a:r>
        </a:p>
      </cdr:txBody>
    </cdr:sp>
  </cdr:relSizeAnchor>
  <cdr:relSizeAnchor xmlns:cdr="http://schemas.openxmlformats.org/drawingml/2006/chartDrawing">
    <cdr:from>
      <cdr:x>0.18507</cdr:x>
      <cdr:y>0.89326</cdr:y>
    </cdr:from>
    <cdr:to>
      <cdr:x>0.35444</cdr:x>
      <cdr:y>0.99925</cdr:y>
    </cdr:to>
    <cdr:sp macro="" textlink="">
      <cdr:nvSpPr>
        <cdr:cNvPr id="5" name="TextBox 1"/>
        <cdr:cNvSpPr txBox="1"/>
      </cdr:nvSpPr>
      <cdr:spPr>
        <a:xfrm xmlns:a="http://schemas.openxmlformats.org/drawingml/2006/main">
          <a:off x="735926" y="2552478"/>
          <a:ext cx="673478" cy="30286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2014</a:t>
          </a:r>
        </a:p>
      </cdr:txBody>
    </cdr:sp>
  </cdr:relSizeAnchor>
  <cdr:relSizeAnchor xmlns:cdr="http://schemas.openxmlformats.org/drawingml/2006/chartDrawing">
    <cdr:from>
      <cdr:x>0.39917</cdr:x>
      <cdr:y>0.89603</cdr:y>
    </cdr:from>
    <cdr:to>
      <cdr:x>0.61819</cdr:x>
      <cdr:y>0.99925</cdr:y>
    </cdr:to>
    <cdr:sp macro="" textlink="">
      <cdr:nvSpPr>
        <cdr:cNvPr id="6" name="TextBox 1"/>
        <cdr:cNvSpPr txBox="1"/>
      </cdr:nvSpPr>
      <cdr:spPr>
        <a:xfrm xmlns:a="http://schemas.openxmlformats.org/drawingml/2006/main">
          <a:off x="1587261" y="2560393"/>
          <a:ext cx="870906" cy="29495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2015</a:t>
          </a:r>
        </a:p>
      </cdr:txBody>
    </cdr:sp>
  </cdr:relSizeAnchor>
  <cdr:relSizeAnchor xmlns:cdr="http://schemas.openxmlformats.org/drawingml/2006/chartDrawing">
    <cdr:from>
      <cdr:x>0.60906</cdr:x>
      <cdr:y>0.87771</cdr:y>
    </cdr:from>
    <cdr:to>
      <cdr:x>0.88097</cdr:x>
      <cdr:y>0.98648</cdr:y>
    </cdr:to>
    <cdr:sp macro="" textlink="">
      <cdr:nvSpPr>
        <cdr:cNvPr id="7" name="TextBox 1"/>
        <cdr:cNvSpPr txBox="1"/>
      </cdr:nvSpPr>
      <cdr:spPr>
        <a:xfrm xmlns:a="http://schemas.openxmlformats.org/drawingml/2006/main">
          <a:off x="2421856" y="2508054"/>
          <a:ext cx="1081215" cy="31081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janvier-mars 2016</a:t>
          </a:r>
        </a:p>
      </cdr:txBody>
    </cdr:sp>
  </cdr:relSizeAnchor>
  <cdr:relSizeAnchor xmlns:cdr="http://schemas.openxmlformats.org/drawingml/2006/chartDrawing">
    <cdr:from>
      <cdr:x>0.06592</cdr:x>
      <cdr:y>0.86571</cdr:y>
    </cdr:from>
    <cdr:to>
      <cdr:x>0.875</cdr:x>
      <cdr:y>1</cdr:y>
    </cdr:to>
    <cdr:sp macro="" textlink="">
      <cdr:nvSpPr>
        <cdr:cNvPr id="16" name="TextBox 1"/>
        <cdr:cNvSpPr txBox="1"/>
      </cdr:nvSpPr>
      <cdr:spPr>
        <a:xfrm xmlns:a="http://schemas.openxmlformats.org/drawingml/2006/main">
          <a:off x="311432" y="2886075"/>
          <a:ext cx="3822418" cy="4476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en-US" sz="1000"/>
        </a:p>
      </cdr:txBody>
    </cdr:sp>
  </cdr:relSizeAnchor>
  <cdr:relSizeAnchor xmlns:cdr="http://schemas.openxmlformats.org/drawingml/2006/chartDrawing">
    <cdr:from>
      <cdr:x>0.50963</cdr:x>
      <cdr:y>0.89526</cdr:y>
    </cdr:from>
    <cdr:to>
      <cdr:x>0.72419</cdr:x>
      <cdr:y>0.98909</cdr:y>
    </cdr:to>
    <cdr:sp macro="" textlink="">
      <cdr:nvSpPr>
        <cdr:cNvPr id="17"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0.19846</cdr:x>
      <cdr:y>0.69723</cdr:y>
    </cdr:from>
    <cdr:to>
      <cdr:x>0.33781</cdr:x>
      <cdr:y>0.80255</cdr:y>
    </cdr:to>
    <cdr:sp macro="" textlink="">
      <cdr:nvSpPr>
        <cdr:cNvPr id="2" name="TextBox 1"/>
        <cdr:cNvSpPr txBox="1"/>
      </cdr:nvSpPr>
      <cdr:spPr>
        <a:xfrm xmlns:a="http://schemas.openxmlformats.org/drawingml/2006/main">
          <a:off x="789285" y="1992329"/>
          <a:ext cx="554190" cy="3009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13,3%</a:t>
          </a:r>
        </a:p>
      </cdr:txBody>
    </cdr:sp>
  </cdr:relSizeAnchor>
  <cdr:relSizeAnchor xmlns:cdr="http://schemas.openxmlformats.org/drawingml/2006/chartDrawing">
    <cdr:from>
      <cdr:x>0.41954</cdr:x>
      <cdr:y>0.70001</cdr:y>
    </cdr:from>
    <cdr:to>
      <cdr:x>0.55888</cdr:x>
      <cdr:y>0.80021</cdr:y>
    </cdr:to>
    <cdr:sp macro="" textlink="">
      <cdr:nvSpPr>
        <cdr:cNvPr id="10" name="TextBox 1"/>
        <cdr:cNvSpPr txBox="1"/>
      </cdr:nvSpPr>
      <cdr:spPr>
        <a:xfrm xmlns:a="http://schemas.openxmlformats.org/drawingml/2006/main">
          <a:off x="1668490" y="2000267"/>
          <a:ext cx="554151" cy="28632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12,8%</a:t>
          </a:r>
        </a:p>
      </cdr:txBody>
    </cdr:sp>
  </cdr:relSizeAnchor>
  <cdr:relSizeAnchor xmlns:cdr="http://schemas.openxmlformats.org/drawingml/2006/chartDrawing">
    <cdr:from>
      <cdr:x>0.64558</cdr:x>
      <cdr:y>0.69069</cdr:y>
    </cdr:from>
    <cdr:to>
      <cdr:x>0.78492</cdr:x>
      <cdr:y>0.8007</cdr:y>
    </cdr:to>
    <cdr:sp macro="" textlink="">
      <cdr:nvSpPr>
        <cdr:cNvPr id="11" name="TextBox 1"/>
        <cdr:cNvSpPr txBox="1"/>
      </cdr:nvSpPr>
      <cdr:spPr>
        <a:xfrm xmlns:a="http://schemas.openxmlformats.org/drawingml/2006/main">
          <a:off x="2567434" y="1973641"/>
          <a:ext cx="554151" cy="3143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14,5%</a:t>
          </a:r>
        </a:p>
      </cdr:txBody>
    </cdr:sp>
  </cdr:relSizeAnchor>
</c:userShapes>
</file>

<file path=word/drawings/drawing17.xml><?xml version="1.0" encoding="utf-8"?>
<c:userShapes xmlns:c="http://schemas.openxmlformats.org/drawingml/2006/chart">
  <cdr:relSizeAnchor xmlns:cdr="http://schemas.openxmlformats.org/drawingml/2006/chartDrawing">
    <cdr:from>
      <cdr:x>0.50963</cdr:x>
      <cdr:y>0.89526</cdr:y>
    </cdr:from>
    <cdr:to>
      <cdr:x>0.72419</cdr:x>
      <cdr:y>0.98909</cdr:y>
    </cdr:to>
    <cdr:sp macro="" textlink="">
      <cdr:nvSpPr>
        <cdr:cNvPr id="3"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cdr:x>
      <cdr:y>0</cdr:y>
    </cdr:from>
    <cdr:to>
      <cdr:x>1</cdr:x>
      <cdr:y>0.12136</cdr:y>
    </cdr:to>
    <cdr:sp macro="" textlink="">
      <cdr:nvSpPr>
        <cdr:cNvPr id="4" name="TextBox 1"/>
        <cdr:cNvSpPr txBox="1"/>
      </cdr:nvSpPr>
      <cdr:spPr>
        <a:xfrm xmlns:a="http://schemas.openxmlformats.org/drawingml/2006/main">
          <a:off x="0" y="0"/>
          <a:ext cx="2691130" cy="35279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b="1" u="none"/>
            <a:t>Désignation de</a:t>
          </a:r>
          <a:r>
            <a:rPr lang="en-US" sz="1200" b="1" u="none" baseline="0"/>
            <a:t> la</a:t>
          </a:r>
          <a:endParaRPr lang="en-US" sz="1200" b="1" u="none"/>
        </a:p>
        <a:p xmlns:a="http://schemas.openxmlformats.org/drawingml/2006/main">
          <a:pPr algn="ctr"/>
          <a:r>
            <a:rPr lang="en-US" sz="1100">
              <a:effectLst/>
              <a:latin typeface="+mn-lt"/>
              <a:ea typeface="+mn-ea"/>
              <a:cs typeface="+mn-cs"/>
            </a:rPr>
            <a:t>“</a:t>
          </a:r>
          <a:r>
            <a:rPr lang="en-US" sz="1200" b="1" u="none">
              <a:effectLst/>
              <a:latin typeface="+mn-lt"/>
              <a:ea typeface="+mn-ea"/>
              <a:cs typeface="+mn-cs"/>
            </a:rPr>
            <a:t>famille</a:t>
          </a:r>
          <a:r>
            <a:rPr lang="en-US" sz="1200" b="1" u="none" baseline="0">
              <a:effectLst/>
              <a:latin typeface="+mn-lt"/>
              <a:ea typeface="+mn-ea"/>
              <a:cs typeface="+mn-cs"/>
            </a:rPr>
            <a:t> américano-asiatique</a:t>
          </a:r>
          <a:r>
            <a:rPr lang="en-US" sz="1100">
              <a:effectLst/>
              <a:latin typeface="+mn-lt"/>
              <a:ea typeface="+mn-ea"/>
              <a:cs typeface="+mn-cs"/>
            </a:rPr>
            <a:t>” </a:t>
          </a:r>
          <a:r>
            <a:rPr lang="en-US" sz="1200" b="1">
              <a:effectLst/>
              <a:latin typeface="+mn-lt"/>
              <a:ea typeface="+mn-ea"/>
              <a:cs typeface="+mn-cs"/>
            </a:rPr>
            <a:t>au</a:t>
          </a:r>
          <a:r>
            <a:rPr lang="en-US" sz="1200" b="1" baseline="0">
              <a:effectLst/>
              <a:latin typeface="+mn-lt"/>
              <a:ea typeface="+mn-ea"/>
              <a:cs typeface="+mn-cs"/>
            </a:rPr>
            <a:t> moins</a:t>
          </a:r>
          <a:endParaRPr lang="en-US" sz="1200" b="1" u="none" baseline="0"/>
        </a:p>
      </cdr:txBody>
    </cdr:sp>
  </cdr:relSizeAnchor>
  <cdr:relSizeAnchor xmlns:cdr="http://schemas.openxmlformats.org/drawingml/2006/chartDrawing">
    <cdr:from>
      <cdr:x>0.28308</cdr:x>
      <cdr:y>0.89097</cdr:y>
    </cdr:from>
    <cdr:to>
      <cdr:x>0.50601</cdr:x>
      <cdr:y>0.99597</cdr:y>
    </cdr:to>
    <cdr:sp macro="" textlink="">
      <cdr:nvSpPr>
        <cdr:cNvPr id="6" name="TextBox 1"/>
        <cdr:cNvSpPr txBox="1"/>
      </cdr:nvSpPr>
      <cdr:spPr>
        <a:xfrm xmlns:a="http://schemas.openxmlformats.org/drawingml/2006/main">
          <a:off x="715618" y="2607049"/>
          <a:ext cx="563541" cy="3072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2015</a:t>
          </a:r>
        </a:p>
      </cdr:txBody>
    </cdr:sp>
  </cdr:relSizeAnchor>
  <cdr:relSizeAnchor xmlns:cdr="http://schemas.openxmlformats.org/drawingml/2006/chartDrawing">
    <cdr:from>
      <cdr:x>0.53785</cdr:x>
      <cdr:y>0.89097</cdr:y>
    </cdr:from>
    <cdr:to>
      <cdr:x>1</cdr:x>
      <cdr:y>0.9922</cdr:y>
    </cdr:to>
    <cdr:sp macro="" textlink="">
      <cdr:nvSpPr>
        <cdr:cNvPr id="7" name="TextBox 1"/>
        <cdr:cNvSpPr txBox="1"/>
      </cdr:nvSpPr>
      <cdr:spPr>
        <a:xfrm xmlns:a="http://schemas.openxmlformats.org/drawingml/2006/main">
          <a:off x="1415333" y="2635337"/>
          <a:ext cx="1216107" cy="29942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janvier-mars 2016</a:t>
          </a:r>
        </a:p>
      </cdr:txBody>
    </cdr:sp>
  </cdr:relSizeAnchor>
  <cdr:relSizeAnchor xmlns:cdr="http://schemas.openxmlformats.org/drawingml/2006/chartDrawing">
    <cdr:from>
      <cdr:x>0.06592</cdr:x>
      <cdr:y>0.86571</cdr:y>
    </cdr:from>
    <cdr:to>
      <cdr:x>0.875</cdr:x>
      <cdr:y>1</cdr:y>
    </cdr:to>
    <cdr:sp macro="" textlink="">
      <cdr:nvSpPr>
        <cdr:cNvPr id="16" name="TextBox 1"/>
        <cdr:cNvSpPr txBox="1"/>
      </cdr:nvSpPr>
      <cdr:spPr>
        <a:xfrm xmlns:a="http://schemas.openxmlformats.org/drawingml/2006/main">
          <a:off x="311432" y="2886075"/>
          <a:ext cx="3822418" cy="4476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en-US" sz="1000"/>
        </a:p>
      </cdr:txBody>
    </cdr:sp>
  </cdr:relSizeAnchor>
  <cdr:relSizeAnchor xmlns:cdr="http://schemas.openxmlformats.org/drawingml/2006/chartDrawing">
    <cdr:from>
      <cdr:x>0.50963</cdr:x>
      <cdr:y>0.89526</cdr:y>
    </cdr:from>
    <cdr:to>
      <cdr:x>0.89643</cdr:x>
      <cdr:y>0.98909</cdr:y>
    </cdr:to>
    <cdr:sp macro="" textlink="">
      <cdr:nvSpPr>
        <cdr:cNvPr id="17" name="TextBox 1"/>
        <cdr:cNvSpPr txBox="1"/>
      </cdr:nvSpPr>
      <cdr:spPr>
        <a:xfrm xmlns:a="http://schemas.openxmlformats.org/drawingml/2006/main">
          <a:off x="1288312" y="2619602"/>
          <a:ext cx="977810" cy="2745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userShapes>
</file>

<file path=word/drawings/drawing18.xml><?xml version="1.0" encoding="utf-8"?>
<c:userShapes xmlns:c="http://schemas.openxmlformats.org/drawingml/2006/chart">
  <cdr:relSizeAnchor xmlns:cdr="http://schemas.openxmlformats.org/drawingml/2006/chartDrawing">
    <cdr:from>
      <cdr:x>0.50963</cdr:x>
      <cdr:y>0.89526</cdr:y>
    </cdr:from>
    <cdr:to>
      <cdr:x>0.72419</cdr:x>
      <cdr:y>0.98909</cdr:y>
    </cdr:to>
    <cdr:sp macro="" textlink="">
      <cdr:nvSpPr>
        <cdr:cNvPr id="3"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0.05939</cdr:x>
      <cdr:y>0</cdr:y>
    </cdr:from>
    <cdr:to>
      <cdr:x>0.97779</cdr:x>
      <cdr:y>0.12136</cdr:y>
    </cdr:to>
    <cdr:sp macro="" textlink="">
      <cdr:nvSpPr>
        <cdr:cNvPr id="4" name="TextBox 1"/>
        <cdr:cNvSpPr txBox="1"/>
      </cdr:nvSpPr>
      <cdr:spPr>
        <a:xfrm xmlns:a="http://schemas.openxmlformats.org/drawingml/2006/main">
          <a:off x="165445" y="0"/>
          <a:ext cx="2558429" cy="35379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b="1" u="none"/>
            <a:t>Nombre moyen de dessins et modèles lorsque au moins la </a:t>
          </a:r>
          <a:r>
            <a:rPr lang="en-US" sz="1100">
              <a:effectLst/>
              <a:latin typeface="+mn-lt"/>
              <a:ea typeface="+mn-ea"/>
              <a:cs typeface="+mn-cs"/>
            </a:rPr>
            <a:t>“</a:t>
          </a:r>
          <a:r>
            <a:rPr lang="en-US" sz="1200" b="1" u="none">
              <a:effectLst/>
              <a:latin typeface="+mn-lt"/>
              <a:ea typeface="+mn-ea"/>
              <a:cs typeface="+mn-cs"/>
            </a:rPr>
            <a:t>famille</a:t>
          </a:r>
          <a:r>
            <a:rPr lang="en-US" sz="1200" b="1" u="none" baseline="0">
              <a:effectLst/>
              <a:latin typeface="+mn-lt"/>
              <a:ea typeface="+mn-ea"/>
              <a:cs typeface="+mn-cs"/>
            </a:rPr>
            <a:t> américano-asiatique</a:t>
          </a:r>
          <a:r>
            <a:rPr lang="en-US" sz="1100">
              <a:effectLst/>
              <a:latin typeface="+mn-lt"/>
              <a:ea typeface="+mn-ea"/>
              <a:cs typeface="+mn-cs"/>
            </a:rPr>
            <a:t>”</a:t>
          </a:r>
          <a:r>
            <a:rPr lang="en-US" sz="1200" b="1" u="none" baseline="0"/>
            <a:t> est désignée</a:t>
          </a:r>
        </a:p>
      </cdr:txBody>
    </cdr:sp>
  </cdr:relSizeAnchor>
  <cdr:relSizeAnchor xmlns:cdr="http://schemas.openxmlformats.org/drawingml/2006/chartDrawing">
    <cdr:from>
      <cdr:x>0.20709</cdr:x>
      <cdr:y>0.87323</cdr:y>
    </cdr:from>
    <cdr:to>
      <cdr:x>0.45299</cdr:x>
      <cdr:y>0.99588</cdr:y>
    </cdr:to>
    <cdr:sp macro="" textlink="">
      <cdr:nvSpPr>
        <cdr:cNvPr id="6" name="TextBox 1"/>
        <cdr:cNvSpPr txBox="1"/>
      </cdr:nvSpPr>
      <cdr:spPr>
        <a:xfrm xmlns:a="http://schemas.openxmlformats.org/drawingml/2006/main">
          <a:off x="824846" y="2483457"/>
          <a:ext cx="979430" cy="3488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2015</a:t>
          </a:r>
        </a:p>
      </cdr:txBody>
    </cdr:sp>
  </cdr:relSizeAnchor>
  <cdr:relSizeAnchor xmlns:cdr="http://schemas.openxmlformats.org/drawingml/2006/chartDrawing">
    <cdr:from>
      <cdr:x>0.49408</cdr:x>
      <cdr:y>0.8699</cdr:y>
    </cdr:from>
    <cdr:to>
      <cdr:x>0.90382</cdr:x>
      <cdr:y>0.9984</cdr:y>
    </cdr:to>
    <cdr:sp macro="" textlink="">
      <cdr:nvSpPr>
        <cdr:cNvPr id="7" name="TextBox 1"/>
        <cdr:cNvSpPr txBox="1"/>
      </cdr:nvSpPr>
      <cdr:spPr>
        <a:xfrm xmlns:a="http://schemas.openxmlformats.org/drawingml/2006/main">
          <a:off x="1376376" y="2536011"/>
          <a:ext cx="1141444" cy="37461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janvier-mars 2016</a:t>
          </a:r>
        </a:p>
      </cdr:txBody>
    </cdr:sp>
  </cdr:relSizeAnchor>
  <cdr:relSizeAnchor xmlns:cdr="http://schemas.openxmlformats.org/drawingml/2006/chartDrawing">
    <cdr:from>
      <cdr:x>0.06592</cdr:x>
      <cdr:y>0.86571</cdr:y>
    </cdr:from>
    <cdr:to>
      <cdr:x>0.875</cdr:x>
      <cdr:y>1</cdr:y>
    </cdr:to>
    <cdr:sp macro="" textlink="">
      <cdr:nvSpPr>
        <cdr:cNvPr id="16" name="TextBox 1"/>
        <cdr:cNvSpPr txBox="1"/>
      </cdr:nvSpPr>
      <cdr:spPr>
        <a:xfrm xmlns:a="http://schemas.openxmlformats.org/drawingml/2006/main">
          <a:off x="311432" y="2886075"/>
          <a:ext cx="3822418" cy="4476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en-US" sz="1000"/>
        </a:p>
      </cdr:txBody>
    </cdr:sp>
  </cdr:relSizeAnchor>
  <cdr:relSizeAnchor xmlns:cdr="http://schemas.openxmlformats.org/drawingml/2006/chartDrawing">
    <cdr:from>
      <cdr:x>0.50963</cdr:x>
      <cdr:y>0.89526</cdr:y>
    </cdr:from>
    <cdr:to>
      <cdr:x>0.72419</cdr:x>
      <cdr:y>0.98909</cdr:y>
    </cdr:to>
    <cdr:sp macro="" textlink="">
      <cdr:nvSpPr>
        <cdr:cNvPr id="17"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userShapes>
</file>

<file path=word/drawings/drawing19.xml><?xml version="1.0" encoding="utf-8"?>
<c:userShapes xmlns:c="http://schemas.openxmlformats.org/drawingml/2006/chart">
  <cdr:relSizeAnchor xmlns:cdr="http://schemas.openxmlformats.org/drawingml/2006/chartDrawing">
    <cdr:from>
      <cdr:x>0.50963</cdr:x>
      <cdr:y>0.89526</cdr:y>
    </cdr:from>
    <cdr:to>
      <cdr:x>0.72419</cdr:x>
      <cdr:y>0.98909</cdr:y>
    </cdr:to>
    <cdr:sp macro="" textlink="">
      <cdr:nvSpPr>
        <cdr:cNvPr id="3"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0.10755</cdr:x>
      <cdr:y>0.01363</cdr:y>
    </cdr:from>
    <cdr:to>
      <cdr:x>0.94697</cdr:x>
      <cdr:y>0.13499</cdr:y>
    </cdr:to>
    <cdr:sp macro="" textlink="">
      <cdr:nvSpPr>
        <cdr:cNvPr id="4" name="TextBox 1"/>
        <cdr:cNvSpPr txBox="1"/>
      </cdr:nvSpPr>
      <cdr:spPr>
        <a:xfrm xmlns:a="http://schemas.openxmlformats.org/drawingml/2006/main">
          <a:off x="429311" y="38805"/>
          <a:ext cx="3350637" cy="34539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b="1" u="none"/>
            <a:t>Pourcentage de revendications</a:t>
          </a:r>
          <a:r>
            <a:rPr lang="en-US" sz="1200" b="1" u="none" baseline="0"/>
            <a:t> de priorité lorsque au moins la </a:t>
          </a:r>
          <a:r>
            <a:rPr lang="en-US" sz="1100">
              <a:effectLst/>
              <a:latin typeface="+mn-lt"/>
              <a:ea typeface="+mn-ea"/>
              <a:cs typeface="+mn-cs"/>
            </a:rPr>
            <a:t>“</a:t>
          </a:r>
          <a:r>
            <a:rPr lang="en-US" sz="1200" b="1" u="none"/>
            <a:t>famille américano-asiatique</a:t>
          </a:r>
          <a:r>
            <a:rPr lang="en-US" sz="1100">
              <a:effectLst/>
              <a:latin typeface="+mn-lt"/>
              <a:ea typeface="+mn-ea"/>
              <a:cs typeface="+mn-cs"/>
            </a:rPr>
            <a:t>”</a:t>
          </a:r>
          <a:r>
            <a:rPr lang="en-US" sz="1200" b="1" u="none" baseline="0"/>
            <a:t> est désignée</a:t>
          </a:r>
        </a:p>
      </cdr:txBody>
    </cdr:sp>
  </cdr:relSizeAnchor>
  <cdr:relSizeAnchor xmlns:cdr="http://schemas.openxmlformats.org/drawingml/2006/chartDrawing">
    <cdr:from>
      <cdr:x>0.23669</cdr:x>
      <cdr:y>0.88845</cdr:y>
    </cdr:from>
    <cdr:to>
      <cdr:x>0.49035</cdr:x>
      <cdr:y>0.99987</cdr:y>
    </cdr:to>
    <cdr:sp macro="" textlink="">
      <cdr:nvSpPr>
        <cdr:cNvPr id="6" name="TextBox 1"/>
        <cdr:cNvSpPr txBox="1"/>
      </cdr:nvSpPr>
      <cdr:spPr>
        <a:xfrm xmlns:a="http://schemas.openxmlformats.org/drawingml/2006/main">
          <a:off x="936257" y="2498909"/>
          <a:ext cx="1003397" cy="31339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2015</a:t>
          </a:r>
        </a:p>
      </cdr:txBody>
    </cdr:sp>
  </cdr:relSizeAnchor>
  <cdr:relSizeAnchor xmlns:cdr="http://schemas.openxmlformats.org/drawingml/2006/chartDrawing">
    <cdr:from>
      <cdr:x>0.53035</cdr:x>
      <cdr:y>0.88721</cdr:y>
    </cdr:from>
    <cdr:to>
      <cdr:x>0.91432</cdr:x>
      <cdr:y>1</cdr:y>
    </cdr:to>
    <cdr:sp macro="" textlink="">
      <cdr:nvSpPr>
        <cdr:cNvPr id="7" name="TextBox 1"/>
        <cdr:cNvSpPr txBox="1"/>
      </cdr:nvSpPr>
      <cdr:spPr>
        <a:xfrm xmlns:a="http://schemas.openxmlformats.org/drawingml/2006/main">
          <a:off x="2112156" y="2575978"/>
          <a:ext cx="1529196" cy="32746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janvier-mars 2016</a:t>
          </a:r>
        </a:p>
      </cdr:txBody>
    </cdr:sp>
  </cdr:relSizeAnchor>
  <cdr:relSizeAnchor xmlns:cdr="http://schemas.openxmlformats.org/drawingml/2006/chartDrawing">
    <cdr:from>
      <cdr:x>0.06592</cdr:x>
      <cdr:y>0.86571</cdr:y>
    </cdr:from>
    <cdr:to>
      <cdr:x>0.875</cdr:x>
      <cdr:y>1</cdr:y>
    </cdr:to>
    <cdr:sp macro="" textlink="">
      <cdr:nvSpPr>
        <cdr:cNvPr id="16" name="TextBox 1"/>
        <cdr:cNvSpPr txBox="1"/>
      </cdr:nvSpPr>
      <cdr:spPr>
        <a:xfrm xmlns:a="http://schemas.openxmlformats.org/drawingml/2006/main">
          <a:off x="311432" y="2886075"/>
          <a:ext cx="3822418" cy="4476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en-US" sz="1000"/>
        </a:p>
      </cdr:txBody>
    </cdr:sp>
  </cdr:relSizeAnchor>
  <cdr:relSizeAnchor xmlns:cdr="http://schemas.openxmlformats.org/drawingml/2006/chartDrawing">
    <cdr:from>
      <cdr:x>0.50963</cdr:x>
      <cdr:y>0.89526</cdr:y>
    </cdr:from>
    <cdr:to>
      <cdr:x>0.72419</cdr:x>
      <cdr:y>0.98909</cdr:y>
    </cdr:to>
    <cdr:sp macro="" textlink="">
      <cdr:nvSpPr>
        <cdr:cNvPr id="17"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0.30313</cdr:x>
      <cdr:y>0.41566</cdr:y>
    </cdr:from>
    <cdr:to>
      <cdr:x>0.44247</cdr:x>
      <cdr:y>0.53074</cdr:y>
    </cdr:to>
    <cdr:sp macro="" textlink="">
      <cdr:nvSpPr>
        <cdr:cNvPr id="10" name="TextBox 1"/>
        <cdr:cNvSpPr txBox="1"/>
      </cdr:nvSpPr>
      <cdr:spPr>
        <a:xfrm xmlns:a="http://schemas.openxmlformats.org/drawingml/2006/main">
          <a:off x="1207237" y="1206831"/>
          <a:ext cx="554931" cy="33412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60,9%</a:t>
          </a:r>
        </a:p>
      </cdr:txBody>
    </cdr:sp>
  </cdr:relSizeAnchor>
  <cdr:relSizeAnchor xmlns:cdr="http://schemas.openxmlformats.org/drawingml/2006/chartDrawing">
    <cdr:from>
      <cdr:x>0.64292</cdr:x>
      <cdr:y>0.50072</cdr:y>
    </cdr:from>
    <cdr:to>
      <cdr:x>0.78227</cdr:x>
      <cdr:y>0.6158</cdr:y>
    </cdr:to>
    <cdr:sp macro="" textlink="">
      <cdr:nvSpPr>
        <cdr:cNvPr id="11" name="TextBox 1"/>
        <cdr:cNvSpPr txBox="1"/>
      </cdr:nvSpPr>
      <cdr:spPr>
        <a:xfrm xmlns:a="http://schemas.openxmlformats.org/drawingml/2006/main">
          <a:off x="2560495" y="1453824"/>
          <a:ext cx="554932" cy="3341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45,5%</a:t>
          </a:r>
        </a:p>
      </cdr:txBody>
    </cdr:sp>
  </cdr:relSizeAnchor>
</c:userShapes>
</file>

<file path=word/drawings/drawing2.xml><?xml version="1.0" encoding="utf-8"?>
<c:userShapes xmlns:c="http://schemas.openxmlformats.org/drawingml/2006/chart">
  <cdr:relSizeAnchor xmlns:cdr="http://schemas.openxmlformats.org/drawingml/2006/chartDrawing">
    <cdr:from>
      <cdr:x>0.28091</cdr:x>
      <cdr:y>0.88333</cdr:y>
    </cdr:from>
    <cdr:to>
      <cdr:x>0.39099</cdr:x>
      <cdr:y>0.9725</cdr:y>
    </cdr:to>
    <cdr:sp macro="" textlink="">
      <cdr:nvSpPr>
        <cdr:cNvPr id="2" name="TextBox 1"/>
        <cdr:cNvSpPr txBox="1"/>
      </cdr:nvSpPr>
      <cdr:spPr>
        <a:xfrm xmlns:a="http://schemas.openxmlformats.org/drawingml/2006/main">
          <a:off x="1327130" y="2641916"/>
          <a:ext cx="520062" cy="2666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2014</a:t>
          </a:r>
        </a:p>
      </cdr:txBody>
    </cdr:sp>
  </cdr:relSizeAnchor>
  <cdr:relSizeAnchor xmlns:cdr="http://schemas.openxmlformats.org/drawingml/2006/chartDrawing">
    <cdr:from>
      <cdr:x>0.50538</cdr:x>
      <cdr:y>0.88128</cdr:y>
    </cdr:from>
    <cdr:to>
      <cdr:x>0.61223</cdr:x>
      <cdr:y>0.97045</cdr:y>
    </cdr:to>
    <cdr:sp macro="" textlink="">
      <cdr:nvSpPr>
        <cdr:cNvPr id="3" name="TextBox 1"/>
        <cdr:cNvSpPr txBox="1"/>
      </cdr:nvSpPr>
      <cdr:spPr>
        <a:xfrm xmlns:a="http://schemas.openxmlformats.org/drawingml/2006/main">
          <a:off x="2387594" y="2635785"/>
          <a:ext cx="504849" cy="26669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2015</a:t>
          </a:r>
        </a:p>
      </cdr:txBody>
    </cdr:sp>
  </cdr:relSizeAnchor>
  <cdr:relSizeAnchor xmlns:cdr="http://schemas.openxmlformats.org/drawingml/2006/chartDrawing">
    <cdr:from>
      <cdr:x>0.66025</cdr:x>
      <cdr:y>0.87916</cdr:y>
    </cdr:from>
    <cdr:to>
      <cdr:x>0.91914</cdr:x>
      <cdr:y>0.96833</cdr:y>
    </cdr:to>
    <cdr:sp macro="" textlink="">
      <cdr:nvSpPr>
        <cdr:cNvPr id="4" name="TextBox 1"/>
        <cdr:cNvSpPr txBox="1"/>
      </cdr:nvSpPr>
      <cdr:spPr>
        <a:xfrm xmlns:a="http://schemas.openxmlformats.org/drawingml/2006/main">
          <a:off x="3112138" y="2518899"/>
          <a:ext cx="1220305" cy="2554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janvier-mars</a:t>
          </a:r>
          <a:r>
            <a:rPr lang="en-US" sz="1000" baseline="0"/>
            <a:t> 2016</a:t>
          </a:r>
        </a:p>
      </cdr:txBody>
    </cdr:sp>
  </cdr:relSizeAnchor>
  <cdr:relSizeAnchor xmlns:cdr="http://schemas.openxmlformats.org/drawingml/2006/chartDrawing">
    <cdr:from>
      <cdr:x>0.19583</cdr:x>
      <cdr:y>0.86624</cdr:y>
    </cdr:from>
    <cdr:to>
      <cdr:x>0.30625</cdr:x>
      <cdr:y>1</cdr:y>
    </cdr:to>
    <cdr:sp macro="" textlink="">
      <cdr:nvSpPr>
        <cdr:cNvPr id="5" name="TextBox 4"/>
        <cdr:cNvSpPr txBox="1"/>
      </cdr:nvSpPr>
      <cdr:spPr>
        <a:xfrm xmlns:a="http://schemas.openxmlformats.org/drawingml/2006/main">
          <a:off x="895350" y="2590800"/>
          <a:ext cx="504825" cy="4000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cdr:x>
      <cdr:y>0</cdr:y>
    </cdr:from>
    <cdr:to>
      <cdr:x>1</cdr:x>
      <cdr:y>0.19362</cdr:y>
    </cdr:to>
    <cdr:sp macro="" textlink="">
      <cdr:nvSpPr>
        <cdr:cNvPr id="9" name="TextBox 8"/>
        <cdr:cNvSpPr txBox="1"/>
      </cdr:nvSpPr>
      <cdr:spPr>
        <a:xfrm xmlns:a="http://schemas.openxmlformats.org/drawingml/2006/main">
          <a:off x="0" y="0"/>
          <a:ext cx="4641850" cy="539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200" b="1" u="none"/>
            <a:t>Proportion</a:t>
          </a:r>
          <a:r>
            <a:rPr lang="en-US" sz="1200" b="1" u="none" baseline="0"/>
            <a:t> d'enregistrements internationaux contenant </a:t>
          </a:r>
          <a:r>
            <a:rPr lang="en-US" sz="1200" b="1" u="none"/>
            <a:t>des revendications de </a:t>
          </a:r>
          <a:r>
            <a:rPr lang="en-US" sz="1200" b="1" u="none" baseline="0"/>
            <a:t>priorité</a:t>
          </a:r>
        </a:p>
      </cdr:txBody>
    </cdr:sp>
  </cdr:relSizeAnchor>
  <cdr:relSizeAnchor xmlns:cdr="http://schemas.openxmlformats.org/drawingml/2006/chartDrawing">
    <cdr:from>
      <cdr:x>0.49137</cdr:x>
      <cdr:y>0.58791</cdr:y>
    </cdr:from>
    <cdr:to>
      <cdr:x>0.59941</cdr:x>
      <cdr:y>0.87023</cdr:y>
    </cdr:to>
    <cdr:sp macro="" textlink="">
      <cdr:nvSpPr>
        <cdr:cNvPr id="10" name="Rectangle 9"/>
        <cdr:cNvSpPr/>
      </cdr:nvSpPr>
      <cdr:spPr>
        <a:xfrm xmlns:a="http://schemas.openxmlformats.org/drawingml/2006/main">
          <a:off x="2327669" y="1690779"/>
          <a:ext cx="511796" cy="811930"/>
        </a:xfrm>
        <a:prstGeom xmlns:a="http://schemas.openxmlformats.org/drawingml/2006/main" prst="rect">
          <a:avLst/>
        </a:prstGeom>
        <a:solidFill xmlns:a="http://schemas.openxmlformats.org/drawingml/2006/main">
          <a:schemeClr val="accent2"/>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0.71118</cdr:x>
      <cdr:y>0.80988</cdr:y>
    </cdr:from>
    <cdr:to>
      <cdr:x>0.81764</cdr:x>
      <cdr:y>0.86257</cdr:y>
    </cdr:to>
    <cdr:sp macro="" textlink="">
      <cdr:nvSpPr>
        <cdr:cNvPr id="11" name="Rectangle 10"/>
        <cdr:cNvSpPr/>
      </cdr:nvSpPr>
      <cdr:spPr>
        <a:xfrm xmlns:a="http://schemas.openxmlformats.org/drawingml/2006/main">
          <a:off x="3368926" y="2329132"/>
          <a:ext cx="504312" cy="151549"/>
        </a:xfrm>
        <a:prstGeom xmlns:a="http://schemas.openxmlformats.org/drawingml/2006/main" prst="rect">
          <a:avLst/>
        </a:prstGeom>
        <a:solidFill xmlns:a="http://schemas.openxmlformats.org/drawingml/2006/main">
          <a:schemeClr val="accent2"/>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0.27142</cdr:x>
      <cdr:y>0.71249</cdr:y>
    </cdr:from>
    <cdr:to>
      <cdr:x>0.37843</cdr:x>
      <cdr:y>0.86159</cdr:y>
    </cdr:to>
    <cdr:sp macro="" textlink="">
      <cdr:nvSpPr>
        <cdr:cNvPr id="12" name="Rectangle 11"/>
        <cdr:cNvSpPr/>
      </cdr:nvSpPr>
      <cdr:spPr>
        <a:xfrm xmlns:a="http://schemas.openxmlformats.org/drawingml/2006/main">
          <a:off x="1285744" y="2049067"/>
          <a:ext cx="506917" cy="428799"/>
        </a:xfrm>
        <a:prstGeom xmlns:a="http://schemas.openxmlformats.org/drawingml/2006/main" prst="rect">
          <a:avLst/>
        </a:prstGeom>
        <a:solidFill xmlns:a="http://schemas.openxmlformats.org/drawingml/2006/main">
          <a:schemeClr val="accent2"/>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0.27294</cdr:x>
      <cdr:y>0.71229</cdr:y>
    </cdr:from>
    <cdr:to>
      <cdr:x>0.37919</cdr:x>
      <cdr:y>0.79505</cdr:y>
    </cdr:to>
    <cdr:sp macro="" textlink="">
      <cdr:nvSpPr>
        <cdr:cNvPr id="6" name="TextBox 5"/>
        <cdr:cNvSpPr txBox="1"/>
      </cdr:nvSpPr>
      <cdr:spPr>
        <a:xfrm xmlns:a="http://schemas.openxmlformats.org/drawingml/2006/main">
          <a:off x="1292944" y="2048492"/>
          <a:ext cx="503317" cy="23800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solidFill>
                <a:schemeClr val="bg1"/>
              </a:solidFill>
            </a:rPr>
            <a:t>36,1%</a:t>
          </a:r>
        </a:p>
      </cdr:txBody>
    </cdr:sp>
  </cdr:relSizeAnchor>
  <cdr:relSizeAnchor xmlns:cdr="http://schemas.openxmlformats.org/drawingml/2006/chartDrawing">
    <cdr:from>
      <cdr:x>0.48909</cdr:x>
      <cdr:y>0.59258</cdr:y>
    </cdr:from>
    <cdr:to>
      <cdr:x>0.59387</cdr:x>
      <cdr:y>0.64354</cdr:y>
    </cdr:to>
    <cdr:sp macro="" textlink="">
      <cdr:nvSpPr>
        <cdr:cNvPr id="7" name="TextBox 1"/>
        <cdr:cNvSpPr txBox="1"/>
      </cdr:nvSpPr>
      <cdr:spPr>
        <a:xfrm xmlns:a="http://schemas.openxmlformats.org/drawingml/2006/main">
          <a:off x="2297116" y="1766159"/>
          <a:ext cx="492120" cy="15187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solidFill>
                <a:schemeClr val="bg1"/>
              </a:solidFill>
            </a:rPr>
            <a:t>47,1%</a:t>
          </a:r>
        </a:p>
      </cdr:txBody>
    </cdr:sp>
  </cdr:relSizeAnchor>
  <cdr:relSizeAnchor xmlns:cdr="http://schemas.openxmlformats.org/drawingml/2006/chartDrawing">
    <cdr:from>
      <cdr:x>0.70968</cdr:x>
      <cdr:y>0.79488</cdr:y>
    </cdr:from>
    <cdr:to>
      <cdr:x>0.82278</cdr:x>
      <cdr:y>0.86412</cdr:y>
    </cdr:to>
    <cdr:sp macro="" textlink="">
      <cdr:nvSpPr>
        <cdr:cNvPr id="8" name="TextBox 1"/>
        <cdr:cNvSpPr txBox="1"/>
      </cdr:nvSpPr>
      <cdr:spPr>
        <a:xfrm xmlns:a="http://schemas.openxmlformats.org/drawingml/2006/main">
          <a:off x="3361825" y="2285999"/>
          <a:ext cx="535766" cy="19913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solidFill>
                <a:schemeClr val="bg1"/>
              </a:solidFill>
            </a:rPr>
            <a:t>44,9%</a:t>
          </a:r>
        </a:p>
      </cdr:txBody>
    </cdr:sp>
  </cdr:relSizeAnchor>
</c:userShapes>
</file>

<file path=word/drawings/drawing3.xml><?xml version="1.0" encoding="utf-8"?>
<c:userShapes xmlns:c="http://schemas.openxmlformats.org/drawingml/2006/chart">
  <cdr:relSizeAnchor xmlns:cdr="http://schemas.openxmlformats.org/drawingml/2006/chartDrawing">
    <cdr:from>
      <cdr:x>0.49038</cdr:x>
      <cdr:y>0.90151</cdr:y>
    </cdr:from>
    <cdr:to>
      <cdr:x>0.59415</cdr:x>
      <cdr:y>0.99534</cdr:y>
    </cdr:to>
    <cdr:sp macro="" textlink="">
      <cdr:nvSpPr>
        <cdr:cNvPr id="2" name="TextBox 1"/>
        <cdr:cNvSpPr txBox="1"/>
      </cdr:nvSpPr>
      <cdr:spPr>
        <a:xfrm xmlns:a="http://schemas.openxmlformats.org/drawingml/2006/main">
          <a:off x="2832100" y="2636173"/>
          <a:ext cx="599308" cy="2743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2015</a:t>
          </a:r>
        </a:p>
      </cdr:txBody>
    </cdr:sp>
  </cdr:relSizeAnchor>
  <cdr:relSizeAnchor xmlns:cdr="http://schemas.openxmlformats.org/drawingml/2006/chartDrawing">
    <cdr:from>
      <cdr:x>0.73942</cdr:x>
      <cdr:y>0.89526</cdr:y>
    </cdr:from>
    <cdr:to>
      <cdr:x>0.9857</cdr:x>
      <cdr:y>0.98909</cdr:y>
    </cdr:to>
    <cdr:sp macro="" textlink="">
      <cdr:nvSpPr>
        <cdr:cNvPr id="3" name="TextBox 1"/>
        <cdr:cNvSpPr txBox="1"/>
      </cdr:nvSpPr>
      <cdr:spPr>
        <a:xfrm xmlns:a="http://schemas.openxmlformats.org/drawingml/2006/main">
          <a:off x="4268042" y="2700328"/>
          <a:ext cx="1421557" cy="2830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janvier - mars 2</a:t>
          </a:r>
          <a:r>
            <a:rPr lang="en-US" sz="1000" baseline="0"/>
            <a:t>016</a:t>
          </a:r>
        </a:p>
      </cdr:txBody>
    </cdr:sp>
  </cdr:relSizeAnchor>
  <cdr:relSizeAnchor xmlns:cdr="http://schemas.openxmlformats.org/drawingml/2006/chartDrawing">
    <cdr:from>
      <cdr:x>0</cdr:x>
      <cdr:y>0.00554</cdr:y>
    </cdr:from>
    <cdr:to>
      <cdr:x>0.99945</cdr:x>
      <cdr:y>0.27789</cdr:y>
    </cdr:to>
    <cdr:sp macro="" textlink="">
      <cdr:nvSpPr>
        <cdr:cNvPr id="4" name="TextBox 1"/>
        <cdr:cNvSpPr txBox="1"/>
      </cdr:nvSpPr>
      <cdr:spPr>
        <a:xfrm xmlns:a="http://schemas.openxmlformats.org/drawingml/2006/main">
          <a:off x="0" y="16710"/>
          <a:ext cx="5768977" cy="82149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b="1" u="none"/>
            <a:t>Cinq principaux Offices du dépôt antérieur servant de base à une revendication de priorité dans un enregistrement international</a:t>
          </a:r>
        </a:p>
        <a:p xmlns:a="http://schemas.openxmlformats.org/drawingml/2006/main">
          <a:pPr algn="ctr"/>
          <a:r>
            <a:rPr lang="en-US" sz="1200" b="1" u="none"/>
            <a:t>(par</a:t>
          </a:r>
          <a:r>
            <a:rPr lang="en-US" sz="1200" b="1" u="none" baseline="0"/>
            <a:t> proportion des revendications de priorité)</a:t>
          </a:r>
          <a:endParaRPr lang="en-US" sz="1200" b="1" u="none"/>
        </a:p>
      </cdr:txBody>
    </cdr:sp>
  </cdr:relSizeAnchor>
  <cdr:relSizeAnchor xmlns:cdr="http://schemas.openxmlformats.org/drawingml/2006/chartDrawing">
    <cdr:from>
      <cdr:x>0.2055</cdr:x>
      <cdr:y>0.89609</cdr:y>
    </cdr:from>
    <cdr:to>
      <cdr:x>0.32731</cdr:x>
      <cdr:y>0.98992</cdr:y>
    </cdr:to>
    <cdr:sp macro="" textlink="">
      <cdr:nvSpPr>
        <cdr:cNvPr id="5" name="TextBox 1"/>
        <cdr:cNvSpPr txBox="1"/>
      </cdr:nvSpPr>
      <cdr:spPr>
        <a:xfrm xmlns:a="http://schemas.openxmlformats.org/drawingml/2006/main">
          <a:off x="1190092" y="3065580"/>
          <a:ext cx="705426" cy="32099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2014</a:t>
          </a:r>
        </a:p>
      </cdr:txBody>
    </cdr:sp>
  </cdr:relSizeAnchor>
  <cdr:relSizeAnchor xmlns:cdr="http://schemas.openxmlformats.org/drawingml/2006/chartDrawing">
    <cdr:from>
      <cdr:x>0.11051</cdr:x>
      <cdr:y>0.42658</cdr:y>
    </cdr:from>
    <cdr:to>
      <cdr:x>0.20681</cdr:x>
      <cdr:y>0.49139</cdr:y>
    </cdr:to>
    <cdr:sp macro="" textlink="">
      <cdr:nvSpPr>
        <cdr:cNvPr id="6" name="TextBox 5"/>
        <cdr:cNvSpPr txBox="1"/>
      </cdr:nvSpPr>
      <cdr:spPr>
        <a:xfrm xmlns:a="http://schemas.openxmlformats.org/drawingml/2006/main">
          <a:off x="639986" y="1459357"/>
          <a:ext cx="557692" cy="22171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a:t>44%</a:t>
          </a:r>
        </a:p>
      </cdr:txBody>
    </cdr:sp>
  </cdr:relSizeAnchor>
  <cdr:relSizeAnchor xmlns:cdr="http://schemas.openxmlformats.org/drawingml/2006/chartDrawing">
    <cdr:from>
      <cdr:x>0.14818</cdr:x>
      <cdr:y>0.69869</cdr:y>
    </cdr:from>
    <cdr:to>
      <cdr:x>0.24448</cdr:x>
      <cdr:y>0.7635</cdr:y>
    </cdr:to>
    <cdr:sp macro="" textlink="">
      <cdr:nvSpPr>
        <cdr:cNvPr id="7" name="TextBox 1"/>
        <cdr:cNvSpPr txBox="1"/>
      </cdr:nvSpPr>
      <cdr:spPr>
        <a:xfrm xmlns:a="http://schemas.openxmlformats.org/drawingml/2006/main">
          <a:off x="858140" y="2390263"/>
          <a:ext cx="557693" cy="22171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12,1%</a:t>
          </a:r>
        </a:p>
      </cdr:txBody>
    </cdr:sp>
  </cdr:relSizeAnchor>
  <cdr:relSizeAnchor xmlns:cdr="http://schemas.openxmlformats.org/drawingml/2006/chartDrawing">
    <cdr:from>
      <cdr:x>0.19371</cdr:x>
      <cdr:y>0.72964</cdr:y>
    </cdr:from>
    <cdr:to>
      <cdr:x>0.28153</cdr:x>
      <cdr:y>0.81107</cdr:y>
    </cdr:to>
    <cdr:sp macro="" textlink="">
      <cdr:nvSpPr>
        <cdr:cNvPr id="8" name="TextBox 1"/>
        <cdr:cNvSpPr txBox="1"/>
      </cdr:nvSpPr>
      <cdr:spPr>
        <a:xfrm xmlns:a="http://schemas.openxmlformats.org/drawingml/2006/main">
          <a:off x="1121813" y="2496144"/>
          <a:ext cx="508584" cy="27857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8,1%</a:t>
          </a:r>
        </a:p>
      </cdr:txBody>
    </cdr:sp>
  </cdr:relSizeAnchor>
  <cdr:relSizeAnchor xmlns:cdr="http://schemas.openxmlformats.org/drawingml/2006/chartDrawing">
    <cdr:from>
      <cdr:x>0.23841</cdr:x>
      <cdr:y>0.74267</cdr:y>
    </cdr:from>
    <cdr:to>
      <cdr:x>0.34763</cdr:x>
      <cdr:y>0.84421</cdr:y>
    </cdr:to>
    <cdr:sp macro="" textlink="">
      <cdr:nvSpPr>
        <cdr:cNvPr id="9" name="TextBox 1"/>
        <cdr:cNvSpPr txBox="1"/>
      </cdr:nvSpPr>
      <cdr:spPr>
        <a:xfrm xmlns:a="http://schemas.openxmlformats.org/drawingml/2006/main">
          <a:off x="1376138" y="2240078"/>
          <a:ext cx="630462" cy="30627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6,7%</a:t>
          </a:r>
        </a:p>
      </cdr:txBody>
    </cdr:sp>
  </cdr:relSizeAnchor>
  <cdr:relSizeAnchor xmlns:cdr="http://schemas.openxmlformats.org/drawingml/2006/chartDrawing">
    <cdr:from>
      <cdr:x>0.28169</cdr:x>
      <cdr:y>0.75916</cdr:y>
    </cdr:from>
    <cdr:to>
      <cdr:x>0.37799</cdr:x>
      <cdr:y>0.82397</cdr:y>
    </cdr:to>
    <cdr:sp macro="" textlink="">
      <cdr:nvSpPr>
        <cdr:cNvPr id="10" name="TextBox 1"/>
        <cdr:cNvSpPr txBox="1"/>
      </cdr:nvSpPr>
      <cdr:spPr>
        <a:xfrm xmlns:a="http://schemas.openxmlformats.org/drawingml/2006/main">
          <a:off x="1631323" y="2597134"/>
          <a:ext cx="557693" cy="22171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5,7%</a:t>
          </a:r>
        </a:p>
      </cdr:txBody>
    </cdr:sp>
  </cdr:relSizeAnchor>
  <cdr:relSizeAnchor xmlns:cdr="http://schemas.openxmlformats.org/drawingml/2006/chartDrawing">
    <cdr:from>
      <cdr:x>0.39588</cdr:x>
      <cdr:y>0.24965</cdr:y>
    </cdr:from>
    <cdr:to>
      <cdr:x>0.49218</cdr:x>
      <cdr:y>0.31446</cdr:y>
    </cdr:to>
    <cdr:sp macro="" textlink="">
      <cdr:nvSpPr>
        <cdr:cNvPr id="11" name="TextBox 1"/>
        <cdr:cNvSpPr txBox="1"/>
      </cdr:nvSpPr>
      <cdr:spPr>
        <a:xfrm xmlns:a="http://schemas.openxmlformats.org/drawingml/2006/main">
          <a:off x="2292620" y="854068"/>
          <a:ext cx="557693" cy="22171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34%</a:t>
          </a:r>
        </a:p>
      </cdr:txBody>
    </cdr:sp>
  </cdr:relSizeAnchor>
  <cdr:relSizeAnchor xmlns:cdr="http://schemas.openxmlformats.org/drawingml/2006/chartDrawing">
    <cdr:from>
      <cdr:x>0.44526</cdr:x>
      <cdr:y>0.36691</cdr:y>
    </cdr:from>
    <cdr:to>
      <cdr:x>0.54397</cdr:x>
      <cdr:y>0.43172</cdr:y>
    </cdr:to>
    <cdr:sp macro="" textlink="">
      <cdr:nvSpPr>
        <cdr:cNvPr id="12" name="TextBox 1"/>
        <cdr:cNvSpPr txBox="1"/>
      </cdr:nvSpPr>
      <cdr:spPr>
        <a:xfrm xmlns:a="http://schemas.openxmlformats.org/drawingml/2006/main">
          <a:off x="2571513" y="1072920"/>
          <a:ext cx="570082" cy="18951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26,8%</a:t>
          </a:r>
        </a:p>
      </cdr:txBody>
    </cdr:sp>
  </cdr:relSizeAnchor>
  <cdr:relSizeAnchor xmlns:cdr="http://schemas.openxmlformats.org/drawingml/2006/chartDrawing">
    <cdr:from>
      <cdr:x>0.47942</cdr:x>
      <cdr:y>0.65439</cdr:y>
    </cdr:from>
    <cdr:to>
      <cdr:x>0.57705</cdr:x>
      <cdr:y>0.71921</cdr:y>
    </cdr:to>
    <cdr:sp macro="" textlink="">
      <cdr:nvSpPr>
        <cdr:cNvPr id="13" name="TextBox 1"/>
        <cdr:cNvSpPr txBox="1"/>
      </cdr:nvSpPr>
      <cdr:spPr>
        <a:xfrm xmlns:a="http://schemas.openxmlformats.org/drawingml/2006/main">
          <a:off x="2776417" y="2238709"/>
          <a:ext cx="565395" cy="22175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9,8%</a:t>
          </a:r>
        </a:p>
      </cdr:txBody>
    </cdr:sp>
  </cdr:relSizeAnchor>
  <cdr:relSizeAnchor xmlns:cdr="http://schemas.openxmlformats.org/drawingml/2006/chartDrawing">
    <cdr:from>
      <cdr:x>0.51494</cdr:x>
      <cdr:y>0.72769</cdr:y>
    </cdr:from>
    <cdr:to>
      <cdr:x>0.61125</cdr:x>
      <cdr:y>0.79473</cdr:y>
    </cdr:to>
    <cdr:sp macro="" textlink="">
      <cdr:nvSpPr>
        <cdr:cNvPr id="14" name="TextBox 1"/>
        <cdr:cNvSpPr txBox="1"/>
      </cdr:nvSpPr>
      <cdr:spPr>
        <a:xfrm xmlns:a="http://schemas.openxmlformats.org/drawingml/2006/main">
          <a:off x="2982121" y="2489473"/>
          <a:ext cx="557750" cy="22934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5,5%</a:t>
          </a:r>
        </a:p>
      </cdr:txBody>
    </cdr:sp>
  </cdr:relSizeAnchor>
  <cdr:relSizeAnchor xmlns:cdr="http://schemas.openxmlformats.org/drawingml/2006/chartDrawing">
    <cdr:from>
      <cdr:x>0.56297</cdr:x>
      <cdr:y>0.72632</cdr:y>
    </cdr:from>
    <cdr:to>
      <cdr:x>0.65927</cdr:x>
      <cdr:y>0.79806</cdr:y>
    </cdr:to>
    <cdr:sp macro="" textlink="">
      <cdr:nvSpPr>
        <cdr:cNvPr id="15" name="TextBox 1"/>
        <cdr:cNvSpPr txBox="1"/>
      </cdr:nvSpPr>
      <cdr:spPr>
        <a:xfrm xmlns:a="http://schemas.openxmlformats.org/drawingml/2006/main">
          <a:off x="3260272" y="2484786"/>
          <a:ext cx="557692" cy="24542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4,9%</a:t>
          </a:r>
        </a:p>
      </cdr:txBody>
    </cdr:sp>
  </cdr:relSizeAnchor>
  <cdr:relSizeAnchor xmlns:cdr="http://schemas.openxmlformats.org/drawingml/2006/chartDrawing">
    <cdr:from>
      <cdr:x>0.68114</cdr:x>
      <cdr:y>0.66854</cdr:y>
    </cdr:from>
    <cdr:to>
      <cdr:x>0.79722</cdr:x>
      <cdr:y>0.73335</cdr:y>
    </cdr:to>
    <cdr:sp macro="" textlink="">
      <cdr:nvSpPr>
        <cdr:cNvPr id="16" name="TextBox 1"/>
        <cdr:cNvSpPr txBox="1"/>
      </cdr:nvSpPr>
      <cdr:spPr>
        <a:xfrm xmlns:a="http://schemas.openxmlformats.org/drawingml/2006/main">
          <a:off x="3944618" y="2287117"/>
          <a:ext cx="672242" cy="22172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46,7%</a:t>
          </a:r>
        </a:p>
      </cdr:txBody>
    </cdr:sp>
  </cdr:relSizeAnchor>
  <cdr:relSizeAnchor xmlns:cdr="http://schemas.openxmlformats.org/drawingml/2006/chartDrawing">
    <cdr:from>
      <cdr:x>0.72351</cdr:x>
      <cdr:y>0.73792</cdr:y>
    </cdr:from>
    <cdr:to>
      <cdr:x>0.83278</cdr:x>
      <cdr:y>0.85263</cdr:y>
    </cdr:to>
    <cdr:sp macro="" textlink="">
      <cdr:nvSpPr>
        <cdr:cNvPr id="17" name="TextBox 1"/>
        <cdr:cNvSpPr txBox="1"/>
      </cdr:nvSpPr>
      <cdr:spPr>
        <a:xfrm xmlns:a="http://schemas.openxmlformats.org/drawingml/2006/main">
          <a:off x="4176208" y="2225750"/>
          <a:ext cx="630742" cy="34599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22,2%</a:t>
          </a:r>
        </a:p>
      </cdr:txBody>
    </cdr:sp>
  </cdr:relSizeAnchor>
  <cdr:relSizeAnchor xmlns:cdr="http://schemas.openxmlformats.org/drawingml/2006/chartDrawing">
    <cdr:from>
      <cdr:x>0.76557</cdr:x>
      <cdr:y>0.7785</cdr:y>
    </cdr:from>
    <cdr:to>
      <cdr:x>0.86989</cdr:x>
      <cdr:y>0.85023</cdr:y>
    </cdr:to>
    <cdr:sp macro="" textlink="">
      <cdr:nvSpPr>
        <cdr:cNvPr id="18" name="TextBox 1"/>
        <cdr:cNvSpPr txBox="1"/>
      </cdr:nvSpPr>
      <cdr:spPr>
        <a:xfrm xmlns:a="http://schemas.openxmlformats.org/drawingml/2006/main">
          <a:off x="4433569" y="2663298"/>
          <a:ext cx="604138" cy="24539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9,5%</a:t>
          </a:r>
        </a:p>
      </cdr:txBody>
    </cdr:sp>
  </cdr:relSizeAnchor>
  <cdr:relSizeAnchor xmlns:cdr="http://schemas.openxmlformats.org/drawingml/2006/chartDrawing">
    <cdr:from>
      <cdr:x>0.81311</cdr:x>
      <cdr:y>0.75638</cdr:y>
    </cdr:from>
    <cdr:to>
      <cdr:x>0.92117</cdr:x>
      <cdr:y>0.82531</cdr:y>
    </cdr:to>
    <cdr:sp macro="" textlink="">
      <cdr:nvSpPr>
        <cdr:cNvPr id="19" name="TextBox 1"/>
        <cdr:cNvSpPr txBox="1"/>
      </cdr:nvSpPr>
      <cdr:spPr>
        <a:xfrm xmlns:a="http://schemas.openxmlformats.org/drawingml/2006/main">
          <a:off x="4708883" y="2587624"/>
          <a:ext cx="625797" cy="23581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6,2%</a:t>
          </a:r>
        </a:p>
      </cdr:txBody>
    </cdr:sp>
  </cdr:relSizeAnchor>
  <cdr:relSizeAnchor xmlns:cdr="http://schemas.openxmlformats.org/drawingml/2006/chartDrawing">
    <cdr:from>
      <cdr:x>0.83868</cdr:x>
      <cdr:y>0.78827</cdr:y>
    </cdr:from>
    <cdr:to>
      <cdr:x>0.94674</cdr:x>
      <cdr:y>0.86401</cdr:y>
    </cdr:to>
    <cdr:sp macro="" textlink="">
      <cdr:nvSpPr>
        <cdr:cNvPr id="20" name="TextBox 1"/>
        <cdr:cNvSpPr txBox="1"/>
      </cdr:nvSpPr>
      <cdr:spPr>
        <a:xfrm xmlns:a="http://schemas.openxmlformats.org/drawingml/2006/main">
          <a:off x="4843650" y="2305051"/>
          <a:ext cx="624081" cy="22146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5,3%</a:t>
          </a:r>
        </a:p>
      </cdr:txBody>
    </cdr:sp>
  </cdr:relSizeAnchor>
  <cdr:relSizeAnchor xmlns:cdr="http://schemas.openxmlformats.org/drawingml/2006/chartDrawing">
    <cdr:from>
      <cdr:x>0.31091</cdr:x>
      <cdr:y>0.59513</cdr:y>
    </cdr:from>
    <cdr:to>
      <cdr:x>0.42839</cdr:x>
      <cdr:y>0.65994</cdr:y>
    </cdr:to>
    <cdr:sp macro="" textlink="">
      <cdr:nvSpPr>
        <cdr:cNvPr id="21" name="TextBox 1"/>
        <cdr:cNvSpPr txBox="1"/>
      </cdr:nvSpPr>
      <cdr:spPr>
        <a:xfrm xmlns:a="http://schemas.openxmlformats.org/drawingml/2006/main">
          <a:off x="1800542" y="2035977"/>
          <a:ext cx="680350" cy="22171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23,3%</a:t>
          </a:r>
        </a:p>
      </cdr:txBody>
    </cdr:sp>
  </cdr:relSizeAnchor>
  <cdr:relSizeAnchor xmlns:cdr="http://schemas.openxmlformats.org/drawingml/2006/chartDrawing">
    <cdr:from>
      <cdr:x>0.59219</cdr:x>
      <cdr:y>0.49503</cdr:y>
    </cdr:from>
    <cdr:to>
      <cdr:x>0.70827</cdr:x>
      <cdr:y>0.55984</cdr:y>
    </cdr:to>
    <cdr:sp macro="" textlink="">
      <cdr:nvSpPr>
        <cdr:cNvPr id="22" name="TextBox 1"/>
        <cdr:cNvSpPr txBox="1"/>
      </cdr:nvSpPr>
      <cdr:spPr>
        <a:xfrm xmlns:a="http://schemas.openxmlformats.org/drawingml/2006/main">
          <a:off x="3420071" y="1447551"/>
          <a:ext cx="670399" cy="18951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19,1%</a:t>
          </a:r>
        </a:p>
      </cdr:txBody>
    </cdr:sp>
  </cdr:relSizeAnchor>
  <cdr:relSizeAnchor xmlns:cdr="http://schemas.openxmlformats.org/drawingml/2006/chartDrawing">
    <cdr:from>
      <cdr:x>0.88392</cdr:x>
      <cdr:y>0.76226</cdr:y>
    </cdr:from>
    <cdr:to>
      <cdr:x>1</cdr:x>
      <cdr:y>0.82707</cdr:y>
    </cdr:to>
    <cdr:sp macro="" textlink="">
      <cdr:nvSpPr>
        <cdr:cNvPr id="23" name="TextBox 1"/>
        <cdr:cNvSpPr txBox="1"/>
      </cdr:nvSpPr>
      <cdr:spPr>
        <a:xfrm xmlns:a="http://schemas.openxmlformats.org/drawingml/2006/main">
          <a:off x="5104925" y="2228976"/>
          <a:ext cx="670400" cy="18951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10,1%</a:t>
          </a:r>
        </a:p>
      </cdr:txBody>
    </cdr:sp>
  </cdr:relSizeAnchor>
</c:userShapes>
</file>

<file path=word/drawings/drawing4.xml><?xml version="1.0" encoding="utf-8"?>
<c:userShapes xmlns:c="http://schemas.openxmlformats.org/drawingml/2006/chart">
  <cdr:relSizeAnchor xmlns:cdr="http://schemas.openxmlformats.org/drawingml/2006/chartDrawing">
    <cdr:from>
      <cdr:x>0.08323</cdr:x>
      <cdr:y>0.86408</cdr:y>
    </cdr:from>
    <cdr:to>
      <cdr:x>0.28775</cdr:x>
      <cdr:y>1</cdr:y>
    </cdr:to>
    <cdr:sp macro="" textlink="">
      <cdr:nvSpPr>
        <cdr:cNvPr id="2" name="TextBox 1"/>
        <cdr:cNvSpPr txBox="1"/>
      </cdr:nvSpPr>
      <cdr:spPr>
        <a:xfrm xmlns:a="http://schemas.openxmlformats.org/drawingml/2006/main">
          <a:off x="440834" y="2528662"/>
          <a:ext cx="1083257" cy="39774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a:t>Quand l</a:t>
          </a:r>
          <a:r>
            <a:rPr lang="fr-FR" sz="800">
              <a:effectLst/>
              <a:latin typeface="+mn-lt"/>
              <a:ea typeface="+mn-ea"/>
              <a:cs typeface="+mn-cs"/>
            </a:rPr>
            <a:t>’</a:t>
          </a:r>
          <a:r>
            <a:rPr lang="en-US" sz="800"/>
            <a:t>UE est désignée</a:t>
          </a:r>
        </a:p>
      </cdr:txBody>
    </cdr:sp>
  </cdr:relSizeAnchor>
  <cdr:relSizeAnchor xmlns:cdr="http://schemas.openxmlformats.org/drawingml/2006/chartDrawing">
    <cdr:from>
      <cdr:x>0.50963</cdr:x>
      <cdr:y>0.89526</cdr:y>
    </cdr:from>
    <cdr:to>
      <cdr:x>0.72419</cdr:x>
      <cdr:y>0.98909</cdr:y>
    </cdr:to>
    <cdr:sp macro="" textlink="">
      <cdr:nvSpPr>
        <cdr:cNvPr id="3"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cdr:x>
      <cdr:y>0.01529</cdr:y>
    </cdr:from>
    <cdr:to>
      <cdr:x>0.99891</cdr:x>
      <cdr:y>0.13819</cdr:y>
    </cdr:to>
    <cdr:sp macro="" textlink="">
      <cdr:nvSpPr>
        <cdr:cNvPr id="4" name="TextBox 1"/>
        <cdr:cNvSpPr txBox="1"/>
      </cdr:nvSpPr>
      <cdr:spPr>
        <a:xfrm xmlns:a="http://schemas.openxmlformats.org/drawingml/2006/main">
          <a:off x="0" y="45324"/>
          <a:ext cx="5254580" cy="36422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b="1" u="none" spc="-20"/>
            <a:t>Cinq premières origines des revendications de priorité, par partie contractante désignée</a:t>
          </a:r>
          <a:r>
            <a:rPr lang="en-US" sz="1200" b="1" u="none" spc="-20" baseline="0"/>
            <a:t>  </a:t>
          </a:r>
          <a:br>
            <a:rPr lang="en-US" sz="1200" b="1" u="none" spc="-20" baseline="0"/>
          </a:br>
          <a:r>
            <a:rPr lang="en-US" sz="1200" b="1" u="none" spc="-20" baseline="0">
              <a:solidFill>
                <a:sysClr val="windowText" lastClr="000000"/>
              </a:solidFill>
            </a:rPr>
            <a:t>2014</a:t>
          </a:r>
        </a:p>
      </cdr:txBody>
    </cdr:sp>
  </cdr:relSizeAnchor>
  <cdr:relSizeAnchor xmlns:cdr="http://schemas.openxmlformats.org/drawingml/2006/chartDrawing">
    <cdr:from>
      <cdr:x>0.32439</cdr:x>
      <cdr:y>0.86826</cdr:y>
    </cdr:from>
    <cdr:to>
      <cdr:x>0.51205</cdr:x>
      <cdr:y>1</cdr:y>
    </cdr:to>
    <cdr:sp macro="" textlink="">
      <cdr:nvSpPr>
        <cdr:cNvPr id="5" name="TextBox 1"/>
        <cdr:cNvSpPr txBox="1"/>
      </cdr:nvSpPr>
      <cdr:spPr>
        <a:xfrm xmlns:a="http://schemas.openxmlformats.org/drawingml/2006/main">
          <a:off x="1718149" y="2540880"/>
          <a:ext cx="993956" cy="3855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a:t>Quand le</a:t>
          </a:r>
          <a:r>
            <a:rPr lang="en-US" sz="800" baseline="0"/>
            <a:t> Japon est désigné </a:t>
          </a:r>
          <a:endParaRPr lang="en-US" sz="800"/>
        </a:p>
      </cdr:txBody>
    </cdr:sp>
  </cdr:relSizeAnchor>
  <cdr:relSizeAnchor xmlns:cdr="http://schemas.openxmlformats.org/drawingml/2006/chartDrawing">
    <cdr:from>
      <cdr:x>0.52516</cdr:x>
      <cdr:y>0.86527</cdr:y>
    </cdr:from>
    <cdr:to>
      <cdr:x>0.74306</cdr:x>
      <cdr:y>0.99701</cdr:y>
    </cdr:to>
    <cdr:sp macro="" textlink="">
      <cdr:nvSpPr>
        <cdr:cNvPr id="6" name="TextBox 1"/>
        <cdr:cNvSpPr txBox="1"/>
      </cdr:nvSpPr>
      <cdr:spPr>
        <a:xfrm xmlns:a="http://schemas.openxmlformats.org/drawingml/2006/main">
          <a:off x="2762518" y="2564267"/>
          <a:ext cx="1146220" cy="39041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a:t>Quand la République de</a:t>
          </a:r>
          <a:r>
            <a:rPr lang="en-US" sz="800" baseline="0"/>
            <a:t> </a:t>
          </a:r>
          <a:r>
            <a:rPr lang="en-US" sz="800"/>
            <a:t>Corée est</a:t>
          </a:r>
          <a:r>
            <a:rPr lang="en-US" sz="800" baseline="0"/>
            <a:t> désignée</a:t>
          </a:r>
          <a:endParaRPr lang="en-US" sz="800"/>
        </a:p>
      </cdr:txBody>
    </cdr:sp>
  </cdr:relSizeAnchor>
  <cdr:relSizeAnchor xmlns:cdr="http://schemas.openxmlformats.org/drawingml/2006/chartDrawing">
    <cdr:from>
      <cdr:x>0.7502</cdr:x>
      <cdr:y>0.86826</cdr:y>
    </cdr:from>
    <cdr:to>
      <cdr:x>0.99156</cdr:x>
      <cdr:y>0.99953</cdr:y>
    </cdr:to>
    <cdr:sp macro="" textlink="">
      <cdr:nvSpPr>
        <cdr:cNvPr id="7" name="TextBox 1"/>
        <cdr:cNvSpPr txBox="1"/>
      </cdr:nvSpPr>
      <cdr:spPr>
        <a:xfrm xmlns:a="http://schemas.openxmlformats.org/drawingml/2006/main">
          <a:off x="3946281" y="2573128"/>
          <a:ext cx="1269662" cy="3890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a:t>Quand</a:t>
          </a:r>
          <a:r>
            <a:rPr lang="en-US" sz="800" baseline="0"/>
            <a:t> les États-Unis sont désignés</a:t>
          </a:r>
          <a:endParaRPr lang="en-US" sz="800"/>
        </a:p>
      </cdr:txBody>
    </cdr:sp>
  </cdr:relSizeAnchor>
  <cdr:relSizeAnchor xmlns:cdr="http://schemas.openxmlformats.org/drawingml/2006/chartDrawing">
    <cdr:from>
      <cdr:x>0.23453</cdr:x>
      <cdr:y>0.81457</cdr:y>
    </cdr:from>
    <cdr:to>
      <cdr:x>0.27074</cdr:x>
      <cdr:y>0.85922</cdr:y>
    </cdr:to>
    <cdr:sp macro="" textlink="">
      <cdr:nvSpPr>
        <cdr:cNvPr id="13" name="Rectangle 12"/>
        <cdr:cNvSpPr/>
      </cdr:nvSpPr>
      <cdr:spPr>
        <a:xfrm xmlns:a="http://schemas.openxmlformats.org/drawingml/2006/main">
          <a:off x="1233721" y="2414010"/>
          <a:ext cx="190477" cy="132323"/>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0.12371</cdr:x>
      <cdr:y>0.78938</cdr:y>
    </cdr:from>
    <cdr:to>
      <cdr:x>0.71771</cdr:x>
      <cdr:y>0.86004</cdr:y>
    </cdr:to>
    <cdr:grpSp>
      <cdr:nvGrpSpPr>
        <cdr:cNvPr id="8" name="Group 7"/>
        <cdr:cNvGrpSpPr/>
      </cdr:nvGrpSpPr>
      <cdr:grpSpPr>
        <a:xfrm xmlns:a="http://schemas.openxmlformats.org/drawingml/2006/main">
          <a:off x="650739" y="2339353"/>
          <a:ext cx="3124668" cy="209408"/>
          <a:chOff x="945304" y="2312592"/>
          <a:chExt cx="4020964" cy="226031"/>
        </a:xfrm>
      </cdr:grpSpPr>
      <cdr:sp macro="" textlink="">
        <cdr:nvSpPr>
          <cdr:cNvPr id="10" name="Rectangle 9"/>
          <cdr:cNvSpPr/>
        </cdr:nvSpPr>
        <cdr:spPr>
          <a:xfrm xmlns:a="http://schemas.openxmlformats.org/drawingml/2006/main">
            <a:off x="945304" y="2327817"/>
            <a:ext cx="245099" cy="210213"/>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sp macro="" textlink="">
        <cdr:nvSpPr>
          <cdr:cNvPr id="11" name="Rectangle 10"/>
          <cdr:cNvSpPr/>
        </cdr:nvSpPr>
        <cdr:spPr>
          <a:xfrm xmlns:a="http://schemas.openxmlformats.org/drawingml/2006/main">
            <a:off x="1204361" y="2312592"/>
            <a:ext cx="241183" cy="225154"/>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12" name="Rectangle 11"/>
          <cdr:cNvSpPr/>
        </cdr:nvSpPr>
        <cdr:spPr>
          <a:xfrm xmlns:a="http://schemas.openxmlformats.org/drawingml/2006/main">
            <a:off x="1462210" y="2323127"/>
            <a:ext cx="241263" cy="207005"/>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14" name="Rectangle 13"/>
          <cdr:cNvSpPr/>
        </cdr:nvSpPr>
        <cdr:spPr>
          <a:xfrm xmlns:a="http://schemas.openxmlformats.org/drawingml/2006/main">
            <a:off x="1939546" y="2471038"/>
            <a:ext cx="241982" cy="58873"/>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15" name="Rectangle 14"/>
          <cdr:cNvSpPr/>
        </cdr:nvSpPr>
        <cdr:spPr>
          <a:xfrm xmlns:a="http://schemas.openxmlformats.org/drawingml/2006/main">
            <a:off x="4221896" y="2500603"/>
            <a:ext cx="246138" cy="36684"/>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16" name="Rectangle 15"/>
          <cdr:cNvSpPr/>
        </cdr:nvSpPr>
        <cdr:spPr>
          <a:xfrm xmlns:a="http://schemas.openxmlformats.org/drawingml/2006/main">
            <a:off x="3706279" y="2491745"/>
            <a:ext cx="245177" cy="45416"/>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17" name="Rectangle 16"/>
          <cdr:cNvSpPr/>
        </cdr:nvSpPr>
        <cdr:spPr>
          <a:xfrm xmlns:a="http://schemas.openxmlformats.org/drawingml/2006/main">
            <a:off x="4719651" y="2511296"/>
            <a:ext cx="246617" cy="27327"/>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18" name="Rectangle 17"/>
          <cdr:cNvSpPr/>
        </cdr:nvSpPr>
        <cdr:spPr>
          <a:xfrm xmlns:a="http://schemas.openxmlformats.org/drawingml/2006/main">
            <a:off x="4474507" y="2506728"/>
            <a:ext cx="237187" cy="27090"/>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20" name="Rectangle 19"/>
          <cdr:cNvSpPr/>
        </cdr:nvSpPr>
        <cdr:spPr>
          <a:xfrm xmlns:a="http://schemas.openxmlformats.org/drawingml/2006/main">
            <a:off x="3966249" y="2491425"/>
            <a:ext cx="246297" cy="45981"/>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grpSp>
  </cdr:relSizeAnchor>
</c:userShapes>
</file>

<file path=word/drawings/drawing5.xml><?xml version="1.0" encoding="utf-8"?>
<c:userShapes xmlns:c="http://schemas.openxmlformats.org/drawingml/2006/chart">
  <cdr:relSizeAnchor xmlns:cdr="http://schemas.openxmlformats.org/drawingml/2006/chartDrawing">
    <cdr:from>
      <cdr:x>0.10356</cdr:x>
      <cdr:y>0.86406</cdr:y>
    </cdr:from>
    <cdr:to>
      <cdr:x>0.30808</cdr:x>
      <cdr:y>0.99368</cdr:y>
    </cdr:to>
    <cdr:sp macro="" textlink="">
      <cdr:nvSpPr>
        <cdr:cNvPr id="2" name="TextBox 1"/>
        <cdr:cNvSpPr txBox="1"/>
      </cdr:nvSpPr>
      <cdr:spPr>
        <a:xfrm xmlns:a="http://schemas.openxmlformats.org/drawingml/2006/main">
          <a:off x="615192" y="2359320"/>
          <a:ext cx="1214935" cy="35392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a:t>Quand l</a:t>
          </a:r>
          <a:r>
            <a:rPr lang="fr-FR" sz="800">
              <a:effectLst/>
              <a:latin typeface="+mn-lt"/>
              <a:ea typeface="+mn-ea"/>
              <a:cs typeface="+mn-cs"/>
            </a:rPr>
            <a:t>’</a:t>
          </a:r>
          <a:r>
            <a:rPr lang="en-US" sz="800"/>
            <a:t>UE est désignée</a:t>
          </a:r>
        </a:p>
      </cdr:txBody>
    </cdr:sp>
  </cdr:relSizeAnchor>
  <cdr:relSizeAnchor xmlns:cdr="http://schemas.openxmlformats.org/drawingml/2006/chartDrawing">
    <cdr:from>
      <cdr:x>0.50963</cdr:x>
      <cdr:y>0.89526</cdr:y>
    </cdr:from>
    <cdr:to>
      <cdr:x>0.72419</cdr:x>
      <cdr:y>0.98909</cdr:y>
    </cdr:to>
    <cdr:sp macro="" textlink="">
      <cdr:nvSpPr>
        <cdr:cNvPr id="3"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0.01192</cdr:x>
      <cdr:y>0.01921</cdr:y>
    </cdr:from>
    <cdr:to>
      <cdr:x>1</cdr:x>
      <cdr:y>0.14211</cdr:y>
    </cdr:to>
    <cdr:sp macro="" textlink="">
      <cdr:nvSpPr>
        <cdr:cNvPr id="4" name="TextBox 1"/>
        <cdr:cNvSpPr txBox="1"/>
      </cdr:nvSpPr>
      <cdr:spPr>
        <a:xfrm xmlns:a="http://schemas.openxmlformats.org/drawingml/2006/main">
          <a:off x="74009" y="52448"/>
          <a:ext cx="5869591" cy="33557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b="1" u="none"/>
            <a:t>Cinq premières origines des revendications de priorité, par partie contractante désignée </a:t>
          </a:r>
          <a:br>
            <a:rPr lang="en-US" sz="1200" b="1" u="none"/>
          </a:br>
          <a:r>
            <a:rPr lang="en-US" sz="1200" b="1" u="none" baseline="0"/>
            <a:t>2015</a:t>
          </a:r>
        </a:p>
      </cdr:txBody>
    </cdr:sp>
  </cdr:relSizeAnchor>
  <cdr:relSizeAnchor xmlns:cdr="http://schemas.openxmlformats.org/drawingml/2006/chartDrawing">
    <cdr:from>
      <cdr:x>0.33171</cdr:x>
      <cdr:y>0.86194</cdr:y>
    </cdr:from>
    <cdr:to>
      <cdr:x>0.51937</cdr:x>
      <cdr:y>0.99368</cdr:y>
    </cdr:to>
    <cdr:sp macro="" textlink="">
      <cdr:nvSpPr>
        <cdr:cNvPr id="5" name="TextBox 1"/>
        <cdr:cNvSpPr txBox="1"/>
      </cdr:nvSpPr>
      <cdr:spPr>
        <a:xfrm xmlns:a="http://schemas.openxmlformats.org/drawingml/2006/main">
          <a:off x="1970484" y="2353531"/>
          <a:ext cx="1114780" cy="3597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a:t>Quand le</a:t>
          </a:r>
          <a:r>
            <a:rPr lang="en-US" sz="800" baseline="0"/>
            <a:t> Japon est désigné </a:t>
          </a:r>
          <a:endParaRPr lang="en-US" sz="800"/>
        </a:p>
      </cdr:txBody>
    </cdr:sp>
  </cdr:relSizeAnchor>
  <cdr:relSizeAnchor xmlns:cdr="http://schemas.openxmlformats.org/drawingml/2006/chartDrawing">
    <cdr:from>
      <cdr:x>0.53875</cdr:x>
      <cdr:y>0.86211</cdr:y>
    </cdr:from>
    <cdr:to>
      <cdr:x>0.72859</cdr:x>
      <cdr:y>0.99385</cdr:y>
    </cdr:to>
    <cdr:sp macro="" textlink="">
      <cdr:nvSpPr>
        <cdr:cNvPr id="6" name="TextBox 1"/>
        <cdr:cNvSpPr txBox="1"/>
      </cdr:nvSpPr>
      <cdr:spPr>
        <a:xfrm xmlns:a="http://schemas.openxmlformats.org/drawingml/2006/main">
          <a:off x="3200400" y="2353991"/>
          <a:ext cx="1127733" cy="3597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a:t>Quand la République de Corée est</a:t>
          </a:r>
          <a:r>
            <a:rPr lang="en-US" sz="800" baseline="0"/>
            <a:t> désignée</a:t>
          </a:r>
          <a:endParaRPr lang="en-US" sz="800"/>
        </a:p>
      </cdr:txBody>
    </cdr:sp>
  </cdr:relSizeAnchor>
  <cdr:relSizeAnchor xmlns:cdr="http://schemas.openxmlformats.org/drawingml/2006/chartDrawing">
    <cdr:from>
      <cdr:x>0.75087</cdr:x>
      <cdr:y>0.86194</cdr:y>
    </cdr:from>
    <cdr:to>
      <cdr:x>0.97084</cdr:x>
      <cdr:y>0.99368</cdr:y>
    </cdr:to>
    <cdr:sp macro="" textlink="">
      <cdr:nvSpPr>
        <cdr:cNvPr id="7" name="TextBox 1"/>
        <cdr:cNvSpPr txBox="1"/>
      </cdr:nvSpPr>
      <cdr:spPr>
        <a:xfrm xmlns:a="http://schemas.openxmlformats.org/drawingml/2006/main">
          <a:off x="4460488" y="2353531"/>
          <a:ext cx="1306716" cy="3597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a:t>Quand</a:t>
          </a:r>
          <a:r>
            <a:rPr lang="en-US" sz="800" baseline="0"/>
            <a:t> les États-Unis d'Amérique sont désignés</a:t>
          </a:r>
          <a:endParaRPr lang="en-US" sz="800"/>
        </a:p>
      </cdr:txBody>
    </cdr:sp>
  </cdr:relSizeAnchor>
  <cdr:relSizeAnchor xmlns:cdr="http://schemas.openxmlformats.org/drawingml/2006/chartDrawing">
    <cdr:from>
      <cdr:x>0.12193</cdr:x>
      <cdr:y>0.43736</cdr:y>
    </cdr:from>
    <cdr:to>
      <cdr:x>0.9316</cdr:x>
      <cdr:y>0.86722</cdr:y>
    </cdr:to>
    <cdr:grpSp>
      <cdr:nvGrpSpPr>
        <cdr:cNvPr id="30" name="Group 29"/>
        <cdr:cNvGrpSpPr/>
      </cdr:nvGrpSpPr>
      <cdr:grpSpPr>
        <a:xfrm xmlns:a="http://schemas.openxmlformats.org/drawingml/2006/main">
          <a:off x="724316" y="1194205"/>
          <a:ext cx="4809792" cy="1173743"/>
          <a:chOff x="925093" y="1260995"/>
          <a:chExt cx="5547362" cy="1279552"/>
        </a:xfrm>
      </cdr:grpSpPr>
      <cdr:sp macro="" textlink="">
        <cdr:nvSpPr>
          <cdr:cNvPr id="8" name="Rectangle 7"/>
          <cdr:cNvSpPr/>
        </cdr:nvSpPr>
        <cdr:spPr>
          <a:xfrm xmlns:a="http://schemas.openxmlformats.org/drawingml/2006/main">
            <a:off x="925093" y="1260995"/>
            <a:ext cx="237747" cy="1278038"/>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9" name="Rectangle 8"/>
          <cdr:cNvSpPr/>
        </cdr:nvSpPr>
        <cdr:spPr>
          <a:xfrm xmlns:a="http://schemas.openxmlformats.org/drawingml/2006/main">
            <a:off x="1165477" y="2179397"/>
            <a:ext cx="237746" cy="358715"/>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10" name="Rectangle 9"/>
          <cdr:cNvSpPr/>
        </cdr:nvSpPr>
        <cdr:spPr>
          <a:xfrm xmlns:a="http://schemas.openxmlformats.org/drawingml/2006/main">
            <a:off x="1408338" y="2291218"/>
            <a:ext cx="237746" cy="242122"/>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11" name="Rectangle 10"/>
          <cdr:cNvSpPr/>
        </cdr:nvSpPr>
        <cdr:spPr>
          <a:xfrm xmlns:a="http://schemas.openxmlformats.org/drawingml/2006/main">
            <a:off x="1647922" y="2329777"/>
            <a:ext cx="237746" cy="207682"/>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12" name="Rectangle 11"/>
          <cdr:cNvSpPr/>
        </cdr:nvSpPr>
        <cdr:spPr>
          <a:xfrm xmlns:a="http://schemas.openxmlformats.org/drawingml/2006/main">
            <a:off x="1893420" y="2374321"/>
            <a:ext cx="233271" cy="161514"/>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14" name="Rectangle 13"/>
          <cdr:cNvSpPr/>
        </cdr:nvSpPr>
        <cdr:spPr>
          <a:xfrm xmlns:a="http://schemas.openxmlformats.org/drawingml/2006/main">
            <a:off x="3824800" y="2373155"/>
            <a:ext cx="233271" cy="161513"/>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16" name="Rectangle 15"/>
          <cdr:cNvSpPr/>
        </cdr:nvSpPr>
        <cdr:spPr>
          <a:xfrm xmlns:a="http://schemas.openxmlformats.org/drawingml/2006/main">
            <a:off x="4307725" y="2391295"/>
            <a:ext cx="237746" cy="149252"/>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17" name="Rectangle 16"/>
          <cdr:cNvSpPr/>
        </cdr:nvSpPr>
        <cdr:spPr>
          <a:xfrm xmlns:a="http://schemas.openxmlformats.org/drawingml/2006/main">
            <a:off x="4541147" y="2450416"/>
            <a:ext cx="233271" cy="83339"/>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18" name="Rectangle 17"/>
          <cdr:cNvSpPr/>
        </cdr:nvSpPr>
        <cdr:spPr>
          <a:xfrm xmlns:a="http://schemas.openxmlformats.org/drawingml/2006/main">
            <a:off x="4787443" y="2457423"/>
            <a:ext cx="233272" cy="75294"/>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19" name="Rectangle 18"/>
          <cdr:cNvSpPr/>
        </cdr:nvSpPr>
        <cdr:spPr>
          <a:xfrm xmlns:a="http://schemas.openxmlformats.org/drawingml/2006/main">
            <a:off x="2372631" y="2384216"/>
            <a:ext cx="233272" cy="149994"/>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20" name="Rectangle 19"/>
          <cdr:cNvSpPr/>
        </cdr:nvSpPr>
        <cdr:spPr>
          <a:xfrm xmlns:a="http://schemas.openxmlformats.org/drawingml/2006/main">
            <a:off x="3346350" y="2476841"/>
            <a:ext cx="233271" cy="57124"/>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21" name="Rectangle 20"/>
          <cdr:cNvSpPr/>
        </cdr:nvSpPr>
        <cdr:spPr>
          <a:xfrm xmlns:a="http://schemas.openxmlformats.org/drawingml/2006/main">
            <a:off x="3094939" y="2466509"/>
            <a:ext cx="233272" cy="66595"/>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22" name="Rectangle 21"/>
          <cdr:cNvSpPr/>
        </cdr:nvSpPr>
        <cdr:spPr>
          <a:xfrm xmlns:a="http://schemas.openxmlformats.org/drawingml/2006/main">
            <a:off x="2858631" y="2446319"/>
            <a:ext cx="233271" cy="85566"/>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23" name="Rectangle 22"/>
          <cdr:cNvSpPr/>
        </cdr:nvSpPr>
        <cdr:spPr>
          <a:xfrm xmlns:a="http://schemas.openxmlformats.org/drawingml/2006/main">
            <a:off x="2616329" y="2440492"/>
            <a:ext cx="233271" cy="99788"/>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24" name="Rectangle 23"/>
          <cdr:cNvSpPr/>
        </cdr:nvSpPr>
        <cdr:spPr>
          <a:xfrm xmlns:a="http://schemas.openxmlformats.org/drawingml/2006/main">
            <a:off x="5273174" y="2322837"/>
            <a:ext cx="233271" cy="210977"/>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25" name="Rectangle 24"/>
          <cdr:cNvSpPr/>
        </cdr:nvSpPr>
        <cdr:spPr>
          <a:xfrm xmlns:a="http://schemas.openxmlformats.org/drawingml/2006/main">
            <a:off x="5520190" y="2323638"/>
            <a:ext cx="226319" cy="207949"/>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26" name="Rectangle 25"/>
          <cdr:cNvSpPr/>
        </cdr:nvSpPr>
        <cdr:spPr>
          <a:xfrm xmlns:a="http://schemas.openxmlformats.org/drawingml/2006/main">
            <a:off x="5759696" y="2423064"/>
            <a:ext cx="230074" cy="111159"/>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27" name="Rectangle 26"/>
          <cdr:cNvSpPr/>
        </cdr:nvSpPr>
        <cdr:spPr>
          <a:xfrm xmlns:a="http://schemas.openxmlformats.org/drawingml/2006/main">
            <a:off x="5999120" y="2434316"/>
            <a:ext cx="230075" cy="104361"/>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28" name="Rectangle 27"/>
          <cdr:cNvSpPr/>
        </cdr:nvSpPr>
        <cdr:spPr>
          <a:xfrm xmlns:a="http://schemas.openxmlformats.org/drawingml/2006/main">
            <a:off x="6242381" y="2445569"/>
            <a:ext cx="230074" cy="90079"/>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15" name="Rectangle 14"/>
          <cdr:cNvSpPr/>
        </cdr:nvSpPr>
        <cdr:spPr>
          <a:xfrm xmlns:a="http://schemas.openxmlformats.org/drawingml/2006/main">
            <a:off x="4067822" y="2389225"/>
            <a:ext cx="231912" cy="143254"/>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grpSp>
  </cdr:relSizeAnchor>
</c:userShapes>
</file>

<file path=word/drawings/drawing6.xml><?xml version="1.0" encoding="utf-8"?>
<c:userShapes xmlns:c="http://schemas.openxmlformats.org/drawingml/2006/chart">
  <cdr:relSizeAnchor xmlns:cdr="http://schemas.openxmlformats.org/drawingml/2006/chartDrawing">
    <cdr:from>
      <cdr:x>0.10026</cdr:x>
      <cdr:y>0.87038</cdr:y>
    </cdr:from>
    <cdr:to>
      <cdr:x>0.31662</cdr:x>
      <cdr:y>1</cdr:y>
    </cdr:to>
    <cdr:sp macro="" textlink="">
      <cdr:nvSpPr>
        <cdr:cNvPr id="2" name="TextBox 1"/>
        <cdr:cNvSpPr txBox="1"/>
      </cdr:nvSpPr>
      <cdr:spPr>
        <a:xfrm xmlns:a="http://schemas.openxmlformats.org/drawingml/2006/main">
          <a:off x="603250" y="2548159"/>
          <a:ext cx="1301750" cy="37948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a:latin typeface="+mn-lt"/>
              <a:cs typeface="Arial" panose="020B0604020202020204" pitchFamily="34" charset="0"/>
            </a:rPr>
            <a:t>Quand l</a:t>
          </a:r>
          <a:r>
            <a:rPr lang="fr-FR" sz="800">
              <a:effectLst/>
              <a:latin typeface="+mn-lt"/>
              <a:ea typeface="+mn-ea"/>
              <a:cs typeface="Arial" panose="020B0604020202020204" pitchFamily="34" charset="0"/>
            </a:rPr>
            <a:t>’</a:t>
          </a:r>
          <a:r>
            <a:rPr lang="en-US" sz="800">
              <a:latin typeface="+mn-lt"/>
              <a:cs typeface="Arial" panose="020B0604020202020204" pitchFamily="34" charset="0"/>
            </a:rPr>
            <a:t>UE est désignée</a:t>
          </a:r>
        </a:p>
      </cdr:txBody>
    </cdr:sp>
  </cdr:relSizeAnchor>
  <cdr:relSizeAnchor xmlns:cdr="http://schemas.openxmlformats.org/drawingml/2006/chartDrawing">
    <cdr:from>
      <cdr:x>0.50963</cdr:x>
      <cdr:y>0.89526</cdr:y>
    </cdr:from>
    <cdr:to>
      <cdr:x>0.72419</cdr:x>
      <cdr:y>0.98909</cdr:y>
    </cdr:to>
    <cdr:sp macro="" textlink="">
      <cdr:nvSpPr>
        <cdr:cNvPr id="3"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0.00867</cdr:x>
      <cdr:y>0.01881</cdr:y>
    </cdr:from>
    <cdr:to>
      <cdr:x>0.99403</cdr:x>
      <cdr:y>0.14171</cdr:y>
    </cdr:to>
    <cdr:sp macro="" textlink="">
      <cdr:nvSpPr>
        <cdr:cNvPr id="4" name="TextBox 1"/>
        <cdr:cNvSpPr txBox="1"/>
      </cdr:nvSpPr>
      <cdr:spPr>
        <a:xfrm xmlns:a="http://schemas.openxmlformats.org/drawingml/2006/main">
          <a:off x="51516" y="54352"/>
          <a:ext cx="5853448" cy="35516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b="1" u="none"/>
            <a:t>Cinq premières origines des revendications de priorité, par partie contractante désignée </a:t>
          </a:r>
          <a:r>
            <a:rPr lang="en-US" sz="1200" b="1" u="none" baseline="0"/>
            <a:t>janvier-mars 2016</a:t>
          </a:r>
        </a:p>
      </cdr:txBody>
    </cdr:sp>
  </cdr:relSizeAnchor>
  <cdr:relSizeAnchor xmlns:cdr="http://schemas.openxmlformats.org/drawingml/2006/chartDrawing">
    <cdr:from>
      <cdr:x>0.3219</cdr:x>
      <cdr:y>0.86826</cdr:y>
    </cdr:from>
    <cdr:to>
      <cdr:x>0.51847</cdr:x>
      <cdr:y>1</cdr:y>
    </cdr:to>
    <cdr:sp macro="" textlink="">
      <cdr:nvSpPr>
        <cdr:cNvPr id="5" name="TextBox 1"/>
        <cdr:cNvSpPr txBox="1"/>
      </cdr:nvSpPr>
      <cdr:spPr>
        <a:xfrm xmlns:a="http://schemas.openxmlformats.org/drawingml/2006/main">
          <a:off x="1936750" y="2541953"/>
          <a:ext cx="1182688" cy="38568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a:latin typeface="+mn-lt"/>
              <a:cs typeface="Arial" panose="020B0604020202020204" pitchFamily="34" charset="0"/>
            </a:rPr>
            <a:t>Quand le</a:t>
          </a:r>
          <a:r>
            <a:rPr lang="en-US" sz="800" baseline="0">
              <a:latin typeface="+mn-lt"/>
              <a:cs typeface="Arial" panose="020B0604020202020204" pitchFamily="34" charset="0"/>
            </a:rPr>
            <a:t> Japon est désigné </a:t>
          </a:r>
          <a:endParaRPr lang="en-US" sz="800">
            <a:latin typeface="+mn-lt"/>
            <a:cs typeface="Arial" panose="020B0604020202020204" pitchFamily="34" charset="0"/>
          </a:endParaRPr>
        </a:p>
      </cdr:txBody>
    </cdr:sp>
  </cdr:relSizeAnchor>
  <cdr:relSizeAnchor xmlns:cdr="http://schemas.openxmlformats.org/drawingml/2006/chartDrawing">
    <cdr:from>
      <cdr:x>0.54354</cdr:x>
      <cdr:y>0.86527</cdr:y>
    </cdr:from>
    <cdr:to>
      <cdr:x>0.73483</cdr:x>
      <cdr:y>0.99701</cdr:y>
    </cdr:to>
    <cdr:sp macro="" textlink="">
      <cdr:nvSpPr>
        <cdr:cNvPr id="6" name="TextBox 1"/>
        <cdr:cNvSpPr txBox="1"/>
      </cdr:nvSpPr>
      <cdr:spPr>
        <a:xfrm xmlns:a="http://schemas.openxmlformats.org/drawingml/2006/main">
          <a:off x="3270250" y="2533199"/>
          <a:ext cx="1150937" cy="38568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a:latin typeface="+mn-lt"/>
              <a:cs typeface="Arial" panose="020B0604020202020204" pitchFamily="34" charset="0"/>
            </a:rPr>
            <a:t>Quand la République de Corée est</a:t>
          </a:r>
          <a:r>
            <a:rPr lang="en-US" sz="800" baseline="0">
              <a:latin typeface="+mn-lt"/>
              <a:cs typeface="Arial" panose="020B0604020202020204" pitchFamily="34" charset="0"/>
            </a:rPr>
            <a:t> désignée</a:t>
          </a:r>
          <a:endParaRPr lang="en-US" sz="800">
            <a:latin typeface="+mn-lt"/>
            <a:cs typeface="Arial" panose="020B0604020202020204" pitchFamily="34" charset="0"/>
          </a:endParaRPr>
        </a:p>
      </cdr:txBody>
    </cdr:sp>
  </cdr:relSizeAnchor>
  <cdr:relSizeAnchor xmlns:cdr="http://schemas.openxmlformats.org/drawingml/2006/chartDrawing">
    <cdr:from>
      <cdr:x>0.74142</cdr:x>
      <cdr:y>0.86826</cdr:y>
    </cdr:from>
    <cdr:to>
      <cdr:x>1</cdr:x>
      <cdr:y>1</cdr:y>
    </cdr:to>
    <cdr:sp macro="" textlink="">
      <cdr:nvSpPr>
        <cdr:cNvPr id="7" name="TextBox 1"/>
        <cdr:cNvSpPr txBox="1"/>
      </cdr:nvSpPr>
      <cdr:spPr>
        <a:xfrm xmlns:a="http://schemas.openxmlformats.org/drawingml/2006/main">
          <a:off x="4460875" y="2541953"/>
          <a:ext cx="1555750" cy="38568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a:latin typeface="+mn-lt"/>
            </a:rPr>
            <a:t>Quand</a:t>
          </a:r>
          <a:r>
            <a:rPr lang="en-US" sz="800" baseline="0">
              <a:latin typeface="+mn-lt"/>
            </a:rPr>
            <a:t> les États-Unis d'Amérique sont désignés</a:t>
          </a:r>
          <a:endParaRPr lang="en-US" sz="800">
            <a:latin typeface="+mn-lt"/>
          </a:endParaRPr>
        </a:p>
      </cdr:txBody>
    </cdr:sp>
  </cdr:relSizeAnchor>
  <cdr:relSizeAnchor xmlns:cdr="http://schemas.openxmlformats.org/drawingml/2006/chartDrawing">
    <cdr:from>
      <cdr:x>0.53948</cdr:x>
      <cdr:y>0.85083</cdr:y>
    </cdr:from>
    <cdr:to>
      <cdr:x>0.56877</cdr:x>
      <cdr:y>0.85388</cdr:y>
    </cdr:to>
    <cdr:sp macro="" textlink="">
      <cdr:nvSpPr>
        <cdr:cNvPr id="15" name="Rectangle 14"/>
        <cdr:cNvSpPr/>
      </cdr:nvSpPr>
      <cdr:spPr>
        <a:xfrm xmlns:a="http://schemas.openxmlformats.org/drawingml/2006/main">
          <a:off x="4326467" y="2544938"/>
          <a:ext cx="234896" cy="9144"/>
        </a:xfrm>
        <a:prstGeom xmlns:a="http://schemas.openxmlformats.org/drawingml/2006/main" prst="rect">
          <a:avLst/>
        </a:prstGeom>
        <a:solidFill xmlns:a="http://schemas.openxmlformats.org/drawingml/2006/main">
          <a:schemeClr val="accent4">
            <a:lumMod val="40000"/>
            <a:lumOff val="6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0.56939</cdr:x>
      <cdr:y>0.85083</cdr:y>
    </cdr:from>
    <cdr:to>
      <cdr:x>0.59868</cdr:x>
      <cdr:y>0.85388</cdr:y>
    </cdr:to>
    <cdr:sp macro="" textlink="">
      <cdr:nvSpPr>
        <cdr:cNvPr id="16" name="Rectangle 15"/>
        <cdr:cNvSpPr/>
      </cdr:nvSpPr>
      <cdr:spPr>
        <a:xfrm xmlns:a="http://schemas.openxmlformats.org/drawingml/2006/main">
          <a:off x="4566356" y="2544938"/>
          <a:ext cx="234896" cy="9144"/>
        </a:xfrm>
        <a:prstGeom xmlns:a="http://schemas.openxmlformats.org/drawingml/2006/main" prst="rect">
          <a:avLst/>
        </a:prstGeom>
        <a:solidFill xmlns:a="http://schemas.openxmlformats.org/drawingml/2006/main">
          <a:schemeClr val="accent4">
            <a:lumMod val="40000"/>
            <a:lumOff val="6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0.5993</cdr:x>
      <cdr:y>0.85201</cdr:y>
    </cdr:from>
    <cdr:to>
      <cdr:x>0.62859</cdr:x>
      <cdr:y>0.85506</cdr:y>
    </cdr:to>
    <cdr:sp macro="" textlink="">
      <cdr:nvSpPr>
        <cdr:cNvPr id="17" name="Rectangle 16"/>
        <cdr:cNvSpPr/>
      </cdr:nvSpPr>
      <cdr:spPr>
        <a:xfrm xmlns:a="http://schemas.openxmlformats.org/drawingml/2006/main">
          <a:off x="4806244" y="2548467"/>
          <a:ext cx="234896" cy="9144"/>
        </a:xfrm>
        <a:prstGeom xmlns:a="http://schemas.openxmlformats.org/drawingml/2006/main" prst="rect">
          <a:avLst/>
        </a:prstGeom>
        <a:solidFill xmlns:a="http://schemas.openxmlformats.org/drawingml/2006/main">
          <a:schemeClr val="accent4">
            <a:lumMod val="40000"/>
            <a:lumOff val="6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0.35783</cdr:x>
      <cdr:y>0.84594</cdr:y>
    </cdr:from>
    <cdr:to>
      <cdr:x>0.38751</cdr:x>
      <cdr:y>0.85503</cdr:y>
    </cdr:to>
    <cdr:sp macro="" textlink="">
      <cdr:nvSpPr>
        <cdr:cNvPr id="20" name="Rectangle 19"/>
        <cdr:cNvSpPr/>
      </cdr:nvSpPr>
      <cdr:spPr>
        <a:xfrm xmlns:a="http://schemas.openxmlformats.org/drawingml/2006/main">
          <a:off x="2866390" y="2553970"/>
          <a:ext cx="237744" cy="27432"/>
        </a:xfrm>
        <a:prstGeom xmlns:a="http://schemas.openxmlformats.org/drawingml/2006/main" prst="rect">
          <a:avLst/>
        </a:prstGeom>
        <a:solidFill xmlns:a="http://schemas.openxmlformats.org/drawingml/2006/main">
          <a:schemeClr val="accent4">
            <a:lumMod val="40000"/>
            <a:lumOff val="6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0.38732</cdr:x>
      <cdr:y>0.85225</cdr:y>
    </cdr:from>
    <cdr:to>
      <cdr:x>0.417</cdr:x>
      <cdr:y>0.85528</cdr:y>
    </cdr:to>
    <cdr:sp macro="" textlink="">
      <cdr:nvSpPr>
        <cdr:cNvPr id="21" name="Rectangle 20"/>
        <cdr:cNvSpPr/>
      </cdr:nvSpPr>
      <cdr:spPr>
        <a:xfrm xmlns:a="http://schemas.openxmlformats.org/drawingml/2006/main">
          <a:off x="3102610" y="2573020"/>
          <a:ext cx="237744" cy="9144"/>
        </a:xfrm>
        <a:prstGeom xmlns:a="http://schemas.openxmlformats.org/drawingml/2006/main" prst="rect">
          <a:avLst/>
        </a:prstGeom>
        <a:solidFill xmlns:a="http://schemas.openxmlformats.org/drawingml/2006/main">
          <a:schemeClr val="accent4">
            <a:lumMod val="40000"/>
            <a:lumOff val="6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0.41823</cdr:x>
      <cdr:y>0.85225</cdr:y>
    </cdr:from>
    <cdr:to>
      <cdr:x>0.44791</cdr:x>
      <cdr:y>0.85528</cdr:y>
    </cdr:to>
    <cdr:sp macro="" textlink="">
      <cdr:nvSpPr>
        <cdr:cNvPr id="22" name="Rectangle 21"/>
        <cdr:cNvSpPr/>
      </cdr:nvSpPr>
      <cdr:spPr>
        <a:xfrm xmlns:a="http://schemas.openxmlformats.org/drawingml/2006/main">
          <a:off x="3350260" y="2573020"/>
          <a:ext cx="237744" cy="9144"/>
        </a:xfrm>
        <a:prstGeom xmlns:a="http://schemas.openxmlformats.org/drawingml/2006/main" prst="rect">
          <a:avLst/>
        </a:prstGeom>
        <a:solidFill xmlns:a="http://schemas.openxmlformats.org/drawingml/2006/main">
          <a:schemeClr val="accent4">
            <a:lumMod val="40000"/>
            <a:lumOff val="6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0.78161</cdr:x>
      <cdr:y>0.85099</cdr:y>
    </cdr:from>
    <cdr:to>
      <cdr:x>0.81058</cdr:x>
      <cdr:y>0.85402</cdr:y>
    </cdr:to>
    <cdr:sp macro="" textlink="">
      <cdr:nvSpPr>
        <cdr:cNvPr id="27" name="Rectangle 26"/>
        <cdr:cNvSpPr/>
      </cdr:nvSpPr>
      <cdr:spPr>
        <a:xfrm xmlns:a="http://schemas.openxmlformats.org/drawingml/2006/main">
          <a:off x="6261100" y="2569210"/>
          <a:ext cx="232065" cy="9144"/>
        </a:xfrm>
        <a:prstGeom xmlns:a="http://schemas.openxmlformats.org/drawingml/2006/main" prst="rect">
          <a:avLst/>
        </a:prstGeom>
        <a:solidFill xmlns:a="http://schemas.openxmlformats.org/drawingml/2006/main">
          <a:schemeClr val="accent4">
            <a:lumMod val="40000"/>
            <a:lumOff val="6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0.10601</cdr:x>
      <cdr:y>0.73922</cdr:y>
    </cdr:from>
    <cdr:to>
      <cdr:x>0.94459</cdr:x>
      <cdr:y>0.86632</cdr:y>
    </cdr:to>
    <cdr:grpSp>
      <cdr:nvGrpSpPr>
        <cdr:cNvPr id="8" name="Group 7"/>
        <cdr:cNvGrpSpPr/>
      </cdr:nvGrpSpPr>
      <cdr:grpSpPr>
        <a:xfrm xmlns:a="http://schemas.openxmlformats.org/drawingml/2006/main">
          <a:off x="629728" y="2136247"/>
          <a:ext cx="4981538" cy="367305"/>
          <a:chOff x="925892" y="2170041"/>
          <a:chExt cx="5551838" cy="377691"/>
        </a:xfrm>
      </cdr:grpSpPr>
      <cdr:sp macro="" textlink="">
        <cdr:nvSpPr>
          <cdr:cNvPr id="9" name="Rectangle 8"/>
          <cdr:cNvSpPr/>
        </cdr:nvSpPr>
        <cdr:spPr>
          <a:xfrm xmlns:a="http://schemas.openxmlformats.org/drawingml/2006/main">
            <a:off x="1168274" y="2472372"/>
            <a:ext cx="229595" cy="68971"/>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10" name="Rectangle 9"/>
          <cdr:cNvSpPr/>
        </cdr:nvSpPr>
        <cdr:spPr>
          <a:xfrm xmlns:a="http://schemas.openxmlformats.org/drawingml/2006/main">
            <a:off x="1653436" y="2515104"/>
            <a:ext cx="227757" cy="27101"/>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11" name="Rectangle 10"/>
          <cdr:cNvSpPr/>
        </cdr:nvSpPr>
        <cdr:spPr>
          <a:xfrm xmlns:a="http://schemas.openxmlformats.org/drawingml/2006/main">
            <a:off x="1413692" y="2505803"/>
            <a:ext cx="237187" cy="36104"/>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26" name="Rectangle 25"/>
          <cdr:cNvSpPr/>
        </cdr:nvSpPr>
        <cdr:spPr>
          <a:xfrm xmlns:a="http://schemas.openxmlformats.org/drawingml/2006/main">
            <a:off x="6001598" y="2528624"/>
            <a:ext cx="231513" cy="18008"/>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36" name="Rectangle 7"/>
          <cdr:cNvSpPr/>
        </cdr:nvSpPr>
        <cdr:spPr>
          <a:xfrm xmlns:a="http://schemas.openxmlformats.org/drawingml/2006/main">
            <a:off x="925892" y="2170041"/>
            <a:ext cx="231753" cy="372193"/>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a:t>         </a:t>
            </a:r>
          </a:p>
        </cdr:txBody>
      </cdr:sp>
      <cdr:sp macro="" textlink="">
        <cdr:nvSpPr>
          <cdr:cNvPr id="40" name="Rectangle 11"/>
          <cdr:cNvSpPr/>
        </cdr:nvSpPr>
        <cdr:spPr>
          <a:xfrm xmlns:a="http://schemas.openxmlformats.org/drawingml/2006/main">
            <a:off x="1889664" y="2512191"/>
            <a:ext cx="234070" cy="27518"/>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41" name="Rectangle 12"/>
          <cdr:cNvSpPr/>
        </cdr:nvSpPr>
        <cdr:spPr>
          <a:xfrm xmlns:a="http://schemas.openxmlformats.org/drawingml/2006/main">
            <a:off x="3826158" y="2517154"/>
            <a:ext cx="231513" cy="27487"/>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42" name="Rectangle 13"/>
          <cdr:cNvSpPr/>
        </cdr:nvSpPr>
        <cdr:spPr>
          <a:xfrm xmlns:a="http://schemas.openxmlformats.org/drawingml/2006/main">
            <a:off x="4068700" y="2521314"/>
            <a:ext cx="234070" cy="18157"/>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43" name="Rectangle 14"/>
          <cdr:cNvSpPr/>
        </cdr:nvSpPr>
        <cdr:spPr>
          <a:xfrm xmlns:a="http://schemas.openxmlformats.org/drawingml/2006/main">
            <a:off x="4311241" y="2528327"/>
            <a:ext cx="234070" cy="9064"/>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44" name="Rectangle 15"/>
          <cdr:cNvSpPr/>
        </cdr:nvSpPr>
        <cdr:spPr>
          <a:xfrm xmlns:a="http://schemas.openxmlformats.org/drawingml/2006/main">
            <a:off x="4550266" y="2528327"/>
            <a:ext cx="234070" cy="9064"/>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45" name="Rectangle 16"/>
          <cdr:cNvSpPr/>
        </cdr:nvSpPr>
        <cdr:spPr>
          <a:xfrm xmlns:a="http://schemas.openxmlformats.org/drawingml/2006/main">
            <a:off x="4789291" y="2531834"/>
            <a:ext cx="234070" cy="9063"/>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46" name="Rectangle 17"/>
          <cdr:cNvSpPr/>
        </cdr:nvSpPr>
        <cdr:spPr>
          <a:xfrm xmlns:a="http://schemas.openxmlformats.org/drawingml/2006/main">
            <a:off x="2373069" y="2509220"/>
            <a:ext cx="237186" cy="36669"/>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47" name="Rectangle 18"/>
          <cdr:cNvSpPr/>
        </cdr:nvSpPr>
        <cdr:spPr>
          <a:xfrm xmlns:a="http://schemas.openxmlformats.org/drawingml/2006/main">
            <a:off x="2616329" y="2520245"/>
            <a:ext cx="228077" cy="27487"/>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48" name="Rectangle 19"/>
          <cdr:cNvSpPr/>
        </cdr:nvSpPr>
        <cdr:spPr>
          <a:xfrm xmlns:a="http://schemas.openxmlformats.org/drawingml/2006/main">
            <a:off x="2859589" y="2513796"/>
            <a:ext cx="237187" cy="27012"/>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49" name="Rectangle 20"/>
          <cdr:cNvSpPr/>
        </cdr:nvSpPr>
        <cdr:spPr>
          <a:xfrm xmlns:a="http://schemas.openxmlformats.org/drawingml/2006/main">
            <a:off x="3095258" y="2532547"/>
            <a:ext cx="237187" cy="9004"/>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50" name="Rectangle 21"/>
          <cdr:cNvSpPr/>
        </cdr:nvSpPr>
        <cdr:spPr>
          <a:xfrm xmlns:a="http://schemas.openxmlformats.org/drawingml/2006/main">
            <a:off x="3342275" y="2532547"/>
            <a:ext cx="237187" cy="9004"/>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51" name="Rectangle 22"/>
          <cdr:cNvSpPr/>
        </cdr:nvSpPr>
        <cdr:spPr>
          <a:xfrm xmlns:a="http://schemas.openxmlformats.org/drawingml/2006/main">
            <a:off x="5279168" y="2408334"/>
            <a:ext cx="231513" cy="133692"/>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52" name="Rectangle 23"/>
          <cdr:cNvSpPr/>
        </cdr:nvSpPr>
        <cdr:spPr>
          <a:xfrm xmlns:a="http://schemas.openxmlformats.org/drawingml/2006/main">
            <a:off x="5759696" y="2527287"/>
            <a:ext cx="231513" cy="17978"/>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53" name="Rectangle 24"/>
          <cdr:cNvSpPr/>
        </cdr:nvSpPr>
        <cdr:spPr>
          <a:xfrm xmlns:a="http://schemas.openxmlformats.org/drawingml/2006/main">
            <a:off x="5520191" y="2497868"/>
            <a:ext cx="231513" cy="36700"/>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55" name="Rectangle 26"/>
          <cdr:cNvSpPr/>
        </cdr:nvSpPr>
        <cdr:spPr>
          <a:xfrm xmlns:a="http://schemas.openxmlformats.org/drawingml/2006/main">
            <a:off x="6246217" y="2528803"/>
            <a:ext cx="231513" cy="9004"/>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grpSp>
  </cdr:relSizeAnchor>
</c:userShapes>
</file>

<file path=word/drawings/drawing7.xml><?xml version="1.0" encoding="utf-8"?>
<c:userShapes xmlns:c="http://schemas.openxmlformats.org/drawingml/2006/chart">
  <cdr:relSizeAnchor xmlns:cdr="http://schemas.openxmlformats.org/drawingml/2006/chartDrawing">
    <cdr:from>
      <cdr:x>0.50963</cdr:x>
      <cdr:y>0.89526</cdr:y>
    </cdr:from>
    <cdr:to>
      <cdr:x>0.72419</cdr:x>
      <cdr:y>0.98909</cdr:y>
    </cdr:to>
    <cdr:sp macro="" textlink="">
      <cdr:nvSpPr>
        <cdr:cNvPr id="3"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cdr:x>
      <cdr:y>0</cdr:y>
    </cdr:from>
    <cdr:to>
      <cdr:x>1</cdr:x>
      <cdr:y>0.12136</cdr:y>
    </cdr:to>
    <cdr:sp macro="" textlink="">
      <cdr:nvSpPr>
        <cdr:cNvPr id="4" name="TextBox 1"/>
        <cdr:cNvSpPr txBox="1"/>
      </cdr:nvSpPr>
      <cdr:spPr>
        <a:xfrm xmlns:a="http://schemas.openxmlformats.org/drawingml/2006/main">
          <a:off x="3676" y="0"/>
          <a:ext cx="3872865" cy="359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b="1" u="none"/>
            <a:t>Pourcentage d’autodésignations lorsque l’origine est </a:t>
          </a:r>
          <a:r>
            <a:rPr lang="en-US" sz="1200" b="1" u="none" baseline="0"/>
            <a:t>une partie</a:t>
          </a:r>
          <a:r>
            <a:rPr lang="en-US" sz="1200" b="1" u="none"/>
            <a:t> contractante</a:t>
          </a:r>
          <a:r>
            <a:rPr lang="en-US" sz="1200" b="1" u="none" baseline="0"/>
            <a:t> “</a:t>
          </a:r>
          <a:r>
            <a:rPr lang="en-US" sz="1200" b="1" u="none"/>
            <a:t>traditionelle”</a:t>
          </a:r>
          <a:r>
            <a:rPr lang="en-US" sz="1200" b="1" u="none" baseline="0"/>
            <a:t> - 2014</a:t>
          </a:r>
        </a:p>
      </cdr:txBody>
    </cdr:sp>
  </cdr:relSizeAnchor>
  <cdr:relSizeAnchor xmlns:cdr="http://schemas.openxmlformats.org/drawingml/2006/chartDrawing">
    <cdr:from>
      <cdr:x>0.06592</cdr:x>
      <cdr:y>0.86571</cdr:y>
    </cdr:from>
    <cdr:to>
      <cdr:x>0.875</cdr:x>
      <cdr:y>1</cdr:y>
    </cdr:to>
    <cdr:sp macro="" textlink="">
      <cdr:nvSpPr>
        <cdr:cNvPr id="16" name="TextBox 1"/>
        <cdr:cNvSpPr txBox="1"/>
      </cdr:nvSpPr>
      <cdr:spPr>
        <a:xfrm xmlns:a="http://schemas.openxmlformats.org/drawingml/2006/main">
          <a:off x="311432" y="2886075"/>
          <a:ext cx="3822418" cy="4476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en-US" sz="1000"/>
        </a:p>
      </cdr:txBody>
    </cdr:sp>
  </cdr:relSizeAnchor>
  <cdr:relSizeAnchor xmlns:cdr="http://schemas.openxmlformats.org/drawingml/2006/chartDrawing">
    <cdr:from>
      <cdr:x>0.50963</cdr:x>
      <cdr:y>0.89526</cdr:y>
    </cdr:from>
    <cdr:to>
      <cdr:x>0.72419</cdr:x>
      <cdr:y>0.98909</cdr:y>
    </cdr:to>
    <cdr:sp macro="" textlink="">
      <cdr:nvSpPr>
        <cdr:cNvPr id="17"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0.21021</cdr:x>
      <cdr:y>0.90866</cdr:y>
    </cdr:from>
    <cdr:to>
      <cdr:x>0.30887</cdr:x>
      <cdr:y>0.99713</cdr:y>
    </cdr:to>
    <cdr:sp macro="" textlink="">
      <cdr:nvSpPr>
        <cdr:cNvPr id="2" name="TextBox 1"/>
        <cdr:cNvSpPr txBox="1"/>
      </cdr:nvSpPr>
      <cdr:spPr>
        <a:xfrm xmlns:a="http://schemas.openxmlformats.org/drawingml/2006/main">
          <a:off x="811844" y="2747961"/>
          <a:ext cx="381023" cy="2675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CH</a:t>
          </a:r>
        </a:p>
      </cdr:txBody>
    </cdr:sp>
  </cdr:relSizeAnchor>
  <cdr:relSizeAnchor xmlns:cdr="http://schemas.openxmlformats.org/drawingml/2006/chartDrawing">
    <cdr:from>
      <cdr:x>0.1294</cdr:x>
      <cdr:y>0.90866</cdr:y>
    </cdr:from>
    <cdr:to>
      <cdr:x>0.21912</cdr:x>
      <cdr:y>0.99982</cdr:y>
    </cdr:to>
    <cdr:sp macro="" textlink="">
      <cdr:nvSpPr>
        <cdr:cNvPr id="8" name="TextBox 7"/>
        <cdr:cNvSpPr txBox="1"/>
      </cdr:nvSpPr>
      <cdr:spPr>
        <a:xfrm xmlns:a="http://schemas.openxmlformats.org/drawingml/2006/main">
          <a:off x="501162" y="2692855"/>
          <a:ext cx="347460" cy="27015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FR</a:t>
          </a:r>
        </a:p>
      </cdr:txBody>
    </cdr:sp>
  </cdr:relSizeAnchor>
  <cdr:relSizeAnchor xmlns:cdr="http://schemas.openxmlformats.org/drawingml/2006/chartDrawing">
    <cdr:from>
      <cdr:x>0.30421</cdr:x>
      <cdr:y>0.90894</cdr:y>
    </cdr:from>
    <cdr:to>
      <cdr:x>0.39729</cdr:x>
      <cdr:y>0.99982</cdr:y>
    </cdr:to>
    <cdr:sp macro="" textlink="">
      <cdr:nvSpPr>
        <cdr:cNvPr id="10" name="TextBox 1"/>
        <cdr:cNvSpPr txBox="1"/>
      </cdr:nvSpPr>
      <cdr:spPr>
        <a:xfrm xmlns:a="http://schemas.openxmlformats.org/drawingml/2006/main">
          <a:off x="1178170" y="2693685"/>
          <a:ext cx="360484" cy="26932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ES</a:t>
          </a:r>
        </a:p>
      </cdr:txBody>
    </cdr:sp>
  </cdr:relSizeAnchor>
  <cdr:relSizeAnchor xmlns:cdr="http://schemas.openxmlformats.org/drawingml/2006/chartDrawing">
    <cdr:from>
      <cdr:x>0.40637</cdr:x>
      <cdr:y>0.90894</cdr:y>
    </cdr:from>
    <cdr:to>
      <cdr:x>0.50399</cdr:x>
      <cdr:y>0.99982</cdr:y>
    </cdr:to>
    <cdr:sp macro="" textlink="">
      <cdr:nvSpPr>
        <cdr:cNvPr id="11" name="TextBox 1"/>
        <cdr:cNvSpPr txBox="1"/>
      </cdr:nvSpPr>
      <cdr:spPr>
        <a:xfrm xmlns:a="http://schemas.openxmlformats.org/drawingml/2006/main">
          <a:off x="1573822" y="2693685"/>
          <a:ext cx="378071" cy="26932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DE</a:t>
          </a:r>
        </a:p>
      </cdr:txBody>
    </cdr:sp>
  </cdr:relSizeAnchor>
  <cdr:relSizeAnchor xmlns:cdr="http://schemas.openxmlformats.org/drawingml/2006/chartDrawing">
    <cdr:from>
      <cdr:x>0.50853</cdr:x>
      <cdr:y>0.90866</cdr:y>
    </cdr:from>
    <cdr:to>
      <cdr:x>0.59707</cdr:x>
      <cdr:y>0.99982</cdr:y>
    </cdr:to>
    <cdr:sp macro="" textlink="">
      <cdr:nvSpPr>
        <cdr:cNvPr id="13" name="TextBox 1"/>
        <cdr:cNvSpPr txBox="1"/>
      </cdr:nvSpPr>
      <cdr:spPr>
        <a:xfrm xmlns:a="http://schemas.openxmlformats.org/drawingml/2006/main">
          <a:off x="1969476" y="2692855"/>
          <a:ext cx="342901" cy="27015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BE</a:t>
          </a:r>
        </a:p>
      </cdr:txBody>
    </cdr:sp>
  </cdr:relSizeAnchor>
  <cdr:relSizeAnchor xmlns:cdr="http://schemas.openxmlformats.org/drawingml/2006/chartDrawing">
    <cdr:from>
      <cdr:x>0.59551</cdr:x>
      <cdr:y>0.90894</cdr:y>
    </cdr:from>
    <cdr:to>
      <cdr:x>0.69385</cdr:x>
      <cdr:y>1</cdr:y>
    </cdr:to>
    <cdr:sp macro="" textlink="">
      <cdr:nvSpPr>
        <cdr:cNvPr id="14" name="TextBox 1"/>
        <cdr:cNvSpPr txBox="1"/>
      </cdr:nvSpPr>
      <cdr:spPr>
        <a:xfrm xmlns:a="http://schemas.openxmlformats.org/drawingml/2006/main">
          <a:off x="2299861" y="2748804"/>
          <a:ext cx="379787" cy="27538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b="0"/>
            <a:t>IT</a:t>
          </a:r>
        </a:p>
      </cdr:txBody>
    </cdr:sp>
  </cdr:relSizeAnchor>
  <cdr:relSizeAnchor xmlns:cdr="http://schemas.openxmlformats.org/drawingml/2006/chartDrawing">
    <cdr:from>
      <cdr:x>0.69923</cdr:x>
      <cdr:y>0.90894</cdr:y>
    </cdr:from>
    <cdr:to>
      <cdr:x>0.78323</cdr:x>
      <cdr:y>0.99982</cdr:y>
    </cdr:to>
    <cdr:sp macro="" textlink="">
      <cdr:nvSpPr>
        <cdr:cNvPr id="18" name="TextBox 1"/>
        <cdr:cNvSpPr txBox="1"/>
      </cdr:nvSpPr>
      <cdr:spPr>
        <a:xfrm xmlns:a="http://schemas.openxmlformats.org/drawingml/2006/main">
          <a:off x="2708030" y="2693685"/>
          <a:ext cx="325317" cy="26932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b="0"/>
            <a:t>LI</a:t>
          </a:r>
        </a:p>
      </cdr:txBody>
    </cdr:sp>
  </cdr:relSizeAnchor>
  <cdr:relSizeAnchor xmlns:cdr="http://schemas.openxmlformats.org/drawingml/2006/chartDrawing">
    <cdr:from>
      <cdr:x>0.78323</cdr:x>
      <cdr:y>0.90488</cdr:y>
    </cdr:from>
    <cdr:to>
      <cdr:x>0.87514</cdr:x>
      <cdr:y>0.99982</cdr:y>
    </cdr:to>
    <cdr:sp macro="" textlink="">
      <cdr:nvSpPr>
        <cdr:cNvPr id="20" name="TextBox 1"/>
        <cdr:cNvSpPr txBox="1"/>
      </cdr:nvSpPr>
      <cdr:spPr>
        <a:xfrm xmlns:a="http://schemas.openxmlformats.org/drawingml/2006/main">
          <a:off x="3033347" y="2681654"/>
          <a:ext cx="355952" cy="28135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b="0"/>
            <a:t>NL</a:t>
          </a:r>
        </a:p>
      </cdr:txBody>
    </cdr:sp>
  </cdr:relSizeAnchor>
  <cdr:relSizeAnchor xmlns:cdr="http://schemas.openxmlformats.org/drawingml/2006/chartDrawing">
    <cdr:from>
      <cdr:x>0.8564</cdr:x>
      <cdr:y>0.90488</cdr:y>
    </cdr:from>
    <cdr:to>
      <cdr:x>0.94975</cdr:x>
      <cdr:y>0.99982</cdr:y>
    </cdr:to>
    <cdr:sp macro="" textlink="">
      <cdr:nvSpPr>
        <cdr:cNvPr id="21" name="TextBox 1"/>
        <cdr:cNvSpPr txBox="1"/>
      </cdr:nvSpPr>
      <cdr:spPr>
        <a:xfrm xmlns:a="http://schemas.openxmlformats.org/drawingml/2006/main">
          <a:off x="3316722" y="2681654"/>
          <a:ext cx="361532" cy="2813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b="0"/>
            <a:t>TR</a:t>
          </a:r>
        </a:p>
      </cdr:txBody>
    </cdr:sp>
  </cdr:relSizeAnchor>
</c:userShapes>
</file>

<file path=word/drawings/drawing8.xml><?xml version="1.0" encoding="utf-8"?>
<c:userShapes xmlns:c="http://schemas.openxmlformats.org/drawingml/2006/chart">
  <cdr:relSizeAnchor xmlns:cdr="http://schemas.openxmlformats.org/drawingml/2006/chartDrawing">
    <cdr:from>
      <cdr:x>0.50963</cdr:x>
      <cdr:y>0.89526</cdr:y>
    </cdr:from>
    <cdr:to>
      <cdr:x>0.72419</cdr:x>
      <cdr:y>0.98909</cdr:y>
    </cdr:to>
    <cdr:sp macro="" textlink="">
      <cdr:nvSpPr>
        <cdr:cNvPr id="3"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cdr:x>
      <cdr:y>0.01156</cdr:y>
    </cdr:from>
    <cdr:to>
      <cdr:x>1</cdr:x>
      <cdr:y>0.13292</cdr:y>
    </cdr:to>
    <cdr:sp macro="" textlink="">
      <cdr:nvSpPr>
        <cdr:cNvPr id="4" name="TextBox 1"/>
        <cdr:cNvSpPr txBox="1"/>
      </cdr:nvSpPr>
      <cdr:spPr>
        <a:xfrm xmlns:a="http://schemas.openxmlformats.org/drawingml/2006/main">
          <a:off x="0" y="34266"/>
          <a:ext cx="3870960" cy="359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b="1" u="none"/>
            <a:t>Pourcentage d’autodésignations lorsque l’origine est </a:t>
          </a:r>
          <a:r>
            <a:rPr lang="en-US" sz="1200" b="1" u="none" baseline="0"/>
            <a:t>une partie</a:t>
          </a:r>
          <a:r>
            <a:rPr lang="en-US" sz="1200" b="1" u="none"/>
            <a:t> contractante</a:t>
          </a:r>
          <a:r>
            <a:rPr lang="en-US" sz="1200" b="1" u="none" baseline="0"/>
            <a:t> “</a:t>
          </a:r>
          <a:r>
            <a:rPr lang="en-US" sz="1200" b="1" u="none"/>
            <a:t>traditionelle”</a:t>
          </a:r>
          <a:r>
            <a:rPr lang="en-US" sz="1200" b="1" u="none" baseline="0"/>
            <a:t> </a:t>
          </a:r>
          <a:r>
            <a:rPr lang="en-US" sz="1100">
              <a:effectLst/>
              <a:latin typeface="+mn-lt"/>
              <a:ea typeface="+mn-ea"/>
              <a:cs typeface="+mn-cs"/>
            </a:rPr>
            <a:t>–</a:t>
          </a:r>
          <a:r>
            <a:rPr lang="en-US" sz="1200" b="1" u="none" baseline="0"/>
            <a:t> 2015</a:t>
          </a:r>
        </a:p>
      </cdr:txBody>
    </cdr:sp>
  </cdr:relSizeAnchor>
  <cdr:relSizeAnchor xmlns:cdr="http://schemas.openxmlformats.org/drawingml/2006/chartDrawing">
    <cdr:from>
      <cdr:x>0.06592</cdr:x>
      <cdr:y>0.86571</cdr:y>
    </cdr:from>
    <cdr:to>
      <cdr:x>0.875</cdr:x>
      <cdr:y>1</cdr:y>
    </cdr:to>
    <cdr:sp macro="" textlink="">
      <cdr:nvSpPr>
        <cdr:cNvPr id="16" name="TextBox 1"/>
        <cdr:cNvSpPr txBox="1"/>
      </cdr:nvSpPr>
      <cdr:spPr>
        <a:xfrm xmlns:a="http://schemas.openxmlformats.org/drawingml/2006/main">
          <a:off x="311432" y="2886075"/>
          <a:ext cx="3822418" cy="4476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en-US" sz="1000"/>
        </a:p>
      </cdr:txBody>
    </cdr:sp>
  </cdr:relSizeAnchor>
  <cdr:relSizeAnchor xmlns:cdr="http://schemas.openxmlformats.org/drawingml/2006/chartDrawing">
    <cdr:from>
      <cdr:x>0.50963</cdr:x>
      <cdr:y>0.89526</cdr:y>
    </cdr:from>
    <cdr:to>
      <cdr:x>0.72419</cdr:x>
      <cdr:y>0.98909</cdr:y>
    </cdr:to>
    <cdr:sp macro="" textlink="">
      <cdr:nvSpPr>
        <cdr:cNvPr id="17"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0.20215</cdr:x>
      <cdr:y>0.90264</cdr:y>
    </cdr:from>
    <cdr:to>
      <cdr:x>0.29161</cdr:x>
      <cdr:y>0.99713</cdr:y>
    </cdr:to>
    <cdr:sp macro="" textlink="">
      <cdr:nvSpPr>
        <cdr:cNvPr id="2" name="TextBox 1"/>
        <cdr:cNvSpPr txBox="1"/>
      </cdr:nvSpPr>
      <cdr:spPr>
        <a:xfrm xmlns:a="http://schemas.openxmlformats.org/drawingml/2006/main">
          <a:off x="782516" y="2675014"/>
          <a:ext cx="346295" cy="28002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FR</a:t>
          </a:r>
        </a:p>
      </cdr:txBody>
    </cdr:sp>
  </cdr:relSizeAnchor>
  <cdr:relSizeAnchor xmlns:cdr="http://schemas.openxmlformats.org/drawingml/2006/chartDrawing">
    <cdr:from>
      <cdr:x>0.11357</cdr:x>
      <cdr:y>0.89949</cdr:y>
    </cdr:from>
    <cdr:to>
      <cdr:x>0.21912</cdr:x>
      <cdr:y>0.99982</cdr:y>
    </cdr:to>
    <cdr:sp macro="" textlink="">
      <cdr:nvSpPr>
        <cdr:cNvPr id="8" name="TextBox 7"/>
        <cdr:cNvSpPr txBox="1"/>
      </cdr:nvSpPr>
      <cdr:spPr>
        <a:xfrm xmlns:a="http://schemas.openxmlformats.org/drawingml/2006/main">
          <a:off x="439615" y="2665679"/>
          <a:ext cx="408589" cy="29732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CH</a:t>
          </a:r>
        </a:p>
      </cdr:txBody>
    </cdr:sp>
  </cdr:relSizeAnchor>
  <cdr:relSizeAnchor xmlns:cdr="http://schemas.openxmlformats.org/drawingml/2006/chartDrawing">
    <cdr:from>
      <cdr:x>0.30209</cdr:x>
      <cdr:y>0.90551</cdr:y>
    </cdr:from>
    <cdr:to>
      <cdr:x>0.40203</cdr:x>
      <cdr:y>0.99982</cdr:y>
    </cdr:to>
    <cdr:sp macro="" textlink="">
      <cdr:nvSpPr>
        <cdr:cNvPr id="10" name="TextBox 1"/>
        <cdr:cNvSpPr txBox="1"/>
      </cdr:nvSpPr>
      <cdr:spPr>
        <a:xfrm xmlns:a="http://schemas.openxmlformats.org/drawingml/2006/main">
          <a:off x="1169377" y="2683520"/>
          <a:ext cx="386861" cy="27948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DE</a:t>
          </a:r>
        </a:p>
      </cdr:txBody>
    </cdr:sp>
  </cdr:relSizeAnchor>
  <cdr:relSizeAnchor xmlns:cdr="http://schemas.openxmlformats.org/drawingml/2006/chartDrawing">
    <cdr:from>
      <cdr:x>0.40884</cdr:x>
      <cdr:y>0.90551</cdr:y>
    </cdr:from>
    <cdr:to>
      <cdr:x>0.50197</cdr:x>
      <cdr:y>0.99982</cdr:y>
    </cdr:to>
    <cdr:sp macro="" textlink="">
      <cdr:nvSpPr>
        <cdr:cNvPr id="11" name="TextBox 1"/>
        <cdr:cNvSpPr txBox="1"/>
      </cdr:nvSpPr>
      <cdr:spPr>
        <a:xfrm xmlns:a="http://schemas.openxmlformats.org/drawingml/2006/main">
          <a:off x="1582616" y="2683520"/>
          <a:ext cx="360483" cy="27948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ES</a:t>
          </a:r>
        </a:p>
      </cdr:txBody>
    </cdr:sp>
  </cdr:relSizeAnchor>
  <cdr:relSizeAnchor xmlns:cdr="http://schemas.openxmlformats.org/drawingml/2006/chartDrawing">
    <cdr:from>
      <cdr:x>0.51105</cdr:x>
      <cdr:y>0.90551</cdr:y>
    </cdr:from>
    <cdr:to>
      <cdr:x>0.59964</cdr:x>
      <cdr:y>0.99982</cdr:y>
    </cdr:to>
    <cdr:sp macro="" textlink="">
      <cdr:nvSpPr>
        <cdr:cNvPr id="13" name="TextBox 1"/>
        <cdr:cNvSpPr txBox="1"/>
      </cdr:nvSpPr>
      <cdr:spPr>
        <a:xfrm xmlns:a="http://schemas.openxmlformats.org/drawingml/2006/main">
          <a:off x="1978270" y="2683520"/>
          <a:ext cx="342899" cy="27948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BE</a:t>
          </a:r>
        </a:p>
      </cdr:txBody>
    </cdr:sp>
  </cdr:relSizeAnchor>
  <cdr:relSizeAnchor xmlns:cdr="http://schemas.openxmlformats.org/drawingml/2006/chartDrawing">
    <cdr:from>
      <cdr:x>0.60672</cdr:x>
      <cdr:y>0.90551</cdr:y>
    </cdr:from>
    <cdr:to>
      <cdr:x>0.69049</cdr:x>
      <cdr:y>0.99982</cdr:y>
    </cdr:to>
    <cdr:sp macro="" textlink="">
      <cdr:nvSpPr>
        <cdr:cNvPr id="14" name="TextBox 1"/>
        <cdr:cNvSpPr txBox="1"/>
      </cdr:nvSpPr>
      <cdr:spPr>
        <a:xfrm xmlns:a="http://schemas.openxmlformats.org/drawingml/2006/main">
          <a:off x="2348589" y="2683520"/>
          <a:ext cx="324273" cy="27948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b="0"/>
            <a:t>IT</a:t>
          </a:r>
        </a:p>
      </cdr:txBody>
    </cdr:sp>
  </cdr:relSizeAnchor>
  <cdr:relSizeAnchor xmlns:cdr="http://schemas.openxmlformats.org/drawingml/2006/chartDrawing">
    <cdr:from>
      <cdr:x>0.71093</cdr:x>
      <cdr:y>0.90551</cdr:y>
    </cdr:from>
    <cdr:to>
      <cdr:x>0.7991</cdr:x>
      <cdr:y>0.99982</cdr:y>
    </cdr:to>
    <cdr:sp macro="" textlink="">
      <cdr:nvSpPr>
        <cdr:cNvPr id="18" name="TextBox 1"/>
        <cdr:cNvSpPr txBox="1"/>
      </cdr:nvSpPr>
      <cdr:spPr>
        <a:xfrm xmlns:a="http://schemas.openxmlformats.org/drawingml/2006/main">
          <a:off x="2751992" y="2683520"/>
          <a:ext cx="341291" cy="27948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b="0"/>
            <a:t>NL</a:t>
          </a:r>
        </a:p>
      </cdr:txBody>
    </cdr:sp>
  </cdr:relSizeAnchor>
  <cdr:relSizeAnchor xmlns:cdr="http://schemas.openxmlformats.org/drawingml/2006/chartDrawing">
    <cdr:from>
      <cdr:x>0.76999</cdr:x>
      <cdr:y>0.90551</cdr:y>
    </cdr:from>
    <cdr:to>
      <cdr:x>0.9072</cdr:x>
      <cdr:y>0.99982</cdr:y>
    </cdr:to>
    <cdr:sp macro="" textlink="">
      <cdr:nvSpPr>
        <cdr:cNvPr id="20" name="TextBox 1"/>
        <cdr:cNvSpPr txBox="1"/>
      </cdr:nvSpPr>
      <cdr:spPr>
        <a:xfrm xmlns:a="http://schemas.openxmlformats.org/drawingml/2006/main">
          <a:off x="2980594" y="2683520"/>
          <a:ext cx="531142" cy="27948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b="0"/>
            <a:t>LI</a:t>
          </a:r>
        </a:p>
      </cdr:txBody>
    </cdr:sp>
  </cdr:relSizeAnchor>
  <cdr:relSizeAnchor xmlns:cdr="http://schemas.openxmlformats.org/drawingml/2006/chartDrawing">
    <cdr:from>
      <cdr:x>0.85829</cdr:x>
      <cdr:y>0.90551</cdr:y>
    </cdr:from>
    <cdr:to>
      <cdr:x>0.94975</cdr:x>
      <cdr:y>1</cdr:y>
    </cdr:to>
    <cdr:sp macro="" textlink="">
      <cdr:nvSpPr>
        <cdr:cNvPr id="21" name="TextBox 1"/>
        <cdr:cNvSpPr txBox="1"/>
      </cdr:nvSpPr>
      <cdr:spPr>
        <a:xfrm xmlns:a="http://schemas.openxmlformats.org/drawingml/2006/main">
          <a:off x="3314700" y="2738435"/>
          <a:ext cx="353215" cy="2857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b="0"/>
            <a:t>TR</a:t>
          </a:r>
        </a:p>
      </cdr:txBody>
    </cdr:sp>
  </cdr:relSizeAnchor>
</c:userShapes>
</file>

<file path=word/drawings/drawing9.xml><?xml version="1.0" encoding="utf-8"?>
<c:userShapes xmlns:c="http://schemas.openxmlformats.org/drawingml/2006/chart">
  <cdr:relSizeAnchor xmlns:cdr="http://schemas.openxmlformats.org/drawingml/2006/chartDrawing">
    <cdr:from>
      <cdr:x>0.50963</cdr:x>
      <cdr:y>0.89526</cdr:y>
    </cdr:from>
    <cdr:to>
      <cdr:x>0.72419</cdr:x>
      <cdr:y>0.98909</cdr:y>
    </cdr:to>
    <cdr:sp macro="" textlink="">
      <cdr:nvSpPr>
        <cdr:cNvPr id="3"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cdr:x>
      <cdr:y>0.01374</cdr:y>
    </cdr:from>
    <cdr:to>
      <cdr:x>1</cdr:x>
      <cdr:y>0.1351</cdr:y>
    </cdr:to>
    <cdr:sp macro="" textlink="">
      <cdr:nvSpPr>
        <cdr:cNvPr id="4" name="TextBox 1"/>
        <cdr:cNvSpPr txBox="1"/>
      </cdr:nvSpPr>
      <cdr:spPr>
        <a:xfrm xmlns:a="http://schemas.openxmlformats.org/drawingml/2006/main">
          <a:off x="0" y="40706"/>
          <a:ext cx="3872865" cy="359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b="1" u="none"/>
            <a:t>Pourcentage d’autodésignations lorsque l’origine est </a:t>
          </a:r>
          <a:r>
            <a:rPr lang="en-US" sz="1200" b="1" u="none" baseline="0"/>
            <a:t>une partie</a:t>
          </a:r>
          <a:r>
            <a:rPr lang="en-US" sz="1200" b="1" u="none"/>
            <a:t> contractante</a:t>
          </a:r>
          <a:r>
            <a:rPr lang="en-US" sz="1200" b="1" u="none" baseline="0"/>
            <a:t> “</a:t>
          </a:r>
          <a:r>
            <a:rPr lang="en-US" sz="1200" b="1" u="none"/>
            <a:t>traditionelle”</a:t>
          </a:r>
          <a:r>
            <a:rPr lang="en-US" sz="1200" b="1" u="none" baseline="0"/>
            <a:t> </a:t>
          </a:r>
          <a:r>
            <a:rPr lang="en-US" sz="1100">
              <a:effectLst/>
              <a:latin typeface="+mn-lt"/>
              <a:ea typeface="+mn-ea"/>
              <a:cs typeface="+mn-cs"/>
            </a:rPr>
            <a:t>–</a:t>
          </a:r>
          <a:r>
            <a:rPr lang="en-US" sz="1200" b="1" u="none" baseline="0"/>
            <a:t> janvier-mars 2016</a:t>
          </a:r>
        </a:p>
      </cdr:txBody>
    </cdr:sp>
  </cdr:relSizeAnchor>
  <cdr:relSizeAnchor xmlns:cdr="http://schemas.openxmlformats.org/drawingml/2006/chartDrawing">
    <cdr:from>
      <cdr:x>0.06592</cdr:x>
      <cdr:y>0.86571</cdr:y>
    </cdr:from>
    <cdr:to>
      <cdr:x>0.875</cdr:x>
      <cdr:y>1</cdr:y>
    </cdr:to>
    <cdr:sp macro="" textlink="">
      <cdr:nvSpPr>
        <cdr:cNvPr id="16" name="TextBox 1"/>
        <cdr:cNvSpPr txBox="1"/>
      </cdr:nvSpPr>
      <cdr:spPr>
        <a:xfrm xmlns:a="http://schemas.openxmlformats.org/drawingml/2006/main">
          <a:off x="311432" y="2886075"/>
          <a:ext cx="3822418" cy="4476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en-US" sz="1000"/>
        </a:p>
      </cdr:txBody>
    </cdr:sp>
  </cdr:relSizeAnchor>
  <cdr:relSizeAnchor xmlns:cdr="http://schemas.openxmlformats.org/drawingml/2006/chartDrawing">
    <cdr:from>
      <cdr:x>0.50963</cdr:x>
      <cdr:y>0.89526</cdr:y>
    </cdr:from>
    <cdr:to>
      <cdr:x>0.72419</cdr:x>
      <cdr:y>0.98909</cdr:y>
    </cdr:to>
    <cdr:sp macro="" textlink="">
      <cdr:nvSpPr>
        <cdr:cNvPr id="17" name="TextBox 1"/>
        <cdr:cNvSpPr txBox="1"/>
      </cdr:nvSpPr>
      <cdr:spPr>
        <a:xfrm xmlns:a="http://schemas.openxmlformats.org/drawingml/2006/main">
          <a:off x="2395538" y="2856649"/>
          <a:ext cx="1008572" cy="299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baseline="0"/>
        </a:p>
      </cdr:txBody>
    </cdr:sp>
  </cdr:relSizeAnchor>
  <cdr:relSizeAnchor xmlns:cdr="http://schemas.openxmlformats.org/drawingml/2006/chartDrawing">
    <cdr:from>
      <cdr:x>0.19978</cdr:x>
      <cdr:y>0.90488</cdr:y>
    </cdr:from>
    <cdr:to>
      <cdr:x>0.31556</cdr:x>
      <cdr:y>0.99713</cdr:y>
    </cdr:to>
    <cdr:sp macro="" textlink="">
      <cdr:nvSpPr>
        <cdr:cNvPr id="2" name="TextBox 1"/>
        <cdr:cNvSpPr txBox="1"/>
      </cdr:nvSpPr>
      <cdr:spPr>
        <a:xfrm xmlns:a="http://schemas.openxmlformats.org/drawingml/2006/main">
          <a:off x="773723" y="2681654"/>
          <a:ext cx="448408" cy="2733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DE</a:t>
          </a:r>
        </a:p>
      </cdr:txBody>
    </cdr:sp>
  </cdr:relSizeAnchor>
  <cdr:relSizeAnchor xmlns:cdr="http://schemas.openxmlformats.org/drawingml/2006/chartDrawing">
    <cdr:from>
      <cdr:x>0.11578</cdr:x>
      <cdr:y>0.90479</cdr:y>
    </cdr:from>
    <cdr:to>
      <cdr:x>0.21912</cdr:x>
      <cdr:y>0.99982</cdr:y>
    </cdr:to>
    <cdr:sp macro="" textlink="">
      <cdr:nvSpPr>
        <cdr:cNvPr id="8" name="TextBox 7"/>
        <cdr:cNvSpPr txBox="1"/>
      </cdr:nvSpPr>
      <cdr:spPr>
        <a:xfrm xmlns:a="http://schemas.openxmlformats.org/drawingml/2006/main">
          <a:off x="448408" y="2681386"/>
          <a:ext cx="400214" cy="28162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CH</a:t>
          </a:r>
        </a:p>
      </cdr:txBody>
    </cdr:sp>
  </cdr:relSizeAnchor>
  <cdr:relSizeAnchor xmlns:cdr="http://schemas.openxmlformats.org/drawingml/2006/chartDrawing">
    <cdr:from>
      <cdr:x>0.30875</cdr:x>
      <cdr:y>0.90684</cdr:y>
    </cdr:from>
    <cdr:to>
      <cdr:x>0.39956</cdr:x>
      <cdr:y>0.99982</cdr:y>
    </cdr:to>
    <cdr:sp macro="" textlink="">
      <cdr:nvSpPr>
        <cdr:cNvPr id="10" name="TextBox 1"/>
        <cdr:cNvSpPr txBox="1"/>
      </cdr:nvSpPr>
      <cdr:spPr>
        <a:xfrm xmlns:a="http://schemas.openxmlformats.org/drawingml/2006/main">
          <a:off x="1195753" y="2687461"/>
          <a:ext cx="351694" cy="27554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FR</a:t>
          </a:r>
        </a:p>
      </cdr:txBody>
    </cdr:sp>
  </cdr:relSizeAnchor>
  <cdr:relSizeAnchor xmlns:cdr="http://schemas.openxmlformats.org/drawingml/2006/chartDrawing">
    <cdr:from>
      <cdr:x>0.40637</cdr:x>
      <cdr:y>0.90479</cdr:y>
    </cdr:from>
    <cdr:to>
      <cdr:x>0.49037</cdr:x>
      <cdr:y>0.99982</cdr:y>
    </cdr:to>
    <cdr:sp macro="" textlink="">
      <cdr:nvSpPr>
        <cdr:cNvPr id="11" name="TextBox 1"/>
        <cdr:cNvSpPr txBox="1"/>
      </cdr:nvSpPr>
      <cdr:spPr>
        <a:xfrm xmlns:a="http://schemas.openxmlformats.org/drawingml/2006/main">
          <a:off x="1573823" y="2681386"/>
          <a:ext cx="325315" cy="28162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ES</a:t>
          </a:r>
        </a:p>
      </cdr:txBody>
    </cdr:sp>
  </cdr:relSizeAnchor>
  <cdr:relSizeAnchor xmlns:cdr="http://schemas.openxmlformats.org/drawingml/2006/chartDrawing">
    <cdr:from>
      <cdr:x>0.5108</cdr:x>
      <cdr:y>0.90551</cdr:y>
    </cdr:from>
    <cdr:to>
      <cdr:x>0.60161</cdr:x>
      <cdr:y>0.99982</cdr:y>
    </cdr:to>
    <cdr:sp macro="" textlink="">
      <cdr:nvSpPr>
        <cdr:cNvPr id="13" name="TextBox 1"/>
        <cdr:cNvSpPr txBox="1"/>
      </cdr:nvSpPr>
      <cdr:spPr>
        <a:xfrm xmlns:a="http://schemas.openxmlformats.org/drawingml/2006/main">
          <a:off x="1978270" y="2683520"/>
          <a:ext cx="351692" cy="27948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BE</a:t>
          </a:r>
        </a:p>
      </cdr:txBody>
    </cdr:sp>
  </cdr:relSizeAnchor>
  <cdr:relSizeAnchor xmlns:cdr="http://schemas.openxmlformats.org/drawingml/2006/chartDrawing">
    <cdr:from>
      <cdr:x>0.61069</cdr:x>
      <cdr:y>0.90551</cdr:y>
    </cdr:from>
    <cdr:to>
      <cdr:x>0.69696</cdr:x>
      <cdr:y>0.99982</cdr:y>
    </cdr:to>
    <cdr:sp macro="" textlink="">
      <cdr:nvSpPr>
        <cdr:cNvPr id="14" name="TextBox 1"/>
        <cdr:cNvSpPr txBox="1"/>
      </cdr:nvSpPr>
      <cdr:spPr>
        <a:xfrm xmlns:a="http://schemas.openxmlformats.org/drawingml/2006/main">
          <a:off x="2365131" y="2683520"/>
          <a:ext cx="334108" cy="27948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b="0"/>
            <a:t>IT</a:t>
          </a:r>
        </a:p>
      </cdr:txBody>
    </cdr:sp>
  </cdr:relSizeAnchor>
  <cdr:relSizeAnchor xmlns:cdr="http://schemas.openxmlformats.org/drawingml/2006/chartDrawing">
    <cdr:from>
      <cdr:x>0.69015</cdr:x>
      <cdr:y>0.90551</cdr:y>
    </cdr:from>
    <cdr:to>
      <cdr:x>0.7691</cdr:x>
      <cdr:y>0.99982</cdr:y>
    </cdr:to>
    <cdr:sp macro="" textlink="">
      <cdr:nvSpPr>
        <cdr:cNvPr id="18" name="TextBox 1"/>
        <cdr:cNvSpPr txBox="1"/>
      </cdr:nvSpPr>
      <cdr:spPr>
        <a:xfrm xmlns:a="http://schemas.openxmlformats.org/drawingml/2006/main">
          <a:off x="2672862" y="2683520"/>
          <a:ext cx="305758" cy="27948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b="0"/>
            <a:t>LI</a:t>
          </a:r>
        </a:p>
      </cdr:txBody>
    </cdr:sp>
  </cdr:relSizeAnchor>
  <cdr:relSizeAnchor xmlns:cdr="http://schemas.openxmlformats.org/drawingml/2006/chartDrawing">
    <cdr:from>
      <cdr:x>0.76053</cdr:x>
      <cdr:y>0.90551</cdr:y>
    </cdr:from>
    <cdr:to>
      <cdr:x>0.87802</cdr:x>
      <cdr:y>0.99982</cdr:y>
    </cdr:to>
    <cdr:sp macro="" textlink="">
      <cdr:nvSpPr>
        <cdr:cNvPr id="20" name="TextBox 1"/>
        <cdr:cNvSpPr txBox="1"/>
      </cdr:nvSpPr>
      <cdr:spPr>
        <a:xfrm xmlns:a="http://schemas.openxmlformats.org/drawingml/2006/main">
          <a:off x="2945423" y="2683520"/>
          <a:ext cx="455030" cy="27948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b="0"/>
            <a:t>NL</a:t>
          </a:r>
        </a:p>
      </cdr:txBody>
    </cdr:sp>
  </cdr:relSizeAnchor>
  <cdr:relSizeAnchor xmlns:cdr="http://schemas.openxmlformats.org/drawingml/2006/chartDrawing">
    <cdr:from>
      <cdr:x>0.86322</cdr:x>
      <cdr:y>0.90551</cdr:y>
    </cdr:from>
    <cdr:to>
      <cdr:x>0.94975</cdr:x>
      <cdr:y>1</cdr:y>
    </cdr:to>
    <cdr:sp macro="" textlink="">
      <cdr:nvSpPr>
        <cdr:cNvPr id="21" name="TextBox 1"/>
        <cdr:cNvSpPr txBox="1"/>
      </cdr:nvSpPr>
      <cdr:spPr>
        <a:xfrm xmlns:a="http://schemas.openxmlformats.org/drawingml/2006/main">
          <a:off x="3333750" y="2738435"/>
          <a:ext cx="334165" cy="2857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b="0"/>
            <a:t>TR</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3C5C4B-7B32-4D1F-8A76-0934100D4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Pages>
  <Words>5835</Words>
  <Characters>33266</Characters>
  <Application>Microsoft Office Word</Application>
  <DocSecurity>0</DocSecurity>
  <Lines>277</Lines>
  <Paragraphs>78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H/LD/WG/. (E)</vt:lpstr>
      <vt:lpstr>H/LD/WG/. (E)</vt:lpstr>
    </vt:vector>
  </TitlesOfParts>
  <Company>WIPO</Company>
  <LinksUpToDate>false</LinksUpToDate>
  <CharactersWithSpaces>39023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H/LD/WG/. (E)</dc:title>
  <dc:creator>CLEAVELEY-MAILLARD Amber</dc:creator>
  <cp:keywords>DB/NGG/sc/ko</cp:keywords>
  <cp:lastModifiedBy>MAILLARD Amber</cp:lastModifiedBy>
  <cp:revision>6</cp:revision>
  <cp:lastPrinted>2016-06-14T09:10:00Z</cp:lastPrinted>
  <dcterms:created xsi:type="dcterms:W3CDTF">2016-06-13T12:38:00Z</dcterms:created>
  <dcterms:modified xsi:type="dcterms:W3CDTF">2016-06-14T09:11:00Z</dcterms:modified>
</cp:coreProperties>
</file>