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3333B" w:rsidP="00916EE2">
            <w:r>
              <w:rPr>
                <w:noProof/>
                <w:lang w:eastAsia="en-US"/>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05FB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105FB5" w:rsidRDefault="003856A5" w:rsidP="00C60B7F">
            <w:pPr>
              <w:jc w:val="right"/>
              <w:rPr>
                <w:rFonts w:ascii="Arial Black" w:hAnsi="Arial Black"/>
                <w:caps/>
                <w:sz w:val="15"/>
              </w:rPr>
            </w:pPr>
            <w:r w:rsidRPr="00105FB5">
              <w:rPr>
                <w:rFonts w:ascii="Arial Black" w:hAnsi="Arial Black"/>
                <w:caps/>
                <w:sz w:val="15"/>
              </w:rPr>
              <w:t>H/LD/WG/</w:t>
            </w:r>
            <w:r w:rsidR="00E5563E" w:rsidRPr="00105FB5">
              <w:rPr>
                <w:rFonts w:ascii="Arial Black" w:hAnsi="Arial Black"/>
                <w:caps/>
                <w:sz w:val="15"/>
              </w:rPr>
              <w:t>7</w:t>
            </w:r>
            <w:r w:rsidRPr="00105FB5">
              <w:rPr>
                <w:rFonts w:ascii="Arial Black" w:hAnsi="Arial Black"/>
                <w:caps/>
                <w:sz w:val="15"/>
              </w:rPr>
              <w:t>/</w:t>
            </w:r>
            <w:bookmarkStart w:id="0" w:name="Code"/>
            <w:bookmarkEnd w:id="0"/>
            <w:r w:rsidR="00C60B7F" w:rsidRPr="00105FB5">
              <w:rPr>
                <w:rFonts w:ascii="Arial Black" w:hAnsi="Arial Black"/>
                <w:caps/>
                <w:sz w:val="15"/>
              </w:rPr>
              <w:t>6</w:t>
            </w:r>
            <w:r w:rsidR="00A42DAF" w:rsidRPr="00105FB5">
              <w:rPr>
                <w:rFonts w:ascii="Arial Black" w:hAnsi="Arial Black"/>
                <w:caps/>
                <w:sz w:val="15"/>
              </w:rPr>
              <w:t xml:space="preserve"> </w:t>
            </w:r>
            <w:r w:rsidR="008B2CC1" w:rsidRPr="00105FB5">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23DE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A314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15654">
              <w:rPr>
                <w:rFonts w:ascii="Arial Black" w:hAnsi="Arial Black"/>
                <w:caps/>
                <w:sz w:val="15"/>
              </w:rPr>
              <w:t>JU</w:t>
            </w:r>
            <w:r w:rsidR="00DA314C">
              <w:rPr>
                <w:rFonts w:ascii="Arial Black" w:hAnsi="Arial Black"/>
                <w:caps/>
                <w:sz w:val="15"/>
              </w:rPr>
              <w:t>LY</w:t>
            </w:r>
            <w:r w:rsidR="00515654">
              <w:rPr>
                <w:rFonts w:ascii="Arial Black" w:hAnsi="Arial Black"/>
                <w:caps/>
                <w:sz w:val="15"/>
              </w:rPr>
              <w:t xml:space="preserve"> </w:t>
            </w:r>
            <w:r w:rsidR="00DA314C">
              <w:rPr>
                <w:rFonts w:ascii="Arial Black" w:hAnsi="Arial Black"/>
                <w:caps/>
                <w:sz w:val="15"/>
              </w:rPr>
              <w:t>3</w:t>
            </w:r>
            <w:r w:rsidR="00F23DE3">
              <w:rPr>
                <w:rFonts w:ascii="Arial Black" w:hAnsi="Arial Black"/>
                <w:caps/>
                <w:sz w:val="15"/>
              </w:rPr>
              <w:t>, 201</w:t>
            </w:r>
            <w:r w:rsidR="00E5563E">
              <w:rPr>
                <w:rFonts w:ascii="Arial Black" w:hAnsi="Arial Black"/>
                <w:caps/>
                <w:sz w:val="15"/>
              </w:rPr>
              <w:t>8</w:t>
            </w:r>
          </w:p>
        </w:tc>
      </w:tr>
    </w:tbl>
    <w:p w:rsidR="003845C1" w:rsidRDefault="003856A5" w:rsidP="00515654">
      <w:pPr>
        <w:spacing w:before="1200"/>
      </w:pPr>
      <w:r w:rsidRPr="003856A5">
        <w:rPr>
          <w:b/>
          <w:sz w:val="28"/>
          <w:szCs w:val="28"/>
        </w:rPr>
        <w:t>Working Group on the Legal Development of the Hague System for the International Registration of Industrial Designs</w:t>
      </w:r>
    </w:p>
    <w:p w:rsidR="003856A5" w:rsidRPr="003856A5" w:rsidRDefault="00E5563E" w:rsidP="00515654">
      <w:pPr>
        <w:spacing w:before="480"/>
        <w:rPr>
          <w:b/>
          <w:sz w:val="24"/>
          <w:szCs w:val="24"/>
        </w:rPr>
      </w:pPr>
      <w:r>
        <w:rPr>
          <w:b/>
          <w:sz w:val="24"/>
          <w:szCs w:val="24"/>
        </w:rPr>
        <w:t>Seven</w:t>
      </w:r>
      <w:r w:rsidR="00F23DE3">
        <w:rPr>
          <w:b/>
          <w:sz w:val="24"/>
          <w:szCs w:val="24"/>
        </w:rPr>
        <w:t>th</w:t>
      </w:r>
      <w:r w:rsidR="003856A5" w:rsidRPr="003856A5">
        <w:rPr>
          <w:b/>
          <w:sz w:val="24"/>
          <w:szCs w:val="24"/>
        </w:rPr>
        <w:t xml:space="preserve"> Session</w:t>
      </w:r>
    </w:p>
    <w:p w:rsidR="008B2CC1" w:rsidRDefault="003856A5" w:rsidP="003856A5">
      <w:pPr>
        <w:rPr>
          <w:b/>
          <w:sz w:val="24"/>
          <w:szCs w:val="24"/>
        </w:rPr>
      </w:pPr>
      <w:r w:rsidRPr="003856A5">
        <w:rPr>
          <w:b/>
          <w:sz w:val="24"/>
          <w:szCs w:val="24"/>
        </w:rPr>
        <w:t xml:space="preserve">Geneva, </w:t>
      </w:r>
      <w:r w:rsidR="00F23DE3">
        <w:rPr>
          <w:b/>
          <w:sz w:val="24"/>
          <w:szCs w:val="24"/>
        </w:rPr>
        <w:t>Ju</w:t>
      </w:r>
      <w:r w:rsidR="00E5563E">
        <w:rPr>
          <w:b/>
          <w:sz w:val="24"/>
          <w:szCs w:val="24"/>
        </w:rPr>
        <w:t>ly</w:t>
      </w:r>
      <w:r w:rsidR="00F23DE3">
        <w:rPr>
          <w:b/>
          <w:sz w:val="24"/>
          <w:szCs w:val="24"/>
        </w:rPr>
        <w:t xml:space="preserve"> </w:t>
      </w:r>
      <w:r w:rsidR="00E5563E">
        <w:rPr>
          <w:b/>
          <w:sz w:val="24"/>
          <w:szCs w:val="24"/>
        </w:rPr>
        <w:t>16</w:t>
      </w:r>
      <w:r w:rsidR="00F23DE3">
        <w:rPr>
          <w:b/>
          <w:sz w:val="24"/>
          <w:szCs w:val="24"/>
        </w:rPr>
        <w:t xml:space="preserve"> to </w:t>
      </w:r>
      <w:r w:rsidR="00E5563E">
        <w:rPr>
          <w:b/>
          <w:sz w:val="24"/>
          <w:szCs w:val="24"/>
        </w:rPr>
        <w:t>18</w:t>
      </w:r>
      <w:r w:rsidR="00F23DE3">
        <w:rPr>
          <w:b/>
          <w:sz w:val="24"/>
          <w:szCs w:val="24"/>
        </w:rPr>
        <w:t>, 201</w:t>
      </w:r>
      <w:r w:rsidR="00E5563E">
        <w:rPr>
          <w:b/>
          <w:sz w:val="24"/>
          <w:szCs w:val="24"/>
        </w:rPr>
        <w:t>8</w:t>
      </w:r>
    </w:p>
    <w:p w:rsidR="008B2CC1" w:rsidRDefault="00107500" w:rsidP="00515654">
      <w:pPr>
        <w:spacing w:before="720"/>
        <w:rPr>
          <w:caps/>
          <w:sz w:val="24"/>
        </w:rPr>
      </w:pPr>
      <w:bookmarkStart w:id="3" w:name="TitleOfDoc"/>
      <w:bookmarkEnd w:id="3"/>
      <w:r w:rsidRPr="003B61EB">
        <w:rPr>
          <w:caps/>
          <w:sz w:val="24"/>
        </w:rPr>
        <w:t>publication</w:t>
      </w:r>
      <w:r w:rsidR="003B61EB" w:rsidRPr="003B61EB">
        <w:rPr>
          <w:caps/>
          <w:sz w:val="24"/>
        </w:rPr>
        <w:t xml:space="preserve"> of </w:t>
      </w:r>
      <w:r w:rsidR="00C60B7F">
        <w:rPr>
          <w:caps/>
          <w:sz w:val="24"/>
        </w:rPr>
        <w:t xml:space="preserve">the </w:t>
      </w:r>
      <w:r w:rsidR="003B61EB" w:rsidRPr="003B61EB">
        <w:rPr>
          <w:caps/>
          <w:sz w:val="24"/>
        </w:rPr>
        <w:t xml:space="preserve">international </w:t>
      </w:r>
      <w:r w:rsidR="00C60B7F">
        <w:rPr>
          <w:caps/>
          <w:sz w:val="24"/>
        </w:rPr>
        <w:t>designs bulletin through the global design database</w:t>
      </w:r>
    </w:p>
    <w:p w:rsidR="008B2CC1" w:rsidRPr="008B2CC1" w:rsidRDefault="00F23DE3" w:rsidP="00515654">
      <w:pPr>
        <w:spacing w:before="240" w:after="1200"/>
        <w:rPr>
          <w:i/>
        </w:rPr>
      </w:pPr>
      <w:bookmarkStart w:id="4" w:name="Prepared"/>
      <w:bookmarkEnd w:id="4"/>
      <w:r>
        <w:rPr>
          <w:i/>
        </w:rPr>
        <w:t>Document prepared by the International Bureau</w:t>
      </w:r>
    </w:p>
    <w:p w:rsidR="00562EED" w:rsidRPr="005C5307" w:rsidRDefault="00562EED" w:rsidP="00562EED">
      <w:pPr>
        <w:pStyle w:val="Heading1"/>
      </w:pPr>
      <w:r w:rsidRPr="005C5307">
        <w:t>I.</w:t>
      </w:r>
      <w:r w:rsidRPr="005C5307">
        <w:tab/>
      </w:r>
      <w:r w:rsidR="00C60B7F">
        <w:t>summary</w:t>
      </w:r>
    </w:p>
    <w:p w:rsidR="00562EED" w:rsidRPr="005C5307" w:rsidRDefault="00562EED" w:rsidP="00562EED">
      <w:pPr>
        <w:autoSpaceDE w:val="0"/>
        <w:autoSpaceDN w:val="0"/>
        <w:adjustRightInd w:val="0"/>
        <w:rPr>
          <w:rFonts w:eastAsia="Times New Roman"/>
          <w:b/>
          <w:bCs/>
          <w:szCs w:val="22"/>
          <w:lang w:eastAsia="en-US"/>
        </w:rPr>
      </w:pPr>
    </w:p>
    <w:p w:rsidR="00FB1C25" w:rsidRDefault="00562EED" w:rsidP="00FB1C25">
      <w:pPr>
        <w:pStyle w:val="ONUME"/>
        <w:rPr>
          <w:lang w:eastAsia="en-US"/>
        </w:rPr>
      </w:pPr>
      <w:r>
        <w:rPr>
          <w:lang w:eastAsia="en-US"/>
        </w:rPr>
        <w:t xml:space="preserve">Under the Hague System, the International Bureau </w:t>
      </w:r>
      <w:r w:rsidR="00C91BE0">
        <w:rPr>
          <w:lang w:eastAsia="en-US"/>
        </w:rPr>
        <w:t>“</w:t>
      </w:r>
      <w:r>
        <w:rPr>
          <w:lang w:eastAsia="en-US"/>
        </w:rPr>
        <w:t>publishes</w:t>
      </w:r>
      <w:r w:rsidR="00C91BE0">
        <w:rPr>
          <w:lang w:eastAsia="en-US"/>
        </w:rPr>
        <w:t>”</w:t>
      </w:r>
      <w:r>
        <w:rPr>
          <w:lang w:eastAsia="en-US"/>
        </w:rPr>
        <w:t xml:space="preserve"> international registrations and other relevant data in the </w:t>
      </w:r>
      <w:r w:rsidRPr="005E40F3">
        <w:rPr>
          <w:i/>
          <w:lang w:eastAsia="en-US"/>
        </w:rPr>
        <w:t>International Designs Bulletin</w:t>
      </w:r>
      <w:r>
        <w:rPr>
          <w:lang w:eastAsia="en-US"/>
        </w:rPr>
        <w:t xml:space="preserve"> (hereinafter referred to as the </w:t>
      </w:r>
      <w:r w:rsidRPr="00515654">
        <w:rPr>
          <w:lang w:eastAsia="en-US"/>
        </w:rPr>
        <w:t>“</w:t>
      </w:r>
      <w:r w:rsidRPr="007434D4">
        <w:rPr>
          <w:lang w:eastAsia="en-US"/>
        </w:rPr>
        <w:t>Bulletin</w:t>
      </w:r>
      <w:r w:rsidRPr="00515654">
        <w:rPr>
          <w:lang w:eastAsia="en-US"/>
        </w:rPr>
        <w:t>”</w:t>
      </w:r>
      <w:r>
        <w:rPr>
          <w:lang w:eastAsia="en-US"/>
        </w:rPr>
        <w:t>), pursuant to Rule</w:t>
      </w:r>
      <w:r w:rsidR="00515654">
        <w:rPr>
          <w:lang w:eastAsia="en-US"/>
        </w:rPr>
        <w:t> </w:t>
      </w:r>
      <w:r>
        <w:rPr>
          <w:lang w:eastAsia="en-US"/>
        </w:rPr>
        <w:t>26 of the Common Regulations Under the 1999 Act and the 1960</w:t>
      </w:r>
      <w:r w:rsidR="00515654">
        <w:rPr>
          <w:lang w:eastAsia="en-US"/>
        </w:rPr>
        <w:t> </w:t>
      </w:r>
      <w:r>
        <w:rPr>
          <w:lang w:eastAsia="en-US"/>
        </w:rPr>
        <w:t>Act of the Hague Agreement (hereinafter referred to as the “Common Regulations”)</w:t>
      </w:r>
      <w:r w:rsidR="00D60879">
        <w:rPr>
          <w:rStyle w:val="FootnoteReference"/>
          <w:lang w:eastAsia="en-US"/>
        </w:rPr>
        <w:footnoteReference w:id="2"/>
      </w:r>
      <w:r>
        <w:rPr>
          <w:lang w:eastAsia="en-US"/>
        </w:rPr>
        <w:t>.</w:t>
      </w:r>
    </w:p>
    <w:p w:rsidR="00F659C0" w:rsidRDefault="00562EED" w:rsidP="00562EED">
      <w:pPr>
        <w:pStyle w:val="ONUME"/>
        <w:rPr>
          <w:lang w:eastAsia="en-US"/>
        </w:rPr>
      </w:pPr>
      <w:r>
        <w:rPr>
          <w:lang w:eastAsia="en-US"/>
        </w:rPr>
        <w:t xml:space="preserve">This document presents </w:t>
      </w:r>
      <w:r w:rsidR="00FB1C25">
        <w:rPr>
          <w:lang w:eastAsia="en-US"/>
        </w:rPr>
        <w:t>plans</w:t>
      </w:r>
      <w:r>
        <w:rPr>
          <w:lang w:eastAsia="en-US"/>
        </w:rPr>
        <w:t xml:space="preserve"> to </w:t>
      </w:r>
      <w:r w:rsidR="00923D71">
        <w:rPr>
          <w:lang w:eastAsia="en-US"/>
        </w:rPr>
        <w:t>proceed to the publication of</w:t>
      </w:r>
      <w:r>
        <w:rPr>
          <w:lang w:eastAsia="en-US"/>
        </w:rPr>
        <w:t xml:space="preserve"> </w:t>
      </w:r>
      <w:r w:rsidR="00C60B7F">
        <w:rPr>
          <w:lang w:eastAsia="en-US"/>
        </w:rPr>
        <w:t xml:space="preserve">the </w:t>
      </w:r>
      <w:r w:rsidR="00C60B7F" w:rsidRPr="007434D4">
        <w:rPr>
          <w:lang w:eastAsia="en-US"/>
        </w:rPr>
        <w:t>Bulletin</w:t>
      </w:r>
      <w:r w:rsidR="00C60B7F">
        <w:rPr>
          <w:lang w:eastAsia="en-US"/>
        </w:rPr>
        <w:t xml:space="preserve"> </w:t>
      </w:r>
      <w:r>
        <w:rPr>
          <w:lang w:eastAsia="en-US"/>
        </w:rPr>
        <w:t>through the G</w:t>
      </w:r>
      <w:r w:rsidR="00F6191D">
        <w:rPr>
          <w:lang w:eastAsia="en-US"/>
        </w:rPr>
        <w:t>lobal Design Database</w:t>
      </w:r>
      <w:r w:rsidR="00454353">
        <w:rPr>
          <w:lang w:eastAsia="en-US"/>
        </w:rPr>
        <w:t xml:space="preserve"> with a view to streamlining the dissemination of data</w:t>
      </w:r>
      <w:r w:rsidR="00F6191D">
        <w:rPr>
          <w:lang w:eastAsia="en-US"/>
        </w:rPr>
        <w:t xml:space="preserve"> concerning</w:t>
      </w:r>
      <w:r w:rsidR="00366A37">
        <w:rPr>
          <w:lang w:eastAsia="en-US"/>
        </w:rPr>
        <w:t xml:space="preserve"> international registrations under</w:t>
      </w:r>
      <w:r w:rsidR="00F6191D">
        <w:rPr>
          <w:lang w:eastAsia="en-US"/>
        </w:rPr>
        <w:t xml:space="preserve"> the Hague System</w:t>
      </w:r>
      <w:r w:rsidR="00C60B7F">
        <w:rPr>
          <w:rStyle w:val="FootnoteReference"/>
          <w:lang w:eastAsia="en-US"/>
        </w:rPr>
        <w:footnoteReference w:id="3"/>
      </w:r>
      <w:r w:rsidR="00454353">
        <w:rPr>
          <w:lang w:eastAsia="en-US"/>
        </w:rPr>
        <w:t>.</w:t>
      </w:r>
    </w:p>
    <w:p w:rsidR="00506ADF" w:rsidRPr="005C5307" w:rsidRDefault="00506ADF" w:rsidP="00515654">
      <w:pPr>
        <w:pStyle w:val="Heading1"/>
        <w:spacing w:before="480"/>
      </w:pPr>
      <w:r w:rsidRPr="005C5307">
        <w:t>I</w:t>
      </w:r>
      <w:r w:rsidR="00454353">
        <w:t>I</w:t>
      </w:r>
      <w:r w:rsidRPr="005C5307">
        <w:t>.</w:t>
      </w:r>
      <w:r w:rsidRPr="005C5307">
        <w:tab/>
      </w:r>
      <w:r w:rsidR="00454353">
        <w:t>current interfaces</w:t>
      </w:r>
    </w:p>
    <w:p w:rsidR="00506ADF" w:rsidRPr="005C5307" w:rsidRDefault="00506ADF" w:rsidP="00506ADF">
      <w:pPr>
        <w:autoSpaceDE w:val="0"/>
        <w:autoSpaceDN w:val="0"/>
        <w:adjustRightInd w:val="0"/>
        <w:rPr>
          <w:rFonts w:eastAsia="Times New Roman"/>
          <w:b/>
          <w:bCs/>
          <w:szCs w:val="22"/>
          <w:lang w:eastAsia="en-US"/>
        </w:rPr>
      </w:pPr>
    </w:p>
    <w:p w:rsidR="00454353" w:rsidRDefault="00454353" w:rsidP="00506ADF">
      <w:pPr>
        <w:pStyle w:val="ONUME"/>
        <w:rPr>
          <w:lang w:eastAsia="en-US"/>
        </w:rPr>
      </w:pPr>
      <w:r>
        <w:rPr>
          <w:lang w:eastAsia="en-US"/>
        </w:rPr>
        <w:t>There are three types of interfaces</w:t>
      </w:r>
      <w:r w:rsidR="00366A37">
        <w:rPr>
          <w:lang w:eastAsia="en-US"/>
        </w:rPr>
        <w:t xml:space="preserve"> </w:t>
      </w:r>
      <w:r w:rsidR="00482C75">
        <w:rPr>
          <w:lang w:eastAsia="en-US"/>
        </w:rPr>
        <w:t xml:space="preserve">currently </w:t>
      </w:r>
      <w:r w:rsidR="00366A37">
        <w:rPr>
          <w:lang w:eastAsia="en-US"/>
        </w:rPr>
        <w:t>available on the website</w:t>
      </w:r>
      <w:r w:rsidR="00923D71">
        <w:rPr>
          <w:lang w:eastAsia="en-US"/>
        </w:rPr>
        <w:t xml:space="preserve"> of the World Intellectual Property Organization (WIPO</w:t>
      </w:r>
      <w:r w:rsidR="00494806">
        <w:rPr>
          <w:lang w:eastAsia="en-US"/>
        </w:rPr>
        <w:t xml:space="preserve">) </w:t>
      </w:r>
      <w:r w:rsidR="00680432">
        <w:rPr>
          <w:lang w:eastAsia="en-US"/>
        </w:rPr>
        <w:t>that</w:t>
      </w:r>
      <w:r w:rsidR="00366A37">
        <w:rPr>
          <w:lang w:eastAsia="en-US"/>
        </w:rPr>
        <w:t xml:space="preserve"> provide data</w:t>
      </w:r>
      <w:r w:rsidR="00F6191D">
        <w:rPr>
          <w:lang w:eastAsia="en-US"/>
        </w:rPr>
        <w:t xml:space="preserve"> containing international registrations</w:t>
      </w:r>
      <w:r w:rsidR="00366A37">
        <w:rPr>
          <w:lang w:eastAsia="en-US"/>
        </w:rPr>
        <w:t xml:space="preserve"> under the Hague System</w:t>
      </w:r>
      <w:r w:rsidR="00FB1C25">
        <w:rPr>
          <w:lang w:eastAsia="en-US"/>
        </w:rPr>
        <w:t>:</w:t>
      </w:r>
      <w:r w:rsidR="00515654">
        <w:rPr>
          <w:lang w:eastAsia="en-US"/>
        </w:rPr>
        <w:t xml:space="preserve"> </w:t>
      </w:r>
      <w:r w:rsidR="00F6191D">
        <w:rPr>
          <w:lang w:eastAsia="en-US"/>
        </w:rPr>
        <w:t xml:space="preserve"> the </w:t>
      </w:r>
      <w:r w:rsidR="00F6191D" w:rsidRPr="007434D4">
        <w:rPr>
          <w:lang w:eastAsia="en-US"/>
        </w:rPr>
        <w:t>Bulletin</w:t>
      </w:r>
      <w:r w:rsidR="00F6191D">
        <w:rPr>
          <w:lang w:eastAsia="en-US"/>
        </w:rPr>
        <w:t>, Hague Express and</w:t>
      </w:r>
      <w:r w:rsidR="00515654">
        <w:rPr>
          <w:lang w:eastAsia="en-US"/>
        </w:rPr>
        <w:t xml:space="preserve"> the</w:t>
      </w:r>
      <w:r w:rsidR="00F6191D">
        <w:rPr>
          <w:lang w:eastAsia="en-US"/>
        </w:rPr>
        <w:t xml:space="preserve"> Global Design Database.</w:t>
      </w:r>
    </w:p>
    <w:p w:rsidR="00F6191D" w:rsidRDefault="00F6191D" w:rsidP="00515654">
      <w:pPr>
        <w:pStyle w:val="Heading2"/>
        <w:rPr>
          <w:lang w:eastAsia="en-US"/>
        </w:rPr>
      </w:pPr>
      <w:r>
        <w:rPr>
          <w:lang w:eastAsia="en-US"/>
        </w:rPr>
        <w:lastRenderedPageBreak/>
        <w:t>BULL</w:t>
      </w:r>
      <w:r w:rsidR="00366A37">
        <w:rPr>
          <w:lang w:eastAsia="en-US"/>
        </w:rPr>
        <w:t>E</w:t>
      </w:r>
      <w:r>
        <w:rPr>
          <w:lang w:eastAsia="en-US"/>
        </w:rPr>
        <w:t>TIN</w:t>
      </w:r>
    </w:p>
    <w:p w:rsidR="00515654" w:rsidRPr="00515654" w:rsidRDefault="00515654" w:rsidP="00515654">
      <w:pPr>
        <w:rPr>
          <w:lang w:eastAsia="en-US"/>
        </w:rPr>
      </w:pPr>
    </w:p>
    <w:p w:rsidR="008018CC" w:rsidRDefault="008018CC" w:rsidP="008018CC">
      <w:pPr>
        <w:pStyle w:val="ONUME"/>
        <w:autoSpaceDE w:val="0"/>
        <w:autoSpaceDN w:val="0"/>
        <w:adjustRightInd w:val="0"/>
        <w:rPr>
          <w:szCs w:val="22"/>
          <w:lang w:eastAsia="en-US"/>
        </w:rPr>
      </w:pPr>
      <w:r>
        <w:rPr>
          <w:szCs w:val="22"/>
          <w:lang w:eastAsia="en-US"/>
        </w:rPr>
        <w:t>Article 10(3</w:t>
      </w:r>
      <w:proofErr w:type="gramStart"/>
      <w:r>
        <w:rPr>
          <w:szCs w:val="22"/>
          <w:lang w:eastAsia="en-US"/>
        </w:rPr>
        <w:t>)(</w:t>
      </w:r>
      <w:proofErr w:type="gramEnd"/>
      <w:r>
        <w:rPr>
          <w:szCs w:val="22"/>
          <w:lang w:eastAsia="en-US"/>
        </w:rPr>
        <w:t>a) of the 1999 Act provides that “</w:t>
      </w:r>
      <w:r w:rsidRPr="007434D4">
        <w:rPr>
          <w:szCs w:val="22"/>
          <w:lang w:eastAsia="en-US"/>
        </w:rPr>
        <w:t>the international registration shall be published by the International Bureau.  Such publication shall be deemed in all Contracting Parties to be sufficient publicity, and no other publicity may be required of the holder</w:t>
      </w:r>
      <w:r>
        <w:rPr>
          <w:szCs w:val="22"/>
          <w:lang w:eastAsia="en-US"/>
        </w:rPr>
        <w:t>”.  Article</w:t>
      </w:r>
      <w:r w:rsidR="00515654">
        <w:rPr>
          <w:szCs w:val="22"/>
          <w:lang w:eastAsia="en-US"/>
        </w:rPr>
        <w:t> </w:t>
      </w:r>
      <w:r>
        <w:rPr>
          <w:szCs w:val="22"/>
          <w:lang w:eastAsia="en-US"/>
        </w:rPr>
        <w:t>6(3</w:t>
      </w:r>
      <w:proofErr w:type="gramStart"/>
      <w:r>
        <w:rPr>
          <w:szCs w:val="22"/>
          <w:lang w:eastAsia="en-US"/>
        </w:rPr>
        <w:t>)(</w:t>
      </w:r>
      <w:proofErr w:type="gramEnd"/>
      <w:r>
        <w:rPr>
          <w:szCs w:val="22"/>
          <w:lang w:eastAsia="en-US"/>
        </w:rPr>
        <w:t>a) of the 1960 Act provides that “</w:t>
      </w:r>
      <w:r w:rsidRPr="007434D4">
        <w:rPr>
          <w:szCs w:val="22"/>
          <w:lang w:eastAsia="en-US"/>
        </w:rPr>
        <w:t>for each international deposit, the International Bureau shall publish in a periodical bulletin…</w:t>
      </w:r>
      <w:r w:rsidRPr="00515654">
        <w:rPr>
          <w:szCs w:val="22"/>
          <w:lang w:eastAsia="en-US"/>
        </w:rPr>
        <w:t>.</w:t>
      </w:r>
      <w:r>
        <w:rPr>
          <w:szCs w:val="22"/>
          <w:lang w:eastAsia="en-US"/>
        </w:rPr>
        <w:t>”.</w:t>
      </w:r>
    </w:p>
    <w:p w:rsidR="008018CC" w:rsidRDefault="008018CC" w:rsidP="008018CC">
      <w:pPr>
        <w:pStyle w:val="ONUME"/>
        <w:autoSpaceDE w:val="0"/>
        <w:autoSpaceDN w:val="0"/>
        <w:adjustRightInd w:val="0"/>
        <w:rPr>
          <w:szCs w:val="22"/>
          <w:lang w:eastAsia="en-US"/>
        </w:rPr>
      </w:pPr>
      <w:r>
        <w:rPr>
          <w:lang w:eastAsia="en-US"/>
        </w:rPr>
        <w:t xml:space="preserve">Furthermore, Rule 26(3) provides that </w:t>
      </w:r>
      <w:r w:rsidRPr="006432D9">
        <w:rPr>
          <w:szCs w:val="22"/>
          <w:lang w:eastAsia="en-US"/>
        </w:rPr>
        <w:t>“</w:t>
      </w:r>
      <w:r w:rsidRPr="007434D4">
        <w:rPr>
          <w:szCs w:val="22"/>
          <w:lang w:eastAsia="en-US"/>
        </w:rPr>
        <w:t>t</w:t>
      </w:r>
      <w:r w:rsidRPr="007434D4">
        <w:rPr>
          <w:rFonts w:eastAsia="Times New Roman"/>
          <w:szCs w:val="22"/>
          <w:lang w:eastAsia="en-US"/>
        </w:rPr>
        <w:t>he publication of each issue of the Bulletin shall be deemed to replace the sending of the Bulletin referred to in Article 10(3)(b) and 16(4) of the 1999</w:t>
      </w:r>
      <w:r w:rsidR="00515654" w:rsidRPr="007434D4">
        <w:rPr>
          <w:rFonts w:eastAsia="Times New Roman"/>
          <w:szCs w:val="22"/>
          <w:lang w:eastAsia="en-US"/>
        </w:rPr>
        <w:t> </w:t>
      </w:r>
      <w:r w:rsidRPr="007434D4">
        <w:rPr>
          <w:rFonts w:eastAsia="Times New Roman"/>
          <w:szCs w:val="22"/>
          <w:lang w:eastAsia="en-US"/>
        </w:rPr>
        <w:t>Act and Article 6(3)(b) of the 1960 Act, and, for the purposes of Article 8(2) of the 1960</w:t>
      </w:r>
      <w:r w:rsidR="00515654" w:rsidRPr="007434D4">
        <w:rPr>
          <w:rFonts w:eastAsia="Times New Roman"/>
          <w:szCs w:val="22"/>
          <w:lang w:eastAsia="en-US"/>
        </w:rPr>
        <w:t> </w:t>
      </w:r>
      <w:r w:rsidRPr="007434D4">
        <w:rPr>
          <w:rFonts w:eastAsia="Times New Roman"/>
          <w:szCs w:val="22"/>
          <w:lang w:eastAsia="en-US"/>
        </w:rPr>
        <w:t>Act, each issue of the Bulletin shall be deemed to have been received by each Office concerned on the date of its publication on the website of the Organization</w:t>
      </w:r>
      <w:r w:rsidRPr="006432D9">
        <w:rPr>
          <w:szCs w:val="22"/>
          <w:lang w:eastAsia="en-US"/>
        </w:rPr>
        <w:t>”.</w:t>
      </w:r>
    </w:p>
    <w:p w:rsidR="00F659C0" w:rsidRPr="00B06CC0" w:rsidRDefault="008018CC" w:rsidP="00B06CC0">
      <w:pPr>
        <w:pStyle w:val="ONUME"/>
        <w:autoSpaceDE w:val="0"/>
        <w:autoSpaceDN w:val="0"/>
        <w:adjustRightInd w:val="0"/>
        <w:rPr>
          <w:szCs w:val="22"/>
          <w:lang w:eastAsia="en-US"/>
        </w:rPr>
      </w:pPr>
      <w:r w:rsidRPr="006432D9">
        <w:rPr>
          <w:szCs w:val="22"/>
          <w:lang w:eastAsia="en-US"/>
        </w:rPr>
        <w:t xml:space="preserve">Thus, </w:t>
      </w:r>
      <w:r>
        <w:rPr>
          <w:szCs w:val="22"/>
          <w:lang w:eastAsia="en-US"/>
        </w:rPr>
        <w:t xml:space="preserve">the </w:t>
      </w:r>
      <w:r w:rsidRPr="007434D4">
        <w:rPr>
          <w:szCs w:val="22"/>
          <w:lang w:eastAsia="en-US"/>
        </w:rPr>
        <w:t>Bulletin</w:t>
      </w:r>
      <w:r w:rsidRPr="006432D9">
        <w:rPr>
          <w:szCs w:val="22"/>
          <w:lang w:eastAsia="en-US"/>
        </w:rPr>
        <w:t xml:space="preserve"> </w:t>
      </w:r>
      <w:r w:rsidR="00923D71">
        <w:rPr>
          <w:szCs w:val="22"/>
          <w:lang w:eastAsia="en-US"/>
        </w:rPr>
        <w:t>fulfills</w:t>
      </w:r>
      <w:r w:rsidR="00822BEF" w:rsidRPr="006432D9">
        <w:rPr>
          <w:szCs w:val="22"/>
          <w:lang w:eastAsia="en-US"/>
        </w:rPr>
        <w:t xml:space="preserve"> </w:t>
      </w:r>
      <w:r>
        <w:rPr>
          <w:szCs w:val="22"/>
          <w:lang w:eastAsia="en-US"/>
        </w:rPr>
        <w:t>two</w:t>
      </w:r>
      <w:r w:rsidRPr="006432D9">
        <w:rPr>
          <w:szCs w:val="22"/>
          <w:lang w:eastAsia="en-US"/>
        </w:rPr>
        <w:t xml:space="preserve"> crucial function</w:t>
      </w:r>
      <w:r>
        <w:rPr>
          <w:szCs w:val="22"/>
          <w:lang w:eastAsia="en-US"/>
        </w:rPr>
        <w:t>s</w:t>
      </w:r>
      <w:r w:rsidR="00923D71">
        <w:rPr>
          <w:szCs w:val="22"/>
          <w:lang w:eastAsia="en-US"/>
        </w:rPr>
        <w:t xml:space="preserve"> which are</w:t>
      </w:r>
      <w:r w:rsidRPr="006432D9">
        <w:rPr>
          <w:szCs w:val="22"/>
          <w:lang w:eastAsia="en-US"/>
        </w:rPr>
        <w:t xml:space="preserve"> both legal and practical</w:t>
      </w:r>
      <w:proofErr w:type="gramStart"/>
      <w:r>
        <w:rPr>
          <w:szCs w:val="22"/>
          <w:lang w:eastAsia="en-US"/>
        </w:rPr>
        <w:t>;</w:t>
      </w:r>
      <w:r w:rsidR="00515654">
        <w:rPr>
          <w:szCs w:val="22"/>
          <w:lang w:eastAsia="en-US"/>
        </w:rPr>
        <w:t xml:space="preserve"> </w:t>
      </w:r>
      <w:r>
        <w:rPr>
          <w:szCs w:val="22"/>
          <w:lang w:eastAsia="en-US"/>
        </w:rPr>
        <w:t xml:space="preserve"> the</w:t>
      </w:r>
      <w:proofErr w:type="gramEnd"/>
      <w:r>
        <w:rPr>
          <w:szCs w:val="22"/>
          <w:lang w:eastAsia="en-US"/>
        </w:rPr>
        <w:t xml:space="preserve"> former is for </w:t>
      </w:r>
      <w:r w:rsidRPr="00E70335">
        <w:rPr>
          <w:i/>
          <w:szCs w:val="22"/>
          <w:lang w:eastAsia="en-US"/>
        </w:rPr>
        <w:t>publicity</w:t>
      </w:r>
      <w:r>
        <w:rPr>
          <w:szCs w:val="22"/>
          <w:lang w:eastAsia="en-US"/>
        </w:rPr>
        <w:t xml:space="preserve"> </w:t>
      </w:r>
      <w:r w:rsidRPr="006432D9">
        <w:rPr>
          <w:szCs w:val="22"/>
          <w:lang w:eastAsia="en-US"/>
        </w:rPr>
        <w:t xml:space="preserve">of international registrations and other relevant recordings </w:t>
      </w:r>
      <w:r>
        <w:rPr>
          <w:szCs w:val="22"/>
          <w:lang w:eastAsia="en-US"/>
        </w:rPr>
        <w:t xml:space="preserve">in designated Contracting Parties, while the latter is the </w:t>
      </w:r>
      <w:r w:rsidRPr="006432D9">
        <w:rPr>
          <w:i/>
          <w:szCs w:val="22"/>
          <w:lang w:eastAsia="en-US"/>
        </w:rPr>
        <w:t>notification</w:t>
      </w:r>
      <w:r w:rsidRPr="006432D9">
        <w:rPr>
          <w:szCs w:val="22"/>
          <w:lang w:eastAsia="en-US"/>
        </w:rPr>
        <w:t xml:space="preserve"> </w:t>
      </w:r>
      <w:r>
        <w:rPr>
          <w:szCs w:val="22"/>
          <w:lang w:eastAsia="en-US"/>
        </w:rPr>
        <w:t xml:space="preserve">of international registrations and other relevant recordings </w:t>
      </w:r>
      <w:r w:rsidRPr="006432D9">
        <w:rPr>
          <w:szCs w:val="22"/>
          <w:lang w:eastAsia="en-US"/>
        </w:rPr>
        <w:t xml:space="preserve">to </w:t>
      </w:r>
      <w:r>
        <w:rPr>
          <w:szCs w:val="22"/>
          <w:lang w:eastAsia="en-US"/>
        </w:rPr>
        <w:t>their Offices</w:t>
      </w:r>
      <w:r w:rsidRPr="006432D9">
        <w:rPr>
          <w:szCs w:val="22"/>
          <w:lang w:eastAsia="en-US"/>
        </w:rPr>
        <w:t>.</w:t>
      </w:r>
      <w:r w:rsidR="00B06CC0">
        <w:rPr>
          <w:szCs w:val="22"/>
          <w:lang w:eastAsia="en-US"/>
        </w:rPr>
        <w:t xml:space="preserve">  </w:t>
      </w:r>
      <w:r w:rsidR="00923D71">
        <w:rPr>
          <w:szCs w:val="22"/>
          <w:lang w:eastAsia="en-US"/>
        </w:rPr>
        <w:t xml:space="preserve">The </w:t>
      </w:r>
      <w:r w:rsidR="00923D71" w:rsidRPr="007434D4">
        <w:rPr>
          <w:szCs w:val="22"/>
          <w:lang w:eastAsia="en-US"/>
        </w:rPr>
        <w:t>Bulletin</w:t>
      </w:r>
      <w:r w:rsidR="00D161AD">
        <w:rPr>
          <w:lang w:eastAsia="en-US"/>
        </w:rPr>
        <w:t xml:space="preserve"> is currently published on the W</w:t>
      </w:r>
      <w:r w:rsidR="00B06CC0">
        <w:rPr>
          <w:lang w:eastAsia="en-US"/>
        </w:rPr>
        <w:t>IPO website on a weekly basis.</w:t>
      </w:r>
      <w:r w:rsidR="008F7012">
        <w:rPr>
          <w:lang w:eastAsia="en-US"/>
        </w:rPr>
        <w:t xml:space="preserve"> </w:t>
      </w:r>
      <w:r w:rsidR="00923D71">
        <w:rPr>
          <w:lang w:eastAsia="en-US"/>
        </w:rPr>
        <w:t xml:space="preserve"> </w:t>
      </w:r>
      <w:r w:rsidR="008F7012">
        <w:rPr>
          <w:lang w:eastAsia="en-US"/>
        </w:rPr>
        <w:t>It</w:t>
      </w:r>
      <w:r w:rsidR="00923D71">
        <w:rPr>
          <w:lang w:eastAsia="en-US"/>
        </w:rPr>
        <w:t xml:space="preserve">s </w:t>
      </w:r>
      <w:r w:rsidR="008F7012">
        <w:rPr>
          <w:lang w:eastAsia="en-US"/>
        </w:rPr>
        <w:t>raw data (XML)</w:t>
      </w:r>
      <w:r w:rsidR="00923D71">
        <w:rPr>
          <w:lang w:eastAsia="en-US"/>
        </w:rPr>
        <w:t xml:space="preserve"> is also available </w:t>
      </w:r>
      <w:r w:rsidR="00062A5B">
        <w:rPr>
          <w:lang w:eastAsia="en-US"/>
        </w:rPr>
        <w:t xml:space="preserve">for use by </w:t>
      </w:r>
      <w:r w:rsidR="008F7012">
        <w:rPr>
          <w:lang w:eastAsia="en-US"/>
        </w:rPr>
        <w:t>Offices in their own IT</w:t>
      </w:r>
      <w:r w:rsidR="00515654">
        <w:rPr>
          <w:lang w:eastAsia="en-US"/>
        </w:rPr>
        <w:t> </w:t>
      </w:r>
      <w:r w:rsidR="008F7012">
        <w:rPr>
          <w:lang w:eastAsia="en-US"/>
        </w:rPr>
        <w:t>system.</w:t>
      </w:r>
    </w:p>
    <w:p w:rsidR="008018CC" w:rsidRDefault="00963DC3" w:rsidP="00515654">
      <w:pPr>
        <w:pStyle w:val="Heading2"/>
        <w:spacing w:before="480"/>
        <w:rPr>
          <w:lang w:eastAsia="en-US"/>
        </w:rPr>
      </w:pPr>
      <w:r>
        <w:rPr>
          <w:lang w:eastAsia="en-US"/>
        </w:rPr>
        <w:t>HAGUE EXPRESS</w:t>
      </w:r>
    </w:p>
    <w:p w:rsidR="00515654" w:rsidRPr="00515654" w:rsidRDefault="00515654" w:rsidP="00515654">
      <w:pPr>
        <w:rPr>
          <w:lang w:eastAsia="en-US"/>
        </w:rPr>
      </w:pPr>
    </w:p>
    <w:p w:rsidR="00FF05DD" w:rsidRDefault="00963DC3" w:rsidP="00506ADF">
      <w:pPr>
        <w:pStyle w:val="ONUME"/>
        <w:rPr>
          <w:lang w:eastAsia="en-US"/>
        </w:rPr>
      </w:pPr>
      <w:r>
        <w:t xml:space="preserve">Hague Express </w:t>
      </w:r>
      <w:r w:rsidRPr="000D3587">
        <w:t>has been available on the WIPO</w:t>
      </w:r>
      <w:r>
        <w:t xml:space="preserve"> </w:t>
      </w:r>
      <w:r w:rsidRPr="000D3587">
        <w:t>website since February</w:t>
      </w:r>
      <w:r w:rsidR="00515654">
        <w:t> </w:t>
      </w:r>
      <w:r w:rsidRPr="000D3587">
        <w:t>2001</w:t>
      </w:r>
      <w:r w:rsidR="00D60879">
        <w:rPr>
          <w:rStyle w:val="FootnoteReference"/>
        </w:rPr>
        <w:footnoteReference w:id="4"/>
      </w:r>
      <w:r w:rsidR="00105FB5">
        <w:t xml:space="preserve"> and is updated weekly</w:t>
      </w:r>
      <w:r w:rsidRPr="000D3587">
        <w:t>.</w:t>
      </w:r>
      <w:r>
        <w:t xml:space="preserve">  It is a search tool that allows </w:t>
      </w:r>
      <w:r w:rsidR="00B06CC0">
        <w:t>a</w:t>
      </w:r>
      <w:r>
        <w:t xml:space="preserve"> retriev</w:t>
      </w:r>
      <w:r w:rsidR="00B06CC0">
        <w:t>al of</w:t>
      </w:r>
      <w:r>
        <w:t xml:space="preserve"> both the current status of an international registration and all its historical entries.  Its interface </w:t>
      </w:r>
      <w:r w:rsidR="00FF05DD">
        <w:t>ha</w:t>
      </w:r>
      <w:r>
        <w:t xml:space="preserve">s technically </w:t>
      </w:r>
      <w:r w:rsidR="00FF05DD">
        <w:t xml:space="preserve">been </w:t>
      </w:r>
      <w:r>
        <w:t xml:space="preserve">supported by </w:t>
      </w:r>
      <w:r w:rsidR="00FF05DD">
        <w:t xml:space="preserve">the </w:t>
      </w:r>
      <w:r>
        <w:t>Global Design Database</w:t>
      </w:r>
      <w:r w:rsidR="00FF05DD">
        <w:t xml:space="preserve"> since </w:t>
      </w:r>
      <w:r w:rsidR="005A67A9">
        <w:t>the</w:t>
      </w:r>
      <w:r w:rsidR="00FF05DD">
        <w:t xml:space="preserve"> launch</w:t>
      </w:r>
      <w:r w:rsidR="005A67A9">
        <w:t xml:space="preserve"> of the latter</w:t>
      </w:r>
      <w:r>
        <w:t>.</w:t>
      </w:r>
    </w:p>
    <w:p w:rsidR="00FF05DD" w:rsidRDefault="00FF05DD" w:rsidP="00515654">
      <w:pPr>
        <w:pStyle w:val="Heading2"/>
        <w:spacing w:before="480"/>
        <w:rPr>
          <w:lang w:eastAsia="en-US"/>
        </w:rPr>
      </w:pPr>
      <w:r>
        <w:rPr>
          <w:lang w:eastAsia="en-US"/>
        </w:rPr>
        <w:t>GLOBAL DESIGN DATABASE</w:t>
      </w:r>
    </w:p>
    <w:p w:rsidR="00515654" w:rsidRPr="00515654" w:rsidRDefault="00515654" w:rsidP="00515654">
      <w:pPr>
        <w:rPr>
          <w:lang w:eastAsia="en-US"/>
        </w:rPr>
      </w:pPr>
    </w:p>
    <w:p w:rsidR="00506ADF" w:rsidRDefault="00506ADF" w:rsidP="00506ADF">
      <w:pPr>
        <w:pStyle w:val="ONUME"/>
        <w:rPr>
          <w:lang w:eastAsia="en-US"/>
        </w:rPr>
      </w:pPr>
      <w:r>
        <w:rPr>
          <w:lang w:eastAsia="en-US"/>
        </w:rPr>
        <w:t>The Global Design Database has been available on the</w:t>
      </w:r>
      <w:r w:rsidR="00FF05DD">
        <w:rPr>
          <w:lang w:eastAsia="en-US"/>
        </w:rPr>
        <w:t xml:space="preserve"> WIPO</w:t>
      </w:r>
      <w:r>
        <w:rPr>
          <w:lang w:eastAsia="en-US"/>
        </w:rPr>
        <w:t xml:space="preserve"> website since January</w:t>
      </w:r>
      <w:r w:rsidR="00515654">
        <w:rPr>
          <w:lang w:eastAsia="en-US"/>
        </w:rPr>
        <w:t> </w:t>
      </w:r>
      <w:r>
        <w:rPr>
          <w:lang w:eastAsia="en-US"/>
        </w:rPr>
        <w:t xml:space="preserve">2015.  </w:t>
      </w:r>
      <w:r w:rsidR="000A6299">
        <w:rPr>
          <w:lang w:eastAsia="en-US"/>
        </w:rPr>
        <w:t>Its interface</w:t>
      </w:r>
      <w:r w:rsidRPr="000A6299">
        <w:rPr>
          <w:lang w:eastAsia="en-US"/>
        </w:rPr>
        <w:t xml:space="preserve"> </w:t>
      </w:r>
      <w:r w:rsidR="00B06CC0">
        <w:rPr>
          <w:lang w:eastAsia="en-US"/>
        </w:rPr>
        <w:t>allows</w:t>
      </w:r>
      <w:r w:rsidRPr="000A6299">
        <w:rPr>
          <w:lang w:eastAsia="en-US"/>
        </w:rPr>
        <w:t xml:space="preserve"> simultaneous search across international registrations recorded under </w:t>
      </w:r>
      <w:proofErr w:type="gramStart"/>
      <w:r w:rsidRPr="000A6299">
        <w:rPr>
          <w:lang w:eastAsia="en-US"/>
        </w:rPr>
        <w:t>the</w:t>
      </w:r>
      <w:proofErr w:type="gramEnd"/>
      <w:r w:rsidRPr="000A6299">
        <w:rPr>
          <w:lang w:eastAsia="en-US"/>
        </w:rPr>
        <w:t xml:space="preserve"> Hague System</w:t>
      </w:r>
      <w:r w:rsidR="00062A5B">
        <w:rPr>
          <w:lang w:eastAsia="en-US"/>
        </w:rPr>
        <w:t xml:space="preserve"> and industrial designs registrations</w:t>
      </w:r>
      <w:r w:rsidRPr="000A6299">
        <w:rPr>
          <w:lang w:eastAsia="en-US"/>
        </w:rPr>
        <w:t xml:space="preserve"> or patent</w:t>
      </w:r>
      <w:r w:rsidR="00062A5B">
        <w:rPr>
          <w:lang w:eastAsia="en-US"/>
        </w:rPr>
        <w:t>s issued</w:t>
      </w:r>
      <w:r w:rsidRPr="000A6299">
        <w:rPr>
          <w:lang w:eastAsia="en-US"/>
        </w:rPr>
        <w:t xml:space="preserve"> under national or regional systems.</w:t>
      </w:r>
    </w:p>
    <w:p w:rsidR="00506ADF" w:rsidRDefault="00506ADF" w:rsidP="00506ADF">
      <w:pPr>
        <w:pStyle w:val="ONUME"/>
        <w:rPr>
          <w:lang w:eastAsia="en-US"/>
        </w:rPr>
      </w:pPr>
      <w:r>
        <w:rPr>
          <w:lang w:eastAsia="en-US"/>
        </w:rPr>
        <w:t xml:space="preserve">At the time of writing this document, such national design data includes </w:t>
      </w:r>
      <w:r w:rsidR="00174B5C">
        <w:rPr>
          <w:lang w:eastAsia="en-US"/>
        </w:rPr>
        <w:t xml:space="preserve">that from </w:t>
      </w:r>
      <w:r>
        <w:rPr>
          <w:lang w:eastAsia="en-US"/>
        </w:rPr>
        <w:t xml:space="preserve">Canada, </w:t>
      </w:r>
      <w:r w:rsidR="00872C80">
        <w:rPr>
          <w:lang w:eastAsia="en-US"/>
        </w:rPr>
        <w:t xml:space="preserve">France, </w:t>
      </w:r>
      <w:r>
        <w:rPr>
          <w:lang w:eastAsia="en-US"/>
        </w:rPr>
        <w:t xml:space="preserve">Indonesia, Japan, </w:t>
      </w:r>
      <w:r w:rsidR="009E7520">
        <w:rPr>
          <w:lang w:eastAsia="en-US"/>
        </w:rPr>
        <w:t xml:space="preserve">Jordan, </w:t>
      </w:r>
      <w:r w:rsidR="00872C80">
        <w:rPr>
          <w:lang w:eastAsia="en-US"/>
        </w:rPr>
        <w:t xml:space="preserve">Mongolia, </w:t>
      </w:r>
      <w:r>
        <w:rPr>
          <w:lang w:eastAsia="en-US"/>
        </w:rPr>
        <w:t>New Zealand, Spain and the United States of</w:t>
      </w:r>
      <w:r w:rsidR="000F44F8">
        <w:rPr>
          <w:lang w:eastAsia="en-US"/>
        </w:rPr>
        <w:t> </w:t>
      </w:r>
      <w:r>
        <w:rPr>
          <w:lang w:eastAsia="en-US"/>
        </w:rPr>
        <w:t xml:space="preserve">America.  </w:t>
      </w:r>
      <w:r w:rsidR="00D60879">
        <w:rPr>
          <w:lang w:eastAsia="en-US"/>
        </w:rPr>
        <w:t>It</w:t>
      </w:r>
      <w:r>
        <w:rPr>
          <w:lang w:eastAsia="en-US"/>
        </w:rPr>
        <w:t xml:space="preserve"> covers </w:t>
      </w:r>
      <w:r w:rsidR="00083182">
        <w:rPr>
          <w:lang w:eastAsia="en-US"/>
        </w:rPr>
        <w:t xml:space="preserve">over </w:t>
      </w:r>
      <w:r w:rsidR="00FF05DD">
        <w:rPr>
          <w:lang w:eastAsia="en-US"/>
        </w:rPr>
        <w:t>2</w:t>
      </w:r>
      <w:r w:rsidR="00083182">
        <w:rPr>
          <w:lang w:eastAsia="en-US"/>
        </w:rPr>
        <w:t>.</w:t>
      </w:r>
      <w:r w:rsidR="00FF05DD">
        <w:rPr>
          <w:lang w:eastAsia="en-US"/>
        </w:rPr>
        <w:t>9</w:t>
      </w:r>
      <w:r w:rsidR="000F44F8">
        <w:rPr>
          <w:lang w:eastAsia="en-US"/>
        </w:rPr>
        <w:t> </w:t>
      </w:r>
      <w:r w:rsidR="00083182">
        <w:rPr>
          <w:lang w:eastAsia="en-US"/>
        </w:rPr>
        <w:t xml:space="preserve">million national and international </w:t>
      </w:r>
      <w:r w:rsidR="005E40F3">
        <w:rPr>
          <w:lang w:eastAsia="en-US"/>
        </w:rPr>
        <w:t xml:space="preserve">design </w:t>
      </w:r>
      <w:r w:rsidR="00083182">
        <w:rPr>
          <w:lang w:eastAsia="en-US"/>
        </w:rPr>
        <w:t xml:space="preserve">registrations or </w:t>
      </w:r>
      <w:r w:rsidR="00FF05DD">
        <w:rPr>
          <w:lang w:eastAsia="en-US"/>
        </w:rPr>
        <w:t xml:space="preserve">design </w:t>
      </w:r>
      <w:r w:rsidR="00083182">
        <w:rPr>
          <w:lang w:eastAsia="en-US"/>
        </w:rPr>
        <w:t>patents, and continues to expand</w:t>
      </w:r>
      <w:r w:rsidR="007B4FB8">
        <w:rPr>
          <w:rStyle w:val="FootnoteReference"/>
          <w:lang w:eastAsia="en-US"/>
        </w:rPr>
        <w:footnoteReference w:id="5"/>
      </w:r>
      <w:r w:rsidR="00083182">
        <w:rPr>
          <w:lang w:eastAsia="en-US"/>
        </w:rPr>
        <w:t>.</w:t>
      </w:r>
    </w:p>
    <w:p w:rsidR="00F659C0" w:rsidRDefault="00F659C0" w:rsidP="000F44F8">
      <w:pPr>
        <w:pStyle w:val="Heading1"/>
        <w:spacing w:before="480"/>
      </w:pPr>
      <w:r w:rsidRPr="005C5307">
        <w:t>I</w:t>
      </w:r>
      <w:r>
        <w:t>II</w:t>
      </w:r>
      <w:r w:rsidRPr="005C5307">
        <w:t>.</w:t>
      </w:r>
      <w:r w:rsidRPr="005C5307">
        <w:tab/>
      </w:r>
      <w:r w:rsidR="00174B5C">
        <w:t>PLAN</w:t>
      </w:r>
    </w:p>
    <w:p w:rsidR="00DE6E6A" w:rsidRDefault="00DE6E6A" w:rsidP="000F44F8">
      <w:pPr>
        <w:pStyle w:val="Heading2"/>
        <w:rPr>
          <w:lang w:eastAsia="en-US"/>
        </w:rPr>
      </w:pPr>
      <w:r w:rsidRPr="00F42D6C">
        <w:rPr>
          <w:lang w:eastAsia="en-US"/>
        </w:rPr>
        <w:t>OBJECTIVE AND OUTLINE</w:t>
      </w:r>
    </w:p>
    <w:p w:rsidR="000F44F8" w:rsidRPr="000F44F8" w:rsidRDefault="000F44F8" w:rsidP="000F44F8">
      <w:pPr>
        <w:rPr>
          <w:lang w:eastAsia="en-US"/>
        </w:rPr>
      </w:pPr>
    </w:p>
    <w:p w:rsidR="00F659C0" w:rsidRDefault="00DE0381" w:rsidP="00EA6674">
      <w:pPr>
        <w:pStyle w:val="ONUME"/>
        <w:rPr>
          <w:lang w:eastAsia="en-US"/>
        </w:rPr>
      </w:pPr>
      <w:r>
        <w:t>T</w:t>
      </w:r>
      <w:r w:rsidR="00562D8E">
        <w:t xml:space="preserve">he </w:t>
      </w:r>
      <w:r w:rsidR="00562D8E" w:rsidRPr="007434D4">
        <w:t>Bulletin</w:t>
      </w:r>
      <w:r w:rsidR="00562D8E">
        <w:t xml:space="preserve"> is the official publication of </w:t>
      </w:r>
      <w:r>
        <w:rPr>
          <w:lang w:eastAsia="en-US"/>
        </w:rPr>
        <w:t>international registrations and other relevant data recorded under the Hague System</w:t>
      </w:r>
      <w:r w:rsidR="00562D8E">
        <w:t xml:space="preserve">.  </w:t>
      </w:r>
      <w:r w:rsidR="00F659C0">
        <w:t xml:space="preserve">However, </w:t>
      </w:r>
      <w:r w:rsidR="00174B5C">
        <w:t xml:space="preserve">each individual issue of the </w:t>
      </w:r>
      <w:r w:rsidR="00174B5C" w:rsidRPr="007434D4">
        <w:t>Bulletin</w:t>
      </w:r>
      <w:r w:rsidR="00174B5C">
        <w:t xml:space="preserve"> </w:t>
      </w:r>
      <w:r w:rsidR="00F659C0">
        <w:t xml:space="preserve">is </w:t>
      </w:r>
      <w:r w:rsidR="00174B5C">
        <w:t xml:space="preserve">in fact </w:t>
      </w:r>
      <w:r w:rsidR="00F659C0">
        <w:t>a stand-alone product, meaning that each transaction (</w:t>
      </w:r>
      <w:r w:rsidR="00F659C0" w:rsidRPr="00F659C0">
        <w:rPr>
          <w:i/>
        </w:rPr>
        <w:t>i.e.</w:t>
      </w:r>
      <w:r w:rsidR="00F659C0" w:rsidRPr="00C32BB2">
        <w:t xml:space="preserve">, </w:t>
      </w:r>
      <w:r w:rsidR="00F659C0">
        <w:t>international registration, refusal, renewal) published in a given issue does not a</w:t>
      </w:r>
      <w:r w:rsidR="00B06CC0">
        <w:t>ppear in</w:t>
      </w:r>
      <w:r w:rsidR="00EA6674" w:rsidRPr="00EA6674">
        <w:t>, and cannot be searched from</w:t>
      </w:r>
      <w:r w:rsidR="00B06CC0">
        <w:t xml:space="preserve"> any other issue</w:t>
      </w:r>
      <w:r w:rsidR="00B36447">
        <w:t>.</w:t>
      </w:r>
    </w:p>
    <w:p w:rsidR="00D60879" w:rsidRDefault="00F659C0" w:rsidP="00017339">
      <w:pPr>
        <w:pStyle w:val="ONUME"/>
        <w:rPr>
          <w:lang w:eastAsia="en-US"/>
        </w:rPr>
      </w:pPr>
      <w:r>
        <w:lastRenderedPageBreak/>
        <w:t xml:space="preserve">On the other hand, </w:t>
      </w:r>
      <w:r w:rsidR="003A6352">
        <w:t xml:space="preserve">both </w:t>
      </w:r>
      <w:r>
        <w:t>Hague Express and</w:t>
      </w:r>
      <w:r w:rsidR="00981033">
        <w:t xml:space="preserve"> the</w:t>
      </w:r>
      <w:r>
        <w:t xml:space="preserve"> Global Design Database are powerful search tools, containing “current status” that presents an up-to-date summary of the international registration, and “history” that lists and shows in detail all the transactions published in the </w:t>
      </w:r>
      <w:r w:rsidRPr="007434D4">
        <w:t>Bulletin</w:t>
      </w:r>
      <w:r>
        <w:t>.</w:t>
      </w:r>
      <w:r w:rsidR="00017339">
        <w:rPr>
          <w:lang w:eastAsia="en-US"/>
        </w:rPr>
        <w:t xml:space="preserve">  </w:t>
      </w:r>
      <w:r w:rsidR="005A67A9">
        <w:t>Hague Express and</w:t>
      </w:r>
      <w:r w:rsidR="00981033">
        <w:t xml:space="preserve"> the</w:t>
      </w:r>
      <w:r w:rsidR="005A67A9">
        <w:t xml:space="preserve"> Global Design Database actually share the same platform and data</w:t>
      </w:r>
      <w:r w:rsidR="00A279A5">
        <w:t xml:space="preserve"> set</w:t>
      </w:r>
      <w:r w:rsidR="005A67A9">
        <w:t>.  Thus, the latter incorporates entirely the former.  Hague Express</w:t>
      </w:r>
      <w:r w:rsidR="003A6352">
        <w:t xml:space="preserve"> </w:t>
      </w:r>
      <w:r w:rsidR="005A67A9">
        <w:t xml:space="preserve">is simply a </w:t>
      </w:r>
      <w:r w:rsidR="00A279A5">
        <w:t xml:space="preserve">dedicated interface </w:t>
      </w:r>
      <w:r w:rsidR="005A67A9">
        <w:t>to</w:t>
      </w:r>
      <w:r w:rsidR="00DE0381">
        <w:t xml:space="preserve"> exclusively</w:t>
      </w:r>
      <w:r w:rsidR="005A67A9">
        <w:t xml:space="preserve"> access</w:t>
      </w:r>
      <w:r w:rsidR="00DE6E6A">
        <w:t xml:space="preserve"> data concerning</w:t>
      </w:r>
      <w:r w:rsidR="005A67A9">
        <w:t xml:space="preserve"> </w:t>
      </w:r>
      <w:r w:rsidR="00DE6E6A">
        <w:t>international registrations under the Hague System.</w:t>
      </w:r>
    </w:p>
    <w:p w:rsidR="007C5BDE" w:rsidRDefault="00623864" w:rsidP="00EE102F">
      <w:pPr>
        <w:pStyle w:val="ONUME"/>
        <w:rPr>
          <w:lang w:eastAsia="en-US"/>
        </w:rPr>
      </w:pPr>
      <w:r>
        <w:rPr>
          <w:lang w:eastAsia="en-US"/>
        </w:rPr>
        <w:t xml:space="preserve">In </w:t>
      </w:r>
      <w:r w:rsidR="00DE0381">
        <w:rPr>
          <w:lang w:eastAsia="en-US"/>
        </w:rPr>
        <w:t>a bid</w:t>
      </w:r>
      <w:r>
        <w:rPr>
          <w:lang w:eastAsia="en-US"/>
        </w:rPr>
        <w:t xml:space="preserve"> to enhance utility of </w:t>
      </w:r>
      <w:r w:rsidR="00B729B9">
        <w:rPr>
          <w:lang w:eastAsia="en-US"/>
        </w:rPr>
        <w:t xml:space="preserve">the information </w:t>
      </w:r>
      <w:r w:rsidR="007756C7">
        <w:rPr>
          <w:lang w:eastAsia="en-US"/>
        </w:rPr>
        <w:t>published</w:t>
      </w:r>
      <w:r>
        <w:rPr>
          <w:lang w:eastAsia="en-US"/>
        </w:rPr>
        <w:t xml:space="preserve"> in</w:t>
      </w:r>
      <w:r w:rsidR="00B729B9">
        <w:rPr>
          <w:lang w:eastAsia="en-US"/>
        </w:rPr>
        <w:t xml:space="preserve"> the </w:t>
      </w:r>
      <w:r w:rsidR="00B729B9" w:rsidRPr="007434D4">
        <w:rPr>
          <w:lang w:eastAsia="en-US"/>
        </w:rPr>
        <w:t>Bulletin</w:t>
      </w:r>
      <w:r w:rsidR="007756C7">
        <w:rPr>
          <w:lang w:eastAsia="en-US"/>
        </w:rPr>
        <w:t>,</w:t>
      </w:r>
      <w:r>
        <w:rPr>
          <w:lang w:eastAsia="en-US"/>
        </w:rPr>
        <w:t xml:space="preserve"> and streamline the database</w:t>
      </w:r>
      <w:r w:rsidR="007756C7">
        <w:rPr>
          <w:lang w:eastAsia="en-US"/>
        </w:rPr>
        <w:t xml:space="preserve"> available on the WIPO website</w:t>
      </w:r>
      <w:r w:rsidR="00B729B9">
        <w:rPr>
          <w:lang w:eastAsia="en-US"/>
        </w:rPr>
        <w:t xml:space="preserve"> concerning industrial designs</w:t>
      </w:r>
      <w:r>
        <w:rPr>
          <w:lang w:eastAsia="en-US"/>
        </w:rPr>
        <w:t xml:space="preserve">, it is planned to </w:t>
      </w:r>
      <w:r w:rsidR="00EE102F">
        <w:rPr>
          <w:lang w:eastAsia="en-US"/>
        </w:rPr>
        <w:t>combine these three data dissemination products into one</w:t>
      </w:r>
      <w:r w:rsidR="002904E8">
        <w:rPr>
          <w:lang w:eastAsia="en-US"/>
        </w:rPr>
        <w:t xml:space="preserve"> </w:t>
      </w:r>
      <w:r w:rsidR="00981033">
        <w:rPr>
          <w:lang w:eastAsia="en-US"/>
        </w:rPr>
        <w:t>–</w:t>
      </w:r>
      <w:r w:rsidR="00EE102F">
        <w:rPr>
          <w:lang w:eastAsia="en-US"/>
        </w:rPr>
        <w:t xml:space="preserve"> the Global Design Database.  Accordingly, </w:t>
      </w:r>
      <w:r>
        <w:rPr>
          <w:lang w:eastAsia="en-US"/>
        </w:rPr>
        <w:t>international registrations and other rele</w:t>
      </w:r>
      <w:r w:rsidR="001A0C3E">
        <w:rPr>
          <w:lang w:eastAsia="en-US"/>
        </w:rPr>
        <w:t>vant recordings</w:t>
      </w:r>
      <w:r w:rsidR="00EE102F">
        <w:rPr>
          <w:lang w:eastAsia="en-US"/>
        </w:rPr>
        <w:t xml:space="preserve"> will be </w:t>
      </w:r>
      <w:r w:rsidR="00B36447">
        <w:rPr>
          <w:lang w:eastAsia="en-US"/>
        </w:rPr>
        <w:t>“</w:t>
      </w:r>
      <w:r w:rsidR="00EE102F">
        <w:rPr>
          <w:lang w:eastAsia="en-US"/>
        </w:rPr>
        <w:t>published</w:t>
      </w:r>
      <w:r w:rsidR="00B36447">
        <w:rPr>
          <w:lang w:eastAsia="en-US"/>
        </w:rPr>
        <w:t>”</w:t>
      </w:r>
      <w:r w:rsidR="001A0C3E">
        <w:rPr>
          <w:lang w:eastAsia="en-US"/>
        </w:rPr>
        <w:t xml:space="preserve"> through the G</w:t>
      </w:r>
      <w:r w:rsidR="00EE102F">
        <w:rPr>
          <w:lang w:eastAsia="en-US"/>
        </w:rPr>
        <w:t>lobal Design Database</w:t>
      </w:r>
      <w:r w:rsidR="00056449">
        <w:rPr>
          <w:rStyle w:val="FootnoteReference"/>
          <w:lang w:eastAsia="en-US"/>
        </w:rPr>
        <w:footnoteReference w:id="6"/>
      </w:r>
      <w:r w:rsidR="001A0C3E">
        <w:rPr>
          <w:lang w:eastAsia="en-US"/>
        </w:rPr>
        <w:t>.</w:t>
      </w:r>
    </w:p>
    <w:p w:rsidR="003F2C01" w:rsidRDefault="003F2C01" w:rsidP="003F2C01">
      <w:pPr>
        <w:pStyle w:val="ONUME"/>
        <w:rPr>
          <w:lang w:eastAsia="en-US"/>
        </w:rPr>
      </w:pPr>
      <w:r>
        <w:rPr>
          <w:lang w:eastAsia="en-US"/>
        </w:rPr>
        <w:t xml:space="preserve">Concretely, according to the current plan, searching by </w:t>
      </w:r>
      <w:r w:rsidRPr="00924BE4">
        <w:rPr>
          <w:lang w:eastAsia="en-US"/>
        </w:rPr>
        <w:t>Bulletin</w:t>
      </w:r>
      <w:r>
        <w:rPr>
          <w:lang w:eastAsia="en-US"/>
        </w:rPr>
        <w:t xml:space="preserve"> number will be made available through a dedicated “Search By” tab within the Global Design Database interface</w:t>
      </w:r>
      <w:r>
        <w:rPr>
          <w:rStyle w:val="FootnoteReference"/>
          <w:lang w:eastAsia="en-US"/>
        </w:rPr>
        <w:footnoteReference w:id="7"/>
      </w:r>
      <w:r>
        <w:rPr>
          <w:lang w:eastAsia="en-US"/>
        </w:rPr>
        <w:t>.  Equally, browsing a Bulletin by Transaction Type will be made available through a dedicated “Filter By” tab within the same interface.</w:t>
      </w:r>
    </w:p>
    <w:p w:rsidR="00C860AF" w:rsidRDefault="00C860AF" w:rsidP="00981033">
      <w:pPr>
        <w:pStyle w:val="Heading2"/>
        <w:spacing w:before="480"/>
        <w:rPr>
          <w:lang w:eastAsia="en-US"/>
        </w:rPr>
      </w:pPr>
      <w:r>
        <w:rPr>
          <w:lang w:eastAsia="en-US"/>
        </w:rPr>
        <w:t>p</w:t>
      </w:r>
      <w:r w:rsidR="00062A5B">
        <w:rPr>
          <w:lang w:eastAsia="en-US"/>
        </w:rPr>
        <w:t>r</w:t>
      </w:r>
      <w:r>
        <w:rPr>
          <w:lang w:eastAsia="en-US"/>
        </w:rPr>
        <w:t>actical impact</w:t>
      </w:r>
      <w:r w:rsidR="00017339">
        <w:rPr>
          <w:lang w:eastAsia="en-US"/>
        </w:rPr>
        <w:t xml:space="preserve"> and benefit</w:t>
      </w:r>
    </w:p>
    <w:p w:rsidR="00C860AF" w:rsidRPr="003C05D3" w:rsidRDefault="00C860AF" w:rsidP="00C860AF">
      <w:pPr>
        <w:rPr>
          <w:lang w:eastAsia="en-US"/>
        </w:rPr>
      </w:pPr>
    </w:p>
    <w:p w:rsidR="00321DB2" w:rsidRDefault="00C860AF" w:rsidP="00C860AF">
      <w:pPr>
        <w:pStyle w:val="ONUME"/>
        <w:rPr>
          <w:lang w:eastAsia="en-US"/>
        </w:rPr>
      </w:pPr>
      <w:r>
        <w:rPr>
          <w:lang w:eastAsia="en-US"/>
        </w:rPr>
        <w:t xml:space="preserve">For </w:t>
      </w:r>
      <w:r w:rsidR="00017339">
        <w:rPr>
          <w:lang w:eastAsia="en-US"/>
        </w:rPr>
        <w:t xml:space="preserve">those </w:t>
      </w:r>
      <w:r>
        <w:rPr>
          <w:lang w:eastAsia="en-US"/>
        </w:rPr>
        <w:t xml:space="preserve">Offices which consult the </w:t>
      </w:r>
      <w:r w:rsidRPr="007434D4">
        <w:rPr>
          <w:lang w:eastAsia="en-US"/>
        </w:rPr>
        <w:t>Bulletin</w:t>
      </w:r>
      <w:r>
        <w:rPr>
          <w:lang w:eastAsia="en-US"/>
        </w:rPr>
        <w:t xml:space="preserve"> via the interface available on the WIPO website</w:t>
      </w:r>
      <w:r w:rsidR="00B36447">
        <w:rPr>
          <w:lang w:eastAsia="en-US"/>
        </w:rPr>
        <w:t>, in particular,</w:t>
      </w:r>
      <w:r>
        <w:rPr>
          <w:lang w:eastAsia="en-US"/>
        </w:rPr>
        <w:t xml:space="preserve"> for the purpose of substantive examination, the search functionalities criteria and features that currently exist will be carried over.</w:t>
      </w:r>
      <w:r w:rsidR="00017339">
        <w:rPr>
          <w:lang w:eastAsia="en-US"/>
        </w:rPr>
        <w:t xml:space="preserve">  In addition, the search functionalities that exist for the Global Design Database will enrich the capabilities of the </w:t>
      </w:r>
      <w:r w:rsidR="00017339" w:rsidRPr="007434D4">
        <w:rPr>
          <w:lang w:eastAsia="en-US"/>
        </w:rPr>
        <w:t>Bulletin</w:t>
      </w:r>
      <w:r w:rsidR="00017339">
        <w:rPr>
          <w:lang w:eastAsia="en-US"/>
        </w:rPr>
        <w:t>.</w:t>
      </w:r>
    </w:p>
    <w:p w:rsidR="00017339" w:rsidRDefault="00017339" w:rsidP="00C860AF">
      <w:pPr>
        <w:pStyle w:val="ONUME"/>
        <w:rPr>
          <w:lang w:eastAsia="en-US"/>
        </w:rPr>
      </w:pPr>
      <w:r>
        <w:rPr>
          <w:lang w:eastAsia="en-US"/>
        </w:rPr>
        <w:t xml:space="preserve">For example, at present, the </w:t>
      </w:r>
      <w:r w:rsidRPr="007434D4">
        <w:rPr>
          <w:lang w:eastAsia="en-US"/>
        </w:rPr>
        <w:t>Bulletin</w:t>
      </w:r>
      <w:r>
        <w:rPr>
          <w:lang w:eastAsia="en-US"/>
        </w:rPr>
        <w:t xml:space="preserve"> </w:t>
      </w:r>
      <w:r w:rsidR="00A279A5">
        <w:rPr>
          <w:lang w:eastAsia="en-US"/>
        </w:rPr>
        <w:t>only allows to search for a</w:t>
      </w:r>
      <w:r w:rsidR="00321DB2">
        <w:rPr>
          <w:lang w:eastAsia="en-US"/>
        </w:rPr>
        <w:t>n international</w:t>
      </w:r>
      <w:r w:rsidR="00A279A5">
        <w:rPr>
          <w:lang w:eastAsia="en-US"/>
        </w:rPr>
        <w:t xml:space="preserve"> registration issue by issue and chapter by chapter</w:t>
      </w:r>
      <w:r w:rsidR="00321DB2">
        <w:rPr>
          <w:lang w:eastAsia="en-US"/>
        </w:rPr>
        <w:t>.  I</w:t>
      </w:r>
      <w:r w:rsidR="00A279A5">
        <w:rPr>
          <w:lang w:eastAsia="en-US"/>
        </w:rPr>
        <w:t xml:space="preserve">t </w:t>
      </w:r>
      <w:r>
        <w:rPr>
          <w:lang w:eastAsia="en-US"/>
        </w:rPr>
        <w:t>does not allow a search</w:t>
      </w:r>
      <w:r w:rsidR="00A279A5">
        <w:rPr>
          <w:lang w:eastAsia="en-US"/>
        </w:rPr>
        <w:t xml:space="preserve"> for a</w:t>
      </w:r>
      <w:r w:rsidR="00321DB2">
        <w:rPr>
          <w:lang w:eastAsia="en-US"/>
        </w:rPr>
        <w:t>n international</w:t>
      </w:r>
      <w:r w:rsidR="00A279A5">
        <w:rPr>
          <w:lang w:eastAsia="en-US"/>
        </w:rPr>
        <w:t xml:space="preserve"> registration</w:t>
      </w:r>
      <w:r>
        <w:rPr>
          <w:lang w:eastAsia="en-US"/>
        </w:rPr>
        <w:t xml:space="preserve"> across multiple </w:t>
      </w:r>
      <w:r w:rsidR="00B36447">
        <w:rPr>
          <w:lang w:eastAsia="en-US"/>
        </w:rPr>
        <w:t>issue</w:t>
      </w:r>
      <w:r>
        <w:rPr>
          <w:lang w:eastAsia="en-US"/>
        </w:rPr>
        <w:t xml:space="preserve">s of the </w:t>
      </w:r>
      <w:r w:rsidRPr="007434D4">
        <w:rPr>
          <w:lang w:eastAsia="en-US"/>
        </w:rPr>
        <w:t>Bulletin</w:t>
      </w:r>
      <w:r w:rsidR="00EA6674">
        <w:rPr>
          <w:i/>
          <w:lang w:eastAsia="en-US"/>
        </w:rPr>
        <w:t xml:space="preserve"> </w:t>
      </w:r>
      <w:r w:rsidR="00EA6674" w:rsidRPr="00062A5B">
        <w:rPr>
          <w:lang w:eastAsia="en-US"/>
        </w:rPr>
        <w:t>or through the multiple chapters of a given issue</w:t>
      </w:r>
      <w:r>
        <w:rPr>
          <w:lang w:eastAsia="en-US"/>
        </w:rPr>
        <w:t>.  This will become possible on the Global Design Database.</w:t>
      </w:r>
    </w:p>
    <w:p w:rsidR="00C860AF" w:rsidRDefault="008D32F0" w:rsidP="00C860AF">
      <w:pPr>
        <w:pStyle w:val="ONUME"/>
        <w:rPr>
          <w:lang w:eastAsia="en-US"/>
        </w:rPr>
      </w:pPr>
      <w:r>
        <w:rPr>
          <w:lang w:eastAsia="en-US"/>
        </w:rPr>
        <w:t xml:space="preserve">Offices </w:t>
      </w:r>
      <w:r w:rsidR="00174B5C">
        <w:rPr>
          <w:lang w:eastAsia="en-US"/>
        </w:rPr>
        <w:t xml:space="preserve">that </w:t>
      </w:r>
      <w:r>
        <w:rPr>
          <w:lang w:eastAsia="en-US"/>
        </w:rPr>
        <w:t xml:space="preserve">incorporate data published in the </w:t>
      </w:r>
      <w:r w:rsidRPr="007434D4">
        <w:rPr>
          <w:lang w:eastAsia="en-US"/>
        </w:rPr>
        <w:t>Bulletin</w:t>
      </w:r>
      <w:r>
        <w:rPr>
          <w:lang w:eastAsia="en-US"/>
        </w:rPr>
        <w:t xml:space="preserve"> by downloading from the International Bureau’s SFTP (secured file transfer protocol) server</w:t>
      </w:r>
      <w:r w:rsidR="0034094D">
        <w:rPr>
          <w:lang w:eastAsia="en-US"/>
        </w:rPr>
        <w:t xml:space="preserve"> – data dissemination via XM</w:t>
      </w:r>
      <w:r w:rsidR="00A279A5">
        <w:rPr>
          <w:lang w:eastAsia="en-US"/>
        </w:rPr>
        <w:t>L</w:t>
      </w:r>
      <w:r w:rsidR="0034094D">
        <w:rPr>
          <w:lang w:eastAsia="en-US"/>
        </w:rPr>
        <w:t xml:space="preserve"> </w:t>
      </w:r>
      <w:r w:rsidR="006F5417">
        <w:rPr>
          <w:lang w:eastAsia="en-US"/>
        </w:rPr>
        <w:t>–</w:t>
      </w:r>
      <w:r w:rsidR="0034094D">
        <w:rPr>
          <w:lang w:eastAsia="en-US"/>
        </w:rPr>
        <w:t xml:space="preserve"> </w:t>
      </w:r>
      <w:r>
        <w:rPr>
          <w:lang w:eastAsia="en-US"/>
        </w:rPr>
        <w:t>will not be impacted.</w:t>
      </w:r>
      <w:r w:rsidR="0034094D">
        <w:rPr>
          <w:lang w:eastAsia="en-US"/>
        </w:rPr>
        <w:t xml:space="preserve">  The schedule of update, currently every Friday at noon Geneva time, </w:t>
      </w:r>
      <w:r w:rsidR="00321DB2">
        <w:rPr>
          <w:lang w:eastAsia="en-US"/>
        </w:rPr>
        <w:t>will</w:t>
      </w:r>
      <w:r w:rsidR="0034094D">
        <w:rPr>
          <w:lang w:eastAsia="en-US"/>
        </w:rPr>
        <w:t xml:space="preserve"> not be impacted</w:t>
      </w:r>
      <w:r w:rsidR="00B36447">
        <w:rPr>
          <w:lang w:eastAsia="en-US"/>
        </w:rPr>
        <w:t xml:space="preserve"> either</w:t>
      </w:r>
      <w:r w:rsidR="006F5417">
        <w:rPr>
          <w:lang w:eastAsia="en-US"/>
        </w:rPr>
        <w:t>.</w:t>
      </w:r>
    </w:p>
    <w:p w:rsidR="00E70335" w:rsidRPr="00FE2631" w:rsidRDefault="00EE102F" w:rsidP="006F5417">
      <w:pPr>
        <w:pStyle w:val="Heading1"/>
        <w:spacing w:before="480"/>
      </w:pPr>
      <w:r>
        <w:t>IV</w:t>
      </w:r>
      <w:r w:rsidR="00F23DE3" w:rsidRPr="008E43AD">
        <w:t>.</w:t>
      </w:r>
      <w:r w:rsidR="00F23DE3" w:rsidRPr="008E43AD">
        <w:tab/>
      </w:r>
      <w:r w:rsidR="006432D9">
        <w:t>considerations</w:t>
      </w:r>
    </w:p>
    <w:p w:rsidR="00F23DE3" w:rsidRPr="008E43AD" w:rsidRDefault="00F23DE3" w:rsidP="00F23DE3">
      <w:pPr>
        <w:rPr>
          <w:lang w:eastAsia="en-US"/>
        </w:rPr>
      </w:pPr>
    </w:p>
    <w:p w:rsidR="002904E8" w:rsidRPr="002904E8" w:rsidRDefault="009153BB" w:rsidP="009153BB">
      <w:pPr>
        <w:pStyle w:val="ONUME"/>
        <w:rPr>
          <w:szCs w:val="22"/>
          <w:lang w:eastAsia="en-US"/>
        </w:rPr>
      </w:pPr>
      <w:r w:rsidRPr="009153BB">
        <w:rPr>
          <w:lang w:eastAsia="en-US"/>
        </w:rPr>
        <w:t>The term “</w:t>
      </w:r>
      <w:r w:rsidRPr="007434D4">
        <w:rPr>
          <w:lang w:eastAsia="en-US"/>
        </w:rPr>
        <w:t>Bulletin</w:t>
      </w:r>
      <w:r w:rsidRPr="009153BB">
        <w:rPr>
          <w:lang w:eastAsia="en-US"/>
        </w:rPr>
        <w:t>” does not appear in the 1999 Act, while Articles 6(3), 8(</w:t>
      </w:r>
      <w:r>
        <w:rPr>
          <w:lang w:eastAsia="en-US"/>
        </w:rPr>
        <w:t>2) and 17 of the</w:t>
      </w:r>
      <w:r w:rsidR="001B1E98">
        <w:rPr>
          <w:lang w:eastAsia="en-US"/>
        </w:rPr>
        <w:t> </w:t>
      </w:r>
      <w:r>
        <w:rPr>
          <w:lang w:eastAsia="en-US"/>
        </w:rPr>
        <w:t>1960</w:t>
      </w:r>
      <w:r w:rsidR="006F5417">
        <w:rPr>
          <w:lang w:eastAsia="en-US"/>
        </w:rPr>
        <w:t> </w:t>
      </w:r>
      <w:r>
        <w:rPr>
          <w:lang w:eastAsia="en-US"/>
        </w:rPr>
        <w:t xml:space="preserve">Act refer </w:t>
      </w:r>
      <w:r w:rsidRPr="009153BB">
        <w:rPr>
          <w:lang w:eastAsia="en-US"/>
        </w:rPr>
        <w:t>simply to the publication of a “periodical bulletin”</w:t>
      </w:r>
      <w:r>
        <w:rPr>
          <w:lang w:eastAsia="en-US"/>
        </w:rPr>
        <w:t xml:space="preserve">. </w:t>
      </w:r>
      <w:r w:rsidR="00494806">
        <w:rPr>
          <w:lang w:eastAsia="en-US"/>
        </w:rPr>
        <w:t xml:space="preserve"> </w:t>
      </w:r>
      <w:r>
        <w:rPr>
          <w:lang w:eastAsia="en-US"/>
        </w:rPr>
        <w:t>However</w:t>
      </w:r>
      <w:r w:rsidRPr="009153BB">
        <w:rPr>
          <w:lang w:eastAsia="en-US"/>
        </w:rPr>
        <w:t>,</w:t>
      </w:r>
      <w:r w:rsidR="00105FB5">
        <w:rPr>
          <w:lang w:eastAsia="en-US"/>
        </w:rPr>
        <w:t xml:space="preserve"> </w:t>
      </w:r>
      <w:r w:rsidR="002904E8" w:rsidRPr="002904E8">
        <w:rPr>
          <w:lang w:eastAsia="en-US"/>
        </w:rPr>
        <w:t>Rule 1(1)(ix) of the</w:t>
      </w:r>
      <w:r w:rsidR="001B1E98">
        <w:rPr>
          <w:lang w:eastAsia="en-US"/>
        </w:rPr>
        <w:t xml:space="preserve"> </w:t>
      </w:r>
      <w:r w:rsidR="002904E8" w:rsidRPr="002904E8">
        <w:rPr>
          <w:lang w:eastAsia="en-US"/>
        </w:rPr>
        <w:t>Common Regulations provides that ““</w:t>
      </w:r>
      <w:r w:rsidR="002904E8" w:rsidRPr="007434D4">
        <w:rPr>
          <w:lang w:eastAsia="en-US"/>
        </w:rPr>
        <w:t>Bulletin” means th</w:t>
      </w:r>
      <w:r w:rsidR="00EE1351" w:rsidRPr="007434D4">
        <w:rPr>
          <w:lang w:eastAsia="en-US"/>
        </w:rPr>
        <w:t>e</w:t>
      </w:r>
      <w:r w:rsidR="002904E8" w:rsidRPr="007434D4">
        <w:rPr>
          <w:lang w:eastAsia="en-US"/>
        </w:rPr>
        <w:t xml:space="preserve"> periodical bulletin in which the International Bureau effects the publications provided for in the 1999 Act, the 1960 Act or these Regulations, whatever the medium used”.</w:t>
      </w:r>
      <w:r w:rsidR="002904E8" w:rsidRPr="002904E8">
        <w:rPr>
          <w:szCs w:val="22"/>
          <w:lang w:eastAsia="en-US"/>
        </w:rPr>
        <w:t xml:space="preserve">  </w:t>
      </w:r>
      <w:r w:rsidRPr="009153BB">
        <w:rPr>
          <w:szCs w:val="22"/>
          <w:lang w:eastAsia="en-US"/>
        </w:rPr>
        <w:t>The term “</w:t>
      </w:r>
      <w:r w:rsidRPr="007434D4">
        <w:rPr>
          <w:szCs w:val="22"/>
          <w:lang w:eastAsia="en-US"/>
        </w:rPr>
        <w:t>Bulletin</w:t>
      </w:r>
      <w:r w:rsidRPr="009153BB">
        <w:rPr>
          <w:szCs w:val="22"/>
          <w:lang w:eastAsia="en-US"/>
        </w:rPr>
        <w:t>” appears in Rules 1(1), 6(2), 17(2) and</w:t>
      </w:r>
      <w:r w:rsidR="006F5417">
        <w:rPr>
          <w:szCs w:val="22"/>
          <w:lang w:eastAsia="en-US"/>
        </w:rPr>
        <w:t> </w:t>
      </w:r>
      <w:r w:rsidRPr="009153BB">
        <w:rPr>
          <w:szCs w:val="22"/>
          <w:lang w:eastAsia="en-US"/>
        </w:rPr>
        <w:t>26(1) and</w:t>
      </w:r>
      <w:r w:rsidR="006F5417">
        <w:rPr>
          <w:szCs w:val="22"/>
          <w:lang w:eastAsia="en-US"/>
        </w:rPr>
        <w:t> </w:t>
      </w:r>
      <w:r w:rsidRPr="009153BB">
        <w:rPr>
          <w:szCs w:val="22"/>
          <w:lang w:eastAsia="en-US"/>
        </w:rPr>
        <w:t>(3) of the Common Regulations</w:t>
      </w:r>
      <w:r w:rsidR="00791628">
        <w:rPr>
          <w:szCs w:val="22"/>
          <w:lang w:eastAsia="en-US"/>
        </w:rPr>
        <w:t>.</w:t>
      </w:r>
    </w:p>
    <w:p w:rsidR="003F2C01" w:rsidRDefault="003F2C01">
      <w:pPr>
        <w:rPr>
          <w:lang w:eastAsia="en-US"/>
        </w:rPr>
      </w:pPr>
      <w:r>
        <w:rPr>
          <w:lang w:eastAsia="en-US"/>
        </w:rPr>
        <w:br w:type="page"/>
      </w:r>
    </w:p>
    <w:p w:rsidR="006D6D09" w:rsidRDefault="002C4D5C" w:rsidP="00F23DE3">
      <w:pPr>
        <w:pStyle w:val="ONUME"/>
        <w:rPr>
          <w:lang w:eastAsia="en-US"/>
        </w:rPr>
      </w:pPr>
      <w:r w:rsidRPr="006B40A8">
        <w:rPr>
          <w:lang w:eastAsia="en-US"/>
        </w:rPr>
        <w:lastRenderedPageBreak/>
        <w:t>The same wording</w:t>
      </w:r>
      <w:r w:rsidR="00577738" w:rsidRPr="006B40A8">
        <w:rPr>
          <w:lang w:eastAsia="en-US"/>
        </w:rPr>
        <w:t xml:space="preserve"> </w:t>
      </w:r>
      <w:r w:rsidR="009153BB">
        <w:rPr>
          <w:lang w:eastAsia="en-US"/>
        </w:rPr>
        <w:t>as that of Rule 1(1</w:t>
      </w:r>
      <w:proofErr w:type="gramStart"/>
      <w:r w:rsidR="009153BB">
        <w:rPr>
          <w:lang w:eastAsia="en-US"/>
        </w:rPr>
        <w:t>)(</w:t>
      </w:r>
      <w:proofErr w:type="gramEnd"/>
      <w:r w:rsidR="009153BB">
        <w:rPr>
          <w:lang w:eastAsia="en-US"/>
        </w:rPr>
        <w:t xml:space="preserve">ix) </w:t>
      </w:r>
      <w:r w:rsidR="00791628">
        <w:rPr>
          <w:lang w:eastAsia="en-US"/>
        </w:rPr>
        <w:t>–</w:t>
      </w:r>
      <w:r w:rsidR="00577738" w:rsidRPr="006B40A8">
        <w:rPr>
          <w:lang w:eastAsia="en-US"/>
        </w:rPr>
        <w:t xml:space="preserve"> minus the reference to the 1960 Act</w:t>
      </w:r>
      <w:r w:rsidR="00577738">
        <w:rPr>
          <w:lang w:eastAsia="en-US"/>
        </w:rPr>
        <w:t xml:space="preserve"> </w:t>
      </w:r>
      <w:r w:rsidR="00791628">
        <w:rPr>
          <w:lang w:eastAsia="en-US"/>
        </w:rPr>
        <w:t>–</w:t>
      </w:r>
      <w:r>
        <w:rPr>
          <w:lang w:eastAsia="en-US"/>
        </w:rPr>
        <w:t xml:space="preserve"> appeared in</w:t>
      </w:r>
      <w:r w:rsidR="009E4E7B">
        <w:rPr>
          <w:lang w:eastAsia="en-US"/>
        </w:rPr>
        <w:t xml:space="preserve"> Rule 1</w:t>
      </w:r>
      <w:r w:rsidR="00EE1351">
        <w:rPr>
          <w:lang w:eastAsia="en-US"/>
        </w:rPr>
        <w:t>(2)(vi)</w:t>
      </w:r>
      <w:r w:rsidR="009E4E7B">
        <w:rPr>
          <w:lang w:eastAsia="en-US"/>
        </w:rPr>
        <w:t xml:space="preserve"> of</w:t>
      </w:r>
      <w:r>
        <w:rPr>
          <w:lang w:eastAsia="en-US"/>
        </w:rPr>
        <w:t xml:space="preserve"> the </w:t>
      </w:r>
      <w:r w:rsidR="009E4E7B">
        <w:rPr>
          <w:lang w:eastAsia="en-US"/>
        </w:rPr>
        <w:t>Draft Regulations Under the New Act of the Hague Agreement</w:t>
      </w:r>
      <w:r w:rsidR="00556CB6">
        <w:rPr>
          <w:lang w:eastAsia="en-US"/>
        </w:rPr>
        <w:t xml:space="preserve"> Concerning the International Registration of Industrial Designs</w:t>
      </w:r>
      <w:r w:rsidR="009E4E7B">
        <w:rPr>
          <w:lang w:eastAsia="en-US"/>
        </w:rPr>
        <w:t xml:space="preserve">, submitted to the Diplomatic </w:t>
      </w:r>
      <w:r w:rsidR="009E4E7B">
        <w:t xml:space="preserve">Conference for the Adoption of a New Act of the Hague Agreement Concerning the International Deposit of Industrial Designs (Geneva Act) held from June 16 to July </w:t>
      </w:r>
      <w:r w:rsidR="00556CB6">
        <w:t>6</w:t>
      </w:r>
      <w:r w:rsidR="009E4E7B">
        <w:t>, 1999</w:t>
      </w:r>
      <w:r w:rsidR="006D6D09">
        <w:rPr>
          <w:rStyle w:val="FootnoteReference"/>
        </w:rPr>
        <w:footnoteReference w:id="8"/>
      </w:r>
      <w:r w:rsidR="005E14CB">
        <w:t>.</w:t>
      </w:r>
    </w:p>
    <w:p w:rsidR="004E44FB" w:rsidRPr="004E44FB" w:rsidRDefault="009E4E7B" w:rsidP="004E44FB">
      <w:pPr>
        <w:pStyle w:val="ONUME"/>
        <w:rPr>
          <w:lang w:eastAsia="en-US"/>
        </w:rPr>
      </w:pPr>
      <w:r>
        <w:t xml:space="preserve">The notes </w:t>
      </w:r>
      <w:r w:rsidR="009153BB">
        <w:t xml:space="preserve">to proposed </w:t>
      </w:r>
      <w:r>
        <w:t xml:space="preserve">Rule 1 explain </w:t>
      </w:r>
      <w:r w:rsidRPr="006B40A8">
        <w:t xml:space="preserve">that </w:t>
      </w:r>
      <w:r w:rsidR="006B40A8" w:rsidRPr="006B40A8">
        <w:t>the</w:t>
      </w:r>
      <w:r w:rsidRPr="006B40A8">
        <w:t xml:space="preserve"> wording</w:t>
      </w:r>
      <w:r w:rsidR="006D6D09" w:rsidRPr="006B40A8">
        <w:t xml:space="preserve"> </w:t>
      </w:r>
      <w:r w:rsidR="006B40A8" w:rsidRPr="006B40A8">
        <w:t>is</w:t>
      </w:r>
      <w:r w:rsidRPr="006B40A8">
        <w:t xml:space="preserve"> based on that of Section</w:t>
      </w:r>
      <w:r w:rsidR="005E14CB">
        <w:t> </w:t>
      </w:r>
      <w:r w:rsidRPr="006B40A8">
        <w:t>101(xii) of the Administrative Instructions, as in force on January</w:t>
      </w:r>
      <w:r w:rsidR="005E14CB">
        <w:t> </w:t>
      </w:r>
      <w:r w:rsidRPr="006B40A8">
        <w:t>1,</w:t>
      </w:r>
      <w:r w:rsidR="005E14CB">
        <w:t> </w:t>
      </w:r>
      <w:r w:rsidRPr="006B40A8">
        <w:t>1999</w:t>
      </w:r>
      <w:r w:rsidR="006D6D09" w:rsidRPr="006B40A8">
        <w:t>.  It cover</w:t>
      </w:r>
      <w:r w:rsidR="00E870A2">
        <w:t>s</w:t>
      </w:r>
      <w:r w:rsidR="006D6D09" w:rsidRPr="006B40A8">
        <w:t xml:space="preserve"> the </w:t>
      </w:r>
      <w:r w:rsidR="006D6D09" w:rsidRPr="00E870A2">
        <w:t xml:space="preserve">possibility of an electronic publication of the </w:t>
      </w:r>
      <w:r w:rsidR="006D6D09" w:rsidRPr="007434D4">
        <w:t>Bulletin</w:t>
      </w:r>
      <w:r w:rsidR="006D6D09" w:rsidRPr="00E870A2">
        <w:t xml:space="preserve"> as well as of any other form of publication that may result from the development of new technologies</w:t>
      </w:r>
      <w:r w:rsidR="006B40A8" w:rsidRPr="00E870A2">
        <w:rPr>
          <w:rStyle w:val="FootnoteReference"/>
        </w:rPr>
        <w:footnoteReference w:id="9"/>
      </w:r>
      <w:r w:rsidR="006B40A8" w:rsidRPr="00E870A2">
        <w:t>.</w:t>
      </w:r>
      <w:r w:rsidR="008279CC">
        <w:t xml:space="preserve">  Accordingly, international registrations have been published on the WIPO website since April 2004, at the same time the 1999 Act and the Common Regulations came into operation</w:t>
      </w:r>
      <w:r w:rsidR="008279CC">
        <w:rPr>
          <w:rStyle w:val="FootnoteReference"/>
        </w:rPr>
        <w:footnoteReference w:id="10"/>
      </w:r>
      <w:r w:rsidR="005E14CB">
        <w:t>.</w:t>
      </w:r>
    </w:p>
    <w:p w:rsidR="006B40A8" w:rsidRPr="003C05D3" w:rsidRDefault="00F42D6C" w:rsidP="006B40A8">
      <w:pPr>
        <w:pStyle w:val="ONUME"/>
        <w:rPr>
          <w:lang w:eastAsia="en-US"/>
        </w:rPr>
      </w:pPr>
      <w:r>
        <w:rPr>
          <w:lang w:eastAsia="en-US"/>
        </w:rPr>
        <w:t xml:space="preserve">The </w:t>
      </w:r>
      <w:r w:rsidR="003B73A9">
        <w:rPr>
          <w:lang w:eastAsia="en-US"/>
        </w:rPr>
        <w:t xml:space="preserve">planned </w:t>
      </w:r>
      <w:r>
        <w:rPr>
          <w:lang w:eastAsia="en-US"/>
        </w:rPr>
        <w:t xml:space="preserve">electronic publication of the </w:t>
      </w:r>
      <w:r w:rsidRPr="007434D4">
        <w:rPr>
          <w:lang w:eastAsia="en-US"/>
        </w:rPr>
        <w:t>Bulletin</w:t>
      </w:r>
      <w:r w:rsidR="003B73A9">
        <w:rPr>
          <w:lang w:eastAsia="en-US"/>
        </w:rPr>
        <w:t xml:space="preserve"> through the Global Design Database would remain</w:t>
      </w:r>
      <w:r>
        <w:rPr>
          <w:lang w:eastAsia="en-US"/>
        </w:rPr>
        <w:t xml:space="preserve"> in accordance with the definition provided in Rule </w:t>
      </w:r>
      <w:r w:rsidRPr="002904E8">
        <w:rPr>
          <w:lang w:eastAsia="en-US"/>
        </w:rPr>
        <w:t>1(1</w:t>
      </w:r>
      <w:proofErr w:type="gramStart"/>
      <w:r w:rsidRPr="002904E8">
        <w:rPr>
          <w:lang w:eastAsia="en-US"/>
        </w:rPr>
        <w:t>)(</w:t>
      </w:r>
      <w:proofErr w:type="gramEnd"/>
      <w:r w:rsidRPr="002904E8">
        <w:rPr>
          <w:lang w:eastAsia="en-US"/>
        </w:rPr>
        <w:t>ix)</w:t>
      </w:r>
      <w:r w:rsidR="000978AB">
        <w:rPr>
          <w:lang w:eastAsia="en-US"/>
        </w:rPr>
        <w:t>.</w:t>
      </w:r>
    </w:p>
    <w:p w:rsidR="001E306D" w:rsidRDefault="009153BB" w:rsidP="001E306D">
      <w:pPr>
        <w:pStyle w:val="ONUME"/>
        <w:rPr>
          <w:lang w:eastAsia="en-US"/>
        </w:rPr>
      </w:pPr>
      <w:r>
        <w:rPr>
          <w:lang w:eastAsia="en-US"/>
        </w:rPr>
        <w:t>Furthermore,</w:t>
      </w:r>
      <w:r w:rsidR="00494806">
        <w:rPr>
          <w:lang w:eastAsia="en-US"/>
        </w:rPr>
        <w:t xml:space="preserve"> t</w:t>
      </w:r>
      <w:r w:rsidR="001E306D">
        <w:rPr>
          <w:lang w:eastAsia="en-US"/>
        </w:rPr>
        <w:t>he publication of international registrations and other relevant recordings by the International Bureau have legal implications in ea</w:t>
      </w:r>
      <w:r w:rsidR="00105FB5">
        <w:rPr>
          <w:lang w:eastAsia="en-US"/>
        </w:rPr>
        <w:t>ch designated Contracting Party</w:t>
      </w:r>
      <w:r w:rsidR="001E306D">
        <w:rPr>
          <w:lang w:eastAsia="en-US"/>
        </w:rPr>
        <w:t xml:space="preserve"> in terms of Articles</w:t>
      </w:r>
      <w:r w:rsidR="00105FB5">
        <w:rPr>
          <w:lang w:eastAsia="en-US"/>
        </w:rPr>
        <w:t> </w:t>
      </w:r>
      <w:r w:rsidR="001E306D">
        <w:rPr>
          <w:lang w:eastAsia="en-US"/>
        </w:rPr>
        <w:t>10(3), 12(2), 14(1) and</w:t>
      </w:r>
      <w:r w:rsidR="00105FB5">
        <w:rPr>
          <w:lang w:eastAsia="en-US"/>
        </w:rPr>
        <w:t> </w:t>
      </w:r>
      <w:r w:rsidR="001E306D">
        <w:rPr>
          <w:lang w:eastAsia="en-US"/>
        </w:rPr>
        <w:t>(2), 16(4) and</w:t>
      </w:r>
      <w:r w:rsidR="00105FB5">
        <w:rPr>
          <w:lang w:eastAsia="en-US"/>
        </w:rPr>
        <w:t> </w:t>
      </w:r>
      <w:r w:rsidR="001E306D">
        <w:rPr>
          <w:lang w:eastAsia="en-US"/>
        </w:rPr>
        <w:t>17(5) of the 1999 Act and Articles</w:t>
      </w:r>
      <w:r w:rsidR="00105FB5">
        <w:rPr>
          <w:lang w:eastAsia="en-US"/>
        </w:rPr>
        <w:t> </w:t>
      </w:r>
      <w:r w:rsidR="001E306D">
        <w:rPr>
          <w:lang w:eastAsia="en-US"/>
        </w:rPr>
        <w:t>6(3), 8(1) and</w:t>
      </w:r>
      <w:r w:rsidR="00924BE4">
        <w:rPr>
          <w:lang w:eastAsia="en-US"/>
        </w:rPr>
        <w:t> </w:t>
      </w:r>
      <w:r w:rsidR="00105FB5">
        <w:rPr>
          <w:lang w:eastAsia="en-US"/>
        </w:rPr>
        <w:t>(2), 10(5), 12(1) and 13(2)</w:t>
      </w:r>
      <w:r w:rsidR="002C5B78">
        <w:rPr>
          <w:lang w:eastAsia="en-US"/>
        </w:rPr>
        <w:t xml:space="preserve"> of the 1960 Act</w:t>
      </w:r>
      <w:bookmarkStart w:id="5" w:name="_GoBack"/>
      <w:bookmarkEnd w:id="5"/>
      <w:r w:rsidR="00105FB5">
        <w:rPr>
          <w:lang w:eastAsia="en-US"/>
        </w:rPr>
        <w:t xml:space="preserve"> relating to the</w:t>
      </w:r>
      <w:r w:rsidR="001E306D">
        <w:rPr>
          <w:lang w:eastAsia="en-US"/>
        </w:rPr>
        <w:t xml:space="preserve"> effects of an international registration, its refusal, and the effects of the recording of a change and renewal in the International Register.</w:t>
      </w:r>
    </w:p>
    <w:p w:rsidR="00B35D6C" w:rsidRDefault="00CD150D" w:rsidP="000F158D">
      <w:pPr>
        <w:pStyle w:val="ONUME"/>
        <w:rPr>
          <w:lang w:eastAsia="en-US"/>
        </w:rPr>
      </w:pPr>
      <w:r>
        <w:rPr>
          <w:lang w:eastAsia="en-US"/>
        </w:rPr>
        <w:t>A</w:t>
      </w:r>
      <w:r w:rsidR="00B35D6C">
        <w:rPr>
          <w:lang w:eastAsia="en-US"/>
        </w:rPr>
        <w:t>g</w:t>
      </w:r>
      <w:r>
        <w:rPr>
          <w:lang w:eastAsia="en-US"/>
        </w:rPr>
        <w:t>ainst this</w:t>
      </w:r>
      <w:r w:rsidR="00096B68">
        <w:rPr>
          <w:lang w:eastAsia="en-US"/>
        </w:rPr>
        <w:t xml:space="preserve"> background</w:t>
      </w:r>
      <w:r w:rsidR="002E6732">
        <w:rPr>
          <w:lang w:eastAsia="en-US"/>
        </w:rPr>
        <w:t xml:space="preserve">, </w:t>
      </w:r>
      <w:r>
        <w:rPr>
          <w:lang w:eastAsia="en-US"/>
        </w:rPr>
        <w:t xml:space="preserve">it is likely that </w:t>
      </w:r>
      <w:r w:rsidR="002E6732">
        <w:rPr>
          <w:lang w:eastAsia="en-US"/>
        </w:rPr>
        <w:t xml:space="preserve">the </w:t>
      </w:r>
      <w:r>
        <w:rPr>
          <w:lang w:eastAsia="en-US"/>
        </w:rPr>
        <w:t>legislation</w:t>
      </w:r>
      <w:r w:rsidR="002E6732">
        <w:rPr>
          <w:lang w:eastAsia="en-US"/>
        </w:rPr>
        <w:t xml:space="preserve"> of </w:t>
      </w:r>
      <w:r>
        <w:rPr>
          <w:lang w:eastAsia="en-US"/>
        </w:rPr>
        <w:t xml:space="preserve">some </w:t>
      </w:r>
      <w:r w:rsidR="002E6732">
        <w:rPr>
          <w:lang w:eastAsia="en-US"/>
        </w:rPr>
        <w:t xml:space="preserve">Contracting </w:t>
      </w:r>
      <w:r>
        <w:rPr>
          <w:lang w:eastAsia="en-US"/>
        </w:rPr>
        <w:t xml:space="preserve">Parties </w:t>
      </w:r>
      <w:r w:rsidR="00E870A2">
        <w:rPr>
          <w:lang w:eastAsia="en-US"/>
        </w:rPr>
        <w:t>for the implementation of the 1999 Act and/or 1960 Act</w:t>
      </w:r>
      <w:r w:rsidR="002E6732">
        <w:rPr>
          <w:lang w:eastAsia="en-US"/>
        </w:rPr>
        <w:t xml:space="preserve"> refer specifically to the term “</w:t>
      </w:r>
      <w:r w:rsidR="002E6732" w:rsidRPr="007434D4">
        <w:rPr>
          <w:lang w:eastAsia="en-US"/>
        </w:rPr>
        <w:t>Bulletin</w:t>
      </w:r>
      <w:r w:rsidR="002E6732">
        <w:rPr>
          <w:lang w:eastAsia="en-US"/>
        </w:rPr>
        <w:t>”</w:t>
      </w:r>
      <w:r w:rsidR="008B473E">
        <w:rPr>
          <w:lang w:eastAsia="en-US"/>
        </w:rPr>
        <w:t>.</w:t>
      </w:r>
      <w:r>
        <w:rPr>
          <w:lang w:eastAsia="en-US"/>
        </w:rPr>
        <w:t xml:space="preserve"> </w:t>
      </w:r>
      <w:r w:rsidR="000978AB">
        <w:rPr>
          <w:lang w:eastAsia="en-US"/>
        </w:rPr>
        <w:t xml:space="preserve"> </w:t>
      </w:r>
      <w:r>
        <w:rPr>
          <w:lang w:eastAsia="en-US"/>
        </w:rPr>
        <w:t>Thus,</w:t>
      </w:r>
      <w:r w:rsidR="00B35D6C">
        <w:rPr>
          <w:lang w:eastAsia="en-US"/>
        </w:rPr>
        <w:t xml:space="preserve"> keeping</w:t>
      </w:r>
      <w:r w:rsidR="00991D0E">
        <w:rPr>
          <w:lang w:eastAsia="en-US"/>
        </w:rPr>
        <w:t xml:space="preserve"> the term “</w:t>
      </w:r>
      <w:r w:rsidR="00991D0E" w:rsidRPr="007434D4">
        <w:rPr>
          <w:lang w:eastAsia="en-US"/>
        </w:rPr>
        <w:t>Bulletin</w:t>
      </w:r>
      <w:r w:rsidR="00991D0E">
        <w:rPr>
          <w:lang w:eastAsia="en-US"/>
        </w:rPr>
        <w:t xml:space="preserve">” </w:t>
      </w:r>
      <w:r w:rsidR="00B35D6C">
        <w:rPr>
          <w:lang w:eastAsia="en-US"/>
        </w:rPr>
        <w:t>would be desirable</w:t>
      </w:r>
      <w:r w:rsidR="00991D0E">
        <w:rPr>
          <w:lang w:eastAsia="en-US"/>
        </w:rPr>
        <w:t xml:space="preserve">, </w:t>
      </w:r>
      <w:r w:rsidR="00B35D6C">
        <w:rPr>
          <w:lang w:eastAsia="en-US"/>
        </w:rPr>
        <w:t>and therefore</w:t>
      </w:r>
      <w:r w:rsidR="00E75674">
        <w:rPr>
          <w:lang w:eastAsia="en-US"/>
        </w:rPr>
        <w:t xml:space="preserve"> it is</w:t>
      </w:r>
      <w:r w:rsidR="00B35D6C">
        <w:rPr>
          <w:lang w:eastAsia="en-US"/>
        </w:rPr>
        <w:t xml:space="preserve"> no</w:t>
      </w:r>
      <w:r w:rsidR="00E75674">
        <w:rPr>
          <w:lang w:eastAsia="en-US"/>
        </w:rPr>
        <w:t xml:space="preserve">t proposed </w:t>
      </w:r>
      <w:r w:rsidR="00B35D6C">
        <w:rPr>
          <w:lang w:eastAsia="en-US"/>
        </w:rPr>
        <w:t xml:space="preserve">to delete or amend this term </w:t>
      </w:r>
      <w:r w:rsidR="00E75674">
        <w:rPr>
          <w:lang w:eastAsia="en-US"/>
        </w:rPr>
        <w:t>in the Common Regulations.</w:t>
      </w:r>
    </w:p>
    <w:p w:rsidR="00EB04AD" w:rsidRPr="0079466F" w:rsidRDefault="00EB04AD" w:rsidP="00924BE4">
      <w:pPr>
        <w:pStyle w:val="Heading1"/>
        <w:spacing w:before="480"/>
      </w:pPr>
      <w:r w:rsidRPr="0079466F">
        <w:t>I</w:t>
      </w:r>
      <w:r w:rsidR="00DE6E6A">
        <w:t>V</w:t>
      </w:r>
      <w:r w:rsidRPr="0079466F">
        <w:t>.</w:t>
      </w:r>
      <w:r w:rsidRPr="0079466F">
        <w:tab/>
      </w:r>
      <w:r w:rsidR="0079466F" w:rsidRPr="0079466F">
        <w:t>next steps</w:t>
      </w:r>
    </w:p>
    <w:p w:rsidR="00F23DE3" w:rsidRPr="00967BB4" w:rsidRDefault="00F23DE3" w:rsidP="00F23DE3"/>
    <w:p w:rsidR="004D47AB" w:rsidRDefault="00A279A5" w:rsidP="004D47AB">
      <w:pPr>
        <w:pStyle w:val="ONUME"/>
      </w:pPr>
      <w:r>
        <w:rPr>
          <w:lang w:eastAsia="en-US"/>
        </w:rPr>
        <w:t xml:space="preserve">At the time of </w:t>
      </w:r>
      <w:r w:rsidR="00ED10B6">
        <w:rPr>
          <w:lang w:eastAsia="en-US"/>
        </w:rPr>
        <w:t>writing this</w:t>
      </w:r>
      <w:r>
        <w:rPr>
          <w:lang w:eastAsia="en-US"/>
        </w:rPr>
        <w:t xml:space="preserve"> document, the</w:t>
      </w:r>
      <w:r w:rsidR="00174B5C">
        <w:rPr>
          <w:lang w:eastAsia="en-US"/>
        </w:rPr>
        <w:t>se plans are</w:t>
      </w:r>
      <w:r>
        <w:rPr>
          <w:lang w:eastAsia="en-US"/>
        </w:rPr>
        <w:t xml:space="preserve"> under technical review to estimate the effort. </w:t>
      </w:r>
      <w:r w:rsidR="00ED10B6">
        <w:rPr>
          <w:lang w:eastAsia="en-US"/>
        </w:rPr>
        <w:t xml:space="preserve"> </w:t>
      </w:r>
      <w:r>
        <w:rPr>
          <w:lang w:eastAsia="en-US"/>
        </w:rPr>
        <w:t xml:space="preserve">The switch over is expected to </w:t>
      </w:r>
      <w:r w:rsidR="00ED10B6">
        <w:rPr>
          <w:lang w:eastAsia="en-US"/>
        </w:rPr>
        <w:t>take place</w:t>
      </w:r>
      <w:r w:rsidR="00924BE4">
        <w:rPr>
          <w:lang w:eastAsia="en-US"/>
        </w:rPr>
        <w:t xml:space="preserve"> during</w:t>
      </w:r>
      <w:r>
        <w:rPr>
          <w:lang w:eastAsia="en-US"/>
        </w:rPr>
        <w:t xml:space="preserve"> the course of 2018</w:t>
      </w:r>
      <w:r w:rsidR="008F7012">
        <w:rPr>
          <w:lang w:eastAsia="en-US"/>
        </w:rPr>
        <w:t xml:space="preserve">/2019. </w:t>
      </w:r>
      <w:r w:rsidR="00ED10B6">
        <w:rPr>
          <w:lang w:eastAsia="en-US"/>
        </w:rPr>
        <w:t xml:space="preserve"> </w:t>
      </w:r>
      <w:r w:rsidR="008F7012">
        <w:rPr>
          <w:lang w:eastAsia="en-US"/>
        </w:rPr>
        <w:t>A public notice on</w:t>
      </w:r>
      <w:r w:rsidR="00ED10B6">
        <w:rPr>
          <w:lang w:eastAsia="en-US"/>
        </w:rPr>
        <w:t xml:space="preserve"> the</w:t>
      </w:r>
      <w:r w:rsidR="008F7012">
        <w:rPr>
          <w:lang w:eastAsia="en-US"/>
        </w:rPr>
        <w:t xml:space="preserve"> WIPO website will inform </w:t>
      </w:r>
      <w:r w:rsidR="00ED10B6">
        <w:rPr>
          <w:lang w:eastAsia="en-US"/>
        </w:rPr>
        <w:t>the</w:t>
      </w:r>
      <w:r w:rsidR="008F7012">
        <w:rPr>
          <w:lang w:eastAsia="en-US"/>
        </w:rPr>
        <w:t xml:space="preserve"> users</w:t>
      </w:r>
      <w:r w:rsidR="00ED10B6">
        <w:rPr>
          <w:lang w:eastAsia="en-US"/>
        </w:rPr>
        <w:t xml:space="preserve"> and Offices</w:t>
      </w:r>
      <w:r w:rsidR="008F7012">
        <w:rPr>
          <w:lang w:eastAsia="en-US"/>
        </w:rPr>
        <w:t xml:space="preserve"> when </w:t>
      </w:r>
      <w:r w:rsidR="00F3193B">
        <w:rPr>
          <w:lang w:eastAsia="en-US"/>
        </w:rPr>
        <w:t xml:space="preserve">the </w:t>
      </w:r>
      <w:r w:rsidR="00F3193B" w:rsidRPr="007434D4">
        <w:rPr>
          <w:lang w:eastAsia="en-US"/>
        </w:rPr>
        <w:t>Bulletin</w:t>
      </w:r>
      <w:r w:rsidR="00F3193B">
        <w:rPr>
          <w:lang w:eastAsia="en-US"/>
        </w:rPr>
        <w:t xml:space="preserve"> will </w:t>
      </w:r>
      <w:r w:rsidR="00A13282">
        <w:rPr>
          <w:lang w:eastAsia="en-US"/>
        </w:rPr>
        <w:t>exclusively</w:t>
      </w:r>
      <w:r w:rsidR="00F3193B">
        <w:rPr>
          <w:lang w:eastAsia="en-US"/>
        </w:rPr>
        <w:t xml:space="preserve"> be available thro</w:t>
      </w:r>
      <w:r w:rsidR="00924BE4">
        <w:rPr>
          <w:lang w:eastAsia="en-US"/>
        </w:rPr>
        <w:t>ugh the Global Design Database.</w:t>
      </w:r>
    </w:p>
    <w:p w:rsidR="00215074" w:rsidRPr="00215074" w:rsidRDefault="00215074" w:rsidP="00215074">
      <w:pPr>
        <w:pStyle w:val="ONUME"/>
        <w:ind w:left="5533"/>
      </w:pPr>
      <w:r w:rsidRPr="00215074">
        <w:rPr>
          <w:i/>
        </w:rPr>
        <w:t xml:space="preserve">The Working Group is invited to </w:t>
      </w:r>
      <w:r w:rsidRPr="00215074">
        <w:rPr>
          <w:rFonts w:ascii="Arial,Italic" w:eastAsia="MS Mincho" w:hAnsi="Arial,Italic" w:cs="Arial,Italic"/>
          <w:i/>
          <w:iCs/>
          <w:szCs w:val="22"/>
          <w:lang w:eastAsia="en-US"/>
        </w:rPr>
        <w:t>note the content of the present document.</w:t>
      </w:r>
    </w:p>
    <w:p w:rsidR="00215074" w:rsidRPr="00215074" w:rsidRDefault="00215074" w:rsidP="00215074">
      <w:pPr>
        <w:pStyle w:val="ONUME"/>
        <w:numPr>
          <w:ilvl w:val="0"/>
          <w:numId w:val="0"/>
        </w:numPr>
        <w:spacing w:before="720"/>
        <w:ind w:left="5534"/>
      </w:pPr>
      <w:r>
        <w:t>[End of document]</w:t>
      </w:r>
    </w:p>
    <w:sectPr w:rsidR="00215074" w:rsidRPr="00215074" w:rsidSect="003A00C9">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04" w:rsidRDefault="00596204">
      <w:r>
        <w:separator/>
      </w:r>
    </w:p>
  </w:endnote>
  <w:endnote w:type="continuationSeparator" w:id="0">
    <w:p w:rsidR="00596204" w:rsidRDefault="00596204" w:rsidP="003B38C1">
      <w:r>
        <w:separator/>
      </w:r>
    </w:p>
    <w:p w:rsidR="00596204" w:rsidRPr="003B38C1" w:rsidRDefault="00596204" w:rsidP="003B38C1">
      <w:pPr>
        <w:spacing w:after="60"/>
        <w:rPr>
          <w:sz w:val="17"/>
        </w:rPr>
      </w:pPr>
      <w:r>
        <w:rPr>
          <w:sz w:val="17"/>
        </w:rPr>
        <w:t>[Endnote continued from previous page]</w:t>
      </w:r>
    </w:p>
  </w:endnote>
  <w:endnote w:type="continuationNotice" w:id="1">
    <w:p w:rsidR="00596204" w:rsidRPr="003B38C1" w:rsidRDefault="005962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04" w:rsidRDefault="00596204">
      <w:r>
        <w:separator/>
      </w:r>
    </w:p>
  </w:footnote>
  <w:footnote w:type="continuationSeparator" w:id="0">
    <w:p w:rsidR="00596204" w:rsidRDefault="00596204" w:rsidP="008B60B2">
      <w:r>
        <w:separator/>
      </w:r>
    </w:p>
    <w:p w:rsidR="00596204" w:rsidRPr="00ED77FB" w:rsidRDefault="00596204" w:rsidP="008B60B2">
      <w:pPr>
        <w:spacing w:after="60"/>
        <w:rPr>
          <w:sz w:val="17"/>
          <w:szCs w:val="17"/>
        </w:rPr>
      </w:pPr>
      <w:r w:rsidRPr="00ED77FB">
        <w:rPr>
          <w:sz w:val="17"/>
          <w:szCs w:val="17"/>
        </w:rPr>
        <w:t>[Footnote continued from previous page]</w:t>
      </w:r>
    </w:p>
  </w:footnote>
  <w:footnote w:type="continuationNotice" w:id="1">
    <w:p w:rsidR="00596204" w:rsidRPr="00ED77FB" w:rsidRDefault="00596204" w:rsidP="008B60B2">
      <w:pPr>
        <w:spacing w:before="60"/>
        <w:jc w:val="right"/>
        <w:rPr>
          <w:sz w:val="17"/>
          <w:szCs w:val="17"/>
        </w:rPr>
      </w:pPr>
      <w:r w:rsidRPr="00ED77FB">
        <w:rPr>
          <w:sz w:val="17"/>
          <w:szCs w:val="17"/>
        </w:rPr>
        <w:t>[Footnote continued on next page]</w:t>
      </w:r>
    </w:p>
  </w:footnote>
  <w:footnote w:id="2">
    <w:p w:rsidR="00D60879" w:rsidRPr="00D60879" w:rsidRDefault="00D60879">
      <w:pPr>
        <w:pStyle w:val="FootnoteText"/>
      </w:pPr>
      <w:r>
        <w:rPr>
          <w:rStyle w:val="FootnoteReference"/>
        </w:rPr>
        <w:footnoteRef/>
      </w:r>
      <w:r>
        <w:tab/>
        <w:t xml:space="preserve">The </w:t>
      </w:r>
      <w:r w:rsidRPr="007434D4">
        <w:t>Bulletin</w:t>
      </w:r>
      <w:r>
        <w:t xml:space="preserve"> is available at:</w:t>
      </w:r>
      <w:r w:rsidR="00515654">
        <w:t xml:space="preserve"> </w:t>
      </w:r>
      <w:r>
        <w:t xml:space="preserve"> </w:t>
      </w:r>
      <w:r w:rsidRPr="00D60879">
        <w:t>http://www.wipo.int/haguebulletin/?locale=en</w:t>
      </w:r>
    </w:p>
  </w:footnote>
  <w:footnote w:id="3">
    <w:p w:rsidR="00C60B7F" w:rsidRPr="00C60B7F" w:rsidRDefault="00C60B7F">
      <w:pPr>
        <w:pStyle w:val="FootnoteText"/>
      </w:pPr>
      <w:r>
        <w:rPr>
          <w:rStyle w:val="FootnoteReference"/>
        </w:rPr>
        <w:footnoteRef/>
      </w:r>
      <w:r>
        <w:tab/>
        <w:t xml:space="preserve">The Global Design Database is available at: </w:t>
      </w:r>
      <w:r w:rsidR="00515654">
        <w:t xml:space="preserve"> </w:t>
      </w:r>
      <w:r w:rsidRPr="002139FA">
        <w:t>http://www.wipo.int/designdb/en/index.jsp</w:t>
      </w:r>
      <w:r>
        <w:t>.</w:t>
      </w:r>
    </w:p>
  </w:footnote>
  <w:footnote w:id="4">
    <w:p w:rsidR="00D60879" w:rsidRPr="00D60879" w:rsidRDefault="00D60879">
      <w:pPr>
        <w:pStyle w:val="FootnoteText"/>
      </w:pPr>
      <w:r>
        <w:rPr>
          <w:rStyle w:val="FootnoteReference"/>
        </w:rPr>
        <w:footnoteRef/>
      </w:r>
      <w:r>
        <w:tab/>
        <w:t>Hague Express is available at:</w:t>
      </w:r>
      <w:r w:rsidR="000F44F8">
        <w:t xml:space="preserve"> </w:t>
      </w:r>
      <w:r>
        <w:t xml:space="preserve"> </w:t>
      </w:r>
      <w:hyperlink r:id="rId1" w:history="1">
        <w:r w:rsidR="008279CC" w:rsidRPr="000F44F8">
          <w:rPr>
            <w:rStyle w:val="Hyperlink"/>
            <w:color w:val="auto"/>
            <w:u w:val="none"/>
          </w:rPr>
          <w:t>http://www.wipo.int/designdb/hague/en/</w:t>
        </w:r>
      </w:hyperlink>
      <w:r w:rsidR="008279CC" w:rsidRPr="000F44F8">
        <w:rPr>
          <w:rStyle w:val="Hyperlink"/>
          <w:color w:val="auto"/>
          <w:u w:val="none"/>
        </w:rPr>
        <w:t>.</w:t>
      </w:r>
    </w:p>
  </w:footnote>
  <w:footnote w:id="5">
    <w:p w:rsidR="007B4FB8" w:rsidRPr="007B4FB8" w:rsidRDefault="007B4FB8" w:rsidP="001B1E98">
      <w:pPr>
        <w:pStyle w:val="FootnoteText"/>
        <w:ind w:left="567" w:hanging="567"/>
      </w:pPr>
      <w:r>
        <w:rPr>
          <w:rStyle w:val="FootnoteReference"/>
        </w:rPr>
        <w:footnoteRef/>
      </w:r>
      <w:r>
        <w:tab/>
        <w:t xml:space="preserve">The national design data will soon be extended to </w:t>
      </w:r>
      <w:r w:rsidR="000F44F8">
        <w:t xml:space="preserve">Georgia, </w:t>
      </w:r>
      <w:r>
        <w:t xml:space="preserve">Germany, </w:t>
      </w:r>
      <w:r w:rsidR="000F44F8">
        <w:t>the E</w:t>
      </w:r>
      <w:r w:rsidR="001B1E98">
        <w:t>uropean Union Intellectual Property Office (EUIPO)</w:t>
      </w:r>
      <w:r w:rsidR="000F44F8">
        <w:t xml:space="preserve"> and </w:t>
      </w:r>
      <w:r>
        <w:t>Tunisia.</w:t>
      </w:r>
    </w:p>
  </w:footnote>
  <w:footnote w:id="6">
    <w:p w:rsidR="00056449" w:rsidRPr="006F5417" w:rsidRDefault="00056449">
      <w:pPr>
        <w:pStyle w:val="FootnoteText"/>
      </w:pPr>
      <w:r>
        <w:rPr>
          <w:rStyle w:val="FootnoteReference"/>
        </w:rPr>
        <w:footnoteRef/>
      </w:r>
      <w:r>
        <w:tab/>
        <w:t xml:space="preserve">The background and objective are similar to </w:t>
      </w:r>
      <w:r w:rsidR="00F74E51">
        <w:t>the</w:t>
      </w:r>
      <w:r>
        <w:t xml:space="preserve"> precedence under the PCT System.  The legal publication of international applications ha</w:t>
      </w:r>
      <w:r w:rsidR="00F74E51">
        <w:t>s</w:t>
      </w:r>
      <w:r>
        <w:t xml:space="preserve"> been </w:t>
      </w:r>
      <w:r w:rsidR="00F74E51">
        <w:t>on the PATENTSCOPE</w:t>
      </w:r>
      <w:r w:rsidR="00F84889">
        <w:t xml:space="preserve"> database</w:t>
      </w:r>
      <w:r w:rsidR="00F74E51">
        <w:t xml:space="preserve"> since April 2006.  Refer to</w:t>
      </w:r>
      <w:r w:rsidR="006F5417">
        <w:t xml:space="preserve"> the</w:t>
      </w:r>
      <w:r w:rsidR="00F74E51">
        <w:t xml:space="preserve"> </w:t>
      </w:r>
      <w:r w:rsidR="00F74E51" w:rsidRPr="00F608B0">
        <w:t>PCT Newsletter No</w:t>
      </w:r>
      <w:r w:rsidR="007434D4">
        <w:t>s</w:t>
      </w:r>
      <w:r w:rsidR="00F74E51" w:rsidRPr="00F608B0">
        <w:t>.</w:t>
      </w:r>
      <w:r w:rsidR="006F5417">
        <w:t> </w:t>
      </w:r>
      <w:r w:rsidR="00F74E51" w:rsidRPr="00F608B0">
        <w:t>03</w:t>
      </w:r>
      <w:r w:rsidR="00F74E51">
        <w:t xml:space="preserve">/2006 and 01/2008.  </w:t>
      </w:r>
      <w:r w:rsidR="00F84889">
        <w:t xml:space="preserve">The </w:t>
      </w:r>
      <w:r w:rsidR="00F74E51">
        <w:t xml:space="preserve">PATENTSCOPE </w:t>
      </w:r>
      <w:r w:rsidR="00F84889">
        <w:t xml:space="preserve">database </w:t>
      </w:r>
      <w:r w:rsidR="00F74E51">
        <w:t>is available at:</w:t>
      </w:r>
      <w:r w:rsidR="006F5417">
        <w:t xml:space="preserve"> </w:t>
      </w:r>
      <w:r w:rsidR="00F74E51">
        <w:t xml:space="preserve"> </w:t>
      </w:r>
      <w:hyperlink r:id="rId2" w:history="1">
        <w:r w:rsidR="00F74E51" w:rsidRPr="006F5417">
          <w:rPr>
            <w:rStyle w:val="Hyperlink"/>
            <w:color w:val="auto"/>
            <w:u w:val="none"/>
          </w:rPr>
          <w:t>http://www.wipo.int/patentscope/en/</w:t>
        </w:r>
      </w:hyperlink>
      <w:r w:rsidR="006F5417" w:rsidRPr="006F5417">
        <w:t>.</w:t>
      </w:r>
    </w:p>
  </w:footnote>
  <w:footnote w:id="7">
    <w:p w:rsidR="003F2C01" w:rsidRPr="00DD4F8E" w:rsidRDefault="003F2C01" w:rsidP="003F2C01">
      <w:pPr>
        <w:pStyle w:val="FootnoteText"/>
      </w:pPr>
      <w:r>
        <w:rPr>
          <w:rStyle w:val="FootnoteReference"/>
        </w:rPr>
        <w:footnoteRef/>
      </w:r>
      <w:r w:rsidRPr="00DD4F8E">
        <w:tab/>
        <w:t xml:space="preserve">As in </w:t>
      </w:r>
      <w:r>
        <w:t>the PATENTSCOPE database where published international applications under the PCT are accessible through the “Browse by Week (PCT)” tab.</w:t>
      </w:r>
    </w:p>
  </w:footnote>
  <w:footnote w:id="8">
    <w:p w:rsidR="006D6D09" w:rsidRPr="006D6D09" w:rsidRDefault="006D6D09">
      <w:pPr>
        <w:pStyle w:val="FootnoteText"/>
      </w:pPr>
      <w:r>
        <w:rPr>
          <w:rStyle w:val="FootnoteReference"/>
        </w:rPr>
        <w:footnoteRef/>
      </w:r>
      <w:r>
        <w:tab/>
      </w:r>
      <w:r w:rsidRPr="00E668FC">
        <w:t>Refer to</w:t>
      </w:r>
      <w:r w:rsidR="00924BE4">
        <w:t xml:space="preserve"> </w:t>
      </w:r>
      <w:r>
        <w:t>document</w:t>
      </w:r>
      <w:r w:rsidR="00924BE4">
        <w:t> </w:t>
      </w:r>
      <w:r>
        <w:t>H/DC/4.</w:t>
      </w:r>
    </w:p>
  </w:footnote>
  <w:footnote w:id="9">
    <w:p w:rsidR="006B40A8" w:rsidRPr="006B40A8" w:rsidRDefault="006B40A8">
      <w:pPr>
        <w:pStyle w:val="FootnoteText"/>
      </w:pPr>
      <w:r>
        <w:rPr>
          <w:rStyle w:val="FootnoteReference"/>
        </w:rPr>
        <w:footnoteRef/>
      </w:r>
      <w:r>
        <w:tab/>
        <w:t>Refer to document</w:t>
      </w:r>
      <w:r w:rsidR="00924BE4">
        <w:t> </w:t>
      </w:r>
      <w:r>
        <w:t>H/DC/6, R1.02.</w:t>
      </w:r>
    </w:p>
  </w:footnote>
  <w:footnote w:id="10">
    <w:p w:rsidR="008279CC" w:rsidRPr="00DD40E5" w:rsidRDefault="008279CC" w:rsidP="008279CC">
      <w:pPr>
        <w:pStyle w:val="FootnoteText"/>
      </w:pPr>
      <w:r>
        <w:rPr>
          <w:rStyle w:val="FootnoteReference"/>
        </w:rPr>
        <w:footnoteRef/>
      </w:r>
      <w:r>
        <w:tab/>
        <w:t>Prior to that,</w:t>
      </w:r>
      <w:r w:rsidRPr="008279CC">
        <w:t xml:space="preserve"> </w:t>
      </w:r>
      <w:r>
        <w:t>in March</w:t>
      </w:r>
      <w:r w:rsidR="00924BE4">
        <w:t> </w:t>
      </w:r>
      <w:r>
        <w:t xml:space="preserve">1999, the paper publication of the </w:t>
      </w:r>
      <w:r w:rsidRPr="007434D4">
        <w:t>Bulletin</w:t>
      </w:r>
      <w:r>
        <w:t xml:space="preserve"> was replaced by CD-ROM, with respect to industrial designs registered under the 1960</w:t>
      </w:r>
      <w:r w:rsidR="00924BE4">
        <w:t> </w:t>
      </w:r>
      <w:r>
        <w:t>Act.  The CD-ROM edition also covered industrial designs registered under the 1934</w:t>
      </w:r>
      <w:r w:rsidR="00924BE4">
        <w:t> </w:t>
      </w:r>
      <w:r>
        <w:t>Act from issue No.</w:t>
      </w:r>
      <w:r w:rsidR="00924BE4">
        <w:t> </w:t>
      </w:r>
      <w:r>
        <w:t>1/2001, as a result of which the paper publication was ended in February</w:t>
      </w:r>
      <w:r w:rsidR="00924BE4">
        <w:t> </w:t>
      </w:r>
      <w:r>
        <w:t>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23DE3" w:rsidP="00477D6B">
    <w:pPr>
      <w:jc w:val="right"/>
    </w:pPr>
    <w:bookmarkStart w:id="6" w:name="Code2"/>
    <w:bookmarkEnd w:id="6"/>
    <w:r>
      <w:t>H/LD/WG/</w:t>
    </w:r>
    <w:r w:rsidR="003A6352">
      <w:t>7</w:t>
    </w:r>
    <w:r>
      <w:t>/</w:t>
    </w:r>
    <w:r w:rsidR="003A6352">
      <w:t>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6135F">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670E26"/>
    <w:multiLevelType w:val="hybridMultilevel"/>
    <w:tmpl w:val="D24ADB12"/>
    <w:lvl w:ilvl="0" w:tplc="22382A5E">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CB1069"/>
    <w:multiLevelType w:val="hybridMultilevel"/>
    <w:tmpl w:val="BDACED62"/>
    <w:lvl w:ilvl="0" w:tplc="71704DA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 w:numId="9">
    <w:abstractNumId w:val="8"/>
  </w:num>
  <w:num w:numId="10">
    <w:abstractNumId w:val="5"/>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3"/>
    <w:rsid w:val="000019C0"/>
    <w:rsid w:val="00001D8E"/>
    <w:rsid w:val="0000283E"/>
    <w:rsid w:val="00007602"/>
    <w:rsid w:val="00017339"/>
    <w:rsid w:val="000304D6"/>
    <w:rsid w:val="0003170E"/>
    <w:rsid w:val="000378A9"/>
    <w:rsid w:val="00043CAA"/>
    <w:rsid w:val="000440FB"/>
    <w:rsid w:val="0005040A"/>
    <w:rsid w:val="00051961"/>
    <w:rsid w:val="00053221"/>
    <w:rsid w:val="000534CD"/>
    <w:rsid w:val="000552F2"/>
    <w:rsid w:val="00056449"/>
    <w:rsid w:val="0006018D"/>
    <w:rsid w:val="000622BC"/>
    <w:rsid w:val="00062A5B"/>
    <w:rsid w:val="00075432"/>
    <w:rsid w:val="00083182"/>
    <w:rsid w:val="00090353"/>
    <w:rsid w:val="000968ED"/>
    <w:rsid w:val="00096B68"/>
    <w:rsid w:val="000978AB"/>
    <w:rsid w:val="000A6299"/>
    <w:rsid w:val="000A7C3B"/>
    <w:rsid w:val="000B2622"/>
    <w:rsid w:val="000B2A6E"/>
    <w:rsid w:val="000C4046"/>
    <w:rsid w:val="000D10F8"/>
    <w:rsid w:val="000D3587"/>
    <w:rsid w:val="000D670A"/>
    <w:rsid w:val="000E4169"/>
    <w:rsid w:val="000E4339"/>
    <w:rsid w:val="000E539A"/>
    <w:rsid w:val="000F158D"/>
    <w:rsid w:val="000F1D45"/>
    <w:rsid w:val="000F44F8"/>
    <w:rsid w:val="000F5C63"/>
    <w:rsid w:val="000F5E56"/>
    <w:rsid w:val="0010022A"/>
    <w:rsid w:val="00105FB5"/>
    <w:rsid w:val="0010675F"/>
    <w:rsid w:val="00107500"/>
    <w:rsid w:val="00107B93"/>
    <w:rsid w:val="00116069"/>
    <w:rsid w:val="00136019"/>
    <w:rsid w:val="001362EE"/>
    <w:rsid w:val="00145391"/>
    <w:rsid w:val="00151710"/>
    <w:rsid w:val="001701BC"/>
    <w:rsid w:val="00174B5C"/>
    <w:rsid w:val="00175421"/>
    <w:rsid w:val="00182C68"/>
    <w:rsid w:val="001832A6"/>
    <w:rsid w:val="00193ECE"/>
    <w:rsid w:val="001A0C3E"/>
    <w:rsid w:val="001A3D56"/>
    <w:rsid w:val="001B1E98"/>
    <w:rsid w:val="001B3CEB"/>
    <w:rsid w:val="001B6DB4"/>
    <w:rsid w:val="001C3E88"/>
    <w:rsid w:val="001E306D"/>
    <w:rsid w:val="001F7384"/>
    <w:rsid w:val="002139FA"/>
    <w:rsid w:val="00214FAC"/>
    <w:rsid w:val="00215074"/>
    <w:rsid w:val="00234618"/>
    <w:rsid w:val="00244999"/>
    <w:rsid w:val="00244FE0"/>
    <w:rsid w:val="002455F6"/>
    <w:rsid w:val="00247306"/>
    <w:rsid w:val="00254230"/>
    <w:rsid w:val="002634C4"/>
    <w:rsid w:val="00274543"/>
    <w:rsid w:val="00274658"/>
    <w:rsid w:val="00282248"/>
    <w:rsid w:val="002904E8"/>
    <w:rsid w:val="002928D3"/>
    <w:rsid w:val="002A0828"/>
    <w:rsid w:val="002A787B"/>
    <w:rsid w:val="002C4D5C"/>
    <w:rsid w:val="002C5B78"/>
    <w:rsid w:val="002D4BDB"/>
    <w:rsid w:val="002E6732"/>
    <w:rsid w:val="002E7FD5"/>
    <w:rsid w:val="002F1FE6"/>
    <w:rsid w:val="002F4E68"/>
    <w:rsid w:val="002F5892"/>
    <w:rsid w:val="00303DDD"/>
    <w:rsid w:val="00312F7F"/>
    <w:rsid w:val="00320C24"/>
    <w:rsid w:val="00321DB2"/>
    <w:rsid w:val="00321DB7"/>
    <w:rsid w:val="00332497"/>
    <w:rsid w:val="0033731E"/>
    <w:rsid w:val="0034094D"/>
    <w:rsid w:val="003435EA"/>
    <w:rsid w:val="00357719"/>
    <w:rsid w:val="00361450"/>
    <w:rsid w:val="00363284"/>
    <w:rsid w:val="00366A37"/>
    <w:rsid w:val="003673CF"/>
    <w:rsid w:val="0038354D"/>
    <w:rsid w:val="003845C1"/>
    <w:rsid w:val="003856A5"/>
    <w:rsid w:val="003A00C9"/>
    <w:rsid w:val="003A6352"/>
    <w:rsid w:val="003A6763"/>
    <w:rsid w:val="003A6F89"/>
    <w:rsid w:val="003B3315"/>
    <w:rsid w:val="003B38C1"/>
    <w:rsid w:val="003B5804"/>
    <w:rsid w:val="003B61EB"/>
    <w:rsid w:val="003B73A9"/>
    <w:rsid w:val="003C05D3"/>
    <w:rsid w:val="003D6319"/>
    <w:rsid w:val="003E15E5"/>
    <w:rsid w:val="003F171D"/>
    <w:rsid w:val="003F2C01"/>
    <w:rsid w:val="00414153"/>
    <w:rsid w:val="00414475"/>
    <w:rsid w:val="00420BCC"/>
    <w:rsid w:val="00421E3B"/>
    <w:rsid w:val="00423E3E"/>
    <w:rsid w:val="00427AF4"/>
    <w:rsid w:val="00440838"/>
    <w:rsid w:val="00443405"/>
    <w:rsid w:val="00454353"/>
    <w:rsid w:val="004571E0"/>
    <w:rsid w:val="00461407"/>
    <w:rsid w:val="004647DA"/>
    <w:rsid w:val="00467825"/>
    <w:rsid w:val="00471E26"/>
    <w:rsid w:val="00474062"/>
    <w:rsid w:val="00477D6B"/>
    <w:rsid w:val="00480256"/>
    <w:rsid w:val="00482C75"/>
    <w:rsid w:val="00485081"/>
    <w:rsid w:val="00494806"/>
    <w:rsid w:val="00494962"/>
    <w:rsid w:val="00496163"/>
    <w:rsid w:val="004B147D"/>
    <w:rsid w:val="004B1C11"/>
    <w:rsid w:val="004B6183"/>
    <w:rsid w:val="004D47AB"/>
    <w:rsid w:val="004E44FB"/>
    <w:rsid w:val="005019FF"/>
    <w:rsid w:val="005045B7"/>
    <w:rsid w:val="00506ADF"/>
    <w:rsid w:val="00514791"/>
    <w:rsid w:val="00514ADB"/>
    <w:rsid w:val="00515654"/>
    <w:rsid w:val="00525042"/>
    <w:rsid w:val="0053057A"/>
    <w:rsid w:val="005305EA"/>
    <w:rsid w:val="0054177F"/>
    <w:rsid w:val="00544D04"/>
    <w:rsid w:val="00546641"/>
    <w:rsid w:val="00547CF4"/>
    <w:rsid w:val="005557A1"/>
    <w:rsid w:val="00556CB6"/>
    <w:rsid w:val="00560A29"/>
    <w:rsid w:val="0056135F"/>
    <w:rsid w:val="00562D8E"/>
    <w:rsid w:val="00562EED"/>
    <w:rsid w:val="00577738"/>
    <w:rsid w:val="0059606C"/>
    <w:rsid w:val="00596204"/>
    <w:rsid w:val="005A53C1"/>
    <w:rsid w:val="005A67A9"/>
    <w:rsid w:val="005C5307"/>
    <w:rsid w:val="005C6649"/>
    <w:rsid w:val="005D2E7B"/>
    <w:rsid w:val="005E14CB"/>
    <w:rsid w:val="005E3031"/>
    <w:rsid w:val="005E338C"/>
    <w:rsid w:val="005E40F3"/>
    <w:rsid w:val="005E69D3"/>
    <w:rsid w:val="005F0343"/>
    <w:rsid w:val="005F1073"/>
    <w:rsid w:val="005F6675"/>
    <w:rsid w:val="00605827"/>
    <w:rsid w:val="00612133"/>
    <w:rsid w:val="00623864"/>
    <w:rsid w:val="006279B9"/>
    <w:rsid w:val="00635123"/>
    <w:rsid w:val="00642F5D"/>
    <w:rsid w:val="006432D9"/>
    <w:rsid w:val="00646050"/>
    <w:rsid w:val="006552EF"/>
    <w:rsid w:val="00655B02"/>
    <w:rsid w:val="00656562"/>
    <w:rsid w:val="0066456B"/>
    <w:rsid w:val="0066467B"/>
    <w:rsid w:val="006713CA"/>
    <w:rsid w:val="00672F70"/>
    <w:rsid w:val="00676C5C"/>
    <w:rsid w:val="006779CB"/>
    <w:rsid w:val="00680432"/>
    <w:rsid w:val="00691088"/>
    <w:rsid w:val="006A0625"/>
    <w:rsid w:val="006B0918"/>
    <w:rsid w:val="006B1611"/>
    <w:rsid w:val="006B40A8"/>
    <w:rsid w:val="006B7B07"/>
    <w:rsid w:val="006C11A3"/>
    <w:rsid w:val="006C22F9"/>
    <w:rsid w:val="006D3F7B"/>
    <w:rsid w:val="006D6D09"/>
    <w:rsid w:val="006E4644"/>
    <w:rsid w:val="006F0E6C"/>
    <w:rsid w:val="006F5417"/>
    <w:rsid w:val="00702B3B"/>
    <w:rsid w:val="007228B1"/>
    <w:rsid w:val="0072716B"/>
    <w:rsid w:val="0073333B"/>
    <w:rsid w:val="00735236"/>
    <w:rsid w:val="007434D4"/>
    <w:rsid w:val="007450C5"/>
    <w:rsid w:val="00750DC4"/>
    <w:rsid w:val="00754F99"/>
    <w:rsid w:val="00763454"/>
    <w:rsid w:val="0076623B"/>
    <w:rsid w:val="0076758D"/>
    <w:rsid w:val="007706E6"/>
    <w:rsid w:val="007731FD"/>
    <w:rsid w:val="007756C7"/>
    <w:rsid w:val="00777F5A"/>
    <w:rsid w:val="00791628"/>
    <w:rsid w:val="0079466F"/>
    <w:rsid w:val="007A310A"/>
    <w:rsid w:val="007A66C4"/>
    <w:rsid w:val="007B0D27"/>
    <w:rsid w:val="007B4FB8"/>
    <w:rsid w:val="007C19CA"/>
    <w:rsid w:val="007C5BDE"/>
    <w:rsid w:val="007C7EF3"/>
    <w:rsid w:val="007D1613"/>
    <w:rsid w:val="007F34F2"/>
    <w:rsid w:val="008018CC"/>
    <w:rsid w:val="00821D01"/>
    <w:rsid w:val="00822BEF"/>
    <w:rsid w:val="008253A7"/>
    <w:rsid w:val="008279CC"/>
    <w:rsid w:val="00836679"/>
    <w:rsid w:val="008372F6"/>
    <w:rsid w:val="00852F82"/>
    <w:rsid w:val="00872C80"/>
    <w:rsid w:val="00885749"/>
    <w:rsid w:val="008A25C8"/>
    <w:rsid w:val="008A6ECC"/>
    <w:rsid w:val="008B2CC1"/>
    <w:rsid w:val="008B473E"/>
    <w:rsid w:val="008B60B2"/>
    <w:rsid w:val="008C53D2"/>
    <w:rsid w:val="008C6D0F"/>
    <w:rsid w:val="008D11E2"/>
    <w:rsid w:val="008D32F0"/>
    <w:rsid w:val="008D37BE"/>
    <w:rsid w:val="008E11C3"/>
    <w:rsid w:val="008E2F7C"/>
    <w:rsid w:val="008F0C58"/>
    <w:rsid w:val="008F3F65"/>
    <w:rsid w:val="008F5DCA"/>
    <w:rsid w:val="008F7012"/>
    <w:rsid w:val="0090731E"/>
    <w:rsid w:val="009153BB"/>
    <w:rsid w:val="00916EE2"/>
    <w:rsid w:val="00921EBA"/>
    <w:rsid w:val="00923D71"/>
    <w:rsid w:val="00924BE4"/>
    <w:rsid w:val="00936675"/>
    <w:rsid w:val="009622B1"/>
    <w:rsid w:val="009638E6"/>
    <w:rsid w:val="00963DC3"/>
    <w:rsid w:val="00966A22"/>
    <w:rsid w:val="0096722F"/>
    <w:rsid w:val="00971530"/>
    <w:rsid w:val="00980843"/>
    <w:rsid w:val="00981033"/>
    <w:rsid w:val="00991D0E"/>
    <w:rsid w:val="00994AA7"/>
    <w:rsid w:val="009A15B1"/>
    <w:rsid w:val="009A40AB"/>
    <w:rsid w:val="009C27DC"/>
    <w:rsid w:val="009E2791"/>
    <w:rsid w:val="009E2E83"/>
    <w:rsid w:val="009E3F6F"/>
    <w:rsid w:val="009E4DE6"/>
    <w:rsid w:val="009E4E7B"/>
    <w:rsid w:val="009E7520"/>
    <w:rsid w:val="009F499F"/>
    <w:rsid w:val="00A03438"/>
    <w:rsid w:val="00A13282"/>
    <w:rsid w:val="00A13DD3"/>
    <w:rsid w:val="00A275B6"/>
    <w:rsid w:val="00A279A5"/>
    <w:rsid w:val="00A34917"/>
    <w:rsid w:val="00A37828"/>
    <w:rsid w:val="00A42DAF"/>
    <w:rsid w:val="00A45BD8"/>
    <w:rsid w:val="00A47EB5"/>
    <w:rsid w:val="00A6071F"/>
    <w:rsid w:val="00A609F8"/>
    <w:rsid w:val="00A72090"/>
    <w:rsid w:val="00A72C53"/>
    <w:rsid w:val="00A869B7"/>
    <w:rsid w:val="00A877BC"/>
    <w:rsid w:val="00AC205C"/>
    <w:rsid w:val="00AC5236"/>
    <w:rsid w:val="00AC74B8"/>
    <w:rsid w:val="00AE04DD"/>
    <w:rsid w:val="00AE1344"/>
    <w:rsid w:val="00AE1F11"/>
    <w:rsid w:val="00AF0A6B"/>
    <w:rsid w:val="00AF2D53"/>
    <w:rsid w:val="00AF4CA1"/>
    <w:rsid w:val="00B0519A"/>
    <w:rsid w:val="00B05A69"/>
    <w:rsid w:val="00B06CC0"/>
    <w:rsid w:val="00B12A1E"/>
    <w:rsid w:val="00B35D6C"/>
    <w:rsid w:val="00B36447"/>
    <w:rsid w:val="00B43EDF"/>
    <w:rsid w:val="00B44236"/>
    <w:rsid w:val="00B44922"/>
    <w:rsid w:val="00B5104B"/>
    <w:rsid w:val="00B52930"/>
    <w:rsid w:val="00B729B9"/>
    <w:rsid w:val="00B742CC"/>
    <w:rsid w:val="00B82E87"/>
    <w:rsid w:val="00B92173"/>
    <w:rsid w:val="00B9734B"/>
    <w:rsid w:val="00BA1D35"/>
    <w:rsid w:val="00BA7123"/>
    <w:rsid w:val="00BA7B80"/>
    <w:rsid w:val="00BB50AE"/>
    <w:rsid w:val="00BF3524"/>
    <w:rsid w:val="00BF4F4E"/>
    <w:rsid w:val="00BF7BF5"/>
    <w:rsid w:val="00C017AA"/>
    <w:rsid w:val="00C04D3F"/>
    <w:rsid w:val="00C05CB4"/>
    <w:rsid w:val="00C11BFE"/>
    <w:rsid w:val="00C31EA9"/>
    <w:rsid w:val="00C32BB2"/>
    <w:rsid w:val="00C36976"/>
    <w:rsid w:val="00C413B8"/>
    <w:rsid w:val="00C419CD"/>
    <w:rsid w:val="00C47EF8"/>
    <w:rsid w:val="00C54C4C"/>
    <w:rsid w:val="00C6025F"/>
    <w:rsid w:val="00C60B7F"/>
    <w:rsid w:val="00C6235B"/>
    <w:rsid w:val="00C633AA"/>
    <w:rsid w:val="00C63E86"/>
    <w:rsid w:val="00C718B6"/>
    <w:rsid w:val="00C73096"/>
    <w:rsid w:val="00C829FA"/>
    <w:rsid w:val="00C84EEE"/>
    <w:rsid w:val="00C860AF"/>
    <w:rsid w:val="00C87EF9"/>
    <w:rsid w:val="00C9168A"/>
    <w:rsid w:val="00C91BE0"/>
    <w:rsid w:val="00C92255"/>
    <w:rsid w:val="00C95D3F"/>
    <w:rsid w:val="00CB41D0"/>
    <w:rsid w:val="00CC30C7"/>
    <w:rsid w:val="00CC6D58"/>
    <w:rsid w:val="00CD150D"/>
    <w:rsid w:val="00CE34AD"/>
    <w:rsid w:val="00CE6C8E"/>
    <w:rsid w:val="00D02EF5"/>
    <w:rsid w:val="00D03B0B"/>
    <w:rsid w:val="00D03B18"/>
    <w:rsid w:val="00D161AD"/>
    <w:rsid w:val="00D23CFB"/>
    <w:rsid w:val="00D3022C"/>
    <w:rsid w:val="00D33DC2"/>
    <w:rsid w:val="00D42090"/>
    <w:rsid w:val="00D45252"/>
    <w:rsid w:val="00D476A5"/>
    <w:rsid w:val="00D53F1C"/>
    <w:rsid w:val="00D55F71"/>
    <w:rsid w:val="00D60879"/>
    <w:rsid w:val="00D63CD4"/>
    <w:rsid w:val="00D643CB"/>
    <w:rsid w:val="00D71B4D"/>
    <w:rsid w:val="00D74C19"/>
    <w:rsid w:val="00D93D55"/>
    <w:rsid w:val="00DA314C"/>
    <w:rsid w:val="00DC2458"/>
    <w:rsid w:val="00DD40E5"/>
    <w:rsid w:val="00DD4F8E"/>
    <w:rsid w:val="00DD54A8"/>
    <w:rsid w:val="00DE0381"/>
    <w:rsid w:val="00DE09B9"/>
    <w:rsid w:val="00DE6E6A"/>
    <w:rsid w:val="00E2026F"/>
    <w:rsid w:val="00E335FE"/>
    <w:rsid w:val="00E46540"/>
    <w:rsid w:val="00E54A8F"/>
    <w:rsid w:val="00E5563E"/>
    <w:rsid w:val="00E60A46"/>
    <w:rsid w:val="00E6245F"/>
    <w:rsid w:val="00E668FC"/>
    <w:rsid w:val="00E70335"/>
    <w:rsid w:val="00E70D7E"/>
    <w:rsid w:val="00E7120B"/>
    <w:rsid w:val="00E734E9"/>
    <w:rsid w:val="00E74423"/>
    <w:rsid w:val="00E75674"/>
    <w:rsid w:val="00E86C1F"/>
    <w:rsid w:val="00E870A2"/>
    <w:rsid w:val="00E91000"/>
    <w:rsid w:val="00EA3A9B"/>
    <w:rsid w:val="00EA55F4"/>
    <w:rsid w:val="00EA6674"/>
    <w:rsid w:val="00EA7D5B"/>
    <w:rsid w:val="00EB04AD"/>
    <w:rsid w:val="00EB51A3"/>
    <w:rsid w:val="00EC0598"/>
    <w:rsid w:val="00EC4E49"/>
    <w:rsid w:val="00ED079E"/>
    <w:rsid w:val="00ED10B6"/>
    <w:rsid w:val="00ED77FB"/>
    <w:rsid w:val="00EE102F"/>
    <w:rsid w:val="00EE1351"/>
    <w:rsid w:val="00EE212C"/>
    <w:rsid w:val="00EE45FA"/>
    <w:rsid w:val="00EE5937"/>
    <w:rsid w:val="00EF1238"/>
    <w:rsid w:val="00EF1695"/>
    <w:rsid w:val="00EF353E"/>
    <w:rsid w:val="00EF454B"/>
    <w:rsid w:val="00EF7B47"/>
    <w:rsid w:val="00F04853"/>
    <w:rsid w:val="00F05012"/>
    <w:rsid w:val="00F07211"/>
    <w:rsid w:val="00F22813"/>
    <w:rsid w:val="00F23DE3"/>
    <w:rsid w:val="00F30D03"/>
    <w:rsid w:val="00F3193B"/>
    <w:rsid w:val="00F42D6C"/>
    <w:rsid w:val="00F4592A"/>
    <w:rsid w:val="00F551D9"/>
    <w:rsid w:val="00F608B0"/>
    <w:rsid w:val="00F6191D"/>
    <w:rsid w:val="00F62255"/>
    <w:rsid w:val="00F654BD"/>
    <w:rsid w:val="00F659C0"/>
    <w:rsid w:val="00F66152"/>
    <w:rsid w:val="00F74E51"/>
    <w:rsid w:val="00F834AD"/>
    <w:rsid w:val="00F84889"/>
    <w:rsid w:val="00FA0854"/>
    <w:rsid w:val="00FB1C25"/>
    <w:rsid w:val="00FB7296"/>
    <w:rsid w:val="00FD458F"/>
    <w:rsid w:val="00FE2631"/>
    <w:rsid w:val="00FE32A6"/>
    <w:rsid w:val="00FF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uiPriority w:val="99"/>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rsid w:val="00F23DE3"/>
    <w:rPr>
      <w:sz w:val="16"/>
      <w:szCs w:val="16"/>
    </w:rPr>
  </w:style>
  <w:style w:type="character" w:customStyle="1" w:styleId="CommentTextChar">
    <w:name w:val="Comment Text Char"/>
    <w:basedOn w:val="DefaultParagraphFont"/>
    <w:link w:val="CommentText"/>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 w:type="character" w:styleId="Hyperlink">
    <w:name w:val="Hyperlink"/>
    <w:basedOn w:val="DefaultParagraphFont"/>
    <w:rsid w:val="00E86C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uiPriority w:val="99"/>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rsid w:val="00F23DE3"/>
    <w:rPr>
      <w:sz w:val="16"/>
      <w:szCs w:val="16"/>
    </w:rPr>
  </w:style>
  <w:style w:type="character" w:customStyle="1" w:styleId="CommentTextChar">
    <w:name w:val="Comment Text Char"/>
    <w:basedOn w:val="DefaultParagraphFont"/>
    <w:link w:val="CommentText"/>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 w:type="character" w:styleId="Hyperlink">
    <w:name w:val="Hyperlink"/>
    <w:basedOn w:val="DefaultParagraphFont"/>
    <w:rsid w:val="00E86C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patentscope/en/" TargetMode="External"/><Relationship Id="rId1" Type="http://schemas.openxmlformats.org/officeDocument/2006/relationships/hyperlink" Target="http://www.wipo.int/designdb/hagu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0D2C-1CAE-4851-8441-1EBAEF4A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5 (E)</Template>
  <TotalTime>6</TotalTime>
  <Pages>4</Pages>
  <Words>1446</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H/LD/WG/5/</vt:lpstr>
    </vt:vector>
  </TitlesOfParts>
  <Company>WIPO</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dc:title>
  <dc:creator>MAILLARD Amber</dc:creator>
  <cp:lastModifiedBy>MAILLARD Amber</cp:lastModifiedBy>
  <cp:revision>7</cp:revision>
  <cp:lastPrinted>2018-07-03T12:51:00Z</cp:lastPrinted>
  <dcterms:created xsi:type="dcterms:W3CDTF">2018-06-27T13:40:00Z</dcterms:created>
  <dcterms:modified xsi:type="dcterms:W3CDTF">2018-07-03T12:51:00Z</dcterms:modified>
</cp:coreProperties>
</file>