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3.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5.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331912">
            <w:bookmarkStart w:id="0" w:name="_GoBack"/>
            <w:bookmarkEnd w:id="0"/>
          </w:p>
        </w:tc>
        <w:tc>
          <w:tcPr>
            <w:tcW w:w="4337" w:type="dxa"/>
            <w:tcBorders>
              <w:bottom w:val="single" w:sz="4" w:space="0" w:color="auto"/>
            </w:tcBorders>
            <w:tcMar>
              <w:left w:w="0" w:type="dxa"/>
              <w:right w:w="0" w:type="dxa"/>
            </w:tcMar>
          </w:tcPr>
          <w:p w:rsidR="00EC4E49" w:rsidRPr="008B2CC1" w:rsidRDefault="00B22EB9" w:rsidP="00331912">
            <w:r>
              <w:rPr>
                <w:noProof/>
                <w:lang w:eastAsia="en-US"/>
              </w:rPr>
              <w:drawing>
                <wp:inline distT="0" distB="0" distL="0" distR="0">
                  <wp:extent cx="1854200" cy="1324610"/>
                  <wp:effectExtent l="0" t="0" r="0" b="889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132461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33191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8932E9" w:rsidP="00A6398C">
            <w:pPr>
              <w:jc w:val="right"/>
              <w:rPr>
                <w:rFonts w:ascii="Arial Black" w:hAnsi="Arial Black"/>
                <w:caps/>
                <w:sz w:val="15"/>
              </w:rPr>
            </w:pPr>
            <w:r>
              <w:rPr>
                <w:rFonts w:ascii="Arial Black" w:hAnsi="Arial Black"/>
                <w:caps/>
                <w:sz w:val="15"/>
              </w:rPr>
              <w:t>h/ld/wg/</w:t>
            </w:r>
            <w:r w:rsidR="00FA54B4">
              <w:rPr>
                <w:rFonts w:ascii="Arial Black" w:hAnsi="Arial Black"/>
                <w:caps/>
                <w:sz w:val="15"/>
              </w:rPr>
              <w:t>6</w:t>
            </w:r>
            <w:r>
              <w:rPr>
                <w:rFonts w:ascii="Arial Black" w:hAnsi="Arial Black"/>
                <w:caps/>
                <w:sz w:val="15"/>
              </w:rPr>
              <w:t>/</w:t>
            </w:r>
            <w:bookmarkStart w:id="1" w:name="Code"/>
            <w:bookmarkEnd w:id="1"/>
            <w:r w:rsidR="00FA54B4">
              <w:rPr>
                <w:rFonts w:ascii="Arial Black" w:hAnsi="Arial Black"/>
                <w:caps/>
                <w:sz w:val="15"/>
              </w:rPr>
              <w:t>5</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33191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477D53">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DC448B">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A513B9">
              <w:rPr>
                <w:rFonts w:ascii="Arial Black" w:hAnsi="Arial Black"/>
                <w:caps/>
                <w:sz w:val="15"/>
              </w:rPr>
              <w:t xml:space="preserve">May </w:t>
            </w:r>
            <w:r w:rsidR="00DC448B">
              <w:rPr>
                <w:rFonts w:ascii="Arial Black" w:hAnsi="Arial Black"/>
                <w:caps/>
                <w:sz w:val="15"/>
              </w:rPr>
              <w:t>25</w:t>
            </w:r>
            <w:r w:rsidR="00477D53">
              <w:rPr>
                <w:rFonts w:ascii="Arial Black" w:hAnsi="Arial Black"/>
                <w:caps/>
                <w:sz w:val="15"/>
              </w:rPr>
              <w:t>, 201</w:t>
            </w:r>
            <w:r w:rsidR="00FA54B4">
              <w:rPr>
                <w:rFonts w:ascii="Arial Black" w:hAnsi="Arial Black"/>
                <w:caps/>
                <w:sz w:val="15"/>
              </w:rPr>
              <w:t>6</w:t>
            </w:r>
          </w:p>
        </w:tc>
      </w:tr>
    </w:tbl>
    <w:p w:rsidR="008B2CC1" w:rsidRPr="008B2CC1" w:rsidRDefault="008B2CC1" w:rsidP="00331912"/>
    <w:p w:rsidR="008B2CC1" w:rsidRPr="008B2CC1" w:rsidRDefault="008B2CC1" w:rsidP="00331912"/>
    <w:p w:rsidR="00663B29" w:rsidRPr="008B2CC1" w:rsidRDefault="00663B29" w:rsidP="00331912"/>
    <w:p w:rsidR="008B2CC1" w:rsidRPr="008B2CC1" w:rsidRDefault="008B2CC1" w:rsidP="00331912"/>
    <w:p w:rsidR="008B2CC1" w:rsidRPr="008B2CC1" w:rsidRDefault="008B2CC1" w:rsidP="00331912"/>
    <w:p w:rsidR="008932E9" w:rsidRPr="008932E9" w:rsidRDefault="008932E9" w:rsidP="00331912">
      <w:pPr>
        <w:rPr>
          <w:b/>
          <w:sz w:val="28"/>
          <w:szCs w:val="28"/>
        </w:rPr>
      </w:pPr>
      <w:r w:rsidRPr="008932E9">
        <w:rPr>
          <w:b/>
          <w:sz w:val="28"/>
          <w:szCs w:val="28"/>
        </w:rPr>
        <w:t>Working Group on the Legal Development of the Hague System for the International Registration of Industrial Designs</w:t>
      </w:r>
    </w:p>
    <w:p w:rsidR="003845C1" w:rsidRDefault="003845C1" w:rsidP="00331912"/>
    <w:p w:rsidR="003845C1" w:rsidRDefault="003845C1" w:rsidP="00331912"/>
    <w:p w:rsidR="008932E9" w:rsidRPr="008932E9" w:rsidRDefault="00FA54B4" w:rsidP="00331912">
      <w:pPr>
        <w:rPr>
          <w:b/>
          <w:sz w:val="24"/>
          <w:szCs w:val="24"/>
        </w:rPr>
      </w:pPr>
      <w:r>
        <w:rPr>
          <w:b/>
          <w:sz w:val="24"/>
          <w:szCs w:val="24"/>
        </w:rPr>
        <w:t>Six</w:t>
      </w:r>
      <w:r w:rsidR="003D5C10">
        <w:rPr>
          <w:b/>
          <w:sz w:val="24"/>
          <w:szCs w:val="24"/>
        </w:rPr>
        <w:t>th</w:t>
      </w:r>
      <w:r w:rsidR="008932E9" w:rsidRPr="008932E9">
        <w:rPr>
          <w:b/>
          <w:sz w:val="24"/>
          <w:szCs w:val="24"/>
        </w:rPr>
        <w:t xml:space="preserve"> Session</w:t>
      </w:r>
    </w:p>
    <w:p w:rsidR="008932E9" w:rsidRPr="008932E9" w:rsidRDefault="008932E9" w:rsidP="00331912">
      <w:pPr>
        <w:rPr>
          <w:b/>
          <w:sz w:val="24"/>
          <w:szCs w:val="24"/>
        </w:rPr>
      </w:pPr>
      <w:r w:rsidRPr="008932E9">
        <w:rPr>
          <w:b/>
          <w:sz w:val="24"/>
          <w:szCs w:val="24"/>
        </w:rPr>
        <w:t xml:space="preserve">Geneva, </w:t>
      </w:r>
      <w:r w:rsidR="00FA54B4">
        <w:rPr>
          <w:b/>
          <w:sz w:val="24"/>
          <w:szCs w:val="24"/>
        </w:rPr>
        <w:t>June</w:t>
      </w:r>
      <w:r w:rsidR="00E05D0E">
        <w:rPr>
          <w:b/>
          <w:sz w:val="24"/>
          <w:szCs w:val="24"/>
        </w:rPr>
        <w:t xml:space="preserve"> </w:t>
      </w:r>
      <w:r w:rsidR="00FA54B4">
        <w:rPr>
          <w:b/>
          <w:sz w:val="24"/>
          <w:szCs w:val="24"/>
        </w:rPr>
        <w:t>20</w:t>
      </w:r>
      <w:r w:rsidR="00E05D0E">
        <w:rPr>
          <w:b/>
          <w:sz w:val="24"/>
          <w:szCs w:val="24"/>
        </w:rPr>
        <w:t xml:space="preserve"> to</w:t>
      </w:r>
      <w:r w:rsidR="001046A6">
        <w:rPr>
          <w:b/>
          <w:sz w:val="24"/>
          <w:szCs w:val="24"/>
        </w:rPr>
        <w:t xml:space="preserve"> </w:t>
      </w:r>
      <w:r w:rsidR="00FA54B4">
        <w:rPr>
          <w:b/>
          <w:sz w:val="24"/>
          <w:szCs w:val="24"/>
        </w:rPr>
        <w:t>22</w:t>
      </w:r>
      <w:r w:rsidRPr="008932E9">
        <w:rPr>
          <w:b/>
          <w:sz w:val="24"/>
          <w:szCs w:val="24"/>
        </w:rPr>
        <w:t>, 201</w:t>
      </w:r>
      <w:r w:rsidR="00FA54B4">
        <w:rPr>
          <w:b/>
          <w:sz w:val="24"/>
          <w:szCs w:val="24"/>
        </w:rPr>
        <w:t>6</w:t>
      </w:r>
    </w:p>
    <w:p w:rsidR="008B2CC1" w:rsidRPr="008B2CC1" w:rsidRDefault="008B2CC1" w:rsidP="00331912"/>
    <w:p w:rsidR="008B2CC1" w:rsidRPr="008B2CC1" w:rsidRDefault="008B2CC1" w:rsidP="00331912"/>
    <w:p w:rsidR="008B2CC1" w:rsidRPr="008B2CC1" w:rsidRDefault="008B2CC1" w:rsidP="00331912"/>
    <w:p w:rsidR="008B2CC1" w:rsidRPr="00475482" w:rsidRDefault="00FA54B4" w:rsidP="00331912">
      <w:pPr>
        <w:rPr>
          <w:caps/>
          <w:sz w:val="24"/>
          <w:szCs w:val="24"/>
        </w:rPr>
      </w:pPr>
      <w:bookmarkStart w:id="4" w:name="TitleOfDoc"/>
      <w:bookmarkEnd w:id="4"/>
      <w:r>
        <w:rPr>
          <w:sz w:val="24"/>
          <w:szCs w:val="24"/>
        </w:rPr>
        <w:t>RECENT TRENDS UNDER THE HAGUE SYSTEM</w:t>
      </w:r>
    </w:p>
    <w:p w:rsidR="008B2CC1" w:rsidRPr="008B2CC1" w:rsidRDefault="008B2CC1" w:rsidP="00331912"/>
    <w:p w:rsidR="008B2CC1" w:rsidRPr="008B2CC1" w:rsidRDefault="00323440" w:rsidP="00331912">
      <w:pPr>
        <w:rPr>
          <w:i/>
        </w:rPr>
      </w:pPr>
      <w:bookmarkStart w:id="5" w:name="Prepared"/>
      <w:bookmarkEnd w:id="5"/>
      <w:r>
        <w:rPr>
          <w:i/>
        </w:rPr>
        <w:t xml:space="preserve">Document </w:t>
      </w:r>
      <w:r w:rsidR="00477D53">
        <w:rPr>
          <w:i/>
        </w:rPr>
        <w:t>prepared by the</w:t>
      </w:r>
      <w:r>
        <w:rPr>
          <w:i/>
        </w:rPr>
        <w:t xml:space="preserve"> International Bureau</w:t>
      </w:r>
    </w:p>
    <w:p w:rsidR="00AC205C" w:rsidRDefault="00AC205C" w:rsidP="00331912"/>
    <w:p w:rsidR="00323440" w:rsidRDefault="00323440" w:rsidP="00331912"/>
    <w:p w:rsidR="00323440" w:rsidRDefault="00323440" w:rsidP="00331912"/>
    <w:p w:rsidR="00323440" w:rsidRDefault="00323440" w:rsidP="00331912"/>
    <w:p w:rsidR="005C1BCC" w:rsidRDefault="005C1BCC" w:rsidP="002212D3">
      <w:pPr>
        <w:pStyle w:val="Heading1"/>
        <w:rPr>
          <w:lang w:eastAsia="en-US"/>
        </w:rPr>
      </w:pPr>
      <w:r>
        <w:rPr>
          <w:lang w:eastAsia="en-US"/>
        </w:rPr>
        <w:t>I.</w:t>
      </w:r>
      <w:r>
        <w:rPr>
          <w:lang w:eastAsia="en-US"/>
        </w:rPr>
        <w:tab/>
      </w:r>
      <w:r w:rsidR="00644764">
        <w:rPr>
          <w:lang w:eastAsia="en-US"/>
        </w:rPr>
        <w:t>introduction</w:t>
      </w:r>
    </w:p>
    <w:p w:rsidR="00A06A0A" w:rsidRPr="00A06A0A" w:rsidRDefault="00A06A0A" w:rsidP="00A06A0A">
      <w:pPr>
        <w:rPr>
          <w:lang w:eastAsia="en-US"/>
        </w:rPr>
      </w:pPr>
    </w:p>
    <w:p w:rsidR="0041314D" w:rsidRPr="00CE2B39" w:rsidRDefault="00FA54B4" w:rsidP="00CE2B39">
      <w:pPr>
        <w:pStyle w:val="ONUME"/>
      </w:pPr>
      <w:r w:rsidRPr="00CE2B39">
        <w:t xml:space="preserve">It is recalled that in its fifth session the Working Group on the Legal Development of the Hague System </w:t>
      </w:r>
      <w:r w:rsidR="00A513B9" w:rsidRPr="00CE2B39">
        <w:t>f</w:t>
      </w:r>
      <w:r w:rsidRPr="00CE2B39">
        <w:t xml:space="preserve">or the International Registration of Industrial Designs (hereinafter referred to as the </w:t>
      </w:r>
      <w:r w:rsidR="00A513B9" w:rsidRPr="00CE2B39">
        <w:t>“</w:t>
      </w:r>
      <w:r w:rsidRPr="00CE2B39">
        <w:t>Working Group</w:t>
      </w:r>
      <w:r w:rsidR="00A513B9" w:rsidRPr="00CE2B39">
        <w:t>”</w:t>
      </w:r>
      <w:r w:rsidRPr="00CE2B39">
        <w:t xml:space="preserve">) </w:t>
      </w:r>
      <w:r w:rsidR="00C92D74" w:rsidRPr="00CE2B39">
        <w:t>discussed the increase in the number of international applications, which is expected to continue in the coming years (refer to document</w:t>
      </w:r>
      <w:r w:rsidR="00A513B9" w:rsidRPr="00CE2B39">
        <w:t> </w:t>
      </w:r>
      <w:r w:rsidR="00C92D74" w:rsidRPr="00CE2B39">
        <w:t>H/LD/WG/5/6, “Considerations Relating to a Possible Revision of the Schedule of Fees</w:t>
      </w:r>
      <w:r w:rsidR="00A513B9" w:rsidRPr="00CE2B39">
        <w:t>”</w:t>
      </w:r>
      <w:r w:rsidR="00C92D74" w:rsidRPr="00CE2B39">
        <w:t xml:space="preserve"> and to paragraphs</w:t>
      </w:r>
      <w:r w:rsidR="00A513B9" w:rsidRPr="00CE2B39">
        <w:t> </w:t>
      </w:r>
      <w:r w:rsidR="000F431A" w:rsidRPr="00CE2B39">
        <w:t>138</w:t>
      </w:r>
      <w:r w:rsidR="00C92D74" w:rsidRPr="00CE2B39">
        <w:t xml:space="preserve"> to</w:t>
      </w:r>
      <w:r w:rsidR="00A513B9" w:rsidRPr="00CE2B39">
        <w:t> </w:t>
      </w:r>
      <w:r w:rsidR="000F431A" w:rsidRPr="00CE2B39">
        <w:t>147</w:t>
      </w:r>
      <w:r w:rsidR="00C92D74" w:rsidRPr="00CE2B39">
        <w:t xml:space="preserve"> of document</w:t>
      </w:r>
      <w:r w:rsidR="00A513B9" w:rsidRPr="00CE2B39">
        <w:t> </w:t>
      </w:r>
      <w:r w:rsidR="00C92D74" w:rsidRPr="00CE2B39">
        <w:t>H/LD/WG/5/8</w:t>
      </w:r>
      <w:r w:rsidR="00A513B9" w:rsidRPr="00CE2B39">
        <w:t> </w:t>
      </w:r>
      <w:r w:rsidR="000F431A" w:rsidRPr="00CE2B39">
        <w:t>Prov.</w:t>
      </w:r>
      <w:r w:rsidR="00C92D74" w:rsidRPr="00CE2B39">
        <w:t>, “Draft Report</w:t>
      </w:r>
      <w:r w:rsidR="00A513B9" w:rsidRPr="00CE2B39">
        <w:t>”</w:t>
      </w:r>
      <w:r w:rsidR="00A536FD" w:rsidRPr="00CE2B39">
        <w:t>)</w:t>
      </w:r>
      <w:r w:rsidR="00C92D74" w:rsidRPr="00CE2B39">
        <w:t>.</w:t>
      </w:r>
    </w:p>
    <w:p w:rsidR="00464FEE" w:rsidRPr="00CE2B39" w:rsidRDefault="0041314D" w:rsidP="00CE2B39">
      <w:pPr>
        <w:pStyle w:val="ONUME"/>
      </w:pPr>
      <w:r w:rsidRPr="00CE2B39">
        <w:t>Furthermore,</w:t>
      </w:r>
      <w:r w:rsidR="00C92D74" w:rsidRPr="00CE2B39">
        <w:t xml:space="preserve"> </w:t>
      </w:r>
      <w:r w:rsidRPr="00CE2B39">
        <w:t xml:space="preserve">the </w:t>
      </w:r>
      <w:r w:rsidR="00BF080E" w:rsidRPr="00CE2B39">
        <w:t xml:space="preserve">recent </w:t>
      </w:r>
      <w:r w:rsidRPr="00CE2B39">
        <w:t>accession of Contracting Parties with examination systems has required</w:t>
      </w:r>
      <w:r w:rsidR="00B90B48" w:rsidRPr="00CE2B39">
        <w:t xml:space="preserve"> for</w:t>
      </w:r>
      <w:r w:rsidRPr="00CE2B39">
        <w:t xml:space="preserve"> the </w:t>
      </w:r>
      <w:r w:rsidR="00BF080E" w:rsidRPr="00CE2B39">
        <w:t>first time</w:t>
      </w:r>
      <w:r w:rsidR="00B90B48" w:rsidRPr="00CE2B39">
        <w:t xml:space="preserve"> the</w:t>
      </w:r>
      <w:r w:rsidR="00BF080E" w:rsidRPr="00CE2B39">
        <w:t xml:space="preserve"> practical implementation </w:t>
      </w:r>
      <w:r w:rsidRPr="00CE2B39">
        <w:t xml:space="preserve">of a number of features </w:t>
      </w:r>
      <w:r w:rsidR="00BF080E" w:rsidRPr="00CE2B39">
        <w:t xml:space="preserve">that had been </w:t>
      </w:r>
      <w:r w:rsidRPr="00CE2B39">
        <w:t xml:space="preserve">agreed at the Diplomatic Conference for the Adoption of a New Act of the Hague Agreement Concerning the International Deposit of Industrial Designs (Geneva Act) in 1999. </w:t>
      </w:r>
      <w:r w:rsidR="00B90B48" w:rsidRPr="00CE2B39">
        <w:t xml:space="preserve"> </w:t>
      </w:r>
      <w:r w:rsidR="00BF080E" w:rsidRPr="00CE2B39">
        <w:t xml:space="preserve">The challenge behind this expansion is that the Hague System </w:t>
      </w:r>
      <w:r w:rsidR="005C5083" w:rsidRPr="00CE2B39">
        <w:t>must</w:t>
      </w:r>
      <w:r w:rsidR="00BF080E" w:rsidRPr="00CE2B39">
        <w:t xml:space="preserve"> accommodate a wide variety of national or regional systems while remaining simple, efficient and cost-effective.</w:t>
      </w:r>
    </w:p>
    <w:p w:rsidR="00EB57DA" w:rsidRPr="00CE2B39" w:rsidRDefault="00F60EB6" w:rsidP="00CE2B39">
      <w:pPr>
        <w:pStyle w:val="ONUME"/>
      </w:pPr>
      <w:r w:rsidRPr="00CE2B39">
        <w:t>The purpose of the present document is</w:t>
      </w:r>
      <w:r w:rsidR="00161FEE" w:rsidRPr="00CE2B39">
        <w:t xml:space="preserve"> to present a first </w:t>
      </w:r>
      <w:r w:rsidR="00990AC0" w:rsidRPr="00CE2B39">
        <w:t xml:space="preserve">set of observations and </w:t>
      </w:r>
      <w:r w:rsidR="00161FEE" w:rsidRPr="00CE2B39">
        <w:t>analys</w:t>
      </w:r>
      <w:r w:rsidR="00F44C0D" w:rsidRPr="00CE2B39">
        <w:t>e</w:t>
      </w:r>
      <w:r w:rsidR="00161FEE" w:rsidRPr="00CE2B39">
        <w:t>s</w:t>
      </w:r>
      <w:r w:rsidR="00990AC0" w:rsidRPr="00CE2B39">
        <w:t xml:space="preserve"> </w:t>
      </w:r>
      <w:r w:rsidR="00C35791" w:rsidRPr="00CE2B39">
        <w:t xml:space="preserve">relating to </w:t>
      </w:r>
      <w:r w:rsidR="00E65D22" w:rsidRPr="00CE2B39">
        <w:t xml:space="preserve">filings made </w:t>
      </w:r>
      <w:r w:rsidR="00C35791" w:rsidRPr="00CE2B39">
        <w:t xml:space="preserve">under the Hague System </w:t>
      </w:r>
      <w:r w:rsidR="005C5083" w:rsidRPr="00CE2B39">
        <w:t>since</w:t>
      </w:r>
      <w:r w:rsidR="00A536FD" w:rsidRPr="00CE2B39">
        <w:t xml:space="preserve"> the accessions of Japan, the Republic of</w:t>
      </w:r>
      <w:r w:rsidR="000E0FE2" w:rsidRPr="00CE2B39">
        <w:t> </w:t>
      </w:r>
      <w:r w:rsidR="00A536FD" w:rsidRPr="00CE2B39">
        <w:t>Korea and the United</w:t>
      </w:r>
      <w:r w:rsidR="000E0FE2" w:rsidRPr="00CE2B39">
        <w:t> </w:t>
      </w:r>
      <w:r w:rsidR="00A536FD" w:rsidRPr="00CE2B39">
        <w:t>States of</w:t>
      </w:r>
      <w:r w:rsidR="000E0FE2" w:rsidRPr="00CE2B39">
        <w:t> </w:t>
      </w:r>
      <w:r w:rsidR="00A536FD" w:rsidRPr="00CE2B39">
        <w:t>America, i.e.,</w:t>
      </w:r>
      <w:r w:rsidR="000E0FE2" w:rsidRPr="00CE2B39">
        <w:t> </w:t>
      </w:r>
      <w:r w:rsidR="00A536FD" w:rsidRPr="00CE2B39">
        <w:t>countries with examination systems and with</w:t>
      </w:r>
      <w:r w:rsidR="005C5083" w:rsidRPr="00CE2B39">
        <w:t xml:space="preserve"> a</w:t>
      </w:r>
      <w:r w:rsidR="00A536FD" w:rsidRPr="00CE2B39">
        <w:t xml:space="preserve"> large filing activity, </w:t>
      </w:r>
      <w:r w:rsidR="00E65D22" w:rsidRPr="00CE2B39">
        <w:t xml:space="preserve">to see if there </w:t>
      </w:r>
      <w:r w:rsidR="007A1513" w:rsidRPr="00CE2B39">
        <w:t>are</w:t>
      </w:r>
      <w:r w:rsidR="00E65D22" w:rsidRPr="00CE2B39">
        <w:t xml:space="preserve"> any emerging </w:t>
      </w:r>
      <w:r w:rsidR="00A536FD" w:rsidRPr="00CE2B39">
        <w:t>trends</w:t>
      </w:r>
      <w:r w:rsidR="000E0FE2" w:rsidRPr="00CE2B39">
        <w:t>.</w:t>
      </w:r>
    </w:p>
    <w:p w:rsidR="00E6311E" w:rsidRPr="00CE2B39" w:rsidRDefault="0013477B" w:rsidP="00CE2B39">
      <w:pPr>
        <w:pStyle w:val="ONUME"/>
      </w:pPr>
      <w:r w:rsidRPr="00CE2B39">
        <w:t>The statistics o</w:t>
      </w:r>
      <w:r w:rsidR="00EB57DA" w:rsidRPr="00CE2B39">
        <w:t xml:space="preserve">n </w:t>
      </w:r>
      <w:r w:rsidRPr="00CE2B39">
        <w:t xml:space="preserve">which the present document is based </w:t>
      </w:r>
      <w:r w:rsidR="009A6C74" w:rsidRPr="00CE2B39">
        <w:t>relate to</w:t>
      </w:r>
      <w:r w:rsidR="00EB57DA" w:rsidRPr="00CE2B39">
        <w:t xml:space="preserve"> international registrations</w:t>
      </w:r>
      <w:r w:rsidR="002253C0" w:rsidRPr="00CE2B39">
        <w:t xml:space="preserve"> rather than</w:t>
      </w:r>
      <w:r w:rsidR="00EB57DA" w:rsidRPr="00CE2B39">
        <w:t xml:space="preserve"> international applications filed</w:t>
      </w:r>
      <w:r w:rsidR="006076FE" w:rsidRPr="00CE2B39">
        <w:t xml:space="preserve">, </w:t>
      </w:r>
      <w:r w:rsidR="002253C0" w:rsidRPr="00CE2B39">
        <w:t xml:space="preserve">and </w:t>
      </w:r>
      <w:r w:rsidR="006076FE" w:rsidRPr="00CE2B39">
        <w:t>according to their international registration date</w:t>
      </w:r>
      <w:r w:rsidR="00AA30E3" w:rsidRPr="00CE2B39">
        <w:t xml:space="preserve"> </w:t>
      </w:r>
      <w:r w:rsidR="006076FE" w:rsidRPr="00CE2B39">
        <w:t>(which</w:t>
      </w:r>
      <w:r w:rsidR="00CA3B7C" w:rsidRPr="00CE2B39">
        <w:t xml:space="preserve"> is </w:t>
      </w:r>
      <w:r w:rsidR="006504B4" w:rsidRPr="00CE2B39">
        <w:t xml:space="preserve">normally </w:t>
      </w:r>
      <w:r w:rsidR="00CA3B7C" w:rsidRPr="00CE2B39">
        <w:t>the filing date of the international application</w:t>
      </w:r>
      <w:r w:rsidR="006076FE" w:rsidRPr="00CE2B39">
        <w:t>)</w:t>
      </w:r>
      <w:r w:rsidR="002253C0" w:rsidRPr="00CE2B39">
        <w:t xml:space="preserve"> rather than</w:t>
      </w:r>
      <w:r w:rsidR="006076FE" w:rsidRPr="00CE2B39">
        <w:t xml:space="preserve"> their recording date. </w:t>
      </w:r>
      <w:r w:rsidR="002253C0" w:rsidRPr="00CE2B39">
        <w:t xml:space="preserve"> </w:t>
      </w:r>
      <w:r w:rsidR="006076FE" w:rsidRPr="00CE2B39">
        <w:t>Thus</w:t>
      </w:r>
      <w:r w:rsidR="00CA3B7C" w:rsidRPr="00CE2B39">
        <w:t xml:space="preserve">, for example, the figures relating to the international registrations in the first quarter </w:t>
      </w:r>
      <w:r w:rsidR="00CA3B7C" w:rsidRPr="00CE2B39">
        <w:lastRenderedPageBreak/>
        <w:t>of</w:t>
      </w:r>
      <w:r w:rsidR="002253C0" w:rsidRPr="00CE2B39">
        <w:t> </w:t>
      </w:r>
      <w:proofErr w:type="gramStart"/>
      <w:r w:rsidR="00CA3B7C" w:rsidRPr="00CE2B39">
        <w:t>2016,</w:t>
      </w:r>
      <w:proofErr w:type="gramEnd"/>
      <w:r w:rsidR="00CA3B7C" w:rsidRPr="00CE2B39">
        <w:t xml:space="preserve"> </w:t>
      </w:r>
      <w:r w:rsidR="00B9333C" w:rsidRPr="00CE2B39">
        <w:t xml:space="preserve">strictly </w:t>
      </w:r>
      <w:r w:rsidR="00CA3B7C" w:rsidRPr="00CE2B39">
        <w:t>refer to international registrations with an international registration date in January, February or March</w:t>
      </w:r>
      <w:r w:rsidR="002253C0" w:rsidRPr="00CE2B39">
        <w:t> </w:t>
      </w:r>
      <w:r w:rsidR="00CA3B7C" w:rsidRPr="00CE2B39">
        <w:t>2016.</w:t>
      </w:r>
      <w:r w:rsidR="00DE0119" w:rsidRPr="00CE2B39">
        <w:t xml:space="preserve"> </w:t>
      </w:r>
      <w:r w:rsidR="002253C0" w:rsidRPr="00CE2B39">
        <w:t xml:space="preserve"> </w:t>
      </w:r>
      <w:r w:rsidR="006076FE" w:rsidRPr="00CE2B39">
        <w:t xml:space="preserve">This </w:t>
      </w:r>
      <w:r w:rsidR="00D04ECD" w:rsidRPr="00CE2B39">
        <w:t>methodology</w:t>
      </w:r>
      <w:r w:rsidR="006076FE" w:rsidRPr="00CE2B39">
        <w:t xml:space="preserve"> was chosen for the sake of stability of the data whilst at the same time reflecting as closely as possible the latest trends</w:t>
      </w:r>
      <w:r w:rsidR="00F3731A" w:rsidRPr="00CE2B39">
        <w:t>.</w:t>
      </w:r>
      <w:r w:rsidR="00D04ECD" w:rsidRPr="00CE2B39">
        <w:t xml:space="preserve"> </w:t>
      </w:r>
      <w:r w:rsidR="002253C0" w:rsidRPr="00CE2B39">
        <w:t xml:space="preserve"> </w:t>
      </w:r>
      <w:r w:rsidR="00D04ECD" w:rsidRPr="00CE2B39">
        <w:t>However, it should be noted that figures on the “Statistics under the Hague System”, available</w:t>
      </w:r>
      <w:r w:rsidR="002253C0" w:rsidRPr="00CE2B39">
        <w:t xml:space="preserve"> on the</w:t>
      </w:r>
      <w:r w:rsidR="00D04ECD" w:rsidRPr="00CE2B39">
        <w:t xml:space="preserve"> WIPO website</w:t>
      </w:r>
      <w:r w:rsidR="00D04ECD" w:rsidRPr="00F075F1">
        <w:rPr>
          <w:rStyle w:val="FootnoteReference"/>
        </w:rPr>
        <w:footnoteReference w:id="2"/>
      </w:r>
      <w:r w:rsidR="00D04ECD" w:rsidRPr="00CE2B39">
        <w:t xml:space="preserve"> are based instead on the date on which international registrations are recorded in the International Register.  Therefore, the figures used in the present document may not always be consistent with the figures under the said statistics. </w:t>
      </w:r>
      <w:r w:rsidR="00CE2B39" w:rsidRPr="00CE2B39">
        <w:t xml:space="preserve"> </w:t>
      </w:r>
      <w:r w:rsidR="00D04ECD" w:rsidRPr="00CE2B39">
        <w:t>This is especially</w:t>
      </w:r>
      <w:r w:rsidR="00CE2B39" w:rsidRPr="00CE2B39">
        <w:t xml:space="preserve"> as</w:t>
      </w:r>
      <w:r w:rsidR="00D04ECD" w:rsidRPr="00CE2B39">
        <w:t xml:space="preserve"> far as </w:t>
      </w:r>
      <w:r w:rsidR="00BA0063" w:rsidRPr="00CE2B39">
        <w:t xml:space="preserve">the first quarter of </w:t>
      </w:r>
      <w:r w:rsidR="00D04ECD" w:rsidRPr="00CE2B39">
        <w:t>2016 is concerned, in respect of which the methodology used yields a very small sample</w:t>
      </w:r>
      <w:r w:rsidR="00E8751D" w:rsidRPr="00F075F1">
        <w:rPr>
          <w:rStyle w:val="FootnoteReference"/>
        </w:rPr>
        <w:footnoteReference w:id="3"/>
      </w:r>
      <w:r w:rsidR="00D04ECD" w:rsidRPr="00CE2B39">
        <w:t>.</w:t>
      </w:r>
      <w:r w:rsidR="006076FE" w:rsidRPr="00CE2B39">
        <w:t xml:space="preserve"> </w:t>
      </w:r>
      <w:r w:rsidR="00CE2B39" w:rsidRPr="00CE2B39">
        <w:t xml:space="preserve"> </w:t>
      </w:r>
      <w:r w:rsidR="00E8751D" w:rsidRPr="00CE2B39">
        <w:t>S</w:t>
      </w:r>
      <w:r w:rsidR="00F3731A" w:rsidRPr="00CE2B39">
        <w:t>o as to minimize the inconvenience</w:t>
      </w:r>
      <w:r w:rsidR="009A1337" w:rsidRPr="00CE2B39">
        <w:t>,</w:t>
      </w:r>
      <w:r w:rsidR="00F3731A" w:rsidRPr="00CE2B39">
        <w:t xml:space="preserve"> </w:t>
      </w:r>
      <w:r w:rsidR="00F44C0D" w:rsidRPr="00CE2B39">
        <w:t xml:space="preserve">reference is </w:t>
      </w:r>
      <w:r w:rsidR="00247A8E" w:rsidRPr="00CE2B39">
        <w:t xml:space="preserve">sometimes </w:t>
      </w:r>
      <w:r w:rsidR="00F44C0D" w:rsidRPr="00CE2B39">
        <w:t>made to the international applications filed in the first quarter of</w:t>
      </w:r>
      <w:r w:rsidR="00CE2B39" w:rsidRPr="00CE2B39">
        <w:t> </w:t>
      </w:r>
      <w:r w:rsidR="00F44C0D" w:rsidRPr="00CE2B39">
        <w:t>2016</w:t>
      </w:r>
      <w:r w:rsidR="001E7B84" w:rsidRPr="00CE2B39">
        <w:t>.</w:t>
      </w:r>
    </w:p>
    <w:p w:rsidR="00D63094" w:rsidRDefault="00853B72" w:rsidP="00CE2B39">
      <w:pPr>
        <w:pStyle w:val="Heading1"/>
        <w:spacing w:before="480"/>
        <w:ind w:left="567" w:hanging="567"/>
        <w:rPr>
          <w:noProof/>
        </w:rPr>
      </w:pPr>
      <w:r w:rsidRPr="0011011B">
        <w:rPr>
          <w:noProof/>
        </w:rPr>
        <w:t>II.</w:t>
      </w:r>
      <w:r w:rsidR="00CE2B39">
        <w:rPr>
          <w:noProof/>
        </w:rPr>
        <w:tab/>
      </w:r>
      <w:r w:rsidR="00BE2C2E">
        <w:rPr>
          <w:noProof/>
        </w:rPr>
        <w:t xml:space="preserve">SOME HIGHLIGHTS CONCERNING </w:t>
      </w:r>
      <w:r w:rsidR="00B72BDA">
        <w:rPr>
          <w:noProof/>
        </w:rPr>
        <w:t>STATISTICS FOR</w:t>
      </w:r>
      <w:r w:rsidR="00F84960">
        <w:rPr>
          <w:noProof/>
        </w:rPr>
        <w:t xml:space="preserve"> 2015</w:t>
      </w:r>
      <w:r w:rsidR="00BE60FA">
        <w:rPr>
          <w:noProof/>
        </w:rPr>
        <w:t xml:space="preserve"> AND THE FIRST QUARTER</w:t>
      </w:r>
      <w:r w:rsidR="00AD2E67">
        <w:rPr>
          <w:noProof/>
        </w:rPr>
        <w:t xml:space="preserve"> OF 2016</w:t>
      </w:r>
    </w:p>
    <w:p w:rsidR="001E7B84" w:rsidRDefault="001E7B84" w:rsidP="00CE2B39">
      <w:pPr>
        <w:pStyle w:val="Heading2"/>
        <w:rPr>
          <w:noProof/>
        </w:rPr>
      </w:pPr>
      <w:r>
        <w:rPr>
          <w:noProof/>
        </w:rPr>
        <w:t>INCREASED ACTIVITY UNDER THE HAGUE SYSTEM</w:t>
      </w:r>
    </w:p>
    <w:p w:rsidR="00CE2B39" w:rsidRPr="00CE2B39" w:rsidRDefault="00CE2B39" w:rsidP="00CE2B39"/>
    <w:p w:rsidR="001E7B84" w:rsidRPr="00CE2B39" w:rsidRDefault="001E7B84" w:rsidP="00CE2B39">
      <w:pPr>
        <w:pStyle w:val="ONUME"/>
      </w:pPr>
      <w:r w:rsidRPr="00CE2B39">
        <w:t>In recent years, the number of international registrations has been growing</w:t>
      </w:r>
      <w:r w:rsidR="00CE2B39">
        <w:t xml:space="preserve"> each</w:t>
      </w:r>
      <w:r w:rsidRPr="00CE2B39">
        <w:t xml:space="preserve"> year.  3,821 international registrations with</w:t>
      </w:r>
      <w:r w:rsidR="00185A0E">
        <w:t xml:space="preserve"> an</w:t>
      </w:r>
      <w:r w:rsidRPr="00CE2B39">
        <w:t xml:space="preserve"> international registration date in 2015 were recorded, corresponding to a </w:t>
      </w:r>
      <w:r w:rsidR="00417EEE" w:rsidRPr="00CE2B39">
        <w:t>40.5</w:t>
      </w:r>
      <w:r w:rsidR="00185A0E">
        <w:t> </w:t>
      </w:r>
      <w:r w:rsidR="00B14685" w:rsidRPr="00CE2B39">
        <w:t>per</w:t>
      </w:r>
      <w:r w:rsidR="00185A0E">
        <w:t> </w:t>
      </w:r>
      <w:r w:rsidR="00B14685" w:rsidRPr="00CE2B39">
        <w:t>cent</w:t>
      </w:r>
      <w:r w:rsidRPr="00CE2B39">
        <w:t xml:space="preserve"> inc</w:t>
      </w:r>
      <w:r w:rsidR="00185A0E">
        <w:t>r</w:t>
      </w:r>
      <w:r w:rsidRPr="00CE2B39">
        <w:t>ease</w:t>
      </w:r>
      <w:r w:rsidR="0063613C" w:rsidRPr="00CE2B39">
        <w:t xml:space="preserve"> </w:t>
      </w:r>
      <w:r w:rsidR="00576AA2" w:rsidRPr="00CE2B39">
        <w:t>compared to those with</w:t>
      </w:r>
      <w:r w:rsidR="00185A0E">
        <w:t xml:space="preserve"> an</w:t>
      </w:r>
      <w:r w:rsidR="00576AA2" w:rsidRPr="00CE2B39">
        <w:t xml:space="preserve"> international registration date i</w:t>
      </w:r>
      <w:r w:rsidRPr="00CE2B39">
        <w:t>n</w:t>
      </w:r>
      <w:r w:rsidR="00185A0E">
        <w:t> </w:t>
      </w:r>
      <w:r w:rsidRPr="00CE2B39">
        <w:t>2014.  Furthermore, the total number of designs in such international registrations was 15,132, corresponding to</w:t>
      </w:r>
      <w:r w:rsidR="005D4856" w:rsidRPr="00CE2B39">
        <w:t xml:space="preserve"> a</w:t>
      </w:r>
      <w:r w:rsidRPr="00CE2B39">
        <w:t xml:space="preserve"> </w:t>
      </w:r>
      <w:r w:rsidR="004F2DAD" w:rsidRPr="00CE2B39">
        <w:t>10.</w:t>
      </w:r>
      <w:r w:rsidR="00417EEE" w:rsidRPr="00CE2B39">
        <w:t>9</w:t>
      </w:r>
      <w:r w:rsidR="00185A0E">
        <w:t> </w:t>
      </w:r>
      <w:r w:rsidR="00B14685" w:rsidRPr="00CE2B39">
        <w:t>per</w:t>
      </w:r>
      <w:r w:rsidR="00185A0E">
        <w:t> </w:t>
      </w:r>
      <w:r w:rsidR="00B14685" w:rsidRPr="00CE2B39">
        <w:t>cent</w:t>
      </w:r>
      <w:r w:rsidRPr="00CE2B39">
        <w:t xml:space="preserve"> </w:t>
      </w:r>
      <w:r w:rsidR="00185A0E">
        <w:t>increase on 2014.</w:t>
      </w:r>
    </w:p>
    <w:p w:rsidR="0091511A" w:rsidRPr="00CE2B39" w:rsidRDefault="001E7B84" w:rsidP="00CE2B39">
      <w:pPr>
        <w:pStyle w:val="ONUME"/>
      </w:pPr>
      <w:r w:rsidRPr="00CE2B39">
        <w:t xml:space="preserve">The number of inscribed international registrations with </w:t>
      </w:r>
      <w:r w:rsidR="005D4856" w:rsidRPr="00CE2B39">
        <w:t xml:space="preserve">an </w:t>
      </w:r>
      <w:r w:rsidRPr="00CE2B39">
        <w:t>international registration date in January to March</w:t>
      </w:r>
      <w:r w:rsidR="00185A0E">
        <w:t> </w:t>
      </w:r>
      <w:r w:rsidRPr="00CE2B39">
        <w:t>2016, was</w:t>
      </w:r>
      <w:r w:rsidR="00185A0E">
        <w:t> </w:t>
      </w:r>
      <w:r w:rsidRPr="00CE2B39">
        <w:t>752</w:t>
      </w:r>
      <w:proofErr w:type="gramStart"/>
      <w:r w:rsidRPr="00CE2B39">
        <w:t>;  the</w:t>
      </w:r>
      <w:proofErr w:type="gramEnd"/>
      <w:r w:rsidRPr="00CE2B39">
        <w:t xml:space="preserve"> number of designs in those international registrations </w:t>
      </w:r>
      <w:r w:rsidR="00660398" w:rsidRPr="00CE2B39">
        <w:t>was</w:t>
      </w:r>
      <w:r w:rsidR="00185A0E">
        <w:t> </w:t>
      </w:r>
      <w:r w:rsidRPr="00CE2B39">
        <w:t>2,405</w:t>
      </w:r>
      <w:r w:rsidR="00D6749E">
        <w:rPr>
          <w:rStyle w:val="FootnoteReference"/>
        </w:rPr>
        <w:footnoteReference w:id="4"/>
      </w:r>
      <w:r w:rsidRPr="00CE2B39">
        <w:t>.</w:t>
      </w:r>
    </w:p>
    <w:p w:rsidR="006678B6" w:rsidRDefault="00016560" w:rsidP="00185A0E">
      <w:pPr>
        <w:pStyle w:val="Heading2"/>
        <w:spacing w:before="480"/>
        <w:rPr>
          <w:noProof/>
        </w:rPr>
      </w:pPr>
      <w:r w:rsidRPr="00793150">
        <w:rPr>
          <w:noProof/>
        </w:rPr>
        <w:t>NEW</w:t>
      </w:r>
      <w:r w:rsidR="00285E1B">
        <w:rPr>
          <w:noProof/>
        </w:rPr>
        <w:t xml:space="preserve"> CONTRACTING PARTIES IN TOP TEN</w:t>
      </w:r>
    </w:p>
    <w:p w:rsidR="00336977" w:rsidRDefault="00E8751D" w:rsidP="00185A0E">
      <w:pPr>
        <w:pStyle w:val="Heading3"/>
      </w:pPr>
      <w:r w:rsidRPr="00E8751D">
        <w:t>Most Designated Contracting Parties</w:t>
      </w:r>
    </w:p>
    <w:p w:rsidR="00285E1B" w:rsidRPr="00285E1B" w:rsidRDefault="00285E1B" w:rsidP="00285E1B"/>
    <w:p w:rsidR="0024152D" w:rsidRPr="00285E1B" w:rsidRDefault="0024152D" w:rsidP="00285E1B">
      <w:pPr>
        <w:pStyle w:val="ONUME"/>
      </w:pPr>
      <w:r w:rsidRPr="00285E1B">
        <w:t>In 2014, the European Union (2,057 designations</w:t>
      </w:r>
      <w:r w:rsidR="00AE33AC" w:rsidRPr="00285E1B">
        <w:t>, i.e.</w:t>
      </w:r>
      <w:r w:rsidR="00DC448B">
        <w:t>,</w:t>
      </w:r>
      <w:r w:rsidR="00285E1B">
        <w:t> </w:t>
      </w:r>
      <w:r w:rsidR="00AE33AC" w:rsidRPr="00285E1B">
        <w:t>75.7</w:t>
      </w:r>
      <w:r w:rsidR="00285E1B">
        <w:t> </w:t>
      </w:r>
      <w:r w:rsidR="00AE33AC" w:rsidRPr="00285E1B">
        <w:t>per cent of the total number of registrations</w:t>
      </w:r>
      <w:r w:rsidR="00B973E6" w:rsidRPr="00285E1B">
        <w:t xml:space="preserve"> in</w:t>
      </w:r>
      <w:r w:rsidR="00285E1B">
        <w:t> </w:t>
      </w:r>
      <w:r w:rsidR="00B973E6" w:rsidRPr="00285E1B">
        <w:t>2014</w:t>
      </w:r>
      <w:r w:rsidRPr="00285E1B">
        <w:t>) was the most designated Contracting Party,</w:t>
      </w:r>
      <w:r w:rsidR="008C53E8" w:rsidRPr="00285E1B">
        <w:t xml:space="preserve"> followed by Switzerland (1,750</w:t>
      </w:r>
      <w:r w:rsidR="00AE33AC" w:rsidRPr="00285E1B">
        <w:t>, i.e.</w:t>
      </w:r>
      <w:r w:rsidR="00DC448B">
        <w:t>,</w:t>
      </w:r>
      <w:r w:rsidR="00285E1B">
        <w:t> </w:t>
      </w:r>
      <w:r w:rsidR="00AE33AC" w:rsidRPr="00285E1B">
        <w:t>64.4</w:t>
      </w:r>
      <w:r w:rsidR="00285E1B">
        <w:t> </w:t>
      </w:r>
      <w:r w:rsidR="00AE33AC" w:rsidRPr="00285E1B">
        <w:t>per</w:t>
      </w:r>
      <w:r w:rsidR="00285E1B">
        <w:t> </w:t>
      </w:r>
      <w:r w:rsidR="00AE33AC" w:rsidRPr="00285E1B">
        <w:t>cent</w:t>
      </w:r>
      <w:r w:rsidR="008C53E8" w:rsidRPr="00285E1B">
        <w:t>), Turkey (1,199</w:t>
      </w:r>
      <w:r w:rsidR="00AE33AC" w:rsidRPr="00285E1B">
        <w:t>, i.e.</w:t>
      </w:r>
      <w:r w:rsidR="00DC448B">
        <w:t>,</w:t>
      </w:r>
      <w:r w:rsidR="00285E1B">
        <w:t> </w:t>
      </w:r>
      <w:r w:rsidR="00AE33AC" w:rsidRPr="00285E1B">
        <w:t>44.1</w:t>
      </w:r>
      <w:r w:rsidR="00285E1B">
        <w:t> </w:t>
      </w:r>
      <w:r w:rsidR="00AE33AC" w:rsidRPr="00285E1B">
        <w:t>per cent</w:t>
      </w:r>
      <w:r w:rsidR="008C53E8" w:rsidRPr="00285E1B">
        <w:t>),</w:t>
      </w:r>
      <w:r w:rsidR="00285E1B">
        <w:t xml:space="preserve"> </w:t>
      </w:r>
      <w:r w:rsidR="008C53E8" w:rsidRPr="00285E1B">
        <w:t>Norway (705</w:t>
      </w:r>
      <w:r w:rsidR="00AE33AC" w:rsidRPr="00285E1B">
        <w:t>, i.e.</w:t>
      </w:r>
      <w:r w:rsidR="00DC448B">
        <w:t>,</w:t>
      </w:r>
      <w:r w:rsidR="00285E1B">
        <w:t> </w:t>
      </w:r>
      <w:r w:rsidR="00AE33AC" w:rsidRPr="00285E1B">
        <w:t>25.9 per cent</w:t>
      </w:r>
      <w:r w:rsidR="008C53E8" w:rsidRPr="00285E1B">
        <w:t>), Singapore (675</w:t>
      </w:r>
      <w:r w:rsidR="00AE33AC" w:rsidRPr="00285E1B">
        <w:t>, i.e.</w:t>
      </w:r>
      <w:r w:rsidR="00DC448B">
        <w:t>,</w:t>
      </w:r>
      <w:r w:rsidR="00285E1B">
        <w:t> </w:t>
      </w:r>
      <w:r w:rsidR="00AE33AC" w:rsidRPr="00285E1B">
        <w:t>24.8</w:t>
      </w:r>
      <w:r w:rsidR="00285E1B">
        <w:t> </w:t>
      </w:r>
      <w:r w:rsidR="00AE33AC" w:rsidRPr="00285E1B">
        <w:t>per cent</w:t>
      </w:r>
      <w:r w:rsidR="008C53E8" w:rsidRPr="00285E1B">
        <w:t>), Ukraine (581</w:t>
      </w:r>
      <w:r w:rsidR="00AE33AC" w:rsidRPr="00285E1B">
        <w:t>, i.e.</w:t>
      </w:r>
      <w:r w:rsidR="00DC448B">
        <w:t>,</w:t>
      </w:r>
      <w:r w:rsidR="00285E1B">
        <w:t> </w:t>
      </w:r>
      <w:r w:rsidR="00AE33AC" w:rsidRPr="00285E1B">
        <w:t>21.4</w:t>
      </w:r>
      <w:r w:rsidR="00285E1B">
        <w:t> </w:t>
      </w:r>
      <w:r w:rsidR="00AE33AC" w:rsidRPr="00285E1B">
        <w:t>per</w:t>
      </w:r>
      <w:r w:rsidR="00285E1B">
        <w:t> </w:t>
      </w:r>
      <w:r w:rsidR="00AE33AC" w:rsidRPr="00285E1B">
        <w:t>cent</w:t>
      </w:r>
      <w:r w:rsidR="008C53E8" w:rsidRPr="00285E1B">
        <w:t>), Morocco (381</w:t>
      </w:r>
      <w:r w:rsidR="00AE33AC" w:rsidRPr="00285E1B">
        <w:t>, i.e.</w:t>
      </w:r>
      <w:r w:rsidR="00DC448B">
        <w:t>,</w:t>
      </w:r>
      <w:r w:rsidR="00285E1B">
        <w:t> </w:t>
      </w:r>
      <w:r w:rsidR="00AE33AC" w:rsidRPr="00285E1B">
        <w:t>14</w:t>
      </w:r>
      <w:r w:rsidR="00285E1B">
        <w:t> </w:t>
      </w:r>
      <w:r w:rsidR="00AE33AC" w:rsidRPr="00285E1B">
        <w:t>per</w:t>
      </w:r>
      <w:r w:rsidR="00285E1B">
        <w:t> </w:t>
      </w:r>
      <w:r w:rsidR="00AE33AC" w:rsidRPr="00285E1B">
        <w:t>cent</w:t>
      </w:r>
      <w:r w:rsidR="008C53E8" w:rsidRPr="00285E1B">
        <w:t>)</w:t>
      </w:r>
      <w:r w:rsidR="009B70AD" w:rsidRPr="00285E1B">
        <w:t>,</w:t>
      </w:r>
      <w:r w:rsidR="00DC5779" w:rsidRPr="00285E1B">
        <w:t xml:space="preserve"> Monaco</w:t>
      </w:r>
      <w:r w:rsidR="00E17CC0" w:rsidRPr="00285E1B">
        <w:t xml:space="preserve"> (369</w:t>
      </w:r>
      <w:r w:rsidR="00AE33AC" w:rsidRPr="00285E1B">
        <w:t>, i.e.</w:t>
      </w:r>
      <w:r w:rsidR="00DC448B">
        <w:t>,</w:t>
      </w:r>
      <w:r w:rsidR="00285E1B">
        <w:t> </w:t>
      </w:r>
      <w:r w:rsidR="00AE33AC" w:rsidRPr="00285E1B">
        <w:t>13.6</w:t>
      </w:r>
      <w:r w:rsidR="008B51B3">
        <w:t> </w:t>
      </w:r>
      <w:r w:rsidR="00AE33AC" w:rsidRPr="00285E1B">
        <w:t>per</w:t>
      </w:r>
      <w:r w:rsidR="008B51B3">
        <w:t> </w:t>
      </w:r>
      <w:r w:rsidR="00AE33AC" w:rsidRPr="00285E1B">
        <w:t>cent</w:t>
      </w:r>
      <w:r w:rsidR="00E17CC0" w:rsidRPr="00285E1B">
        <w:t>)</w:t>
      </w:r>
      <w:r w:rsidR="00DC5779" w:rsidRPr="00285E1B">
        <w:t>, Liechtenstein</w:t>
      </w:r>
      <w:r w:rsidR="00E17CC0" w:rsidRPr="00285E1B">
        <w:t xml:space="preserve"> (327</w:t>
      </w:r>
      <w:r w:rsidR="00AE33AC" w:rsidRPr="00285E1B">
        <w:t>, i.e.</w:t>
      </w:r>
      <w:r w:rsidR="00DC448B">
        <w:t>,</w:t>
      </w:r>
      <w:r w:rsidR="008B51B3">
        <w:t> </w:t>
      </w:r>
      <w:r w:rsidR="00AE33AC" w:rsidRPr="00285E1B">
        <w:t>12</w:t>
      </w:r>
      <w:r w:rsidR="008B51B3">
        <w:t> </w:t>
      </w:r>
      <w:r w:rsidR="00AE33AC" w:rsidRPr="00285E1B">
        <w:t>per</w:t>
      </w:r>
      <w:r w:rsidR="008B51B3">
        <w:t> </w:t>
      </w:r>
      <w:r w:rsidR="00AE33AC" w:rsidRPr="00285E1B">
        <w:t>cent</w:t>
      </w:r>
      <w:r w:rsidR="00E17CC0" w:rsidRPr="00285E1B">
        <w:t>)</w:t>
      </w:r>
      <w:r w:rsidR="00DC5779" w:rsidRPr="00285E1B">
        <w:t xml:space="preserve"> and </w:t>
      </w:r>
      <w:r w:rsidR="004D1DD3">
        <w:t>T</w:t>
      </w:r>
      <w:r w:rsidR="00DC5779" w:rsidRPr="00285E1B">
        <w:t>he</w:t>
      </w:r>
      <w:r w:rsidR="004D1DD3">
        <w:t> </w:t>
      </w:r>
      <w:r w:rsidR="00E17CC0" w:rsidRPr="00285E1B">
        <w:t xml:space="preserve">former </w:t>
      </w:r>
      <w:r w:rsidR="004D1DD3">
        <w:t>Y</w:t>
      </w:r>
      <w:r w:rsidR="00E17CC0" w:rsidRPr="00285E1B">
        <w:t xml:space="preserve">ugoslav </w:t>
      </w:r>
      <w:r w:rsidR="00DC5779" w:rsidRPr="00285E1B">
        <w:t>Republic of</w:t>
      </w:r>
      <w:r w:rsidR="004D1DD3">
        <w:t> </w:t>
      </w:r>
      <w:r w:rsidR="00DC5779" w:rsidRPr="00285E1B">
        <w:t>Macedonia</w:t>
      </w:r>
      <w:r w:rsidR="00E17CC0" w:rsidRPr="00285E1B">
        <w:t xml:space="preserve"> (322</w:t>
      </w:r>
      <w:r w:rsidR="00AE33AC" w:rsidRPr="00285E1B">
        <w:t>, i.e.</w:t>
      </w:r>
      <w:r w:rsidR="00DC448B">
        <w:t>,</w:t>
      </w:r>
      <w:r w:rsidR="004D1DD3">
        <w:t> </w:t>
      </w:r>
      <w:r w:rsidR="00AE33AC" w:rsidRPr="00285E1B">
        <w:t>11.8</w:t>
      </w:r>
      <w:r w:rsidR="004D1DD3">
        <w:t> </w:t>
      </w:r>
      <w:r w:rsidR="00AE33AC" w:rsidRPr="00285E1B">
        <w:t>per</w:t>
      </w:r>
      <w:r w:rsidR="004D1DD3">
        <w:t> </w:t>
      </w:r>
      <w:r w:rsidR="00AE33AC" w:rsidRPr="00285E1B">
        <w:t>cent</w:t>
      </w:r>
      <w:r w:rsidR="00E17CC0" w:rsidRPr="00285E1B">
        <w:t>)</w:t>
      </w:r>
      <w:r w:rsidR="00DC5779" w:rsidRPr="00285E1B">
        <w:t>.</w:t>
      </w:r>
    </w:p>
    <w:p w:rsidR="009B70AD" w:rsidRPr="00285E1B" w:rsidRDefault="002873E6" w:rsidP="00285E1B">
      <w:pPr>
        <w:pStyle w:val="ONUME"/>
      </w:pPr>
      <w:r w:rsidRPr="00285E1B">
        <w:t>In 2015, the most designated Contracting Party continued to be the European Union</w:t>
      </w:r>
      <w:r w:rsidR="00BE2D4E" w:rsidRPr="00285E1B">
        <w:t xml:space="preserve"> </w:t>
      </w:r>
      <w:r w:rsidR="0071605E" w:rsidRPr="00285E1B">
        <w:t>(</w:t>
      </w:r>
      <w:r w:rsidR="00BE2D4E" w:rsidRPr="00285E1B">
        <w:t>2,858</w:t>
      </w:r>
      <w:r w:rsidR="00A30B95">
        <w:t> </w:t>
      </w:r>
      <w:r w:rsidR="00BE2D4E" w:rsidRPr="00285E1B">
        <w:t>designations</w:t>
      </w:r>
      <w:r w:rsidR="00AE33AC" w:rsidRPr="00285E1B">
        <w:t>, i.e.</w:t>
      </w:r>
      <w:r w:rsidR="00DC448B">
        <w:t>,</w:t>
      </w:r>
      <w:r w:rsidR="00A30B95">
        <w:t> </w:t>
      </w:r>
      <w:r w:rsidR="00AE33AC" w:rsidRPr="00285E1B">
        <w:t>74.8</w:t>
      </w:r>
      <w:r w:rsidR="00A30B95">
        <w:t> </w:t>
      </w:r>
      <w:r w:rsidR="00AE33AC" w:rsidRPr="00285E1B">
        <w:t>per</w:t>
      </w:r>
      <w:r w:rsidR="00A30B95">
        <w:t> </w:t>
      </w:r>
      <w:r w:rsidR="00AE33AC" w:rsidRPr="00285E1B">
        <w:t>cent of the total number of registrations that year</w:t>
      </w:r>
      <w:r w:rsidR="0071605E" w:rsidRPr="00285E1B">
        <w:t>)</w:t>
      </w:r>
      <w:r w:rsidR="00BE2D4E" w:rsidRPr="00285E1B">
        <w:t>,</w:t>
      </w:r>
      <w:r w:rsidRPr="00285E1B">
        <w:t xml:space="preserve"> followed by Switzerland </w:t>
      </w:r>
      <w:r w:rsidR="00BE2D4E" w:rsidRPr="00285E1B">
        <w:t>(1</w:t>
      </w:r>
      <w:r w:rsidR="005765C8" w:rsidRPr="00285E1B">
        <w:t>,</w:t>
      </w:r>
      <w:r w:rsidR="00BE2D4E" w:rsidRPr="00285E1B">
        <w:t>793</w:t>
      </w:r>
      <w:r w:rsidR="00AE33AC" w:rsidRPr="00285E1B">
        <w:t>, i.e.</w:t>
      </w:r>
      <w:r w:rsidR="00DC448B">
        <w:t>,</w:t>
      </w:r>
      <w:r w:rsidR="00A30B95">
        <w:t> </w:t>
      </w:r>
      <w:r w:rsidR="00AE33AC" w:rsidRPr="00285E1B">
        <w:t>46.9</w:t>
      </w:r>
      <w:r w:rsidR="00A30B95">
        <w:t> </w:t>
      </w:r>
      <w:r w:rsidR="00AE33AC" w:rsidRPr="00285E1B">
        <w:t>per</w:t>
      </w:r>
      <w:r w:rsidR="00A30B95">
        <w:t> </w:t>
      </w:r>
      <w:r w:rsidR="00AE33AC" w:rsidRPr="00285E1B">
        <w:t>cent</w:t>
      </w:r>
      <w:r w:rsidR="00BE2D4E" w:rsidRPr="00285E1B">
        <w:t xml:space="preserve">) </w:t>
      </w:r>
      <w:r w:rsidRPr="00285E1B">
        <w:t xml:space="preserve">and Turkey </w:t>
      </w:r>
      <w:r w:rsidR="00BE2D4E" w:rsidRPr="00285E1B">
        <w:t>(1</w:t>
      </w:r>
      <w:r w:rsidR="005765C8" w:rsidRPr="00285E1B">
        <w:t>,</w:t>
      </w:r>
      <w:r w:rsidR="00BE2D4E" w:rsidRPr="00285E1B">
        <w:t>262</w:t>
      </w:r>
      <w:r w:rsidR="00AE33AC" w:rsidRPr="00285E1B">
        <w:t>, i.e.</w:t>
      </w:r>
      <w:r w:rsidR="00DC448B">
        <w:t>,</w:t>
      </w:r>
      <w:r w:rsidR="00A30B95">
        <w:t> </w:t>
      </w:r>
      <w:r w:rsidR="00AE33AC" w:rsidRPr="00285E1B">
        <w:t>33 per</w:t>
      </w:r>
      <w:r w:rsidR="00A30B95">
        <w:t> </w:t>
      </w:r>
      <w:r w:rsidR="00AE33AC" w:rsidRPr="00285E1B">
        <w:t>cent</w:t>
      </w:r>
      <w:r w:rsidR="00BE2D4E" w:rsidRPr="00285E1B">
        <w:t>)</w:t>
      </w:r>
      <w:r w:rsidRPr="00285E1B">
        <w:t>.</w:t>
      </w:r>
      <w:r w:rsidR="00A30B95">
        <w:t xml:space="preserve"> </w:t>
      </w:r>
      <w:r w:rsidRPr="00285E1B">
        <w:t xml:space="preserve"> Out of the new Contracting Parties to the Hague Agreement, the United</w:t>
      </w:r>
      <w:r w:rsidR="00A30B95">
        <w:t> </w:t>
      </w:r>
      <w:r w:rsidRPr="00285E1B">
        <w:t>States of</w:t>
      </w:r>
      <w:r w:rsidR="00A30B95">
        <w:t> </w:t>
      </w:r>
      <w:r w:rsidRPr="00285E1B">
        <w:t xml:space="preserve">America </w:t>
      </w:r>
      <w:r w:rsidR="00A47897" w:rsidRPr="00285E1B">
        <w:t>(868</w:t>
      </w:r>
      <w:r w:rsidR="00AE33AC" w:rsidRPr="00285E1B">
        <w:t>, i.e.</w:t>
      </w:r>
      <w:r w:rsidR="00DC448B">
        <w:t>,</w:t>
      </w:r>
      <w:r w:rsidR="00A30B95">
        <w:t> </w:t>
      </w:r>
      <w:r w:rsidR="00AE33AC" w:rsidRPr="00285E1B">
        <w:t>22.7</w:t>
      </w:r>
      <w:r w:rsidR="00A30B95">
        <w:t> </w:t>
      </w:r>
      <w:r w:rsidR="00AE33AC" w:rsidRPr="00285E1B">
        <w:t>per</w:t>
      </w:r>
      <w:r w:rsidR="00A30B95">
        <w:t> </w:t>
      </w:r>
      <w:r w:rsidR="00AE33AC" w:rsidRPr="00285E1B">
        <w:t>cent</w:t>
      </w:r>
      <w:r w:rsidR="00A47897" w:rsidRPr="00285E1B">
        <w:t>)</w:t>
      </w:r>
      <w:r w:rsidR="00B01804" w:rsidRPr="00285E1B">
        <w:t xml:space="preserve"> </w:t>
      </w:r>
      <w:r w:rsidR="00A30B95">
        <w:t xml:space="preserve">was </w:t>
      </w:r>
      <w:r w:rsidR="00CA3CEA" w:rsidRPr="00285E1B">
        <w:t>already</w:t>
      </w:r>
      <w:r w:rsidRPr="00285E1B">
        <w:t xml:space="preserve"> the fourth most designated Contracting Party</w:t>
      </w:r>
      <w:r w:rsidR="005765C8" w:rsidRPr="00285E1B">
        <w:t>,</w:t>
      </w:r>
      <w:r w:rsidR="002439DA" w:rsidRPr="00285E1B">
        <w:t xml:space="preserve"> </w:t>
      </w:r>
      <w:r w:rsidR="005765C8" w:rsidRPr="00285E1B">
        <w:t>t</w:t>
      </w:r>
      <w:r w:rsidRPr="00285E1B">
        <w:t>he Republic of</w:t>
      </w:r>
      <w:r w:rsidR="00A30B95">
        <w:t> </w:t>
      </w:r>
      <w:r w:rsidRPr="00285E1B">
        <w:t xml:space="preserve">Korea </w:t>
      </w:r>
      <w:r w:rsidR="00A47897" w:rsidRPr="00285E1B">
        <w:t>(853</w:t>
      </w:r>
      <w:r w:rsidR="00AE33AC" w:rsidRPr="00285E1B">
        <w:t>, i.e.</w:t>
      </w:r>
      <w:r w:rsidR="00DC448B">
        <w:t>,</w:t>
      </w:r>
      <w:r w:rsidR="00A30B95">
        <w:t> </w:t>
      </w:r>
      <w:r w:rsidR="00AE33AC" w:rsidRPr="00285E1B">
        <w:t>22.3</w:t>
      </w:r>
      <w:r w:rsidR="00A30B95">
        <w:t> </w:t>
      </w:r>
      <w:r w:rsidR="00AE33AC" w:rsidRPr="00285E1B">
        <w:t>per</w:t>
      </w:r>
      <w:r w:rsidR="00A30B95">
        <w:t> </w:t>
      </w:r>
      <w:r w:rsidR="00AE33AC" w:rsidRPr="00285E1B">
        <w:t>cent</w:t>
      </w:r>
      <w:r w:rsidR="00A47897" w:rsidRPr="00285E1B">
        <w:t>)</w:t>
      </w:r>
      <w:r w:rsidR="005765C8" w:rsidRPr="00285E1B">
        <w:t xml:space="preserve"> </w:t>
      </w:r>
      <w:r w:rsidRPr="00285E1B">
        <w:t xml:space="preserve">the fifth and Japan </w:t>
      </w:r>
      <w:r w:rsidR="00A47897" w:rsidRPr="00285E1B">
        <w:t>(540</w:t>
      </w:r>
      <w:r w:rsidR="00AE33AC" w:rsidRPr="00285E1B">
        <w:t>, i.e.</w:t>
      </w:r>
      <w:r w:rsidR="00DC448B">
        <w:t>,</w:t>
      </w:r>
      <w:r w:rsidR="00A30B95">
        <w:t> </w:t>
      </w:r>
      <w:r w:rsidR="00AE33AC" w:rsidRPr="00285E1B">
        <w:t>14.1</w:t>
      </w:r>
      <w:r w:rsidR="00A30B95">
        <w:t> </w:t>
      </w:r>
      <w:r w:rsidR="00AE33AC" w:rsidRPr="00285E1B">
        <w:t>per</w:t>
      </w:r>
      <w:r w:rsidR="00A30B95">
        <w:t> </w:t>
      </w:r>
      <w:r w:rsidR="00AE33AC" w:rsidRPr="00285E1B">
        <w:t>cent</w:t>
      </w:r>
      <w:r w:rsidR="00A47897" w:rsidRPr="00285E1B">
        <w:t>)</w:t>
      </w:r>
      <w:r w:rsidR="002439DA" w:rsidRPr="00285E1B">
        <w:t xml:space="preserve"> </w:t>
      </w:r>
      <w:r w:rsidRPr="00285E1B">
        <w:t xml:space="preserve">the ninth. </w:t>
      </w:r>
      <w:r w:rsidR="0017335C" w:rsidRPr="00285E1B">
        <w:t xml:space="preserve"> Other Contracting Parti</w:t>
      </w:r>
      <w:r w:rsidR="00E36070" w:rsidRPr="00285E1B">
        <w:t>es in the top</w:t>
      </w:r>
      <w:r w:rsidR="00332BC2">
        <w:t> 10</w:t>
      </w:r>
      <w:r w:rsidR="00E36070" w:rsidRPr="00285E1B">
        <w:t xml:space="preserve"> were</w:t>
      </w:r>
      <w:r w:rsidR="0017335C" w:rsidRPr="00285E1B">
        <w:t xml:space="preserve"> Norway </w:t>
      </w:r>
      <w:r w:rsidR="008B7C70" w:rsidRPr="00285E1B">
        <w:t>(</w:t>
      </w:r>
      <w:r w:rsidR="00D53F14" w:rsidRPr="00285E1B">
        <w:t>821</w:t>
      </w:r>
      <w:r w:rsidR="00AE33AC" w:rsidRPr="00285E1B">
        <w:t>, i.e.</w:t>
      </w:r>
      <w:r w:rsidR="00DC448B">
        <w:t>,</w:t>
      </w:r>
      <w:r w:rsidR="00682B36">
        <w:t> </w:t>
      </w:r>
      <w:r w:rsidR="00AE33AC" w:rsidRPr="00285E1B">
        <w:t>21.5</w:t>
      </w:r>
      <w:r w:rsidR="00682B36">
        <w:t> </w:t>
      </w:r>
      <w:r w:rsidR="00AE33AC" w:rsidRPr="00285E1B">
        <w:t>per</w:t>
      </w:r>
      <w:r w:rsidR="00682B36">
        <w:t> </w:t>
      </w:r>
      <w:r w:rsidR="00AE33AC" w:rsidRPr="00285E1B">
        <w:t>cent</w:t>
      </w:r>
      <w:r w:rsidR="00D53F14" w:rsidRPr="00285E1B">
        <w:t>)</w:t>
      </w:r>
      <w:r w:rsidR="0017335C" w:rsidRPr="00285E1B">
        <w:t>, Singapore</w:t>
      </w:r>
      <w:r w:rsidR="00D53F14" w:rsidRPr="00285E1B">
        <w:t xml:space="preserve"> (745</w:t>
      </w:r>
      <w:r w:rsidR="00126150" w:rsidRPr="00285E1B">
        <w:t>, i.e.</w:t>
      </w:r>
      <w:r w:rsidR="00DC448B">
        <w:t>,</w:t>
      </w:r>
      <w:r w:rsidR="00682B36">
        <w:t> </w:t>
      </w:r>
      <w:r w:rsidR="00126150" w:rsidRPr="00285E1B">
        <w:t>19.5</w:t>
      </w:r>
      <w:r w:rsidR="00682B36">
        <w:t> </w:t>
      </w:r>
      <w:r w:rsidR="00126150" w:rsidRPr="00285E1B">
        <w:t>per</w:t>
      </w:r>
      <w:r w:rsidR="00682B36">
        <w:t> </w:t>
      </w:r>
      <w:r w:rsidR="00126150" w:rsidRPr="00285E1B">
        <w:t>cent</w:t>
      </w:r>
      <w:r w:rsidR="00D53F14" w:rsidRPr="00285E1B">
        <w:t>)</w:t>
      </w:r>
      <w:r w:rsidR="0017335C" w:rsidRPr="00285E1B">
        <w:t xml:space="preserve">, Ukraine </w:t>
      </w:r>
      <w:r w:rsidR="00D53F14" w:rsidRPr="00285E1B">
        <w:t>(624</w:t>
      </w:r>
      <w:r w:rsidR="00126150" w:rsidRPr="00285E1B">
        <w:t>, i.e.</w:t>
      </w:r>
      <w:r w:rsidR="00DC448B">
        <w:t>,</w:t>
      </w:r>
      <w:r w:rsidR="00682B36">
        <w:t> </w:t>
      </w:r>
      <w:r w:rsidR="00126150" w:rsidRPr="00285E1B">
        <w:t>16.3</w:t>
      </w:r>
      <w:r w:rsidR="00682B36">
        <w:t> </w:t>
      </w:r>
      <w:r w:rsidR="00126150" w:rsidRPr="00285E1B">
        <w:t>per</w:t>
      </w:r>
      <w:r w:rsidR="00682B36">
        <w:t> </w:t>
      </w:r>
      <w:r w:rsidR="00126150" w:rsidRPr="00285E1B">
        <w:t>cent</w:t>
      </w:r>
      <w:r w:rsidR="00D53F14" w:rsidRPr="00285E1B">
        <w:t xml:space="preserve">) </w:t>
      </w:r>
      <w:r w:rsidR="0017335C" w:rsidRPr="00285E1B">
        <w:t>and Morocco</w:t>
      </w:r>
      <w:r w:rsidR="00D53F14" w:rsidRPr="00285E1B">
        <w:t xml:space="preserve"> (485</w:t>
      </w:r>
      <w:r w:rsidR="00126150" w:rsidRPr="00285E1B">
        <w:t>, i.e.</w:t>
      </w:r>
      <w:r w:rsidR="00DC448B">
        <w:t>,</w:t>
      </w:r>
      <w:r w:rsidR="00682B36">
        <w:t> </w:t>
      </w:r>
      <w:r w:rsidR="00126150" w:rsidRPr="00285E1B">
        <w:t>12.7</w:t>
      </w:r>
      <w:r w:rsidR="00682B36">
        <w:t> </w:t>
      </w:r>
      <w:r w:rsidR="00126150" w:rsidRPr="00285E1B">
        <w:t>per</w:t>
      </w:r>
      <w:r w:rsidR="00682B36">
        <w:t> </w:t>
      </w:r>
      <w:r w:rsidR="00126150" w:rsidRPr="00285E1B">
        <w:t>cent</w:t>
      </w:r>
      <w:r w:rsidR="00D53F14" w:rsidRPr="00285E1B">
        <w:t>)</w:t>
      </w:r>
      <w:r w:rsidR="0017335C" w:rsidRPr="00285E1B">
        <w:t>.</w:t>
      </w:r>
    </w:p>
    <w:p w:rsidR="002873E6" w:rsidRPr="00285E1B" w:rsidRDefault="002873E6" w:rsidP="00285E1B">
      <w:pPr>
        <w:pStyle w:val="ONUME"/>
      </w:pPr>
      <w:r w:rsidRPr="00285E1B">
        <w:lastRenderedPageBreak/>
        <w:t>During the first three months of</w:t>
      </w:r>
      <w:r w:rsidR="00AB738D">
        <w:t> </w:t>
      </w:r>
      <w:r w:rsidRPr="00285E1B">
        <w:t xml:space="preserve">2016, the </w:t>
      </w:r>
      <w:r w:rsidR="00F519E7" w:rsidRPr="00285E1B">
        <w:t>four</w:t>
      </w:r>
      <w:r w:rsidR="00CA3CEA" w:rsidRPr="00285E1B">
        <w:t xml:space="preserve"> most designated Contracting Parties </w:t>
      </w:r>
      <w:r w:rsidR="00AE4C41" w:rsidRPr="00285E1B">
        <w:t>remained unchanged</w:t>
      </w:r>
      <w:proofErr w:type="gramStart"/>
      <w:r w:rsidR="00CA3CEA" w:rsidRPr="00285E1B">
        <w:t>;</w:t>
      </w:r>
      <w:r w:rsidR="00AE4C41" w:rsidRPr="00285E1B">
        <w:t xml:space="preserve"> </w:t>
      </w:r>
      <w:r w:rsidR="00AB738D">
        <w:t xml:space="preserve"> </w:t>
      </w:r>
      <w:r w:rsidR="00CA3CEA" w:rsidRPr="00285E1B">
        <w:t>the</w:t>
      </w:r>
      <w:proofErr w:type="gramEnd"/>
      <w:r w:rsidR="00CA3CEA" w:rsidRPr="00285E1B">
        <w:t xml:space="preserve"> </w:t>
      </w:r>
      <w:r w:rsidRPr="00285E1B">
        <w:t>European Union</w:t>
      </w:r>
      <w:r w:rsidR="00CA3CEA" w:rsidRPr="00285E1B">
        <w:t xml:space="preserve"> (575</w:t>
      </w:r>
      <w:r w:rsidR="00126150" w:rsidRPr="00285E1B">
        <w:t xml:space="preserve"> designations, i.e.</w:t>
      </w:r>
      <w:r w:rsidR="00DC448B">
        <w:t>,</w:t>
      </w:r>
      <w:r w:rsidR="00AB738D">
        <w:t> </w:t>
      </w:r>
      <w:r w:rsidR="00126150" w:rsidRPr="00285E1B">
        <w:t>76.5</w:t>
      </w:r>
      <w:r w:rsidR="00AB738D">
        <w:t> </w:t>
      </w:r>
      <w:r w:rsidR="00126150" w:rsidRPr="00285E1B">
        <w:t>per</w:t>
      </w:r>
      <w:r w:rsidR="00AB738D">
        <w:t> </w:t>
      </w:r>
      <w:r w:rsidR="00126150" w:rsidRPr="00285E1B">
        <w:t xml:space="preserve">cent of the total number of registrations </w:t>
      </w:r>
      <w:r w:rsidR="00B973E6" w:rsidRPr="00285E1B">
        <w:t>in the first quarter of</w:t>
      </w:r>
      <w:r w:rsidR="00AB738D">
        <w:t> </w:t>
      </w:r>
      <w:r w:rsidR="00B973E6" w:rsidRPr="00285E1B">
        <w:t>2016</w:t>
      </w:r>
      <w:r w:rsidR="00CA3CEA" w:rsidRPr="00285E1B">
        <w:t xml:space="preserve">) </w:t>
      </w:r>
      <w:r w:rsidR="002B08C5" w:rsidRPr="00285E1B">
        <w:t>was the most designated</w:t>
      </w:r>
      <w:r w:rsidRPr="00285E1B">
        <w:t>, followed by Switzerland (332</w:t>
      </w:r>
      <w:r w:rsidR="00126150" w:rsidRPr="00285E1B">
        <w:t>, i.e.</w:t>
      </w:r>
      <w:r w:rsidR="00DC448B">
        <w:t>,</w:t>
      </w:r>
      <w:r w:rsidR="00AB738D">
        <w:t> </w:t>
      </w:r>
      <w:r w:rsidR="00126150" w:rsidRPr="00285E1B">
        <w:t>44.1</w:t>
      </w:r>
      <w:r w:rsidR="00AB738D">
        <w:t> </w:t>
      </w:r>
      <w:r w:rsidR="00126150" w:rsidRPr="00285E1B">
        <w:t>per</w:t>
      </w:r>
      <w:r w:rsidR="00AB738D">
        <w:t> </w:t>
      </w:r>
      <w:r w:rsidR="00126150" w:rsidRPr="00285E1B">
        <w:t>cent</w:t>
      </w:r>
      <w:r w:rsidRPr="00285E1B">
        <w:t>)</w:t>
      </w:r>
      <w:r w:rsidR="00BE189F" w:rsidRPr="00285E1B">
        <w:t>,</w:t>
      </w:r>
      <w:r w:rsidR="00CE689A" w:rsidRPr="00285E1B">
        <w:t xml:space="preserve"> </w:t>
      </w:r>
      <w:r w:rsidR="00CA3CEA" w:rsidRPr="00285E1B">
        <w:t>Turkey (243</w:t>
      </w:r>
      <w:r w:rsidR="00126150" w:rsidRPr="00285E1B">
        <w:t>, i.e.</w:t>
      </w:r>
      <w:r w:rsidR="00DC448B">
        <w:t>,</w:t>
      </w:r>
      <w:r w:rsidR="00AB738D">
        <w:t> </w:t>
      </w:r>
      <w:r w:rsidR="00126150" w:rsidRPr="00285E1B">
        <w:t>32.3</w:t>
      </w:r>
      <w:r w:rsidR="00AB738D">
        <w:t> </w:t>
      </w:r>
      <w:r w:rsidR="00126150" w:rsidRPr="00285E1B">
        <w:t>per</w:t>
      </w:r>
      <w:r w:rsidR="00AB738D">
        <w:t> </w:t>
      </w:r>
      <w:r w:rsidR="00126150" w:rsidRPr="00285E1B">
        <w:t>cent</w:t>
      </w:r>
      <w:r w:rsidR="00CA3CEA" w:rsidRPr="00285E1B">
        <w:t>)</w:t>
      </w:r>
      <w:r w:rsidR="00D0601D" w:rsidRPr="00285E1B">
        <w:t xml:space="preserve"> and </w:t>
      </w:r>
      <w:r w:rsidR="00CE689A" w:rsidRPr="00285E1B">
        <w:t>t</w:t>
      </w:r>
      <w:r w:rsidRPr="00285E1B">
        <w:t>he United</w:t>
      </w:r>
      <w:r w:rsidR="00AB738D">
        <w:t> </w:t>
      </w:r>
      <w:r w:rsidRPr="00285E1B">
        <w:t>States of</w:t>
      </w:r>
      <w:r w:rsidR="00AB738D">
        <w:t> </w:t>
      </w:r>
      <w:r w:rsidRPr="00285E1B">
        <w:t>America</w:t>
      </w:r>
      <w:r w:rsidR="00751B17" w:rsidRPr="00285E1B">
        <w:t xml:space="preserve"> </w:t>
      </w:r>
      <w:r w:rsidR="00CA3CEA" w:rsidRPr="00285E1B">
        <w:t>(219</w:t>
      </w:r>
      <w:r w:rsidR="00126150" w:rsidRPr="00285E1B">
        <w:t>, i.e.</w:t>
      </w:r>
      <w:r w:rsidR="00DC448B">
        <w:t>,</w:t>
      </w:r>
      <w:r w:rsidR="00AB738D">
        <w:t> </w:t>
      </w:r>
      <w:r w:rsidR="00126150" w:rsidRPr="00285E1B">
        <w:t>29.1</w:t>
      </w:r>
      <w:r w:rsidR="00AB738D">
        <w:t> </w:t>
      </w:r>
      <w:r w:rsidR="00126150" w:rsidRPr="00285E1B">
        <w:t>per</w:t>
      </w:r>
      <w:r w:rsidR="00AB738D">
        <w:t> </w:t>
      </w:r>
      <w:r w:rsidR="00126150" w:rsidRPr="00285E1B">
        <w:t>cent</w:t>
      </w:r>
      <w:r w:rsidR="00CA3CEA" w:rsidRPr="00285E1B">
        <w:t>)</w:t>
      </w:r>
      <w:r w:rsidR="00D0601D" w:rsidRPr="00285E1B">
        <w:t>.</w:t>
      </w:r>
      <w:r w:rsidR="001E7B84" w:rsidRPr="00285E1B">
        <w:t xml:space="preserve"> </w:t>
      </w:r>
      <w:r w:rsidRPr="00285E1B">
        <w:t>Japan</w:t>
      </w:r>
      <w:r w:rsidR="0045645B" w:rsidRPr="00285E1B">
        <w:t xml:space="preserve"> </w:t>
      </w:r>
      <w:r w:rsidR="00CA3CEA" w:rsidRPr="00285E1B">
        <w:t>(145</w:t>
      </w:r>
      <w:r w:rsidR="00126150" w:rsidRPr="00285E1B">
        <w:t>, i.e.</w:t>
      </w:r>
      <w:r w:rsidR="00DC448B">
        <w:t>,</w:t>
      </w:r>
      <w:r w:rsidR="00AB738D">
        <w:t> </w:t>
      </w:r>
      <w:r w:rsidR="00126150" w:rsidRPr="00285E1B">
        <w:t>19.3</w:t>
      </w:r>
      <w:r w:rsidR="00AB738D">
        <w:t> </w:t>
      </w:r>
      <w:r w:rsidR="00126150" w:rsidRPr="00285E1B">
        <w:t>per</w:t>
      </w:r>
      <w:r w:rsidR="00AB738D">
        <w:t> </w:t>
      </w:r>
      <w:r w:rsidR="00126150" w:rsidRPr="00285E1B">
        <w:t>cent</w:t>
      </w:r>
      <w:r w:rsidR="00CA3CEA" w:rsidRPr="00285E1B">
        <w:t>)</w:t>
      </w:r>
      <w:r w:rsidR="00D0601D" w:rsidRPr="00285E1B">
        <w:t xml:space="preserve"> moved up to fifth place, followed by</w:t>
      </w:r>
      <w:r w:rsidR="00CE689A" w:rsidRPr="00285E1B">
        <w:t xml:space="preserve"> Norway (143</w:t>
      </w:r>
      <w:r w:rsidR="00126150" w:rsidRPr="00285E1B">
        <w:t>, i.e.</w:t>
      </w:r>
      <w:r w:rsidR="00DC448B">
        <w:t>,</w:t>
      </w:r>
      <w:r w:rsidR="00AB738D">
        <w:t> </w:t>
      </w:r>
      <w:r w:rsidR="00126150" w:rsidRPr="00285E1B">
        <w:t>19</w:t>
      </w:r>
      <w:r w:rsidR="00AB738D">
        <w:t> </w:t>
      </w:r>
      <w:r w:rsidR="00126150" w:rsidRPr="00285E1B">
        <w:t>per</w:t>
      </w:r>
      <w:r w:rsidR="00AB738D">
        <w:t> </w:t>
      </w:r>
      <w:r w:rsidR="00126150" w:rsidRPr="00285E1B">
        <w:t>cent</w:t>
      </w:r>
      <w:r w:rsidR="00CE689A" w:rsidRPr="00285E1B">
        <w:t>)</w:t>
      </w:r>
      <w:r w:rsidR="00164D66" w:rsidRPr="00285E1B">
        <w:t>,</w:t>
      </w:r>
      <w:r w:rsidR="004F2DAD" w:rsidRPr="00285E1B">
        <w:t xml:space="preserve"> </w:t>
      </w:r>
      <w:r w:rsidRPr="00285E1B">
        <w:t>the Republic</w:t>
      </w:r>
      <w:r w:rsidR="00AB738D">
        <w:t> </w:t>
      </w:r>
      <w:r w:rsidRPr="00285E1B">
        <w:t>of</w:t>
      </w:r>
      <w:r w:rsidR="00AB738D">
        <w:t> </w:t>
      </w:r>
      <w:r w:rsidRPr="00285E1B">
        <w:t>Korea</w:t>
      </w:r>
      <w:r w:rsidR="00964BCE" w:rsidRPr="00285E1B">
        <w:t xml:space="preserve"> (</w:t>
      </w:r>
      <w:r w:rsidR="00CA3CEA" w:rsidRPr="00285E1B">
        <w:t>141</w:t>
      </w:r>
      <w:r w:rsidR="00126150" w:rsidRPr="00285E1B">
        <w:t>, i.e.</w:t>
      </w:r>
      <w:r w:rsidR="00DC448B">
        <w:t>,</w:t>
      </w:r>
      <w:r w:rsidR="00AB738D">
        <w:t> </w:t>
      </w:r>
      <w:r w:rsidR="00126150" w:rsidRPr="00285E1B">
        <w:t>18.8</w:t>
      </w:r>
      <w:r w:rsidR="00AB738D">
        <w:t> </w:t>
      </w:r>
      <w:r w:rsidR="00126150" w:rsidRPr="00285E1B">
        <w:t>per</w:t>
      </w:r>
      <w:r w:rsidR="00AB738D">
        <w:t> </w:t>
      </w:r>
      <w:r w:rsidR="00126150" w:rsidRPr="00285E1B">
        <w:t>cent</w:t>
      </w:r>
      <w:r w:rsidR="00964BCE" w:rsidRPr="00285E1B">
        <w:t>)</w:t>
      </w:r>
      <w:r w:rsidR="00164D66" w:rsidRPr="00285E1B">
        <w:t>,</w:t>
      </w:r>
      <w:r w:rsidR="00CE689A" w:rsidRPr="00285E1B">
        <w:t xml:space="preserve"> Ukraine (120</w:t>
      </w:r>
      <w:r w:rsidR="00126150" w:rsidRPr="00285E1B">
        <w:t>, i.e.</w:t>
      </w:r>
      <w:r w:rsidR="00DC448B">
        <w:t>,</w:t>
      </w:r>
      <w:r w:rsidR="00AB738D">
        <w:t> </w:t>
      </w:r>
      <w:r w:rsidR="00126150" w:rsidRPr="00285E1B">
        <w:t>16</w:t>
      </w:r>
      <w:r w:rsidR="00AB738D">
        <w:t> </w:t>
      </w:r>
      <w:r w:rsidR="00126150" w:rsidRPr="00285E1B">
        <w:t>per</w:t>
      </w:r>
      <w:r w:rsidR="00AB738D">
        <w:t> </w:t>
      </w:r>
      <w:r w:rsidR="00126150" w:rsidRPr="00285E1B">
        <w:t>cent</w:t>
      </w:r>
      <w:r w:rsidR="00CE689A" w:rsidRPr="00285E1B">
        <w:t>) and Morocco (104</w:t>
      </w:r>
      <w:r w:rsidR="00126150" w:rsidRPr="00285E1B">
        <w:t>, i.e.</w:t>
      </w:r>
      <w:r w:rsidR="00DC448B">
        <w:t>,</w:t>
      </w:r>
      <w:r w:rsidR="00AB738D">
        <w:t> </w:t>
      </w:r>
      <w:r w:rsidR="00126150" w:rsidRPr="00285E1B">
        <w:t>13.8</w:t>
      </w:r>
      <w:r w:rsidR="00AB738D">
        <w:t> </w:t>
      </w:r>
      <w:r w:rsidR="00126150" w:rsidRPr="00285E1B">
        <w:t>per</w:t>
      </w:r>
      <w:r w:rsidR="00AB738D">
        <w:t> </w:t>
      </w:r>
      <w:r w:rsidR="00126150" w:rsidRPr="00285E1B">
        <w:t>cent</w:t>
      </w:r>
      <w:r w:rsidR="00CE689A" w:rsidRPr="00285E1B">
        <w:t>)</w:t>
      </w:r>
      <w:r w:rsidR="00964BCE" w:rsidRPr="00285E1B">
        <w:t>.</w:t>
      </w:r>
    </w:p>
    <w:p w:rsidR="002873E6" w:rsidRDefault="002873E6" w:rsidP="00352775">
      <w:pPr>
        <w:pStyle w:val="Heading3"/>
        <w:spacing w:before="480"/>
      </w:pPr>
      <w:r>
        <w:t>Designs in International Registrations by Designated Contracting Party</w:t>
      </w:r>
    </w:p>
    <w:p w:rsidR="00352775" w:rsidRPr="00352775" w:rsidRDefault="00352775" w:rsidP="00352775"/>
    <w:p w:rsidR="00C05C84" w:rsidRPr="00352775" w:rsidRDefault="00C05C84" w:rsidP="00352775">
      <w:pPr>
        <w:pStyle w:val="ONUME"/>
      </w:pPr>
      <w:r w:rsidRPr="00352775">
        <w:t xml:space="preserve">In 2014, the European Union </w:t>
      </w:r>
      <w:r w:rsidR="00BB40EF" w:rsidRPr="00352775">
        <w:t>(10,897 designs</w:t>
      </w:r>
      <w:r w:rsidR="006677A1" w:rsidRPr="00352775">
        <w:t>, i.e.</w:t>
      </w:r>
      <w:r w:rsidR="00DC448B">
        <w:t>,</w:t>
      </w:r>
      <w:r w:rsidR="00A36EE2">
        <w:t> </w:t>
      </w:r>
      <w:r w:rsidR="006677A1" w:rsidRPr="00352775">
        <w:t>79.9</w:t>
      </w:r>
      <w:r w:rsidR="00A36EE2">
        <w:t> </w:t>
      </w:r>
      <w:r w:rsidR="006677A1" w:rsidRPr="00352775">
        <w:t>per</w:t>
      </w:r>
      <w:r w:rsidR="00A36EE2">
        <w:t> </w:t>
      </w:r>
      <w:r w:rsidR="006677A1" w:rsidRPr="00352775">
        <w:t xml:space="preserve">cent of the total number of designs registered </w:t>
      </w:r>
      <w:r w:rsidR="000C34BF" w:rsidRPr="00352775">
        <w:t>in</w:t>
      </w:r>
      <w:r w:rsidR="00A36EE2">
        <w:t> </w:t>
      </w:r>
      <w:r w:rsidR="000C34BF" w:rsidRPr="00352775">
        <w:t>2014</w:t>
      </w:r>
      <w:r w:rsidRPr="00352775">
        <w:t>) was the most designated Contracting Party</w:t>
      </w:r>
      <w:r w:rsidR="00BB40EF" w:rsidRPr="00352775">
        <w:t xml:space="preserve"> according to the number of designs in international registrations</w:t>
      </w:r>
      <w:r w:rsidRPr="00352775">
        <w:t>, followed by Switzerland (</w:t>
      </w:r>
      <w:r w:rsidR="008323A1" w:rsidRPr="00352775">
        <w:t>9,700</w:t>
      </w:r>
      <w:r w:rsidR="006677A1" w:rsidRPr="00352775">
        <w:t>, i.e.</w:t>
      </w:r>
      <w:r w:rsidR="00DC448B">
        <w:t>,</w:t>
      </w:r>
      <w:r w:rsidR="00A36EE2">
        <w:t> </w:t>
      </w:r>
      <w:r w:rsidR="006677A1" w:rsidRPr="00352775">
        <w:t>71.1</w:t>
      </w:r>
      <w:r w:rsidR="00A36EE2">
        <w:t> </w:t>
      </w:r>
      <w:r w:rsidR="006677A1" w:rsidRPr="00352775">
        <w:t>per</w:t>
      </w:r>
      <w:r w:rsidR="00A36EE2">
        <w:t> </w:t>
      </w:r>
      <w:r w:rsidR="006677A1" w:rsidRPr="00352775">
        <w:t>cent</w:t>
      </w:r>
      <w:r w:rsidRPr="00352775">
        <w:t>), Turkey (</w:t>
      </w:r>
      <w:r w:rsidR="008323A1" w:rsidRPr="00352775">
        <w:t>5,923</w:t>
      </w:r>
      <w:r w:rsidR="006677A1" w:rsidRPr="00352775">
        <w:t>, i.e.</w:t>
      </w:r>
      <w:r w:rsidR="00DC448B">
        <w:t>,</w:t>
      </w:r>
      <w:r w:rsidR="00A36EE2">
        <w:t> </w:t>
      </w:r>
      <w:r w:rsidR="006677A1" w:rsidRPr="00352775">
        <w:t>43.4</w:t>
      </w:r>
      <w:r w:rsidR="00A36EE2">
        <w:t> </w:t>
      </w:r>
      <w:r w:rsidR="006677A1" w:rsidRPr="00352775">
        <w:t>per</w:t>
      </w:r>
      <w:r w:rsidR="00A36EE2">
        <w:t> </w:t>
      </w:r>
      <w:r w:rsidR="006677A1" w:rsidRPr="00352775">
        <w:t>cent</w:t>
      </w:r>
      <w:r w:rsidRPr="00352775">
        <w:t>),</w:t>
      </w:r>
      <w:r w:rsidR="00A36EE2">
        <w:t xml:space="preserve"> </w:t>
      </w:r>
      <w:r w:rsidRPr="00352775">
        <w:t>Norway (</w:t>
      </w:r>
      <w:r w:rsidR="008323A1" w:rsidRPr="00352775">
        <w:t>2,769</w:t>
      </w:r>
      <w:r w:rsidR="006677A1" w:rsidRPr="00352775">
        <w:t>, i.e.</w:t>
      </w:r>
      <w:r w:rsidR="00DC448B">
        <w:t>,</w:t>
      </w:r>
      <w:r w:rsidR="00A36EE2">
        <w:t> </w:t>
      </w:r>
      <w:r w:rsidR="006677A1" w:rsidRPr="00352775">
        <w:t>20.3</w:t>
      </w:r>
      <w:r w:rsidR="00A36EE2">
        <w:t> </w:t>
      </w:r>
      <w:r w:rsidR="006677A1" w:rsidRPr="00352775">
        <w:t>per</w:t>
      </w:r>
      <w:r w:rsidR="00A36EE2">
        <w:t> </w:t>
      </w:r>
      <w:r w:rsidR="006677A1" w:rsidRPr="00352775">
        <w:t>cent</w:t>
      </w:r>
      <w:r w:rsidRPr="00352775">
        <w:t>), Singapore (</w:t>
      </w:r>
      <w:r w:rsidR="008323A1" w:rsidRPr="00352775">
        <w:t>2,695</w:t>
      </w:r>
      <w:r w:rsidR="006677A1" w:rsidRPr="00352775">
        <w:t>, i.e.</w:t>
      </w:r>
      <w:r w:rsidR="00DC448B">
        <w:t>,</w:t>
      </w:r>
      <w:r w:rsidR="00A36EE2">
        <w:t> </w:t>
      </w:r>
      <w:r w:rsidR="006677A1" w:rsidRPr="00352775">
        <w:t>19.8</w:t>
      </w:r>
      <w:r w:rsidR="00A36EE2">
        <w:t> </w:t>
      </w:r>
      <w:r w:rsidR="006677A1" w:rsidRPr="00352775">
        <w:t>per</w:t>
      </w:r>
      <w:r w:rsidR="00A36EE2">
        <w:t> </w:t>
      </w:r>
      <w:r w:rsidR="006677A1" w:rsidRPr="00352775">
        <w:t>cent</w:t>
      </w:r>
      <w:r w:rsidRPr="00352775">
        <w:t>), Ukraine (</w:t>
      </w:r>
      <w:r w:rsidR="008323A1" w:rsidRPr="00352775">
        <w:t>2,457</w:t>
      </w:r>
      <w:r w:rsidR="006677A1" w:rsidRPr="00352775">
        <w:t>, i.e.</w:t>
      </w:r>
      <w:r w:rsidR="00DC448B">
        <w:t>,</w:t>
      </w:r>
      <w:r w:rsidR="00A36EE2">
        <w:t> </w:t>
      </w:r>
      <w:r w:rsidR="006677A1" w:rsidRPr="00352775">
        <w:t>18</w:t>
      </w:r>
      <w:r w:rsidR="00A36EE2">
        <w:t> </w:t>
      </w:r>
      <w:r w:rsidR="006677A1" w:rsidRPr="00352775">
        <w:t>per</w:t>
      </w:r>
      <w:r w:rsidR="00A36EE2">
        <w:t> </w:t>
      </w:r>
      <w:r w:rsidR="006677A1" w:rsidRPr="00352775">
        <w:t>cent</w:t>
      </w:r>
      <w:r w:rsidRPr="00352775">
        <w:t>), Morocco (</w:t>
      </w:r>
      <w:r w:rsidR="008323A1" w:rsidRPr="00352775">
        <w:t>1,693</w:t>
      </w:r>
      <w:r w:rsidR="006677A1" w:rsidRPr="00352775">
        <w:t>, i.e.</w:t>
      </w:r>
      <w:r w:rsidR="00DC448B">
        <w:t>,</w:t>
      </w:r>
      <w:r w:rsidR="00A36EE2">
        <w:t> </w:t>
      </w:r>
      <w:r w:rsidR="006677A1" w:rsidRPr="00352775">
        <w:t>12.4</w:t>
      </w:r>
      <w:r w:rsidR="00A36EE2">
        <w:t> </w:t>
      </w:r>
      <w:r w:rsidR="006677A1" w:rsidRPr="00352775">
        <w:t>per</w:t>
      </w:r>
      <w:r w:rsidR="00A36EE2">
        <w:t> </w:t>
      </w:r>
      <w:r w:rsidR="006677A1" w:rsidRPr="00352775">
        <w:t>cent</w:t>
      </w:r>
      <w:r w:rsidRPr="00352775">
        <w:t>), Monaco</w:t>
      </w:r>
      <w:r w:rsidR="008323A1" w:rsidRPr="00352775">
        <w:t xml:space="preserve"> (1,609</w:t>
      </w:r>
      <w:r w:rsidR="006677A1" w:rsidRPr="00352775">
        <w:t>, i.e.</w:t>
      </w:r>
      <w:r w:rsidR="00DC448B">
        <w:t>,</w:t>
      </w:r>
      <w:r w:rsidR="00A36EE2">
        <w:t> </w:t>
      </w:r>
      <w:r w:rsidR="006677A1" w:rsidRPr="00352775">
        <w:t>11.8</w:t>
      </w:r>
      <w:r w:rsidR="00A36EE2">
        <w:t> </w:t>
      </w:r>
      <w:r w:rsidR="006677A1" w:rsidRPr="00352775">
        <w:t>per</w:t>
      </w:r>
      <w:r w:rsidR="00A36EE2">
        <w:t> </w:t>
      </w:r>
      <w:r w:rsidR="006677A1" w:rsidRPr="00352775">
        <w:t>cent</w:t>
      </w:r>
      <w:r w:rsidRPr="00352775">
        <w:t>), Liechtenstein</w:t>
      </w:r>
      <w:r w:rsidR="008323A1" w:rsidRPr="00352775">
        <w:t xml:space="preserve"> (1,420</w:t>
      </w:r>
      <w:r w:rsidR="006677A1" w:rsidRPr="00352775">
        <w:t>, i.e.</w:t>
      </w:r>
      <w:r w:rsidR="00DC448B">
        <w:t>,</w:t>
      </w:r>
      <w:r w:rsidR="00A36EE2">
        <w:t> </w:t>
      </w:r>
      <w:r w:rsidR="006677A1" w:rsidRPr="00352775">
        <w:t>10.4</w:t>
      </w:r>
      <w:r w:rsidR="00A36EE2">
        <w:t> </w:t>
      </w:r>
      <w:r w:rsidR="006677A1" w:rsidRPr="00352775">
        <w:t>per</w:t>
      </w:r>
      <w:r w:rsidR="00A36EE2">
        <w:t> </w:t>
      </w:r>
      <w:r w:rsidR="006677A1" w:rsidRPr="00352775">
        <w:t>cent</w:t>
      </w:r>
      <w:r w:rsidRPr="00352775">
        <w:t xml:space="preserve">) and </w:t>
      </w:r>
      <w:r w:rsidR="00A36EE2">
        <w:t>T</w:t>
      </w:r>
      <w:r w:rsidRPr="00352775">
        <w:t xml:space="preserve">he former </w:t>
      </w:r>
      <w:r w:rsidR="00A36EE2">
        <w:t>Y</w:t>
      </w:r>
      <w:r w:rsidRPr="00352775">
        <w:t>ugoslav Republic of</w:t>
      </w:r>
      <w:r w:rsidR="00A36EE2">
        <w:t> </w:t>
      </w:r>
      <w:r w:rsidRPr="00352775">
        <w:t>Macedonia</w:t>
      </w:r>
      <w:r w:rsidR="008323A1" w:rsidRPr="00352775">
        <w:t xml:space="preserve"> (1,228</w:t>
      </w:r>
      <w:r w:rsidR="006677A1" w:rsidRPr="00352775">
        <w:t>, i.e.</w:t>
      </w:r>
      <w:r w:rsidR="00DC448B">
        <w:t>,</w:t>
      </w:r>
      <w:r w:rsidR="00A36EE2">
        <w:t> </w:t>
      </w:r>
      <w:r w:rsidR="006677A1" w:rsidRPr="00352775">
        <w:t>9</w:t>
      </w:r>
      <w:r w:rsidR="00A36EE2">
        <w:t> </w:t>
      </w:r>
      <w:r w:rsidR="006677A1" w:rsidRPr="00352775">
        <w:t>per</w:t>
      </w:r>
      <w:r w:rsidR="00A36EE2">
        <w:t> </w:t>
      </w:r>
      <w:r w:rsidR="006677A1" w:rsidRPr="00352775">
        <w:t>cent</w:t>
      </w:r>
      <w:r w:rsidRPr="00352775">
        <w:t>).</w:t>
      </w:r>
    </w:p>
    <w:p w:rsidR="00352775" w:rsidRDefault="00643DAA" w:rsidP="00352775">
      <w:pPr>
        <w:pStyle w:val="ONUME"/>
      </w:pPr>
      <w:r w:rsidRPr="00352775">
        <w:t xml:space="preserve">In 2015, </w:t>
      </w:r>
      <w:r w:rsidR="006B0B7E" w:rsidRPr="00352775">
        <w:t>also</w:t>
      </w:r>
      <w:r w:rsidRPr="00352775">
        <w:t xml:space="preserve">, the European Union </w:t>
      </w:r>
      <w:r w:rsidR="00C07C16" w:rsidRPr="00352775">
        <w:t>(12,360 designs</w:t>
      </w:r>
      <w:r w:rsidR="006677A1" w:rsidRPr="00352775">
        <w:t>, i.e.</w:t>
      </w:r>
      <w:r w:rsidR="00DC448B">
        <w:t>,</w:t>
      </w:r>
      <w:r w:rsidR="000A45F2">
        <w:t> </w:t>
      </w:r>
      <w:r w:rsidR="006677A1" w:rsidRPr="00352775">
        <w:t>81.7</w:t>
      </w:r>
      <w:r w:rsidR="000A45F2">
        <w:t> </w:t>
      </w:r>
      <w:r w:rsidR="006677A1" w:rsidRPr="00352775">
        <w:t>per</w:t>
      </w:r>
      <w:r w:rsidR="000A45F2">
        <w:t> </w:t>
      </w:r>
      <w:r w:rsidR="006677A1" w:rsidRPr="00352775">
        <w:t>cent of the total number of designs registered that year</w:t>
      </w:r>
      <w:r w:rsidR="00C07C16" w:rsidRPr="00352775">
        <w:t xml:space="preserve">) </w:t>
      </w:r>
      <w:r w:rsidRPr="00352775">
        <w:t xml:space="preserve">was </w:t>
      </w:r>
      <w:r w:rsidR="00F3200C" w:rsidRPr="00352775">
        <w:t xml:space="preserve">the most </w:t>
      </w:r>
      <w:r w:rsidRPr="00352775">
        <w:t xml:space="preserve">designated </w:t>
      </w:r>
      <w:r w:rsidR="003A3759" w:rsidRPr="00352775">
        <w:t>Contracting Party</w:t>
      </w:r>
      <w:r w:rsidR="00164D66" w:rsidRPr="00352775">
        <w:t xml:space="preserve"> according to the number of designs in international registrations</w:t>
      </w:r>
      <w:r w:rsidRPr="00352775">
        <w:t xml:space="preserve">, </w:t>
      </w:r>
      <w:r w:rsidR="003A3759" w:rsidRPr="00352775">
        <w:t xml:space="preserve">followed by </w:t>
      </w:r>
      <w:r w:rsidRPr="00352775">
        <w:t xml:space="preserve">Switzerland </w:t>
      </w:r>
      <w:r w:rsidR="003A3759" w:rsidRPr="00352775">
        <w:t>(</w:t>
      </w:r>
      <w:r w:rsidRPr="00352775">
        <w:t>9,012</w:t>
      </w:r>
      <w:r w:rsidR="006677A1" w:rsidRPr="00352775">
        <w:t>, i.e.</w:t>
      </w:r>
      <w:r w:rsidR="00DC448B">
        <w:t>,</w:t>
      </w:r>
      <w:r w:rsidR="000A45F2">
        <w:t> </w:t>
      </w:r>
      <w:r w:rsidR="006677A1" w:rsidRPr="00352775">
        <w:t>59.6</w:t>
      </w:r>
      <w:r w:rsidR="000A45F2">
        <w:t> </w:t>
      </w:r>
      <w:r w:rsidR="006677A1" w:rsidRPr="00352775">
        <w:t>per</w:t>
      </w:r>
      <w:r w:rsidR="000A45F2">
        <w:t> </w:t>
      </w:r>
      <w:r w:rsidR="006677A1" w:rsidRPr="00352775">
        <w:t>cent</w:t>
      </w:r>
      <w:r w:rsidR="003A3759" w:rsidRPr="00352775">
        <w:t>)</w:t>
      </w:r>
      <w:r w:rsidR="004F2DAD" w:rsidRPr="00352775">
        <w:t>,</w:t>
      </w:r>
      <w:r w:rsidR="00BF3B47" w:rsidRPr="00352775">
        <w:t xml:space="preserve"> </w:t>
      </w:r>
      <w:r w:rsidRPr="00352775">
        <w:t xml:space="preserve">Turkey </w:t>
      </w:r>
      <w:r w:rsidR="003A3759" w:rsidRPr="00352775">
        <w:t>(</w:t>
      </w:r>
      <w:r w:rsidRPr="00352775">
        <w:t>5,701</w:t>
      </w:r>
      <w:r w:rsidR="006677A1" w:rsidRPr="00352775">
        <w:t>, i.e.</w:t>
      </w:r>
      <w:r w:rsidR="00DC448B">
        <w:t>,</w:t>
      </w:r>
      <w:r w:rsidR="000A45F2">
        <w:t> </w:t>
      </w:r>
      <w:r w:rsidR="006677A1" w:rsidRPr="00352775">
        <w:t>37.7</w:t>
      </w:r>
      <w:r w:rsidR="000A45F2">
        <w:t> </w:t>
      </w:r>
      <w:r w:rsidR="006677A1" w:rsidRPr="00352775">
        <w:t>per</w:t>
      </w:r>
      <w:r w:rsidR="008E1D7B">
        <w:t> </w:t>
      </w:r>
      <w:r w:rsidR="006677A1" w:rsidRPr="00352775">
        <w:t>cent</w:t>
      </w:r>
      <w:r w:rsidR="003A3759" w:rsidRPr="00352775">
        <w:t>)</w:t>
      </w:r>
      <w:r w:rsidR="004F2DAD" w:rsidRPr="00352775">
        <w:t>, Norway (3219</w:t>
      </w:r>
      <w:r w:rsidR="006677A1" w:rsidRPr="00352775">
        <w:t>, i.e.</w:t>
      </w:r>
      <w:r w:rsidR="00DC448B">
        <w:t>,</w:t>
      </w:r>
      <w:r w:rsidR="008E1D7B">
        <w:t> </w:t>
      </w:r>
      <w:r w:rsidR="006677A1" w:rsidRPr="00352775">
        <w:t>21.3</w:t>
      </w:r>
      <w:r w:rsidR="008E1D7B">
        <w:t> </w:t>
      </w:r>
      <w:r w:rsidR="006677A1" w:rsidRPr="00352775">
        <w:t>per</w:t>
      </w:r>
      <w:r w:rsidR="008E1D7B">
        <w:t> </w:t>
      </w:r>
      <w:r w:rsidR="006677A1" w:rsidRPr="00352775">
        <w:t>cent</w:t>
      </w:r>
      <w:r w:rsidR="004F2DAD" w:rsidRPr="00352775">
        <w:t>), Ukraine (2739</w:t>
      </w:r>
      <w:r w:rsidR="006677A1" w:rsidRPr="00352775">
        <w:t>, i.e.</w:t>
      </w:r>
      <w:r w:rsidR="00DC448B">
        <w:t>,</w:t>
      </w:r>
      <w:r w:rsidR="008E1D7B">
        <w:t> </w:t>
      </w:r>
      <w:r w:rsidR="006677A1" w:rsidRPr="00352775">
        <w:t>18.1</w:t>
      </w:r>
      <w:r w:rsidR="008E1D7B">
        <w:t> </w:t>
      </w:r>
      <w:r w:rsidR="006677A1" w:rsidRPr="00352775">
        <w:t>per cent</w:t>
      </w:r>
      <w:r w:rsidR="004F2DAD" w:rsidRPr="00352775">
        <w:t>), and Singapore (2703</w:t>
      </w:r>
      <w:r w:rsidR="006677A1" w:rsidRPr="00352775">
        <w:t>, i.e.</w:t>
      </w:r>
      <w:r w:rsidR="00DC448B">
        <w:t>,</w:t>
      </w:r>
      <w:r w:rsidR="008E1D7B">
        <w:t> </w:t>
      </w:r>
      <w:r w:rsidR="006677A1" w:rsidRPr="00352775">
        <w:t>17.9</w:t>
      </w:r>
      <w:r w:rsidR="008E1D7B">
        <w:t> </w:t>
      </w:r>
      <w:r w:rsidR="006677A1" w:rsidRPr="00352775">
        <w:t>per</w:t>
      </w:r>
      <w:r w:rsidR="008E1D7B">
        <w:t> </w:t>
      </w:r>
      <w:r w:rsidR="006677A1" w:rsidRPr="00352775">
        <w:t>cent</w:t>
      </w:r>
      <w:r w:rsidR="004F2DAD" w:rsidRPr="00352775">
        <w:t>)</w:t>
      </w:r>
      <w:r w:rsidRPr="00352775">
        <w:t>.</w:t>
      </w:r>
      <w:r w:rsidR="008E1D7B">
        <w:t xml:space="preserve"> </w:t>
      </w:r>
      <w:r w:rsidRPr="00352775">
        <w:t xml:space="preserve"> </w:t>
      </w:r>
      <w:r w:rsidR="008E1D7B">
        <w:t>O</w:t>
      </w:r>
      <w:r w:rsidRPr="00352775">
        <w:t xml:space="preserve">f the new Contracting Parties, the Republic of Korea </w:t>
      </w:r>
      <w:r w:rsidR="003F1C5E" w:rsidRPr="00352775">
        <w:t>(2,478</w:t>
      </w:r>
      <w:r w:rsidR="006677A1" w:rsidRPr="00352775">
        <w:t>, i.e.</w:t>
      </w:r>
      <w:r w:rsidR="00DC448B">
        <w:t>,</w:t>
      </w:r>
      <w:r w:rsidR="008E1D7B">
        <w:t> </w:t>
      </w:r>
      <w:r w:rsidR="006677A1" w:rsidRPr="00352775">
        <w:t>16.4</w:t>
      </w:r>
      <w:r w:rsidR="008E1D7B">
        <w:t> </w:t>
      </w:r>
      <w:r w:rsidR="006677A1" w:rsidRPr="00352775">
        <w:t>per</w:t>
      </w:r>
      <w:r w:rsidR="008E1D7B">
        <w:t> </w:t>
      </w:r>
      <w:r w:rsidR="006677A1" w:rsidRPr="00352775">
        <w:t>cent</w:t>
      </w:r>
      <w:r w:rsidR="003F1C5E" w:rsidRPr="00352775">
        <w:t xml:space="preserve">) </w:t>
      </w:r>
      <w:r w:rsidR="0007733A" w:rsidRPr="00352775">
        <w:t>was</w:t>
      </w:r>
      <w:r w:rsidR="00F81E5A" w:rsidRPr="00352775">
        <w:t xml:space="preserve"> </w:t>
      </w:r>
      <w:r w:rsidR="004F2DAD" w:rsidRPr="00352775">
        <w:t>seven</w:t>
      </w:r>
      <w:r w:rsidR="00F81E5A" w:rsidRPr="00352775">
        <w:t>th</w:t>
      </w:r>
      <w:proofErr w:type="gramStart"/>
      <w:r w:rsidR="007E6DA2" w:rsidRPr="00352775">
        <w:t>;</w:t>
      </w:r>
      <w:r w:rsidR="008E1D7B">
        <w:t xml:space="preserve"> </w:t>
      </w:r>
      <w:r w:rsidRPr="00352775">
        <w:t xml:space="preserve"> the</w:t>
      </w:r>
      <w:proofErr w:type="gramEnd"/>
      <w:r w:rsidRPr="00352775">
        <w:t xml:space="preserve"> United States of America</w:t>
      </w:r>
      <w:r w:rsidR="003F1C5E" w:rsidRPr="00352775">
        <w:t xml:space="preserve"> (2,159</w:t>
      </w:r>
      <w:r w:rsidR="006677A1" w:rsidRPr="00352775">
        <w:t>, i.e.</w:t>
      </w:r>
      <w:r w:rsidR="00DC448B">
        <w:t>,</w:t>
      </w:r>
      <w:r w:rsidR="008E1D7B">
        <w:t> </w:t>
      </w:r>
      <w:r w:rsidR="006677A1" w:rsidRPr="00352775">
        <w:t>14.3</w:t>
      </w:r>
      <w:r w:rsidR="008E1D7B">
        <w:t> </w:t>
      </w:r>
      <w:r w:rsidR="006677A1" w:rsidRPr="00352775">
        <w:t>per</w:t>
      </w:r>
      <w:r w:rsidR="008E1D7B">
        <w:t> </w:t>
      </w:r>
      <w:r w:rsidR="006677A1" w:rsidRPr="00352775">
        <w:t>cent</w:t>
      </w:r>
      <w:r w:rsidR="003F1C5E" w:rsidRPr="00352775">
        <w:t>)</w:t>
      </w:r>
      <w:r w:rsidR="008E1D7B">
        <w:t xml:space="preserve"> was</w:t>
      </w:r>
      <w:r w:rsidR="003F1C5E" w:rsidRPr="00352775">
        <w:t xml:space="preserve"> </w:t>
      </w:r>
      <w:r w:rsidR="004F2DAD" w:rsidRPr="00352775">
        <w:t>eigh</w:t>
      </w:r>
      <w:r w:rsidR="003F1C5E" w:rsidRPr="00352775">
        <w:t xml:space="preserve">th </w:t>
      </w:r>
      <w:r w:rsidRPr="00352775">
        <w:t>and</w:t>
      </w:r>
      <w:r w:rsidR="008E1D7B">
        <w:t xml:space="preserve"> </w:t>
      </w:r>
      <w:r w:rsidRPr="00352775">
        <w:t xml:space="preserve">Japan </w:t>
      </w:r>
      <w:r w:rsidR="001A181A" w:rsidRPr="00352775">
        <w:t>(1,140</w:t>
      </w:r>
      <w:r w:rsidR="006677A1" w:rsidRPr="00352775">
        <w:t>, i.e.</w:t>
      </w:r>
      <w:r w:rsidR="00DC448B">
        <w:t>,</w:t>
      </w:r>
      <w:r w:rsidR="008E1D7B">
        <w:t> </w:t>
      </w:r>
      <w:r w:rsidR="006677A1" w:rsidRPr="00352775">
        <w:t>7.5</w:t>
      </w:r>
      <w:r w:rsidR="008E1D7B">
        <w:t> </w:t>
      </w:r>
      <w:r w:rsidR="006677A1" w:rsidRPr="00352775">
        <w:t>per</w:t>
      </w:r>
      <w:r w:rsidR="008E1D7B">
        <w:t> </w:t>
      </w:r>
      <w:r w:rsidR="006677A1" w:rsidRPr="00352775">
        <w:t>cent</w:t>
      </w:r>
      <w:r w:rsidR="001A181A" w:rsidRPr="00352775">
        <w:t>)</w:t>
      </w:r>
      <w:r w:rsidR="008E1D7B">
        <w:t xml:space="preserve"> was</w:t>
      </w:r>
      <w:r w:rsidR="00F81E5A" w:rsidRPr="00352775">
        <w:t xml:space="preserve"> </w:t>
      </w:r>
      <w:r w:rsidR="004F2DAD" w:rsidRPr="00352775">
        <w:t>seventeen</w:t>
      </w:r>
      <w:r w:rsidR="00F81E5A" w:rsidRPr="00352775">
        <w:t>th</w:t>
      </w:r>
      <w:r w:rsidRPr="00352775">
        <w:t>.</w:t>
      </w:r>
      <w:r w:rsidR="004F2DAD" w:rsidRPr="00352775">
        <w:t xml:space="preserve"> </w:t>
      </w:r>
      <w:r w:rsidR="008E1D7B">
        <w:t xml:space="preserve"> </w:t>
      </w:r>
      <w:r w:rsidR="004F2DAD" w:rsidRPr="00352775">
        <w:t>N</w:t>
      </w:r>
      <w:r w:rsidR="0007733A" w:rsidRPr="00352775">
        <w:t>inth and tenth we</w:t>
      </w:r>
      <w:r w:rsidR="004F2DAD" w:rsidRPr="00352775">
        <w:t>re Morocco (1</w:t>
      </w:r>
      <w:r w:rsidR="00A67446" w:rsidRPr="00352775">
        <w:t>,</w:t>
      </w:r>
      <w:r w:rsidR="004F2DAD" w:rsidRPr="00352775">
        <w:t>966</w:t>
      </w:r>
      <w:r w:rsidR="006677A1" w:rsidRPr="00352775">
        <w:t>, i.e.</w:t>
      </w:r>
      <w:r w:rsidR="00DC448B">
        <w:t>,</w:t>
      </w:r>
      <w:r w:rsidR="008E1D7B">
        <w:t> </w:t>
      </w:r>
      <w:r w:rsidR="006677A1" w:rsidRPr="00352775">
        <w:t>13</w:t>
      </w:r>
      <w:r w:rsidR="008E1D7B">
        <w:t> </w:t>
      </w:r>
      <w:r w:rsidR="006677A1" w:rsidRPr="00352775">
        <w:t>per</w:t>
      </w:r>
      <w:r w:rsidR="008E1D7B">
        <w:t> </w:t>
      </w:r>
      <w:r w:rsidR="006677A1" w:rsidRPr="00352775">
        <w:t>cent</w:t>
      </w:r>
      <w:r w:rsidR="004F2DAD" w:rsidRPr="00352775">
        <w:t>) and Monaco (1</w:t>
      </w:r>
      <w:r w:rsidR="00A67446" w:rsidRPr="00352775">
        <w:t>,</w:t>
      </w:r>
      <w:r w:rsidR="004F2DAD" w:rsidRPr="00352775">
        <w:t>493</w:t>
      </w:r>
      <w:r w:rsidR="00F65B1C" w:rsidRPr="00352775">
        <w:t>, i.e.</w:t>
      </w:r>
      <w:r w:rsidR="00DC448B">
        <w:t>,</w:t>
      </w:r>
      <w:r w:rsidR="008E1D7B">
        <w:t> </w:t>
      </w:r>
      <w:r w:rsidR="00F65B1C" w:rsidRPr="00352775">
        <w:t>9.9</w:t>
      </w:r>
      <w:r w:rsidR="008E1D7B">
        <w:t> </w:t>
      </w:r>
      <w:r w:rsidR="00F65B1C" w:rsidRPr="00352775">
        <w:t>per</w:t>
      </w:r>
      <w:r w:rsidR="008E1D7B">
        <w:t> </w:t>
      </w:r>
      <w:r w:rsidR="00F65B1C" w:rsidRPr="00352775">
        <w:t>cent</w:t>
      </w:r>
      <w:r w:rsidR="004F2DAD" w:rsidRPr="00352775">
        <w:t>)</w:t>
      </w:r>
      <w:r w:rsidR="008E1D7B">
        <w:t xml:space="preserve"> respectively</w:t>
      </w:r>
      <w:r w:rsidR="004F2DAD" w:rsidRPr="00352775">
        <w:t>.</w:t>
      </w:r>
    </w:p>
    <w:p w:rsidR="00643DAA" w:rsidRPr="00F624E9" w:rsidRDefault="00643DAA" w:rsidP="00352775">
      <w:pPr>
        <w:pStyle w:val="ONUME"/>
      </w:pPr>
      <w:r w:rsidRPr="00352775">
        <w:t xml:space="preserve">During the first quarter of 2016, the </w:t>
      </w:r>
      <w:r w:rsidR="003705EC" w:rsidRPr="00352775">
        <w:t xml:space="preserve">top three </w:t>
      </w:r>
      <w:r w:rsidR="00644D04" w:rsidRPr="00352775">
        <w:t>remained the same</w:t>
      </w:r>
      <w:r w:rsidR="00164D66" w:rsidRPr="00352775">
        <w:t>, namely</w:t>
      </w:r>
      <w:r w:rsidR="0007508A" w:rsidRPr="00352775">
        <w:t xml:space="preserve"> </w:t>
      </w:r>
      <w:r w:rsidR="00766A90" w:rsidRPr="00352775">
        <w:t xml:space="preserve">the </w:t>
      </w:r>
      <w:r w:rsidRPr="00352775">
        <w:t xml:space="preserve">European Union </w:t>
      </w:r>
      <w:r w:rsidR="008852F4" w:rsidRPr="00352775">
        <w:t>(</w:t>
      </w:r>
      <w:r w:rsidR="003705EC" w:rsidRPr="00352775">
        <w:t>1,990 designs</w:t>
      </w:r>
      <w:r w:rsidR="00F65B1C" w:rsidRPr="00352775">
        <w:t>, i.e.</w:t>
      </w:r>
      <w:r w:rsidR="00DC448B">
        <w:t>,</w:t>
      </w:r>
      <w:r w:rsidR="00B97F87">
        <w:t> </w:t>
      </w:r>
      <w:r w:rsidR="00F65B1C" w:rsidRPr="00352775">
        <w:t>82.7</w:t>
      </w:r>
      <w:r w:rsidR="00B97F87">
        <w:t> </w:t>
      </w:r>
      <w:r w:rsidR="00F65B1C" w:rsidRPr="00352775">
        <w:t>per</w:t>
      </w:r>
      <w:r w:rsidR="00B97F87">
        <w:t> </w:t>
      </w:r>
      <w:r w:rsidR="00F65B1C" w:rsidRPr="00352775">
        <w:t>cent of the total number of designs registered during that period</w:t>
      </w:r>
      <w:r w:rsidR="003705EC" w:rsidRPr="00352775">
        <w:t>)</w:t>
      </w:r>
      <w:r w:rsidR="006B0B7E" w:rsidRPr="00352775">
        <w:t>,</w:t>
      </w:r>
      <w:r w:rsidR="003705EC" w:rsidRPr="00352775">
        <w:t xml:space="preserve"> </w:t>
      </w:r>
      <w:r w:rsidRPr="00352775">
        <w:t xml:space="preserve">Switzerland </w:t>
      </w:r>
      <w:r w:rsidR="00766A90" w:rsidRPr="00352775">
        <w:t>(</w:t>
      </w:r>
      <w:r w:rsidRPr="00352775">
        <w:t>1,335</w:t>
      </w:r>
      <w:r w:rsidR="00F65B1C" w:rsidRPr="00352775">
        <w:t>, i.e.</w:t>
      </w:r>
      <w:r w:rsidR="00DC448B">
        <w:t>,</w:t>
      </w:r>
      <w:r w:rsidR="00B97F87">
        <w:t> </w:t>
      </w:r>
      <w:r w:rsidR="00F65B1C" w:rsidRPr="00352775">
        <w:t>55.5</w:t>
      </w:r>
      <w:r w:rsidR="00B97F87">
        <w:t> </w:t>
      </w:r>
      <w:r w:rsidR="00F65B1C" w:rsidRPr="00352775">
        <w:t>per</w:t>
      </w:r>
      <w:r w:rsidR="00B97F87">
        <w:t> </w:t>
      </w:r>
      <w:r w:rsidR="00F65B1C" w:rsidRPr="00352775">
        <w:t>cent</w:t>
      </w:r>
      <w:r w:rsidR="00766A90" w:rsidRPr="00352775">
        <w:t>)</w:t>
      </w:r>
      <w:r w:rsidRPr="00352775">
        <w:t xml:space="preserve"> and Turkey </w:t>
      </w:r>
      <w:r w:rsidR="00766A90" w:rsidRPr="00352775">
        <w:t>(</w:t>
      </w:r>
      <w:r w:rsidRPr="00352775">
        <w:t>955</w:t>
      </w:r>
      <w:r w:rsidR="00F65B1C" w:rsidRPr="00352775">
        <w:t>, i.e.</w:t>
      </w:r>
      <w:r w:rsidR="00DC448B">
        <w:t>,</w:t>
      </w:r>
      <w:r w:rsidR="00B97F87">
        <w:t> </w:t>
      </w:r>
      <w:r w:rsidR="00F65B1C" w:rsidRPr="00352775">
        <w:t>39.7</w:t>
      </w:r>
      <w:r w:rsidR="00B97F87">
        <w:t> </w:t>
      </w:r>
      <w:r w:rsidR="00F65B1C" w:rsidRPr="00352775">
        <w:t>per</w:t>
      </w:r>
      <w:r w:rsidR="00B97F87">
        <w:t> </w:t>
      </w:r>
      <w:r w:rsidR="00F65B1C" w:rsidRPr="00352775">
        <w:t>cent</w:t>
      </w:r>
      <w:r w:rsidR="00766A90" w:rsidRPr="00352775">
        <w:t>)</w:t>
      </w:r>
      <w:r w:rsidR="00164D66" w:rsidRPr="00352775">
        <w:t xml:space="preserve">, </w:t>
      </w:r>
      <w:r w:rsidR="00222D75" w:rsidRPr="00352775">
        <w:t xml:space="preserve">followed by </w:t>
      </w:r>
      <w:r w:rsidR="004F2DAD" w:rsidRPr="00352775">
        <w:t>Singapore (625</w:t>
      </w:r>
      <w:r w:rsidR="00F65B1C" w:rsidRPr="00352775">
        <w:t>, i.e.</w:t>
      </w:r>
      <w:r w:rsidR="00DC448B">
        <w:t>,</w:t>
      </w:r>
      <w:r w:rsidR="00B97F87">
        <w:t> </w:t>
      </w:r>
      <w:r w:rsidR="00F65B1C" w:rsidRPr="00352775">
        <w:t>25.9</w:t>
      </w:r>
      <w:r w:rsidR="00B97F87">
        <w:t> </w:t>
      </w:r>
      <w:r w:rsidR="00F65B1C" w:rsidRPr="00352775">
        <w:t>per</w:t>
      </w:r>
      <w:r w:rsidR="00B97F87">
        <w:t> </w:t>
      </w:r>
      <w:r w:rsidR="00F65B1C" w:rsidRPr="00352775">
        <w:t>cent</w:t>
      </w:r>
      <w:r w:rsidR="004F2DAD" w:rsidRPr="00352775">
        <w:t>), Morocco (499</w:t>
      </w:r>
      <w:r w:rsidR="00F65B1C" w:rsidRPr="00352775">
        <w:t>, i.e.</w:t>
      </w:r>
      <w:r w:rsidR="00DC448B">
        <w:t>,</w:t>
      </w:r>
      <w:r w:rsidR="00B97F87">
        <w:t> </w:t>
      </w:r>
      <w:r w:rsidR="00F65B1C" w:rsidRPr="00352775">
        <w:t>20.8</w:t>
      </w:r>
      <w:r w:rsidR="00B97F87">
        <w:t> </w:t>
      </w:r>
      <w:r w:rsidR="00F65B1C" w:rsidRPr="00352775">
        <w:t>per</w:t>
      </w:r>
      <w:r w:rsidR="00B97F87">
        <w:t> </w:t>
      </w:r>
      <w:r w:rsidR="00F65B1C" w:rsidRPr="00352775">
        <w:t>cent</w:t>
      </w:r>
      <w:r w:rsidR="004F2DAD" w:rsidRPr="00352775">
        <w:t>), Ukraine (485</w:t>
      </w:r>
      <w:r w:rsidR="00F65B1C" w:rsidRPr="00352775">
        <w:t>, i.e.</w:t>
      </w:r>
      <w:r w:rsidR="00DC448B">
        <w:t>,</w:t>
      </w:r>
      <w:r w:rsidR="00B97F87">
        <w:t> </w:t>
      </w:r>
      <w:r w:rsidR="00F65B1C" w:rsidRPr="00352775">
        <w:t>20.2</w:t>
      </w:r>
      <w:r w:rsidR="00B97F87">
        <w:t> </w:t>
      </w:r>
      <w:r w:rsidR="00F65B1C" w:rsidRPr="00352775">
        <w:t>per</w:t>
      </w:r>
      <w:r w:rsidR="00B97F87">
        <w:t> </w:t>
      </w:r>
      <w:r w:rsidR="00F65B1C" w:rsidRPr="00352775">
        <w:t>cent</w:t>
      </w:r>
      <w:r w:rsidR="004F2DAD" w:rsidRPr="00352775">
        <w:t>) and Norway (465</w:t>
      </w:r>
      <w:r w:rsidR="00F65B1C" w:rsidRPr="00352775">
        <w:t>, i.e.</w:t>
      </w:r>
      <w:r w:rsidR="00DC448B">
        <w:t>,</w:t>
      </w:r>
      <w:r w:rsidR="00B97F87">
        <w:t> </w:t>
      </w:r>
      <w:r w:rsidR="00F65B1C" w:rsidRPr="00352775">
        <w:t>19.3</w:t>
      </w:r>
      <w:r w:rsidR="00B97F87">
        <w:t> </w:t>
      </w:r>
      <w:r w:rsidR="00F65B1C" w:rsidRPr="00352775">
        <w:t>per</w:t>
      </w:r>
      <w:r w:rsidR="00B97F87">
        <w:t> </w:t>
      </w:r>
      <w:r w:rsidR="00F65B1C" w:rsidRPr="00352775">
        <w:t>cent</w:t>
      </w:r>
      <w:r w:rsidR="004F2DAD" w:rsidRPr="00352775">
        <w:t xml:space="preserve">). </w:t>
      </w:r>
      <w:r w:rsidR="00B97F87">
        <w:t xml:space="preserve"> </w:t>
      </w:r>
      <w:r w:rsidR="004F2DAD" w:rsidRPr="00352775">
        <w:t>Among the new Contracting Parties,</w:t>
      </w:r>
      <w:r w:rsidRPr="00352775">
        <w:t xml:space="preserve"> the Republic of</w:t>
      </w:r>
      <w:r w:rsidR="00B97F87">
        <w:t> </w:t>
      </w:r>
      <w:r w:rsidRPr="00352775">
        <w:t xml:space="preserve">Korea </w:t>
      </w:r>
      <w:r w:rsidR="00114FE1" w:rsidRPr="00352775">
        <w:t>(379</w:t>
      </w:r>
      <w:r w:rsidR="00F65B1C" w:rsidRPr="00352775">
        <w:t>, i.e.</w:t>
      </w:r>
      <w:r w:rsidR="00DC448B">
        <w:t>,</w:t>
      </w:r>
      <w:r w:rsidR="00B97F87">
        <w:t> </w:t>
      </w:r>
      <w:r w:rsidR="00F65B1C" w:rsidRPr="00352775">
        <w:t>15.8</w:t>
      </w:r>
      <w:r w:rsidR="00B97F87">
        <w:t> </w:t>
      </w:r>
      <w:r w:rsidR="00F65B1C" w:rsidRPr="00352775">
        <w:t>per</w:t>
      </w:r>
      <w:r w:rsidR="00B97F87">
        <w:t> </w:t>
      </w:r>
      <w:r w:rsidR="00F65B1C" w:rsidRPr="00352775">
        <w:t>cent</w:t>
      </w:r>
      <w:r w:rsidR="00114FE1" w:rsidRPr="00352775">
        <w:t xml:space="preserve">) </w:t>
      </w:r>
      <w:r w:rsidR="004F2DAD" w:rsidRPr="00352775">
        <w:t>occupie</w:t>
      </w:r>
      <w:r w:rsidR="0007733A" w:rsidRPr="00352775">
        <w:t>d</w:t>
      </w:r>
      <w:r w:rsidRPr="00352775">
        <w:t xml:space="preserve"> </w:t>
      </w:r>
      <w:r w:rsidR="004F2DAD" w:rsidRPr="00352775">
        <w:t>eigh</w:t>
      </w:r>
      <w:r w:rsidRPr="00352775">
        <w:t>th place</w:t>
      </w:r>
      <w:r w:rsidR="004F2DAD" w:rsidRPr="00352775">
        <w:t xml:space="preserve"> and</w:t>
      </w:r>
      <w:r w:rsidR="00222D75" w:rsidRPr="00352775">
        <w:t xml:space="preserve"> </w:t>
      </w:r>
      <w:r w:rsidRPr="00352775">
        <w:t>Japan</w:t>
      </w:r>
      <w:r w:rsidR="00114FE1" w:rsidRPr="00352775">
        <w:t xml:space="preserve"> </w:t>
      </w:r>
      <w:r w:rsidR="004F2DAD" w:rsidRPr="00352775">
        <w:t>nin</w:t>
      </w:r>
      <w:r w:rsidRPr="00352775">
        <w:t>th</w:t>
      </w:r>
      <w:r w:rsidR="00B97F87">
        <w:t xml:space="preserve"> place</w:t>
      </w:r>
      <w:r w:rsidRPr="00352775">
        <w:t xml:space="preserve"> </w:t>
      </w:r>
      <w:r w:rsidR="004F2DAD" w:rsidRPr="00352775">
        <w:t>(348</w:t>
      </w:r>
      <w:r w:rsidR="00F65B1C" w:rsidRPr="00352775">
        <w:t>, i.e.</w:t>
      </w:r>
      <w:r w:rsidR="00DC448B">
        <w:t>,</w:t>
      </w:r>
      <w:r w:rsidR="00B97F87">
        <w:t> </w:t>
      </w:r>
      <w:r w:rsidR="00F65B1C" w:rsidRPr="00352775">
        <w:t>14.5</w:t>
      </w:r>
      <w:r w:rsidR="00B97F87">
        <w:t> </w:t>
      </w:r>
      <w:r w:rsidR="00F65B1C" w:rsidRPr="00352775">
        <w:t>per</w:t>
      </w:r>
      <w:r w:rsidR="00B97F87">
        <w:t> </w:t>
      </w:r>
      <w:r w:rsidR="00F65B1C" w:rsidRPr="00352775">
        <w:t>cent</w:t>
      </w:r>
      <w:r w:rsidR="004F2DAD" w:rsidRPr="00352775">
        <w:t xml:space="preserve">). </w:t>
      </w:r>
      <w:r w:rsidR="0007733A" w:rsidRPr="00352775">
        <w:t xml:space="preserve"> </w:t>
      </w:r>
      <w:r w:rsidR="00B97F87">
        <w:t>T</w:t>
      </w:r>
      <w:r w:rsidR="0007733A" w:rsidRPr="00352775">
        <w:t>enth place went</w:t>
      </w:r>
      <w:r w:rsidR="004F2DAD" w:rsidRPr="00352775">
        <w:t xml:space="preserve"> to Tunisia with 338 designs</w:t>
      </w:r>
      <w:r w:rsidR="00F65B1C" w:rsidRPr="00352775">
        <w:t xml:space="preserve"> (i.e.</w:t>
      </w:r>
      <w:r w:rsidR="00DC448B">
        <w:t>,</w:t>
      </w:r>
      <w:r w:rsidR="00B97F87">
        <w:t> </w:t>
      </w:r>
      <w:r w:rsidR="00F65B1C" w:rsidRPr="00352775">
        <w:t>14.1</w:t>
      </w:r>
      <w:r w:rsidR="00B97F87">
        <w:t> </w:t>
      </w:r>
      <w:r w:rsidR="00F65B1C" w:rsidRPr="00352775">
        <w:t>per</w:t>
      </w:r>
      <w:r w:rsidR="00B97F87">
        <w:t> </w:t>
      </w:r>
      <w:r w:rsidR="00F65B1C" w:rsidRPr="00352775">
        <w:t>cent)</w:t>
      </w:r>
      <w:r w:rsidR="004F2DAD" w:rsidRPr="00352775">
        <w:t>,</w:t>
      </w:r>
      <w:r w:rsidR="00B97F87">
        <w:t xml:space="preserve"> just</w:t>
      </w:r>
      <w:r w:rsidR="004F2DAD" w:rsidRPr="00352775">
        <w:t xml:space="preserve"> </w:t>
      </w:r>
      <w:r w:rsidR="00164D66" w:rsidRPr="00352775">
        <w:t xml:space="preserve">before </w:t>
      </w:r>
      <w:r w:rsidRPr="00352775">
        <w:t>the United</w:t>
      </w:r>
      <w:r w:rsidR="00B97F87">
        <w:t> </w:t>
      </w:r>
      <w:r w:rsidRPr="00352775">
        <w:t>States of</w:t>
      </w:r>
      <w:r w:rsidR="00B97F87">
        <w:t> </w:t>
      </w:r>
      <w:r w:rsidRPr="00352775">
        <w:t xml:space="preserve">America </w:t>
      </w:r>
      <w:r w:rsidR="009F4D71" w:rsidRPr="00352775">
        <w:t>(</w:t>
      </w:r>
      <w:r w:rsidR="00114FE1" w:rsidRPr="00352775">
        <w:t>336</w:t>
      </w:r>
      <w:r w:rsidR="00F65B1C" w:rsidRPr="00352775">
        <w:t>, i.e.</w:t>
      </w:r>
      <w:r w:rsidR="00DC448B">
        <w:t>,</w:t>
      </w:r>
      <w:r w:rsidR="00B97F87">
        <w:t> </w:t>
      </w:r>
      <w:r w:rsidR="00F65B1C" w:rsidRPr="00352775">
        <w:t>14</w:t>
      </w:r>
      <w:r w:rsidR="00B97F87">
        <w:t> </w:t>
      </w:r>
      <w:r w:rsidR="00F65B1C" w:rsidRPr="00352775">
        <w:t>per</w:t>
      </w:r>
      <w:r w:rsidR="00B97F87">
        <w:t> </w:t>
      </w:r>
      <w:r w:rsidR="00F65B1C" w:rsidRPr="00352775">
        <w:t>cent</w:t>
      </w:r>
      <w:r w:rsidR="009F4D71" w:rsidRPr="00352775">
        <w:t>)</w:t>
      </w:r>
      <w:r w:rsidR="00B97F87">
        <w:t>.</w:t>
      </w:r>
    </w:p>
    <w:p w:rsidR="002873E6" w:rsidRDefault="002873E6" w:rsidP="00B569F2">
      <w:pPr>
        <w:pStyle w:val="Heading3"/>
        <w:spacing w:before="480"/>
        <w:rPr>
          <w:rStyle w:val="CommentReference"/>
          <w:sz w:val="18"/>
          <w:szCs w:val="18"/>
        </w:rPr>
      </w:pPr>
      <w:r>
        <w:t>International Registrations by Country of Address of the Holder</w:t>
      </w:r>
    </w:p>
    <w:p w:rsidR="00B569F2" w:rsidRPr="00B569F2" w:rsidRDefault="00B569F2" w:rsidP="00B569F2"/>
    <w:p w:rsidR="00DD5BBD" w:rsidRPr="006D77CD" w:rsidRDefault="00DD5BBD" w:rsidP="006D77CD">
      <w:pPr>
        <w:pStyle w:val="ONUME"/>
      </w:pPr>
      <w:r w:rsidRPr="006D77CD">
        <w:t xml:space="preserve">In 2014, </w:t>
      </w:r>
      <w:r w:rsidR="00583CB9" w:rsidRPr="006D77CD">
        <w:t>international registrations originated primarily from Germany</w:t>
      </w:r>
      <w:r w:rsidR="008A7255" w:rsidRPr="006D77CD">
        <w:t xml:space="preserve"> (633</w:t>
      </w:r>
      <w:r w:rsidR="00126150" w:rsidRPr="006D77CD">
        <w:t>, i.e.</w:t>
      </w:r>
      <w:r w:rsidR="00DC448B">
        <w:t>,</w:t>
      </w:r>
      <w:r w:rsidR="00E613E7">
        <w:t> </w:t>
      </w:r>
      <w:r w:rsidR="00126150" w:rsidRPr="006D77CD">
        <w:t>23.3</w:t>
      </w:r>
      <w:r w:rsidR="00E613E7">
        <w:t> </w:t>
      </w:r>
      <w:r w:rsidR="00126150" w:rsidRPr="006D77CD">
        <w:t>per</w:t>
      </w:r>
      <w:r w:rsidR="00E613E7">
        <w:t> </w:t>
      </w:r>
      <w:r w:rsidR="00126150" w:rsidRPr="006D77CD">
        <w:t>cent of the total number of registrations that year</w:t>
      </w:r>
      <w:r w:rsidR="008A7255" w:rsidRPr="006D77CD">
        <w:t>)</w:t>
      </w:r>
      <w:r w:rsidR="00583CB9" w:rsidRPr="006D77CD">
        <w:t xml:space="preserve">, followed by </w:t>
      </w:r>
      <w:r w:rsidR="008A7255" w:rsidRPr="006D77CD">
        <w:t>Switzerland (627</w:t>
      </w:r>
      <w:r w:rsidR="00E613E7">
        <w:t>,</w:t>
      </w:r>
      <w:r w:rsidR="00126150" w:rsidRPr="006D77CD">
        <w:t xml:space="preserve"> i.e.</w:t>
      </w:r>
      <w:r w:rsidR="00DC448B">
        <w:t>,</w:t>
      </w:r>
      <w:r w:rsidR="00E613E7">
        <w:t> </w:t>
      </w:r>
      <w:r w:rsidR="00126150" w:rsidRPr="006D77CD">
        <w:t>23.1</w:t>
      </w:r>
      <w:r w:rsidR="00E613E7">
        <w:t> </w:t>
      </w:r>
      <w:r w:rsidR="00126150" w:rsidRPr="006D77CD">
        <w:t>per</w:t>
      </w:r>
      <w:r w:rsidR="00E613E7">
        <w:t> </w:t>
      </w:r>
      <w:r w:rsidR="00126150" w:rsidRPr="006D77CD">
        <w:t>cent</w:t>
      </w:r>
      <w:r w:rsidR="00583CB9" w:rsidRPr="006D77CD">
        <w:t>),</w:t>
      </w:r>
      <w:r w:rsidR="00E613E7">
        <w:t xml:space="preserve"> </w:t>
      </w:r>
      <w:r w:rsidR="00583CB9" w:rsidRPr="006D77CD">
        <w:t>France (</w:t>
      </w:r>
      <w:r w:rsidR="008A7255" w:rsidRPr="006D77CD">
        <w:t>303</w:t>
      </w:r>
      <w:r w:rsidR="008E02CF" w:rsidRPr="006D77CD">
        <w:t>,</w:t>
      </w:r>
      <w:r w:rsidR="00126150" w:rsidRPr="006D77CD">
        <w:t xml:space="preserve"> i.e.</w:t>
      </w:r>
      <w:r w:rsidR="00DC448B">
        <w:t>,</w:t>
      </w:r>
      <w:r w:rsidR="00E613E7">
        <w:t> </w:t>
      </w:r>
      <w:r w:rsidR="00126150" w:rsidRPr="006D77CD">
        <w:t>11,1</w:t>
      </w:r>
      <w:r w:rsidR="00E613E7">
        <w:t> </w:t>
      </w:r>
      <w:r w:rsidR="00126150" w:rsidRPr="006D77CD">
        <w:t>per</w:t>
      </w:r>
      <w:r w:rsidR="00E613E7">
        <w:t> </w:t>
      </w:r>
      <w:r w:rsidR="00126150" w:rsidRPr="006D77CD">
        <w:t>cent</w:t>
      </w:r>
      <w:r w:rsidR="00583CB9" w:rsidRPr="006D77CD">
        <w:t>), Italy (</w:t>
      </w:r>
      <w:r w:rsidR="008A7255" w:rsidRPr="006D77CD">
        <w:t>191</w:t>
      </w:r>
      <w:r w:rsidR="008E02CF" w:rsidRPr="006D77CD">
        <w:t>,</w:t>
      </w:r>
      <w:r w:rsidR="00126150" w:rsidRPr="006D77CD">
        <w:t xml:space="preserve"> i.e.</w:t>
      </w:r>
      <w:r w:rsidR="00DC448B">
        <w:t>,</w:t>
      </w:r>
      <w:r w:rsidR="00E613E7">
        <w:t> </w:t>
      </w:r>
      <w:r w:rsidR="00126150" w:rsidRPr="006D77CD">
        <w:t>7 per</w:t>
      </w:r>
      <w:r w:rsidR="00E613E7">
        <w:t> </w:t>
      </w:r>
      <w:r w:rsidR="00126150" w:rsidRPr="006D77CD">
        <w:t>cent</w:t>
      </w:r>
      <w:r w:rsidR="00583CB9" w:rsidRPr="006D77CD">
        <w:t>), the United</w:t>
      </w:r>
      <w:r w:rsidR="00E613E7">
        <w:t> </w:t>
      </w:r>
      <w:r w:rsidR="00583CB9" w:rsidRPr="006D77CD">
        <w:t>States of</w:t>
      </w:r>
      <w:r w:rsidR="00E613E7">
        <w:t> </w:t>
      </w:r>
      <w:r w:rsidR="00583CB9" w:rsidRPr="006D77CD">
        <w:t>America (</w:t>
      </w:r>
      <w:r w:rsidR="008A7255" w:rsidRPr="006D77CD">
        <w:t>125</w:t>
      </w:r>
      <w:r w:rsidR="00126150" w:rsidRPr="006D77CD">
        <w:t>, i.e.</w:t>
      </w:r>
      <w:r w:rsidR="00DC448B">
        <w:t>,</w:t>
      </w:r>
      <w:r w:rsidR="00E613E7">
        <w:t> </w:t>
      </w:r>
      <w:r w:rsidR="00126150" w:rsidRPr="006D77CD">
        <w:t>4.6</w:t>
      </w:r>
      <w:r w:rsidR="00E613E7">
        <w:t> </w:t>
      </w:r>
      <w:r w:rsidR="00126150" w:rsidRPr="006D77CD">
        <w:t>per</w:t>
      </w:r>
      <w:r w:rsidR="00E613E7">
        <w:t> </w:t>
      </w:r>
      <w:r w:rsidR="00126150" w:rsidRPr="006D77CD">
        <w:t>cent</w:t>
      </w:r>
      <w:r w:rsidR="00583CB9" w:rsidRPr="006D77CD">
        <w:t>)</w:t>
      </w:r>
      <w:r w:rsidR="008A7255" w:rsidRPr="006D77CD">
        <w:t>, the Netherlands (109</w:t>
      </w:r>
      <w:r w:rsidR="00126150" w:rsidRPr="006D77CD">
        <w:t>, i.e.</w:t>
      </w:r>
      <w:r w:rsidR="00DC448B">
        <w:t>,</w:t>
      </w:r>
      <w:r w:rsidR="00E613E7">
        <w:t> </w:t>
      </w:r>
      <w:r w:rsidR="00126150" w:rsidRPr="006D77CD">
        <w:t>4</w:t>
      </w:r>
      <w:r w:rsidR="00E613E7">
        <w:t> </w:t>
      </w:r>
      <w:r w:rsidR="00126150" w:rsidRPr="006D77CD">
        <w:t>per</w:t>
      </w:r>
      <w:r w:rsidR="00E613E7">
        <w:t> </w:t>
      </w:r>
      <w:r w:rsidR="00126150" w:rsidRPr="006D77CD">
        <w:t>cent</w:t>
      </w:r>
      <w:r w:rsidR="00583CB9" w:rsidRPr="006D77CD">
        <w:t>), Turkey</w:t>
      </w:r>
      <w:r w:rsidR="008A7255" w:rsidRPr="006D77CD">
        <w:t xml:space="preserve"> (91</w:t>
      </w:r>
      <w:r w:rsidR="00126150" w:rsidRPr="006D77CD">
        <w:t>, i.e.</w:t>
      </w:r>
      <w:r w:rsidR="00DC448B">
        <w:t>,</w:t>
      </w:r>
      <w:r w:rsidR="00E613E7">
        <w:t> </w:t>
      </w:r>
      <w:r w:rsidR="00126150" w:rsidRPr="006D77CD">
        <w:t>3.3</w:t>
      </w:r>
      <w:r w:rsidR="00E613E7">
        <w:t> </w:t>
      </w:r>
      <w:r w:rsidR="00126150" w:rsidRPr="006D77CD">
        <w:t>per</w:t>
      </w:r>
      <w:r w:rsidR="00E613E7">
        <w:t> </w:t>
      </w:r>
      <w:r w:rsidR="00126150" w:rsidRPr="006D77CD">
        <w:t>cent</w:t>
      </w:r>
      <w:r w:rsidR="008A7255" w:rsidRPr="006D77CD">
        <w:t>)</w:t>
      </w:r>
      <w:r w:rsidR="00583CB9" w:rsidRPr="006D77CD">
        <w:t xml:space="preserve">, </w:t>
      </w:r>
      <w:r w:rsidR="00E613E7" w:rsidRPr="006D77CD">
        <w:t>Finland (49, i.e.</w:t>
      </w:r>
      <w:r w:rsidR="00DC448B">
        <w:t>,</w:t>
      </w:r>
      <w:r w:rsidR="00E613E7">
        <w:t> </w:t>
      </w:r>
      <w:r w:rsidR="00E613E7" w:rsidRPr="006D77CD">
        <w:t>1.8 per cent)</w:t>
      </w:r>
      <w:r w:rsidR="00E613E7">
        <w:t xml:space="preserve">, </w:t>
      </w:r>
      <w:r w:rsidR="00583CB9" w:rsidRPr="006D77CD">
        <w:t>Norway</w:t>
      </w:r>
      <w:r w:rsidR="008A7255" w:rsidRPr="006D77CD">
        <w:t xml:space="preserve"> (50</w:t>
      </w:r>
      <w:r w:rsidR="00126150" w:rsidRPr="006D77CD">
        <w:t>, i.e.</w:t>
      </w:r>
      <w:r w:rsidR="00DC448B">
        <w:t>,</w:t>
      </w:r>
      <w:r w:rsidR="00E613E7">
        <w:t> </w:t>
      </w:r>
      <w:r w:rsidR="00126150" w:rsidRPr="006D77CD">
        <w:t>1.8</w:t>
      </w:r>
      <w:r w:rsidR="00E613E7">
        <w:t> </w:t>
      </w:r>
      <w:r w:rsidR="00126150" w:rsidRPr="006D77CD">
        <w:t>per</w:t>
      </w:r>
      <w:r w:rsidR="00E613E7">
        <w:t> </w:t>
      </w:r>
      <w:r w:rsidR="00126150" w:rsidRPr="006D77CD">
        <w:t>cent</w:t>
      </w:r>
      <w:r w:rsidR="008A7255" w:rsidRPr="006D77CD">
        <w:t>)</w:t>
      </w:r>
      <w:r w:rsidR="00663B29">
        <w:t xml:space="preserve"> </w:t>
      </w:r>
      <w:r w:rsidR="00583CB9" w:rsidRPr="006D77CD">
        <w:t xml:space="preserve">and </w:t>
      </w:r>
      <w:r w:rsidR="008A7255" w:rsidRPr="006D77CD">
        <w:t>the United</w:t>
      </w:r>
      <w:r w:rsidR="00741234">
        <w:t> </w:t>
      </w:r>
      <w:r w:rsidR="008A7255" w:rsidRPr="006D77CD">
        <w:t>Kingdom (44</w:t>
      </w:r>
      <w:r w:rsidR="00126150" w:rsidRPr="006D77CD">
        <w:t>, i.e.</w:t>
      </w:r>
      <w:r w:rsidR="00DC448B">
        <w:t>,</w:t>
      </w:r>
      <w:r w:rsidR="00E613E7">
        <w:t> </w:t>
      </w:r>
      <w:r w:rsidR="00126150" w:rsidRPr="006D77CD">
        <w:t>1.6</w:t>
      </w:r>
      <w:r w:rsidR="00E613E7">
        <w:t> </w:t>
      </w:r>
      <w:r w:rsidR="00126150" w:rsidRPr="006D77CD">
        <w:t>per</w:t>
      </w:r>
      <w:r w:rsidR="00E613E7">
        <w:t> </w:t>
      </w:r>
      <w:r w:rsidR="00126150" w:rsidRPr="006D77CD">
        <w:t>cent</w:t>
      </w:r>
      <w:r w:rsidR="00583CB9" w:rsidRPr="006D77CD">
        <w:t>).</w:t>
      </w:r>
    </w:p>
    <w:p w:rsidR="006F1B4D" w:rsidRPr="006D77CD" w:rsidRDefault="002873E6" w:rsidP="006D77CD">
      <w:pPr>
        <w:pStyle w:val="ONUME"/>
      </w:pPr>
      <w:r w:rsidRPr="006D77CD">
        <w:t xml:space="preserve">In 2015, international registrations originated </w:t>
      </w:r>
      <w:r w:rsidR="00164D66" w:rsidRPr="006D77CD">
        <w:t xml:space="preserve">primarily </w:t>
      </w:r>
      <w:r w:rsidRPr="006D77CD">
        <w:t>from Switzerland (718</w:t>
      </w:r>
      <w:r w:rsidR="00126150" w:rsidRPr="006D77CD">
        <w:t>, i.e.</w:t>
      </w:r>
      <w:r w:rsidR="00DC448B">
        <w:t>,</w:t>
      </w:r>
      <w:r w:rsidR="00340118">
        <w:t> </w:t>
      </w:r>
      <w:r w:rsidR="00126150" w:rsidRPr="006D77CD">
        <w:t>18.8</w:t>
      </w:r>
      <w:r w:rsidR="00340118">
        <w:t> </w:t>
      </w:r>
      <w:r w:rsidR="00126150" w:rsidRPr="006D77CD">
        <w:t>per</w:t>
      </w:r>
      <w:r w:rsidR="00340118">
        <w:t> </w:t>
      </w:r>
      <w:r w:rsidR="00126150" w:rsidRPr="006D77CD">
        <w:t>cent of the total number of registrations that year</w:t>
      </w:r>
      <w:r w:rsidRPr="006D77CD">
        <w:t>),</w:t>
      </w:r>
      <w:r w:rsidR="00340118">
        <w:t xml:space="preserve"> </w:t>
      </w:r>
      <w:r w:rsidRPr="006D77CD">
        <w:t>followed by Germany (623</w:t>
      </w:r>
      <w:r w:rsidR="00126150" w:rsidRPr="006D77CD">
        <w:t>, i.e.</w:t>
      </w:r>
      <w:r w:rsidR="00DC448B">
        <w:t>,</w:t>
      </w:r>
      <w:r w:rsidR="00340118">
        <w:t> </w:t>
      </w:r>
      <w:r w:rsidR="00126150" w:rsidRPr="006D77CD">
        <w:t>16.3</w:t>
      </w:r>
      <w:r w:rsidR="00340118">
        <w:t> </w:t>
      </w:r>
      <w:r w:rsidR="00126150" w:rsidRPr="006D77CD">
        <w:t>per</w:t>
      </w:r>
      <w:r w:rsidR="00340118">
        <w:t> </w:t>
      </w:r>
      <w:r w:rsidR="00126150" w:rsidRPr="006D77CD">
        <w:t>cent</w:t>
      </w:r>
      <w:r w:rsidRPr="006D77CD">
        <w:t>), the Republic of</w:t>
      </w:r>
      <w:r w:rsidR="00340118">
        <w:t> </w:t>
      </w:r>
      <w:r w:rsidRPr="006D77CD">
        <w:t>Korea (520</w:t>
      </w:r>
      <w:r w:rsidR="00126150" w:rsidRPr="006D77CD">
        <w:t>, i.e.</w:t>
      </w:r>
      <w:r w:rsidR="00DC448B">
        <w:t>,</w:t>
      </w:r>
      <w:r w:rsidR="00340118">
        <w:t> </w:t>
      </w:r>
      <w:r w:rsidR="00126150" w:rsidRPr="006D77CD">
        <w:t>13.6</w:t>
      </w:r>
      <w:r w:rsidR="00340118">
        <w:t> </w:t>
      </w:r>
      <w:r w:rsidR="00126150" w:rsidRPr="006D77CD">
        <w:t>per</w:t>
      </w:r>
      <w:r w:rsidR="00340118">
        <w:t> </w:t>
      </w:r>
      <w:r w:rsidR="00126150" w:rsidRPr="006D77CD">
        <w:t>cent</w:t>
      </w:r>
      <w:r w:rsidRPr="006D77CD">
        <w:t>), France (363</w:t>
      </w:r>
      <w:r w:rsidR="00126150" w:rsidRPr="006D77CD">
        <w:t>, i.e.</w:t>
      </w:r>
      <w:r w:rsidR="00DC448B">
        <w:t>,</w:t>
      </w:r>
      <w:r w:rsidR="00340118">
        <w:t> </w:t>
      </w:r>
      <w:r w:rsidR="00126150" w:rsidRPr="006D77CD">
        <w:t>9.5</w:t>
      </w:r>
      <w:r w:rsidR="00340118">
        <w:t> </w:t>
      </w:r>
      <w:r w:rsidR="00126150" w:rsidRPr="006D77CD">
        <w:t>per</w:t>
      </w:r>
      <w:r w:rsidR="00340118">
        <w:t> </w:t>
      </w:r>
      <w:r w:rsidR="00126150" w:rsidRPr="006D77CD">
        <w:t>cent</w:t>
      </w:r>
      <w:r w:rsidRPr="006D77CD">
        <w:t>), Italy (289</w:t>
      </w:r>
      <w:r w:rsidR="00126150" w:rsidRPr="006D77CD">
        <w:t>, 7.6</w:t>
      </w:r>
      <w:r w:rsidR="00340118">
        <w:t> </w:t>
      </w:r>
      <w:r w:rsidR="00126150" w:rsidRPr="006D77CD">
        <w:t>per</w:t>
      </w:r>
      <w:r w:rsidR="00340118">
        <w:t> </w:t>
      </w:r>
      <w:r w:rsidR="00126150" w:rsidRPr="006D77CD">
        <w:t>cent</w:t>
      </w:r>
      <w:r w:rsidRPr="006D77CD">
        <w:t>)</w:t>
      </w:r>
      <w:r w:rsidR="00D43853" w:rsidRPr="006D77CD">
        <w:t>,</w:t>
      </w:r>
      <w:r w:rsidR="00282C01" w:rsidRPr="006D77CD">
        <w:t xml:space="preserve"> </w:t>
      </w:r>
      <w:r w:rsidRPr="006D77CD">
        <w:t>the United</w:t>
      </w:r>
      <w:r w:rsidR="00340118">
        <w:t> </w:t>
      </w:r>
      <w:r w:rsidRPr="006D77CD">
        <w:t>States of</w:t>
      </w:r>
      <w:r w:rsidR="00340118">
        <w:t> </w:t>
      </w:r>
      <w:r w:rsidRPr="006D77CD">
        <w:t>America (197</w:t>
      </w:r>
      <w:r w:rsidR="007D3863" w:rsidRPr="006D77CD">
        <w:t>, i.e.</w:t>
      </w:r>
      <w:r w:rsidR="00DC448B">
        <w:t>,</w:t>
      </w:r>
      <w:r w:rsidR="00340118">
        <w:t> </w:t>
      </w:r>
      <w:r w:rsidR="007D3863" w:rsidRPr="006D77CD">
        <w:t>5.1</w:t>
      </w:r>
      <w:r w:rsidR="00340118">
        <w:t> </w:t>
      </w:r>
      <w:r w:rsidR="007D3863" w:rsidRPr="006D77CD">
        <w:t>per</w:t>
      </w:r>
      <w:r w:rsidR="00340118">
        <w:t> </w:t>
      </w:r>
      <w:r w:rsidR="007D3863" w:rsidRPr="006D77CD">
        <w:t>cent</w:t>
      </w:r>
      <w:r w:rsidRPr="006D77CD">
        <w:t>)</w:t>
      </w:r>
      <w:r w:rsidR="00D43853" w:rsidRPr="006D77CD">
        <w:t>, the Netherlands (147</w:t>
      </w:r>
      <w:r w:rsidR="007D3863" w:rsidRPr="006D77CD">
        <w:t>, i.e.</w:t>
      </w:r>
      <w:r w:rsidR="00DC448B">
        <w:t>,</w:t>
      </w:r>
      <w:r w:rsidR="00340118">
        <w:t> </w:t>
      </w:r>
      <w:r w:rsidR="007D3863" w:rsidRPr="006D77CD">
        <w:t>3.8</w:t>
      </w:r>
      <w:r w:rsidR="00340118">
        <w:t> </w:t>
      </w:r>
      <w:r w:rsidR="007D3863" w:rsidRPr="006D77CD">
        <w:t>per</w:t>
      </w:r>
      <w:r w:rsidR="00340118">
        <w:t> </w:t>
      </w:r>
      <w:r w:rsidR="007D3863" w:rsidRPr="006D77CD">
        <w:t>cent</w:t>
      </w:r>
      <w:r w:rsidR="00D43853" w:rsidRPr="006D77CD">
        <w:t>)</w:t>
      </w:r>
      <w:r w:rsidR="00924CBB" w:rsidRPr="006D77CD">
        <w:t>,</w:t>
      </w:r>
      <w:r w:rsidR="00D43853" w:rsidRPr="006D77CD">
        <w:t xml:space="preserve"> Japan (124</w:t>
      </w:r>
      <w:r w:rsidR="007D3863" w:rsidRPr="006D77CD">
        <w:t>, i.e.</w:t>
      </w:r>
      <w:r w:rsidR="00DC448B">
        <w:t>,</w:t>
      </w:r>
      <w:r w:rsidR="00340118">
        <w:t> </w:t>
      </w:r>
      <w:r w:rsidR="007D3863" w:rsidRPr="006D77CD">
        <w:t>3.2</w:t>
      </w:r>
      <w:r w:rsidR="00340118">
        <w:t> </w:t>
      </w:r>
      <w:r w:rsidR="007D3863" w:rsidRPr="006D77CD">
        <w:t>per</w:t>
      </w:r>
      <w:r w:rsidR="00340118">
        <w:t> </w:t>
      </w:r>
      <w:r w:rsidR="007D3863" w:rsidRPr="006D77CD">
        <w:t>cent</w:t>
      </w:r>
      <w:r w:rsidR="00D43853" w:rsidRPr="006D77CD">
        <w:t>)</w:t>
      </w:r>
      <w:r w:rsidR="00E56533" w:rsidRPr="006D77CD">
        <w:t>, the United</w:t>
      </w:r>
      <w:r w:rsidR="00741234">
        <w:t> </w:t>
      </w:r>
      <w:r w:rsidR="00E56533" w:rsidRPr="006D77CD">
        <w:t>Kingdom (96</w:t>
      </w:r>
      <w:r w:rsidR="007D3863" w:rsidRPr="006D77CD">
        <w:t>, i.e.</w:t>
      </w:r>
      <w:r w:rsidR="00DC448B">
        <w:t>,</w:t>
      </w:r>
      <w:r w:rsidR="00340118">
        <w:t> </w:t>
      </w:r>
      <w:r w:rsidR="007D3863" w:rsidRPr="006D77CD">
        <w:t>2.5</w:t>
      </w:r>
      <w:r w:rsidR="00340118">
        <w:t> </w:t>
      </w:r>
      <w:r w:rsidR="007D3863" w:rsidRPr="006D77CD">
        <w:t>per</w:t>
      </w:r>
      <w:r w:rsidR="00340118">
        <w:t> </w:t>
      </w:r>
      <w:r w:rsidR="007D3863" w:rsidRPr="006D77CD">
        <w:t>cent</w:t>
      </w:r>
      <w:r w:rsidR="00E56533" w:rsidRPr="006D77CD">
        <w:t>), and Sweden (91</w:t>
      </w:r>
      <w:r w:rsidR="007D3863" w:rsidRPr="006D77CD">
        <w:t>, i.e.</w:t>
      </w:r>
      <w:r w:rsidR="00DC448B">
        <w:t>,</w:t>
      </w:r>
      <w:r w:rsidR="00340118">
        <w:t> </w:t>
      </w:r>
      <w:r w:rsidR="007D3863" w:rsidRPr="006D77CD">
        <w:t>2.4</w:t>
      </w:r>
      <w:r w:rsidR="00340118">
        <w:t> </w:t>
      </w:r>
      <w:r w:rsidR="007D3863" w:rsidRPr="006D77CD">
        <w:t>per</w:t>
      </w:r>
      <w:r w:rsidR="00340118">
        <w:t> </w:t>
      </w:r>
      <w:r w:rsidR="007D3863" w:rsidRPr="006D77CD">
        <w:t>cent</w:t>
      </w:r>
      <w:r w:rsidR="00E56533" w:rsidRPr="006D77CD">
        <w:t>)</w:t>
      </w:r>
      <w:r w:rsidRPr="006D77CD">
        <w:t xml:space="preserve">. </w:t>
      </w:r>
      <w:r w:rsidR="00340118">
        <w:t xml:space="preserve"> </w:t>
      </w:r>
      <w:r w:rsidR="007944AA" w:rsidRPr="006D77CD">
        <w:t>I</w:t>
      </w:r>
      <w:r w:rsidR="00CF3FDB" w:rsidRPr="006D77CD">
        <w:t>t</w:t>
      </w:r>
      <w:r w:rsidR="007944AA" w:rsidRPr="006D77CD">
        <w:t xml:space="preserve"> is to be noted that, i</w:t>
      </w:r>
      <w:r w:rsidR="00350A28" w:rsidRPr="006D77CD">
        <w:t xml:space="preserve">n addition to the “traditional” origins, </w:t>
      </w:r>
      <w:r w:rsidR="00A271CB">
        <w:br/>
      </w:r>
      <w:r w:rsidR="00A271CB">
        <w:br/>
      </w:r>
      <w:r w:rsidR="00A271CB">
        <w:lastRenderedPageBreak/>
        <w:br/>
      </w:r>
      <w:r w:rsidR="00350A28" w:rsidRPr="006D77CD">
        <w:t>i.e.,</w:t>
      </w:r>
      <w:r w:rsidR="00340118">
        <w:t> </w:t>
      </w:r>
      <w:r w:rsidR="00350A28" w:rsidRPr="006D77CD">
        <w:t xml:space="preserve">countries </w:t>
      </w:r>
      <w:r w:rsidR="007944AA" w:rsidRPr="006D77CD">
        <w:t xml:space="preserve">that </w:t>
      </w:r>
      <w:r w:rsidR="0007307E" w:rsidRPr="006D77CD">
        <w:t>have been party to the Hague Agreement for</w:t>
      </w:r>
      <w:r w:rsidR="00101531" w:rsidRPr="006D77CD">
        <w:t xml:space="preserve"> several decades</w:t>
      </w:r>
      <w:r w:rsidR="00CF3FDB" w:rsidRPr="006D77CD">
        <w:t xml:space="preserve"> and </w:t>
      </w:r>
      <w:r w:rsidR="00955828" w:rsidRPr="006D77CD">
        <w:t xml:space="preserve">others that are not but are </w:t>
      </w:r>
      <w:r w:rsidR="00741234">
        <w:t>m</w:t>
      </w:r>
      <w:r w:rsidR="00955828" w:rsidRPr="006D77CD">
        <w:t xml:space="preserve">ember </w:t>
      </w:r>
      <w:r w:rsidR="00741234">
        <w:t>s</w:t>
      </w:r>
      <w:r w:rsidR="00955828" w:rsidRPr="006D77CD">
        <w:t>tates of the European Union</w:t>
      </w:r>
      <w:r w:rsidR="00101531" w:rsidRPr="006D77CD">
        <w:t>,</w:t>
      </w:r>
      <w:r w:rsidR="0007307E" w:rsidRPr="006D77CD">
        <w:t xml:space="preserve"> </w:t>
      </w:r>
      <w:r w:rsidR="004A2CC0" w:rsidRPr="006D77CD">
        <w:t>three “new comers”, namely,</w:t>
      </w:r>
      <w:r w:rsidR="00340118">
        <w:t xml:space="preserve"> Japan,</w:t>
      </w:r>
      <w:r w:rsidR="004A2CC0" w:rsidRPr="006D77CD">
        <w:t xml:space="preserve"> </w:t>
      </w:r>
      <w:r w:rsidR="00EF6A7C" w:rsidRPr="006D77CD">
        <w:t>the Republic of</w:t>
      </w:r>
      <w:r w:rsidR="00340118">
        <w:t> </w:t>
      </w:r>
      <w:r w:rsidR="00EF6A7C" w:rsidRPr="006D77CD">
        <w:t>Korea</w:t>
      </w:r>
      <w:r w:rsidR="00340118">
        <w:t xml:space="preserve"> and</w:t>
      </w:r>
      <w:r w:rsidR="00EF6A7C" w:rsidRPr="006D77CD">
        <w:t xml:space="preserve"> </w:t>
      </w:r>
      <w:r w:rsidR="00924CBB" w:rsidRPr="006D77CD">
        <w:t>the United</w:t>
      </w:r>
      <w:r w:rsidR="00340118">
        <w:t> </w:t>
      </w:r>
      <w:r w:rsidR="00924CBB" w:rsidRPr="006D77CD">
        <w:t>States of</w:t>
      </w:r>
      <w:r w:rsidR="00340118">
        <w:t> </w:t>
      </w:r>
      <w:r w:rsidR="00924CBB" w:rsidRPr="006D77CD">
        <w:t>America</w:t>
      </w:r>
      <w:r w:rsidR="00DD5BBD" w:rsidRPr="006D77CD">
        <w:t xml:space="preserve"> </w:t>
      </w:r>
      <w:r w:rsidR="0007307E" w:rsidRPr="006D77CD">
        <w:t>are represented</w:t>
      </w:r>
      <w:r w:rsidR="00101531" w:rsidRPr="006D77CD">
        <w:t xml:space="preserve"> in the top</w:t>
      </w:r>
      <w:r w:rsidR="00332BC2">
        <w:t> 10</w:t>
      </w:r>
      <w:r w:rsidR="00101531" w:rsidRPr="006D77CD">
        <w:t>.</w:t>
      </w:r>
    </w:p>
    <w:p w:rsidR="002873E6" w:rsidRPr="006D77CD" w:rsidRDefault="002873E6" w:rsidP="006D77CD">
      <w:pPr>
        <w:pStyle w:val="ONUME"/>
      </w:pPr>
      <w:r w:rsidRPr="006D77CD">
        <w:t>During the first quarter of 2016, the</w:t>
      </w:r>
      <w:r w:rsidR="00D26A81" w:rsidRPr="006D77CD">
        <w:t xml:space="preserve"> Republic of</w:t>
      </w:r>
      <w:r w:rsidR="00914031">
        <w:t> </w:t>
      </w:r>
      <w:r w:rsidR="00D26A81" w:rsidRPr="006D77CD">
        <w:t>Korea</w:t>
      </w:r>
      <w:r w:rsidRPr="006D77CD">
        <w:t xml:space="preserve">, </w:t>
      </w:r>
      <w:r w:rsidR="007D3863" w:rsidRPr="006D77CD">
        <w:t>from where originated</w:t>
      </w:r>
      <w:r w:rsidRPr="006D77CD">
        <w:t xml:space="preserve"> 190</w:t>
      </w:r>
      <w:r w:rsidR="00914031">
        <w:t> </w:t>
      </w:r>
      <w:r w:rsidRPr="006D77CD">
        <w:t>international registrations,</w:t>
      </w:r>
      <w:r w:rsidR="007D3863" w:rsidRPr="006D77CD">
        <w:t xml:space="preserve"> i.e.</w:t>
      </w:r>
      <w:r w:rsidR="00DC448B">
        <w:t>,</w:t>
      </w:r>
      <w:r w:rsidR="00914031">
        <w:t> </w:t>
      </w:r>
      <w:r w:rsidR="007D3863" w:rsidRPr="006D77CD">
        <w:t>25.3</w:t>
      </w:r>
      <w:r w:rsidR="00914031">
        <w:t> </w:t>
      </w:r>
      <w:r w:rsidR="007D3863" w:rsidRPr="006D77CD">
        <w:t>per</w:t>
      </w:r>
      <w:r w:rsidR="00914031">
        <w:t> </w:t>
      </w:r>
      <w:r w:rsidR="007D3863" w:rsidRPr="006D77CD">
        <w:t>cent of the registrations,</w:t>
      </w:r>
      <w:r w:rsidRPr="006D77CD">
        <w:t xml:space="preserve"> </w:t>
      </w:r>
      <w:r w:rsidR="00D26A81" w:rsidRPr="006D77CD">
        <w:t xml:space="preserve">overtook </w:t>
      </w:r>
      <w:r w:rsidRPr="006D77CD">
        <w:t xml:space="preserve">Switzerland </w:t>
      </w:r>
      <w:r w:rsidR="008B76D5" w:rsidRPr="006D77CD">
        <w:t>(142</w:t>
      </w:r>
      <w:r w:rsidR="007D3863" w:rsidRPr="006D77CD">
        <w:t>, i.e.</w:t>
      </w:r>
      <w:r w:rsidR="00DC448B">
        <w:t>,</w:t>
      </w:r>
      <w:r w:rsidR="00914031">
        <w:t> </w:t>
      </w:r>
      <w:r w:rsidR="007D3863" w:rsidRPr="006D77CD">
        <w:t>18.9</w:t>
      </w:r>
      <w:r w:rsidR="00914031">
        <w:t> </w:t>
      </w:r>
      <w:r w:rsidR="007D3863" w:rsidRPr="006D77CD">
        <w:t>per</w:t>
      </w:r>
      <w:r w:rsidR="00914031">
        <w:t> </w:t>
      </w:r>
      <w:r w:rsidR="007D3863" w:rsidRPr="006D77CD">
        <w:t>cent</w:t>
      </w:r>
      <w:r w:rsidR="008B76D5" w:rsidRPr="006D77CD">
        <w:t>)</w:t>
      </w:r>
      <w:r w:rsidR="00680399" w:rsidRPr="006D77CD">
        <w:t xml:space="preserve"> and</w:t>
      </w:r>
      <w:r w:rsidR="008B76D5" w:rsidRPr="006D77CD">
        <w:t xml:space="preserve"> </w:t>
      </w:r>
      <w:r w:rsidRPr="006D77CD">
        <w:t xml:space="preserve">Germany </w:t>
      </w:r>
      <w:r w:rsidR="008B76D5" w:rsidRPr="006D77CD">
        <w:t>(95</w:t>
      </w:r>
      <w:r w:rsidR="007D3863" w:rsidRPr="006D77CD">
        <w:t>, i.e.</w:t>
      </w:r>
      <w:r w:rsidR="00DC448B">
        <w:t>,</w:t>
      </w:r>
      <w:r w:rsidR="00914031">
        <w:t> </w:t>
      </w:r>
      <w:r w:rsidR="007D3863" w:rsidRPr="006D77CD">
        <w:t>12.6</w:t>
      </w:r>
      <w:r w:rsidR="00914031">
        <w:t> </w:t>
      </w:r>
      <w:r w:rsidR="007D3863" w:rsidRPr="006D77CD">
        <w:t>per</w:t>
      </w:r>
      <w:r w:rsidR="00914031">
        <w:t> </w:t>
      </w:r>
      <w:r w:rsidR="007D3863" w:rsidRPr="006D77CD">
        <w:t>cent</w:t>
      </w:r>
      <w:r w:rsidR="008B76D5" w:rsidRPr="006D77CD">
        <w:t>)</w:t>
      </w:r>
      <w:r w:rsidR="00995BFB" w:rsidRPr="006D77CD">
        <w:t xml:space="preserve">. </w:t>
      </w:r>
      <w:r w:rsidR="00914031">
        <w:t xml:space="preserve"> </w:t>
      </w:r>
      <w:r w:rsidR="00995BFB" w:rsidRPr="006D77CD">
        <w:t>France (75</w:t>
      </w:r>
      <w:r w:rsidR="007D3863" w:rsidRPr="006D77CD">
        <w:t>, i.e.</w:t>
      </w:r>
      <w:r w:rsidR="00DC448B">
        <w:t>,</w:t>
      </w:r>
      <w:r w:rsidR="00914031">
        <w:t> </w:t>
      </w:r>
      <w:r w:rsidR="007D3863" w:rsidRPr="006D77CD">
        <w:t>10</w:t>
      </w:r>
      <w:r w:rsidR="00914031">
        <w:t> </w:t>
      </w:r>
      <w:r w:rsidR="007D3863" w:rsidRPr="006D77CD">
        <w:t>per</w:t>
      </w:r>
      <w:r w:rsidR="00914031">
        <w:t> </w:t>
      </w:r>
      <w:r w:rsidR="007D3863" w:rsidRPr="006D77CD">
        <w:t>cent</w:t>
      </w:r>
      <w:r w:rsidR="00995BFB" w:rsidRPr="006D77CD">
        <w:t xml:space="preserve">) kept its </w:t>
      </w:r>
      <w:r w:rsidR="008B76D5" w:rsidRPr="006D77CD">
        <w:t xml:space="preserve">fourth </w:t>
      </w:r>
      <w:r w:rsidRPr="006D77CD">
        <w:t>place</w:t>
      </w:r>
      <w:r w:rsidR="00995BFB" w:rsidRPr="006D77CD">
        <w:t xml:space="preserve">, followed by </w:t>
      </w:r>
      <w:r w:rsidR="00D43853" w:rsidRPr="006D77CD">
        <w:t>the Netherlands (39</w:t>
      </w:r>
      <w:r w:rsidR="007D3863" w:rsidRPr="006D77CD">
        <w:t>, i.e.</w:t>
      </w:r>
      <w:r w:rsidR="00DC448B">
        <w:t>,</w:t>
      </w:r>
      <w:r w:rsidR="00914031">
        <w:t> </w:t>
      </w:r>
      <w:r w:rsidR="007D3863" w:rsidRPr="006D77CD">
        <w:t>5.2</w:t>
      </w:r>
      <w:r w:rsidR="00914031">
        <w:t> </w:t>
      </w:r>
      <w:r w:rsidR="007D3863" w:rsidRPr="006D77CD">
        <w:t>per</w:t>
      </w:r>
      <w:r w:rsidR="00914031">
        <w:t> </w:t>
      </w:r>
      <w:r w:rsidR="007D3863" w:rsidRPr="006D77CD">
        <w:t>cent</w:t>
      </w:r>
      <w:r w:rsidR="00D43853" w:rsidRPr="006D77CD">
        <w:t>) and Italy (35</w:t>
      </w:r>
      <w:r w:rsidR="007D3863" w:rsidRPr="006D77CD">
        <w:t>, i.e.</w:t>
      </w:r>
      <w:r w:rsidR="00DC448B">
        <w:t>,</w:t>
      </w:r>
      <w:r w:rsidR="00914031">
        <w:t> </w:t>
      </w:r>
      <w:r w:rsidR="007D3863" w:rsidRPr="006D77CD">
        <w:t>4.7</w:t>
      </w:r>
      <w:r w:rsidR="00914031">
        <w:t> </w:t>
      </w:r>
      <w:r w:rsidR="007D3863" w:rsidRPr="006D77CD">
        <w:t>per</w:t>
      </w:r>
      <w:r w:rsidR="00914031">
        <w:t> </w:t>
      </w:r>
      <w:r w:rsidR="007D3863" w:rsidRPr="006D77CD">
        <w:t>cent</w:t>
      </w:r>
      <w:r w:rsidR="00D43853" w:rsidRPr="006D77CD">
        <w:t>)</w:t>
      </w:r>
      <w:proofErr w:type="gramStart"/>
      <w:r w:rsidR="00680399" w:rsidRPr="006D77CD">
        <w:t>;</w:t>
      </w:r>
      <w:r w:rsidR="00520AAB" w:rsidRPr="006D77CD">
        <w:t xml:space="preserve"> </w:t>
      </w:r>
      <w:r w:rsidR="00914031">
        <w:t xml:space="preserve"> </w:t>
      </w:r>
      <w:r w:rsidR="00F41E88" w:rsidRPr="006D77CD">
        <w:t>Japan</w:t>
      </w:r>
      <w:proofErr w:type="gramEnd"/>
      <w:r w:rsidR="00F41E88" w:rsidRPr="006D77CD">
        <w:t xml:space="preserve"> (29</w:t>
      </w:r>
      <w:r w:rsidR="007D3863" w:rsidRPr="006D77CD">
        <w:t>, i.e.</w:t>
      </w:r>
      <w:r w:rsidR="00DC448B">
        <w:t>,</w:t>
      </w:r>
      <w:r w:rsidR="00914031">
        <w:t> </w:t>
      </w:r>
      <w:r w:rsidR="007D3863" w:rsidRPr="006D77CD">
        <w:t>3.9</w:t>
      </w:r>
      <w:r w:rsidR="00914031">
        <w:t> </w:t>
      </w:r>
      <w:r w:rsidR="007D3863" w:rsidRPr="006D77CD">
        <w:t>per</w:t>
      </w:r>
      <w:r w:rsidR="00914031">
        <w:t> </w:t>
      </w:r>
      <w:r w:rsidR="007D3863" w:rsidRPr="006D77CD">
        <w:t>cent</w:t>
      </w:r>
      <w:r w:rsidR="00F41E88" w:rsidRPr="006D77CD">
        <w:t>) and t</w:t>
      </w:r>
      <w:r w:rsidRPr="006D77CD">
        <w:t>he United</w:t>
      </w:r>
      <w:r w:rsidR="00914031">
        <w:t> </w:t>
      </w:r>
      <w:r w:rsidRPr="006D77CD">
        <w:t>States of</w:t>
      </w:r>
      <w:r w:rsidR="00914031">
        <w:t> </w:t>
      </w:r>
      <w:r w:rsidRPr="006D77CD">
        <w:t xml:space="preserve">America </w:t>
      </w:r>
      <w:r w:rsidR="004D3D19" w:rsidRPr="006D77CD">
        <w:t>(29</w:t>
      </w:r>
      <w:r w:rsidR="007D3863" w:rsidRPr="006D77CD">
        <w:t>, i.e.</w:t>
      </w:r>
      <w:r w:rsidR="00DC448B">
        <w:t>,</w:t>
      </w:r>
      <w:r w:rsidR="00914031">
        <w:t> </w:t>
      </w:r>
      <w:r w:rsidR="007D3863" w:rsidRPr="006D77CD">
        <w:t>3.9</w:t>
      </w:r>
      <w:r w:rsidR="00914031">
        <w:t> </w:t>
      </w:r>
      <w:r w:rsidR="007D3863" w:rsidRPr="006D77CD">
        <w:t>per</w:t>
      </w:r>
      <w:r w:rsidR="00914031">
        <w:t> </w:t>
      </w:r>
      <w:r w:rsidR="007D3863" w:rsidRPr="006D77CD">
        <w:t>cent</w:t>
      </w:r>
      <w:r w:rsidR="004D3D19" w:rsidRPr="006D77CD">
        <w:t xml:space="preserve">) </w:t>
      </w:r>
      <w:r w:rsidR="00637BC6" w:rsidRPr="006D77CD">
        <w:t>share</w:t>
      </w:r>
      <w:r w:rsidR="003D4298" w:rsidRPr="006D77CD">
        <w:t>d</w:t>
      </w:r>
      <w:r w:rsidRPr="006D77CD">
        <w:t xml:space="preserve"> </w:t>
      </w:r>
      <w:r w:rsidR="004D3D19" w:rsidRPr="006D77CD">
        <w:t>sevent</w:t>
      </w:r>
      <w:r w:rsidR="00F41E88" w:rsidRPr="006D77CD">
        <w:t>h</w:t>
      </w:r>
      <w:r w:rsidR="004D3D19" w:rsidRPr="006D77CD">
        <w:t xml:space="preserve"> p</w:t>
      </w:r>
      <w:r w:rsidR="00AE54EB" w:rsidRPr="006D77CD">
        <w:t>osition</w:t>
      </w:r>
      <w:r w:rsidR="00680399" w:rsidRPr="006D77CD">
        <w:t>, Turkey (15</w:t>
      </w:r>
      <w:r w:rsidR="007D3863" w:rsidRPr="006D77CD">
        <w:t>, i.e.</w:t>
      </w:r>
      <w:r w:rsidR="00DC448B">
        <w:t>,</w:t>
      </w:r>
      <w:r w:rsidR="00914031">
        <w:t> </w:t>
      </w:r>
      <w:r w:rsidR="007D3863" w:rsidRPr="006D77CD">
        <w:t>2</w:t>
      </w:r>
      <w:r w:rsidR="00914031">
        <w:t> </w:t>
      </w:r>
      <w:r w:rsidR="007D3863" w:rsidRPr="006D77CD">
        <w:t>per</w:t>
      </w:r>
      <w:r w:rsidR="00914031">
        <w:t> </w:t>
      </w:r>
      <w:r w:rsidR="007D3863" w:rsidRPr="006D77CD">
        <w:t>cent</w:t>
      </w:r>
      <w:r w:rsidR="00680399" w:rsidRPr="006D77CD">
        <w:t>) was ninth and the United Kingdom (13</w:t>
      </w:r>
      <w:r w:rsidR="007D3863" w:rsidRPr="006D77CD">
        <w:t>, i.e.</w:t>
      </w:r>
      <w:r w:rsidR="00DC448B">
        <w:t>,</w:t>
      </w:r>
      <w:r w:rsidR="001D208A">
        <w:t> </w:t>
      </w:r>
      <w:r w:rsidR="007D3863" w:rsidRPr="006D77CD">
        <w:t>1.7</w:t>
      </w:r>
      <w:r w:rsidR="001D208A">
        <w:t> </w:t>
      </w:r>
      <w:r w:rsidR="007D3863" w:rsidRPr="006D77CD">
        <w:t>per</w:t>
      </w:r>
      <w:r w:rsidR="001D208A">
        <w:t> </w:t>
      </w:r>
      <w:r w:rsidR="007D3863" w:rsidRPr="006D77CD">
        <w:t>cent</w:t>
      </w:r>
      <w:r w:rsidR="00680399" w:rsidRPr="006D77CD">
        <w:t>)</w:t>
      </w:r>
      <w:r w:rsidR="001D208A">
        <w:t xml:space="preserve"> was</w:t>
      </w:r>
      <w:r w:rsidR="00680399" w:rsidRPr="006D77CD">
        <w:t xml:space="preserve"> tenth</w:t>
      </w:r>
      <w:r w:rsidR="009A2DA7" w:rsidRPr="00E613E7">
        <w:rPr>
          <w:rStyle w:val="FootnoteReference"/>
        </w:rPr>
        <w:footnoteReference w:id="5"/>
      </w:r>
      <w:r w:rsidR="006D77CD">
        <w:t>.</w:t>
      </w:r>
    </w:p>
    <w:p w:rsidR="002873E6" w:rsidRDefault="002873E6" w:rsidP="006D77CD">
      <w:pPr>
        <w:pStyle w:val="Heading3"/>
        <w:spacing w:before="480"/>
      </w:pPr>
      <w:r>
        <w:t>Designs in</w:t>
      </w:r>
      <w:r w:rsidR="008F7308">
        <w:t xml:space="preserve"> </w:t>
      </w:r>
      <w:r>
        <w:t>International Registrations by Country</w:t>
      </w:r>
      <w:r w:rsidR="006D77CD">
        <w:t xml:space="preserve"> of Address of the Holder</w:t>
      </w:r>
    </w:p>
    <w:p w:rsidR="006D77CD" w:rsidRPr="006D77CD" w:rsidRDefault="006D77CD" w:rsidP="006D77CD"/>
    <w:p w:rsidR="00D874C5" w:rsidRPr="00AB59D3" w:rsidRDefault="00D874C5" w:rsidP="009C3552">
      <w:pPr>
        <w:pStyle w:val="ONUME"/>
      </w:pPr>
      <w:r w:rsidRPr="00AB59D3">
        <w:t>In 2014,</w:t>
      </w:r>
      <w:r w:rsidR="006261C5" w:rsidRPr="00AB59D3">
        <w:t xml:space="preserve"> designs in</w:t>
      </w:r>
      <w:r w:rsidRPr="00AB59D3">
        <w:t xml:space="preserve"> international registrations originated primarily from Germany (</w:t>
      </w:r>
      <w:r w:rsidR="00F901D7" w:rsidRPr="00AB59D3">
        <w:t>3,666</w:t>
      </w:r>
      <w:r w:rsidR="00AB59D3">
        <w:t> </w:t>
      </w:r>
      <w:r w:rsidR="004343D1" w:rsidRPr="00AB59D3">
        <w:t>designs, i.e.</w:t>
      </w:r>
      <w:r w:rsidR="00DC448B">
        <w:t>,</w:t>
      </w:r>
      <w:r w:rsidR="00AB59D3">
        <w:t> </w:t>
      </w:r>
      <w:r w:rsidR="004343D1" w:rsidRPr="00AB59D3">
        <w:t>26.9</w:t>
      </w:r>
      <w:r w:rsidR="00AB59D3">
        <w:t> </w:t>
      </w:r>
      <w:r w:rsidR="004343D1" w:rsidRPr="00AB59D3">
        <w:t>per</w:t>
      </w:r>
      <w:r w:rsidR="00AB59D3">
        <w:t> </w:t>
      </w:r>
      <w:r w:rsidR="004343D1" w:rsidRPr="00AB59D3">
        <w:t>cent of the total number of designs registered that year</w:t>
      </w:r>
      <w:r w:rsidRPr="00AB59D3">
        <w:t>), followed by Switzerland (</w:t>
      </w:r>
      <w:r w:rsidR="00F901D7" w:rsidRPr="00AB59D3">
        <w:t>3,101</w:t>
      </w:r>
      <w:r w:rsidR="004343D1" w:rsidRPr="00AB59D3">
        <w:t>, i.e.</w:t>
      </w:r>
      <w:r w:rsidR="00DC448B">
        <w:t>,</w:t>
      </w:r>
      <w:r w:rsidR="00AB59D3">
        <w:t> </w:t>
      </w:r>
      <w:r w:rsidR="004343D1" w:rsidRPr="00AB59D3">
        <w:t>22.7</w:t>
      </w:r>
      <w:r w:rsidR="00AB59D3">
        <w:t> </w:t>
      </w:r>
      <w:r w:rsidR="004343D1" w:rsidRPr="00AB59D3">
        <w:t>per</w:t>
      </w:r>
      <w:r w:rsidR="00AB59D3">
        <w:t> </w:t>
      </w:r>
      <w:r w:rsidR="004343D1" w:rsidRPr="00AB59D3">
        <w:t>cent</w:t>
      </w:r>
      <w:r w:rsidRPr="00AB59D3">
        <w:t>),</w:t>
      </w:r>
      <w:r w:rsidR="00AB59D3">
        <w:t xml:space="preserve"> </w:t>
      </w:r>
      <w:r w:rsidRPr="00AB59D3">
        <w:t>France (</w:t>
      </w:r>
      <w:r w:rsidR="00F901D7" w:rsidRPr="00AB59D3">
        <w:t>1,438</w:t>
      </w:r>
      <w:r w:rsidR="004343D1" w:rsidRPr="00AB59D3">
        <w:t>, i.e.</w:t>
      </w:r>
      <w:r w:rsidR="00DC448B">
        <w:t>,</w:t>
      </w:r>
      <w:r w:rsidR="00AB59D3">
        <w:t> </w:t>
      </w:r>
      <w:r w:rsidR="004343D1" w:rsidRPr="00AB59D3">
        <w:t>10.5</w:t>
      </w:r>
      <w:r w:rsidR="00AB59D3">
        <w:t> </w:t>
      </w:r>
      <w:r w:rsidR="004343D1" w:rsidRPr="00AB59D3">
        <w:t>per</w:t>
      </w:r>
      <w:r w:rsidR="00AB59D3">
        <w:t> </w:t>
      </w:r>
      <w:r w:rsidR="004343D1" w:rsidRPr="00AB59D3">
        <w:t>cent</w:t>
      </w:r>
      <w:r w:rsidRPr="00AB59D3">
        <w:t>), Italy (</w:t>
      </w:r>
      <w:r w:rsidR="00F901D7" w:rsidRPr="00AB59D3">
        <w:t>878</w:t>
      </w:r>
      <w:r w:rsidR="004343D1" w:rsidRPr="00AB59D3">
        <w:t>, i.e.</w:t>
      </w:r>
      <w:r w:rsidR="00DC448B">
        <w:t>,</w:t>
      </w:r>
      <w:r w:rsidR="00AB59D3">
        <w:t> </w:t>
      </w:r>
      <w:r w:rsidR="004343D1" w:rsidRPr="00AB59D3">
        <w:t>6.4</w:t>
      </w:r>
      <w:r w:rsidR="00AB59D3">
        <w:t> </w:t>
      </w:r>
      <w:r w:rsidR="004343D1" w:rsidRPr="00AB59D3">
        <w:t>per</w:t>
      </w:r>
      <w:r w:rsidR="00AB59D3">
        <w:t> </w:t>
      </w:r>
      <w:r w:rsidR="004343D1" w:rsidRPr="00AB59D3">
        <w:t>cent</w:t>
      </w:r>
      <w:r w:rsidRPr="00AB59D3">
        <w:t>), the United</w:t>
      </w:r>
      <w:r w:rsidR="00AB59D3">
        <w:t> </w:t>
      </w:r>
      <w:r w:rsidRPr="00AB59D3">
        <w:t>States of</w:t>
      </w:r>
      <w:r w:rsidR="00AB59D3">
        <w:t> </w:t>
      </w:r>
      <w:r w:rsidRPr="00AB59D3">
        <w:t>America (</w:t>
      </w:r>
      <w:r w:rsidR="00F901D7" w:rsidRPr="00AB59D3">
        <w:t>755</w:t>
      </w:r>
      <w:r w:rsidR="004343D1" w:rsidRPr="00AB59D3">
        <w:t>, i.e.</w:t>
      </w:r>
      <w:r w:rsidR="00DC448B">
        <w:t>,</w:t>
      </w:r>
      <w:r w:rsidR="00AB59D3">
        <w:t> </w:t>
      </w:r>
      <w:r w:rsidR="004343D1" w:rsidRPr="00AB59D3">
        <w:t>5.5</w:t>
      </w:r>
      <w:r w:rsidR="00AB59D3">
        <w:t> </w:t>
      </w:r>
      <w:r w:rsidR="004343D1" w:rsidRPr="00AB59D3">
        <w:t>per</w:t>
      </w:r>
      <w:r w:rsidR="00AB59D3">
        <w:t> </w:t>
      </w:r>
      <w:r w:rsidR="004343D1" w:rsidRPr="00AB59D3">
        <w:t>cent</w:t>
      </w:r>
      <w:r w:rsidRPr="00AB59D3">
        <w:t xml:space="preserve">), </w:t>
      </w:r>
      <w:r w:rsidR="00BC4738" w:rsidRPr="00AB59D3">
        <w:t>Turkey (379</w:t>
      </w:r>
      <w:r w:rsidR="004343D1" w:rsidRPr="00AB59D3">
        <w:t>, i.e.</w:t>
      </w:r>
      <w:r w:rsidR="00DC448B">
        <w:t>,</w:t>
      </w:r>
      <w:r w:rsidR="00AB59D3">
        <w:t> </w:t>
      </w:r>
      <w:r w:rsidR="004343D1" w:rsidRPr="00AB59D3">
        <w:t>2.8</w:t>
      </w:r>
      <w:r w:rsidR="00AB59D3">
        <w:t> </w:t>
      </w:r>
      <w:r w:rsidR="004343D1" w:rsidRPr="00AB59D3">
        <w:t>per</w:t>
      </w:r>
      <w:r w:rsidR="00AB59D3">
        <w:t> </w:t>
      </w:r>
      <w:r w:rsidR="004343D1" w:rsidRPr="00AB59D3">
        <w:t>cent</w:t>
      </w:r>
      <w:r w:rsidR="00BC4738" w:rsidRPr="00AB59D3">
        <w:t xml:space="preserve">), </w:t>
      </w:r>
      <w:r w:rsidRPr="00AB59D3">
        <w:t>the Netherlands (</w:t>
      </w:r>
      <w:r w:rsidR="00F901D7" w:rsidRPr="00AB59D3">
        <w:t>330</w:t>
      </w:r>
      <w:r w:rsidR="004343D1" w:rsidRPr="00AB59D3">
        <w:t>, i.e.</w:t>
      </w:r>
      <w:r w:rsidR="00DC448B">
        <w:t>,</w:t>
      </w:r>
      <w:r w:rsidR="00AB59D3">
        <w:t> </w:t>
      </w:r>
      <w:r w:rsidR="004343D1" w:rsidRPr="00AB59D3">
        <w:t>2.4</w:t>
      </w:r>
      <w:r w:rsidR="00AB59D3">
        <w:t> </w:t>
      </w:r>
      <w:r w:rsidR="004343D1" w:rsidRPr="00AB59D3">
        <w:t>per</w:t>
      </w:r>
      <w:r w:rsidR="00AB59D3">
        <w:t> </w:t>
      </w:r>
      <w:r w:rsidR="004343D1" w:rsidRPr="00AB59D3">
        <w:t>cent</w:t>
      </w:r>
      <w:r w:rsidRPr="00AB59D3">
        <w:t>), Finland (</w:t>
      </w:r>
      <w:r w:rsidR="00F901D7" w:rsidRPr="00AB59D3">
        <w:t>207</w:t>
      </w:r>
      <w:r w:rsidR="004343D1" w:rsidRPr="00AB59D3">
        <w:t>, i.e.</w:t>
      </w:r>
      <w:r w:rsidR="00DC448B">
        <w:t>,</w:t>
      </w:r>
      <w:r w:rsidR="00AB59D3">
        <w:t> </w:t>
      </w:r>
      <w:r w:rsidR="004343D1" w:rsidRPr="00AB59D3">
        <w:t>1.5</w:t>
      </w:r>
      <w:r w:rsidR="00AB59D3">
        <w:t> </w:t>
      </w:r>
      <w:r w:rsidR="004343D1" w:rsidRPr="00AB59D3">
        <w:t>per</w:t>
      </w:r>
      <w:r w:rsidR="00AB59D3">
        <w:t> </w:t>
      </w:r>
      <w:r w:rsidR="004343D1" w:rsidRPr="00AB59D3">
        <w:t>cent</w:t>
      </w:r>
      <w:r w:rsidRPr="00AB59D3">
        <w:t>)</w:t>
      </w:r>
      <w:r w:rsidR="00BC4738" w:rsidRPr="00AB59D3">
        <w:t>,</w:t>
      </w:r>
      <w:r w:rsidRPr="00AB59D3">
        <w:t xml:space="preserve"> the United</w:t>
      </w:r>
      <w:r w:rsidR="00AB59D3">
        <w:t> </w:t>
      </w:r>
      <w:r w:rsidRPr="00AB59D3">
        <w:t>Kingdom (</w:t>
      </w:r>
      <w:r w:rsidR="00F901D7" w:rsidRPr="00AB59D3">
        <w:t>156</w:t>
      </w:r>
      <w:r w:rsidR="004343D1" w:rsidRPr="00AB59D3">
        <w:t>, i.e.</w:t>
      </w:r>
      <w:r w:rsidR="00DC448B">
        <w:t>,</w:t>
      </w:r>
      <w:r w:rsidR="00AB59D3">
        <w:t> </w:t>
      </w:r>
      <w:r w:rsidR="004343D1" w:rsidRPr="00AB59D3">
        <w:t>1.1</w:t>
      </w:r>
      <w:r w:rsidR="00AB59D3">
        <w:t> </w:t>
      </w:r>
      <w:r w:rsidR="004343D1" w:rsidRPr="00AB59D3">
        <w:t>per</w:t>
      </w:r>
      <w:r w:rsidR="00AB59D3">
        <w:t> </w:t>
      </w:r>
      <w:r w:rsidR="004343D1" w:rsidRPr="00AB59D3">
        <w:t>cent</w:t>
      </w:r>
      <w:r w:rsidRPr="00AB59D3">
        <w:t>)</w:t>
      </w:r>
      <w:r w:rsidR="00BC4738" w:rsidRPr="00AB59D3">
        <w:t xml:space="preserve"> and Norway (104</w:t>
      </w:r>
      <w:r w:rsidR="004343D1" w:rsidRPr="00AB59D3">
        <w:t>, i.e.</w:t>
      </w:r>
      <w:r w:rsidR="00DC448B">
        <w:t>,</w:t>
      </w:r>
      <w:r w:rsidR="00AB59D3">
        <w:t> </w:t>
      </w:r>
      <w:r w:rsidR="004343D1" w:rsidRPr="00AB59D3">
        <w:t>0.8</w:t>
      </w:r>
      <w:r w:rsidR="00AB59D3">
        <w:t> </w:t>
      </w:r>
      <w:r w:rsidR="004343D1" w:rsidRPr="00AB59D3">
        <w:t>per</w:t>
      </w:r>
      <w:r w:rsidR="00AB59D3">
        <w:t> </w:t>
      </w:r>
      <w:r w:rsidR="004343D1" w:rsidRPr="00AB59D3">
        <w:t>cent</w:t>
      </w:r>
      <w:r w:rsidR="00BC4738" w:rsidRPr="00AB59D3">
        <w:t>)</w:t>
      </w:r>
      <w:r w:rsidRPr="00AB59D3">
        <w:t>.</w:t>
      </w:r>
    </w:p>
    <w:p w:rsidR="009C3552" w:rsidRPr="009C3552" w:rsidRDefault="007F55EB" w:rsidP="009C3552">
      <w:pPr>
        <w:pStyle w:val="ONUME"/>
      </w:pPr>
      <w:r w:rsidRPr="009C3552">
        <w:t>In 2015, designs in international registrations originated</w:t>
      </w:r>
      <w:r w:rsidR="0092660D" w:rsidRPr="009C3552">
        <w:t>,</w:t>
      </w:r>
      <w:r w:rsidRPr="009C3552">
        <w:t xml:space="preserve"> primarily, from Germany (3,358</w:t>
      </w:r>
      <w:r w:rsidR="00AB59D3">
        <w:t> </w:t>
      </w:r>
      <w:r w:rsidR="00744D41" w:rsidRPr="009C3552">
        <w:t>designs, i.e.</w:t>
      </w:r>
      <w:r w:rsidR="00DC448B">
        <w:t>,</w:t>
      </w:r>
      <w:r w:rsidR="00AB59D3">
        <w:t> </w:t>
      </w:r>
      <w:r w:rsidR="00744D41" w:rsidRPr="009C3552">
        <w:t>22.2</w:t>
      </w:r>
      <w:r w:rsidR="00AB59D3">
        <w:t> </w:t>
      </w:r>
      <w:r w:rsidR="00744D41" w:rsidRPr="009C3552">
        <w:t>per</w:t>
      </w:r>
      <w:r w:rsidR="00AB59D3">
        <w:t> </w:t>
      </w:r>
      <w:r w:rsidR="00744D41" w:rsidRPr="009C3552">
        <w:t>cent of the designs registered in 2015</w:t>
      </w:r>
      <w:r w:rsidRPr="009C3552">
        <w:t>), Switzerland (3,125</w:t>
      </w:r>
      <w:r w:rsidR="00744D41" w:rsidRPr="009C3552">
        <w:t>, i.e.</w:t>
      </w:r>
      <w:r w:rsidR="00DC448B">
        <w:t>,</w:t>
      </w:r>
      <w:r w:rsidR="00AB59D3">
        <w:t> </w:t>
      </w:r>
      <w:r w:rsidR="00744D41" w:rsidRPr="009C3552">
        <w:t>20.7</w:t>
      </w:r>
      <w:r w:rsidR="00AB59D3">
        <w:t> </w:t>
      </w:r>
      <w:r w:rsidR="00744D41" w:rsidRPr="009C3552">
        <w:t>per</w:t>
      </w:r>
      <w:r w:rsidR="00AB59D3">
        <w:t> </w:t>
      </w:r>
      <w:r w:rsidR="00744D41" w:rsidRPr="009C3552">
        <w:t>cent</w:t>
      </w:r>
      <w:r w:rsidRPr="009C3552">
        <w:t xml:space="preserve">), France </w:t>
      </w:r>
      <w:r w:rsidR="000A0AEB" w:rsidRPr="009C3552">
        <w:t>(1,184</w:t>
      </w:r>
      <w:r w:rsidR="00744D41" w:rsidRPr="009C3552">
        <w:t>, i.e.</w:t>
      </w:r>
      <w:r w:rsidR="00DC448B">
        <w:t>,</w:t>
      </w:r>
      <w:r w:rsidR="00AB59D3">
        <w:t> </w:t>
      </w:r>
      <w:r w:rsidR="00744D41" w:rsidRPr="009C3552">
        <w:t>7.8</w:t>
      </w:r>
      <w:r w:rsidR="00E17ABB">
        <w:t> </w:t>
      </w:r>
      <w:r w:rsidR="00744D41" w:rsidRPr="009C3552">
        <w:t>per</w:t>
      </w:r>
      <w:r w:rsidR="00E17ABB">
        <w:t> </w:t>
      </w:r>
      <w:r w:rsidR="00744D41" w:rsidRPr="009C3552">
        <w:t>cent</w:t>
      </w:r>
      <w:r w:rsidR="000A0AEB" w:rsidRPr="009C3552">
        <w:t xml:space="preserve">), </w:t>
      </w:r>
      <w:r w:rsidRPr="009C3552">
        <w:t>the Republic of</w:t>
      </w:r>
      <w:r w:rsidR="00E17ABB">
        <w:t> </w:t>
      </w:r>
      <w:r w:rsidRPr="009C3552">
        <w:t>Korea (1,184</w:t>
      </w:r>
      <w:r w:rsidR="00744D41" w:rsidRPr="009C3552">
        <w:t>, i.e.</w:t>
      </w:r>
      <w:r w:rsidR="00DC448B">
        <w:t>,</w:t>
      </w:r>
      <w:r w:rsidR="00E17ABB">
        <w:t> </w:t>
      </w:r>
      <w:r w:rsidR="00744D41" w:rsidRPr="009C3552">
        <w:t>7.8</w:t>
      </w:r>
      <w:r w:rsidR="00E17ABB">
        <w:t> </w:t>
      </w:r>
      <w:r w:rsidR="00744D41" w:rsidRPr="009C3552">
        <w:t>per</w:t>
      </w:r>
      <w:r w:rsidR="00E17ABB">
        <w:t> </w:t>
      </w:r>
      <w:r w:rsidR="00744D41" w:rsidRPr="009C3552">
        <w:t>cent</w:t>
      </w:r>
      <w:r w:rsidRPr="009C3552">
        <w:t>), Italy (1,121</w:t>
      </w:r>
      <w:r w:rsidR="00744D41" w:rsidRPr="009C3552">
        <w:t>, i.e.</w:t>
      </w:r>
      <w:r w:rsidR="00DC448B">
        <w:t>,</w:t>
      </w:r>
      <w:r w:rsidR="00E17ABB">
        <w:t> </w:t>
      </w:r>
      <w:r w:rsidR="00744D41" w:rsidRPr="009C3552">
        <w:t>7.4</w:t>
      </w:r>
      <w:r w:rsidR="00E17ABB">
        <w:t> </w:t>
      </w:r>
      <w:r w:rsidR="00744D41" w:rsidRPr="009C3552">
        <w:t>per</w:t>
      </w:r>
      <w:r w:rsidR="00E17ABB">
        <w:t> </w:t>
      </w:r>
      <w:r w:rsidR="00744D41" w:rsidRPr="009C3552">
        <w:t>cent</w:t>
      </w:r>
      <w:r w:rsidRPr="009C3552">
        <w:t>)</w:t>
      </w:r>
      <w:r w:rsidR="00452608" w:rsidRPr="009C3552">
        <w:t>,</w:t>
      </w:r>
      <w:r w:rsidR="00282C01" w:rsidRPr="009C3552">
        <w:t xml:space="preserve"> </w:t>
      </w:r>
      <w:r w:rsidRPr="009C3552">
        <w:t>the United</w:t>
      </w:r>
      <w:r w:rsidR="00E17ABB">
        <w:t> </w:t>
      </w:r>
      <w:r w:rsidRPr="009C3552">
        <w:t>States of</w:t>
      </w:r>
      <w:r w:rsidR="00E17ABB">
        <w:t> </w:t>
      </w:r>
      <w:r w:rsidRPr="009C3552">
        <w:t>America (944</w:t>
      </w:r>
      <w:r w:rsidR="00744D41" w:rsidRPr="009C3552">
        <w:t>, i.e.</w:t>
      </w:r>
      <w:r w:rsidR="00DC448B">
        <w:t>,</w:t>
      </w:r>
      <w:r w:rsidR="00E17ABB">
        <w:t> </w:t>
      </w:r>
      <w:r w:rsidR="00744D41" w:rsidRPr="009C3552">
        <w:t>6.2</w:t>
      </w:r>
      <w:r w:rsidR="00E17ABB">
        <w:t> </w:t>
      </w:r>
      <w:r w:rsidR="00744D41" w:rsidRPr="009C3552">
        <w:t>per</w:t>
      </w:r>
      <w:r w:rsidR="00E17ABB">
        <w:t> </w:t>
      </w:r>
      <w:r w:rsidR="00744D41" w:rsidRPr="009C3552">
        <w:t>cent</w:t>
      </w:r>
      <w:r w:rsidRPr="009C3552">
        <w:t>)</w:t>
      </w:r>
      <w:r w:rsidR="00924CBB" w:rsidRPr="009C3552">
        <w:t>,</w:t>
      </w:r>
      <w:r w:rsidR="00452608" w:rsidRPr="009C3552">
        <w:t xml:space="preserve"> the Netherlands (680</w:t>
      </w:r>
      <w:r w:rsidR="00744D41" w:rsidRPr="009C3552">
        <w:t>, i.e.</w:t>
      </w:r>
      <w:r w:rsidR="00DC448B">
        <w:t>,</w:t>
      </w:r>
      <w:r w:rsidR="00E17ABB">
        <w:t> </w:t>
      </w:r>
      <w:r w:rsidR="00744D41" w:rsidRPr="009C3552">
        <w:t>4.5</w:t>
      </w:r>
      <w:r w:rsidR="00E17ABB">
        <w:t> </w:t>
      </w:r>
      <w:r w:rsidR="00744D41" w:rsidRPr="009C3552">
        <w:t>per</w:t>
      </w:r>
      <w:r w:rsidR="00E17ABB">
        <w:t> </w:t>
      </w:r>
      <w:r w:rsidR="00744D41" w:rsidRPr="009C3552">
        <w:t>cent</w:t>
      </w:r>
      <w:r w:rsidR="00452608" w:rsidRPr="009C3552">
        <w:t>)</w:t>
      </w:r>
      <w:r w:rsidR="00924CBB" w:rsidRPr="009C3552">
        <w:t>,</w:t>
      </w:r>
      <w:r w:rsidR="00E17ABB">
        <w:t xml:space="preserve"> </w:t>
      </w:r>
      <w:r w:rsidR="00924CBB" w:rsidRPr="009C3552">
        <w:t>Japan</w:t>
      </w:r>
      <w:r w:rsidRPr="009C3552">
        <w:t xml:space="preserve"> </w:t>
      </w:r>
      <w:r w:rsidR="00924CBB" w:rsidRPr="009C3552">
        <w:t>(</w:t>
      </w:r>
      <w:r w:rsidRPr="009C3552">
        <w:t>391</w:t>
      </w:r>
      <w:r w:rsidR="00744D41" w:rsidRPr="009C3552">
        <w:t>, i.e.</w:t>
      </w:r>
      <w:r w:rsidR="00DC448B">
        <w:t>,</w:t>
      </w:r>
      <w:r w:rsidR="00E17ABB">
        <w:t> </w:t>
      </w:r>
      <w:r w:rsidR="00744D41" w:rsidRPr="009C3552">
        <w:t>2.6</w:t>
      </w:r>
      <w:r w:rsidR="00E17ABB">
        <w:t> </w:t>
      </w:r>
      <w:r w:rsidR="00744D41" w:rsidRPr="009C3552">
        <w:t>per</w:t>
      </w:r>
      <w:r w:rsidR="00E17ABB">
        <w:t> </w:t>
      </w:r>
      <w:r w:rsidR="00744D41" w:rsidRPr="009C3552">
        <w:t>cent</w:t>
      </w:r>
      <w:r w:rsidR="00924CBB" w:rsidRPr="009C3552">
        <w:t>)</w:t>
      </w:r>
      <w:r w:rsidRPr="009C3552">
        <w:t xml:space="preserve"> </w:t>
      </w:r>
      <w:r w:rsidR="0007733A" w:rsidRPr="009C3552">
        <w:t xml:space="preserve">, </w:t>
      </w:r>
      <w:r w:rsidR="00924CBB" w:rsidRPr="009C3552">
        <w:t>Austria (</w:t>
      </w:r>
      <w:r w:rsidR="0007733A" w:rsidRPr="009C3552">
        <w:t>379</w:t>
      </w:r>
      <w:r w:rsidR="00744D41" w:rsidRPr="009C3552">
        <w:t>, i.e.</w:t>
      </w:r>
      <w:r w:rsidR="00DC448B">
        <w:t>,</w:t>
      </w:r>
      <w:r w:rsidR="00E17ABB">
        <w:t> </w:t>
      </w:r>
      <w:r w:rsidR="00744D41" w:rsidRPr="009C3552">
        <w:t>2.5</w:t>
      </w:r>
      <w:r w:rsidR="00E17ABB">
        <w:t> </w:t>
      </w:r>
      <w:r w:rsidR="00744D41" w:rsidRPr="009C3552">
        <w:t>per</w:t>
      </w:r>
      <w:r w:rsidR="00E17ABB">
        <w:t> </w:t>
      </w:r>
      <w:r w:rsidR="00744D41" w:rsidRPr="009C3552">
        <w:t>cent</w:t>
      </w:r>
      <w:r w:rsidR="00924CBB" w:rsidRPr="009C3552">
        <w:t>)</w:t>
      </w:r>
      <w:r w:rsidR="0007733A" w:rsidRPr="009C3552">
        <w:t xml:space="preserve"> and </w:t>
      </w:r>
      <w:r w:rsidR="00924CBB" w:rsidRPr="009C3552">
        <w:t>the United</w:t>
      </w:r>
      <w:r w:rsidR="00E17ABB">
        <w:t> </w:t>
      </w:r>
      <w:r w:rsidR="00924CBB" w:rsidRPr="009C3552">
        <w:t>Kingdom (</w:t>
      </w:r>
      <w:r w:rsidR="0007733A" w:rsidRPr="009C3552">
        <w:t>358</w:t>
      </w:r>
      <w:r w:rsidR="00744D41" w:rsidRPr="009C3552">
        <w:t>, i.e.</w:t>
      </w:r>
      <w:r w:rsidR="00DC448B">
        <w:t>,</w:t>
      </w:r>
      <w:r w:rsidR="00E17ABB">
        <w:t> </w:t>
      </w:r>
      <w:r w:rsidR="00744D41" w:rsidRPr="009C3552">
        <w:t>2.4</w:t>
      </w:r>
      <w:r w:rsidR="00E17ABB">
        <w:t> </w:t>
      </w:r>
      <w:r w:rsidR="00744D41" w:rsidRPr="009C3552">
        <w:t>per</w:t>
      </w:r>
      <w:r w:rsidR="00E17ABB">
        <w:t> </w:t>
      </w:r>
      <w:r w:rsidR="00744D41" w:rsidRPr="009C3552">
        <w:t>cent</w:t>
      </w:r>
      <w:r w:rsidR="00924CBB" w:rsidRPr="009C3552">
        <w:t>)</w:t>
      </w:r>
      <w:r w:rsidRPr="009C3552">
        <w:t>.</w:t>
      </w:r>
    </w:p>
    <w:p w:rsidR="007F55EB" w:rsidRPr="009C3552" w:rsidRDefault="007F55EB" w:rsidP="009C3552">
      <w:pPr>
        <w:pStyle w:val="ONUME"/>
      </w:pPr>
      <w:r w:rsidRPr="009C3552">
        <w:t>During the first quarter of 2016, designs in international registrations originated</w:t>
      </w:r>
      <w:r w:rsidR="000C31A8" w:rsidRPr="009C3552">
        <w:t>,</w:t>
      </w:r>
      <w:r w:rsidRPr="009C3552">
        <w:t xml:space="preserve"> primarily,</w:t>
      </w:r>
      <w:r w:rsidR="00893D66" w:rsidRPr="009C3552">
        <w:t xml:space="preserve"> </w:t>
      </w:r>
      <w:r w:rsidRPr="009C3552">
        <w:t>from Switzerland</w:t>
      </w:r>
      <w:r w:rsidR="000808A3" w:rsidRPr="009C3552">
        <w:t xml:space="preserve"> (527</w:t>
      </w:r>
      <w:r w:rsidR="00E17ABB">
        <w:t> </w:t>
      </w:r>
      <w:r w:rsidR="00744D41" w:rsidRPr="009C3552">
        <w:t>designs, i.e.</w:t>
      </w:r>
      <w:r w:rsidR="00DC448B">
        <w:t>,</w:t>
      </w:r>
      <w:r w:rsidR="00E17ABB">
        <w:t> </w:t>
      </w:r>
      <w:r w:rsidR="00744D41" w:rsidRPr="009C3552">
        <w:t>21.9</w:t>
      </w:r>
      <w:r w:rsidR="00E17ABB">
        <w:t> </w:t>
      </w:r>
      <w:r w:rsidR="00744D41" w:rsidRPr="009C3552">
        <w:t>per</w:t>
      </w:r>
      <w:r w:rsidR="00E17ABB">
        <w:t> </w:t>
      </w:r>
      <w:r w:rsidR="00744D41" w:rsidRPr="009C3552">
        <w:t>cent of the total number of designs</w:t>
      </w:r>
      <w:r w:rsidR="002B44FE" w:rsidRPr="009C3552">
        <w:t xml:space="preserve"> during that period</w:t>
      </w:r>
      <w:r w:rsidR="000808A3" w:rsidRPr="009C3552">
        <w:t>)</w:t>
      </w:r>
      <w:r w:rsidRPr="009C3552">
        <w:t xml:space="preserve">, Germany </w:t>
      </w:r>
      <w:r w:rsidR="000808A3" w:rsidRPr="009C3552">
        <w:t>(414</w:t>
      </w:r>
      <w:r w:rsidR="00744D41" w:rsidRPr="009C3552">
        <w:t>, i.e.</w:t>
      </w:r>
      <w:r w:rsidR="00DC448B">
        <w:t>,</w:t>
      </w:r>
      <w:r w:rsidR="00E17ABB">
        <w:t> </w:t>
      </w:r>
      <w:r w:rsidR="00744D41" w:rsidRPr="009C3552">
        <w:t>17.2</w:t>
      </w:r>
      <w:r w:rsidR="00E17ABB">
        <w:t> </w:t>
      </w:r>
      <w:r w:rsidR="00744D41" w:rsidRPr="009C3552">
        <w:t>per</w:t>
      </w:r>
      <w:r w:rsidR="00E17ABB">
        <w:t> </w:t>
      </w:r>
      <w:r w:rsidR="00744D41" w:rsidRPr="009C3552">
        <w:t>cent</w:t>
      </w:r>
      <w:r w:rsidR="000808A3" w:rsidRPr="009C3552">
        <w:t>)</w:t>
      </w:r>
      <w:r w:rsidR="00893D66" w:rsidRPr="009C3552">
        <w:t>,</w:t>
      </w:r>
      <w:r w:rsidRPr="009C3552">
        <w:t xml:space="preserve"> the Republic of</w:t>
      </w:r>
      <w:r w:rsidR="00E17ABB">
        <w:t> </w:t>
      </w:r>
      <w:r w:rsidRPr="009C3552">
        <w:t>Korea (263</w:t>
      </w:r>
      <w:r w:rsidR="00744D41" w:rsidRPr="009C3552">
        <w:t>, i.e.</w:t>
      </w:r>
      <w:r w:rsidR="00DC448B">
        <w:t>,</w:t>
      </w:r>
      <w:r w:rsidR="00E17ABB">
        <w:t> </w:t>
      </w:r>
      <w:r w:rsidR="00744D41" w:rsidRPr="009C3552">
        <w:t>10.9</w:t>
      </w:r>
      <w:r w:rsidR="00E17ABB">
        <w:t> </w:t>
      </w:r>
      <w:r w:rsidR="00744D41" w:rsidRPr="009C3552">
        <w:t>per</w:t>
      </w:r>
      <w:r w:rsidR="00E17ABB">
        <w:t> </w:t>
      </w:r>
      <w:r w:rsidR="00744D41" w:rsidRPr="009C3552">
        <w:t>cent</w:t>
      </w:r>
      <w:r w:rsidR="000808A3" w:rsidRPr="009C3552">
        <w:t>)</w:t>
      </w:r>
      <w:r w:rsidR="00447F1A" w:rsidRPr="009C3552">
        <w:t>, the Netherlands (221</w:t>
      </w:r>
      <w:r w:rsidR="00744D41" w:rsidRPr="009C3552">
        <w:t>, i.e.</w:t>
      </w:r>
      <w:r w:rsidR="00DC448B">
        <w:t>,</w:t>
      </w:r>
      <w:r w:rsidR="00E17ABB">
        <w:t> </w:t>
      </w:r>
      <w:r w:rsidR="00744D41" w:rsidRPr="009C3552">
        <w:t>9.2</w:t>
      </w:r>
      <w:r w:rsidR="00E17ABB">
        <w:t> </w:t>
      </w:r>
      <w:r w:rsidR="00744D41" w:rsidRPr="009C3552">
        <w:t>per</w:t>
      </w:r>
      <w:r w:rsidR="00E17ABB">
        <w:t> </w:t>
      </w:r>
      <w:r w:rsidR="00744D41" w:rsidRPr="009C3552">
        <w:t>cent</w:t>
      </w:r>
      <w:r w:rsidR="00447F1A" w:rsidRPr="009C3552">
        <w:t>), France (219</w:t>
      </w:r>
      <w:r w:rsidR="00744D41" w:rsidRPr="009C3552">
        <w:t>, i.e.</w:t>
      </w:r>
      <w:r w:rsidR="00DC448B">
        <w:t>,</w:t>
      </w:r>
      <w:r w:rsidR="00E17ABB">
        <w:t> </w:t>
      </w:r>
      <w:r w:rsidR="00744D41" w:rsidRPr="009C3552">
        <w:t>9.1</w:t>
      </w:r>
      <w:r w:rsidR="00E17ABB">
        <w:t> </w:t>
      </w:r>
      <w:r w:rsidR="00744D41" w:rsidRPr="009C3552">
        <w:t>per</w:t>
      </w:r>
      <w:r w:rsidR="00E17ABB">
        <w:t> </w:t>
      </w:r>
      <w:r w:rsidR="00744D41" w:rsidRPr="009C3552">
        <w:t>cent</w:t>
      </w:r>
      <w:r w:rsidR="00447F1A" w:rsidRPr="009C3552">
        <w:t>)</w:t>
      </w:r>
      <w:r w:rsidR="00763F7F" w:rsidRPr="009C3552">
        <w:t>,</w:t>
      </w:r>
      <w:r w:rsidR="000808A3" w:rsidRPr="009C3552">
        <w:t xml:space="preserve"> t</w:t>
      </w:r>
      <w:r w:rsidRPr="009C3552">
        <w:t>he United</w:t>
      </w:r>
      <w:r w:rsidR="00E17ABB">
        <w:t> </w:t>
      </w:r>
      <w:r w:rsidRPr="009C3552">
        <w:t>States of</w:t>
      </w:r>
      <w:r w:rsidR="00E17ABB">
        <w:t> </w:t>
      </w:r>
      <w:r w:rsidRPr="009C3552">
        <w:t>America (15</w:t>
      </w:r>
      <w:r w:rsidR="005A3493" w:rsidRPr="009C3552">
        <w:t>6</w:t>
      </w:r>
      <w:r w:rsidR="00744D41" w:rsidRPr="009C3552">
        <w:t>, i.e.</w:t>
      </w:r>
      <w:r w:rsidR="00DC448B">
        <w:t>,</w:t>
      </w:r>
      <w:r w:rsidR="009C7477">
        <w:t> </w:t>
      </w:r>
      <w:r w:rsidR="00744D41" w:rsidRPr="009C3552">
        <w:t>6.5</w:t>
      </w:r>
      <w:r w:rsidR="009C7477">
        <w:t> </w:t>
      </w:r>
      <w:r w:rsidR="00744D41" w:rsidRPr="009C3552">
        <w:t>per</w:t>
      </w:r>
      <w:r w:rsidR="009C7477">
        <w:t> </w:t>
      </w:r>
      <w:r w:rsidR="00744D41" w:rsidRPr="009C3552">
        <w:t>cent</w:t>
      </w:r>
      <w:r w:rsidRPr="009C3552">
        <w:t>)</w:t>
      </w:r>
      <w:r w:rsidR="00447F1A" w:rsidRPr="009C3552">
        <w:t xml:space="preserve"> and Italy (123</w:t>
      </w:r>
      <w:r w:rsidR="00744D41" w:rsidRPr="009C3552">
        <w:t>, i.e.</w:t>
      </w:r>
      <w:r w:rsidR="00DC448B">
        <w:t>,</w:t>
      </w:r>
      <w:r w:rsidR="009C7477">
        <w:t> </w:t>
      </w:r>
      <w:r w:rsidR="00744D41" w:rsidRPr="009C3552">
        <w:t>5.1</w:t>
      </w:r>
      <w:r w:rsidR="009C7477">
        <w:t> </w:t>
      </w:r>
      <w:r w:rsidR="00744D41" w:rsidRPr="009C3552">
        <w:t>per</w:t>
      </w:r>
      <w:r w:rsidR="009C7477">
        <w:t> </w:t>
      </w:r>
      <w:r w:rsidR="00744D41" w:rsidRPr="009C3552">
        <w:t>cent</w:t>
      </w:r>
      <w:r w:rsidR="00447F1A" w:rsidRPr="009C3552">
        <w:t>)</w:t>
      </w:r>
      <w:r w:rsidR="000808A3" w:rsidRPr="009C3552">
        <w:t xml:space="preserve">. </w:t>
      </w:r>
      <w:r w:rsidRPr="009C3552">
        <w:t xml:space="preserve"> Japan </w:t>
      </w:r>
      <w:r w:rsidR="000808A3" w:rsidRPr="009C3552">
        <w:t xml:space="preserve">was </w:t>
      </w:r>
      <w:r w:rsidRPr="009C3552">
        <w:t>in eight</w:t>
      </w:r>
      <w:r w:rsidR="00C6000C" w:rsidRPr="009C3552">
        <w:t>h</w:t>
      </w:r>
      <w:r w:rsidRPr="009C3552">
        <w:t xml:space="preserve"> place </w:t>
      </w:r>
      <w:r w:rsidR="00942FA9" w:rsidRPr="009C3552">
        <w:t>(</w:t>
      </w:r>
      <w:r w:rsidRPr="009C3552">
        <w:t>6</w:t>
      </w:r>
      <w:r w:rsidR="00075663" w:rsidRPr="009C3552">
        <w:t>9</w:t>
      </w:r>
      <w:r w:rsidR="00942FA9" w:rsidRPr="009C3552">
        <w:t>,</w:t>
      </w:r>
      <w:r w:rsidR="009C7477">
        <w:t xml:space="preserve"> </w:t>
      </w:r>
      <w:r w:rsidR="00744D41" w:rsidRPr="009C3552">
        <w:t>i.e.</w:t>
      </w:r>
      <w:r w:rsidR="00DC448B">
        <w:t>,</w:t>
      </w:r>
      <w:r w:rsidR="009C7477">
        <w:t> </w:t>
      </w:r>
      <w:r w:rsidR="00744D41" w:rsidRPr="009C3552">
        <w:t>2.9</w:t>
      </w:r>
      <w:r w:rsidR="009C7477">
        <w:t> </w:t>
      </w:r>
      <w:r w:rsidR="00744D41" w:rsidRPr="009C3552">
        <w:t>per</w:t>
      </w:r>
      <w:r w:rsidR="009C7477">
        <w:t> </w:t>
      </w:r>
      <w:r w:rsidR="00744D41" w:rsidRPr="009C3552">
        <w:t>cent)</w:t>
      </w:r>
      <w:r w:rsidR="0007733A" w:rsidRPr="009C3552">
        <w:t>, Austria was ninth (</w:t>
      </w:r>
      <w:r w:rsidR="007D3863" w:rsidRPr="009C3552">
        <w:t>59</w:t>
      </w:r>
      <w:r w:rsidR="00744D41" w:rsidRPr="009C3552">
        <w:t xml:space="preserve"> designs, i.e.</w:t>
      </w:r>
      <w:r w:rsidR="00DC448B">
        <w:t>,</w:t>
      </w:r>
      <w:r w:rsidR="009C7477">
        <w:t> </w:t>
      </w:r>
      <w:r w:rsidR="00744D41" w:rsidRPr="009C3552">
        <w:t>2.5</w:t>
      </w:r>
      <w:r w:rsidR="009C7477">
        <w:t> </w:t>
      </w:r>
      <w:r w:rsidR="00744D41" w:rsidRPr="009C3552">
        <w:t>per</w:t>
      </w:r>
      <w:r w:rsidR="009C7477">
        <w:t> </w:t>
      </w:r>
      <w:r w:rsidR="00744D41" w:rsidRPr="009C3552">
        <w:t>cent</w:t>
      </w:r>
      <w:r w:rsidR="0007733A" w:rsidRPr="009C3552">
        <w:t>) and Turkey was tenth (</w:t>
      </w:r>
      <w:r w:rsidR="007D3863" w:rsidRPr="009C3552">
        <w:t>47</w:t>
      </w:r>
      <w:r w:rsidR="009C7477">
        <w:t> </w:t>
      </w:r>
      <w:r w:rsidR="00744D41" w:rsidRPr="009C3552">
        <w:t>designs, i.e.</w:t>
      </w:r>
      <w:r w:rsidR="00DC448B">
        <w:t>,</w:t>
      </w:r>
      <w:r w:rsidR="009C7477">
        <w:t> </w:t>
      </w:r>
      <w:r w:rsidR="00744D41" w:rsidRPr="009C3552">
        <w:t>2</w:t>
      </w:r>
      <w:r w:rsidR="009C7477">
        <w:t> </w:t>
      </w:r>
      <w:r w:rsidR="00744D41" w:rsidRPr="009C3552">
        <w:t>per</w:t>
      </w:r>
      <w:r w:rsidR="009C7477">
        <w:t> </w:t>
      </w:r>
      <w:r w:rsidR="00744D41" w:rsidRPr="009C3552">
        <w:t>cent</w:t>
      </w:r>
      <w:r w:rsidR="0007733A" w:rsidRPr="009C3552">
        <w:t>)</w:t>
      </w:r>
      <w:r w:rsidR="0095444F" w:rsidRPr="009C7477">
        <w:rPr>
          <w:rStyle w:val="FootnoteReference"/>
        </w:rPr>
        <w:footnoteReference w:id="6"/>
      </w:r>
      <w:r w:rsidR="009C7477">
        <w:t>.</w:t>
      </w:r>
    </w:p>
    <w:p w:rsidR="00853B72" w:rsidRDefault="009C7477" w:rsidP="009C7477">
      <w:pPr>
        <w:pStyle w:val="Heading1"/>
        <w:rPr>
          <w:noProof/>
        </w:rPr>
      </w:pPr>
      <w:r>
        <w:rPr>
          <w:noProof/>
        </w:rPr>
        <w:t>III.</w:t>
      </w:r>
      <w:r>
        <w:rPr>
          <w:noProof/>
        </w:rPr>
        <w:tab/>
      </w:r>
      <w:r w:rsidR="00A26087">
        <w:rPr>
          <w:noProof/>
        </w:rPr>
        <w:t xml:space="preserve">RECENT </w:t>
      </w:r>
      <w:r w:rsidR="00853B72" w:rsidRPr="0011011B">
        <w:rPr>
          <w:noProof/>
        </w:rPr>
        <w:t xml:space="preserve">TRENDS </w:t>
      </w:r>
      <w:r>
        <w:rPr>
          <w:noProof/>
        </w:rPr>
        <w:t>IN FILING STRATEGIES</w:t>
      </w:r>
    </w:p>
    <w:p w:rsidR="00BE53DE" w:rsidRPr="00DC712B" w:rsidRDefault="00BE53DE" w:rsidP="009C7477">
      <w:pPr>
        <w:pStyle w:val="Heading2"/>
        <w:rPr>
          <w:noProof/>
        </w:rPr>
      </w:pPr>
      <w:r w:rsidRPr="00DC712B">
        <w:rPr>
          <w:noProof/>
        </w:rPr>
        <w:t>FEWER DESIGNS IN INTERNATIONAL REGISTRATIONS</w:t>
      </w:r>
    </w:p>
    <w:p w:rsidR="001B11C3" w:rsidRDefault="00220A2D" w:rsidP="009C7477">
      <w:pPr>
        <w:pStyle w:val="Heading3"/>
        <w:rPr>
          <w:noProof/>
        </w:rPr>
      </w:pPr>
      <w:r>
        <w:rPr>
          <w:noProof/>
        </w:rPr>
        <w:t xml:space="preserve">Average </w:t>
      </w:r>
      <w:r w:rsidR="00471BBE">
        <w:rPr>
          <w:noProof/>
        </w:rPr>
        <w:t>Number of Designs in International Registration</w:t>
      </w:r>
      <w:r w:rsidR="00793C91">
        <w:rPr>
          <w:noProof/>
        </w:rPr>
        <w:t>s</w:t>
      </w:r>
    </w:p>
    <w:p w:rsidR="009C7477" w:rsidRPr="009C7477" w:rsidRDefault="009C7477" w:rsidP="009C7477"/>
    <w:p w:rsidR="00471BBE" w:rsidRPr="00E474B5" w:rsidRDefault="00471BBE" w:rsidP="00E474B5">
      <w:pPr>
        <w:pStyle w:val="ONUME"/>
      </w:pPr>
      <w:r w:rsidRPr="00E474B5">
        <w:t>In 2014, the average number of designs in an international registration was</w:t>
      </w:r>
      <w:r w:rsidR="00BF5A94">
        <w:t xml:space="preserve"> five</w:t>
      </w:r>
      <w:r w:rsidRPr="00E474B5">
        <w:t>, whereas in 2015, that number was</w:t>
      </w:r>
      <w:r w:rsidR="00BF5A94">
        <w:t xml:space="preserve"> four</w:t>
      </w:r>
      <w:r w:rsidRPr="00E474B5">
        <w:t xml:space="preserve"> designs. </w:t>
      </w:r>
      <w:r w:rsidR="00BF5A94">
        <w:t xml:space="preserve"> </w:t>
      </w:r>
      <w:r w:rsidRPr="00E474B5">
        <w:t>During January</w:t>
      </w:r>
      <w:r w:rsidR="00BF5A94">
        <w:t xml:space="preserve"> to </w:t>
      </w:r>
      <w:r w:rsidR="00EE4D71" w:rsidRPr="00E474B5">
        <w:t>March</w:t>
      </w:r>
      <w:r w:rsidR="00BF5A94">
        <w:t> </w:t>
      </w:r>
      <w:r w:rsidRPr="00E474B5">
        <w:t xml:space="preserve">2016, the average number of designs in an international registration was further diminished to </w:t>
      </w:r>
      <w:r w:rsidR="00F01C9F" w:rsidRPr="00E474B5">
        <w:t>3.2</w:t>
      </w:r>
      <w:r w:rsidR="00BF5A94">
        <w:t> </w:t>
      </w:r>
      <w:r w:rsidRPr="00E474B5">
        <w:t>designs.  It is worth having a closer look at this</w:t>
      </w:r>
      <w:r w:rsidR="00BF5A94">
        <w:t xml:space="preserve"> </w:t>
      </w:r>
      <w:r w:rsidR="00BF5A94" w:rsidRPr="00E474B5">
        <w:t>phenomenon</w:t>
      </w:r>
      <w:r w:rsidRPr="00E474B5">
        <w:t>.</w:t>
      </w:r>
    </w:p>
    <w:p w:rsidR="00471BBE" w:rsidRDefault="00471BBE" w:rsidP="00212CE4">
      <w:pPr>
        <w:pStyle w:val="Heading3"/>
        <w:rPr>
          <w:noProof/>
        </w:rPr>
      </w:pPr>
      <w:r w:rsidRPr="00E4035A">
        <w:rPr>
          <w:noProof/>
        </w:rPr>
        <w:lastRenderedPageBreak/>
        <w:t>By Designated Contracting Party</w:t>
      </w:r>
    </w:p>
    <w:p w:rsidR="00212CE4" w:rsidRPr="00212CE4" w:rsidRDefault="00212CE4" w:rsidP="00212CE4"/>
    <w:p w:rsidR="00934542" w:rsidRDefault="002518D4" w:rsidP="00CE2B39">
      <w:pPr>
        <w:pStyle w:val="ONUME"/>
        <w:numPr>
          <w:ilvl w:val="0"/>
          <w:numId w:val="0"/>
        </w:numPr>
        <w:rPr>
          <w:noProof/>
          <w:u w:val="single"/>
        </w:rPr>
      </w:pPr>
      <w:r>
        <w:rPr>
          <w:noProof/>
          <w:lang w:eastAsia="en-US"/>
        </w:rPr>
        <mc:AlternateContent>
          <mc:Choice Requires="wps">
            <w:drawing>
              <wp:anchor distT="0" distB="0" distL="114300" distR="114300" simplePos="0" relativeHeight="251711488" behindDoc="0" locked="0" layoutInCell="1" allowOverlap="1" wp14:anchorId="37042175" wp14:editId="348467A9">
                <wp:simplePos x="0" y="0"/>
                <wp:positionH relativeFrom="column">
                  <wp:posOffset>2355850</wp:posOffset>
                </wp:positionH>
                <wp:positionV relativeFrom="paragraph">
                  <wp:posOffset>2310130</wp:posOffset>
                </wp:positionV>
                <wp:extent cx="1431925" cy="1403985"/>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noFill/>
                        <a:ln w="9525">
                          <a:noFill/>
                          <a:miter lim="800000"/>
                          <a:headEnd/>
                          <a:tailEnd/>
                        </a:ln>
                      </wps:spPr>
                      <wps:txbx>
                        <w:txbxContent>
                          <w:p w:rsidR="008B11DD" w:rsidRDefault="008B11DD" w:rsidP="002518D4">
                            <w:r>
                              <w:t>Jan-Mar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5pt;margin-top:181.9pt;width:112.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" filled="f" stroked="f">
                <v:textbox style="mso-fit-shape-to-text:t">
                  <w:txbxContent>
                    <w:p w:rsidR="008B11DD" w:rsidRDefault="008B11DD" w:rsidP="002518D4">
                      <w:r>
                        <w:t>Jan-Mar 2016</w:t>
                      </w:r>
                    </w:p>
                  </w:txbxContent>
                </v:textbox>
              </v:shape>
            </w:pict>
          </mc:Fallback>
        </mc:AlternateContent>
      </w:r>
      <w:r>
        <w:rPr>
          <w:noProof/>
          <w:lang w:eastAsia="en-US"/>
        </w:rPr>
        <mc:AlternateContent>
          <mc:Choice Requires="wps">
            <w:drawing>
              <wp:anchor distT="0" distB="0" distL="114300" distR="114300" simplePos="0" relativeHeight="251709440" behindDoc="0" locked="0" layoutInCell="1" allowOverlap="1" wp14:anchorId="56899649" wp14:editId="77574AD4">
                <wp:simplePos x="0" y="0"/>
                <wp:positionH relativeFrom="column">
                  <wp:posOffset>1373643</wp:posOffset>
                </wp:positionH>
                <wp:positionV relativeFrom="paragraph">
                  <wp:posOffset>2309467</wp:posOffset>
                </wp:positionV>
                <wp:extent cx="527685" cy="302150"/>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02150"/>
                        </a:xfrm>
                        <a:prstGeom prst="rect">
                          <a:avLst/>
                        </a:prstGeom>
                        <a:noFill/>
                        <a:ln w="9525">
                          <a:noFill/>
                          <a:miter lim="800000"/>
                          <a:headEnd/>
                          <a:tailEnd/>
                        </a:ln>
                      </wps:spPr>
                      <wps:txbx>
                        <w:txbxContent>
                          <w:p w:rsidR="008B11DD" w:rsidRDefault="008B11DD" w:rsidP="002518D4">
                            <w: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8.15pt;margin-top:181.85pt;width:41.55pt;height:2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" filled="f" stroked="f">
                <v:textbox>
                  <w:txbxContent>
                    <w:p w:rsidR="008B11DD" w:rsidRDefault="008B11DD" w:rsidP="002518D4">
                      <w:r>
                        <w:t>2015</w:t>
                      </w:r>
                    </w:p>
                  </w:txbxContent>
                </v:textbox>
              </v:shape>
            </w:pict>
          </mc:Fallback>
        </mc:AlternateContent>
      </w:r>
      <w:r w:rsidRPr="002518D4">
        <w:rPr>
          <w:noProof/>
          <w:u w:val="single"/>
          <w:lang w:eastAsia="en-US"/>
        </w:rPr>
        <mc:AlternateContent>
          <mc:Choice Requires="wps">
            <w:drawing>
              <wp:anchor distT="0" distB="0" distL="114300" distR="114300" simplePos="0" relativeHeight="251704320" behindDoc="0" locked="0" layoutInCell="1" allowOverlap="1" wp14:anchorId="6ADE9ED3" wp14:editId="797FEF92">
                <wp:simplePos x="0" y="0"/>
                <wp:positionH relativeFrom="column">
                  <wp:posOffset>1304290</wp:posOffset>
                </wp:positionH>
                <wp:positionV relativeFrom="paragraph">
                  <wp:posOffset>2413000</wp:posOffset>
                </wp:positionV>
                <wp:extent cx="71120" cy="74295"/>
                <wp:effectExtent l="0" t="0" r="5080" b="1905"/>
                <wp:wrapNone/>
                <wp:docPr id="4"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chemeClr val="accent5"/>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102.7pt;margin-top:190pt;width:5.6pt;height:5.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" fillcolor="#4bacc6 [3208]" stroked="f" strokeweight="1pt"/>
            </w:pict>
          </mc:Fallback>
        </mc:AlternateContent>
      </w:r>
      <w:r w:rsidRPr="002518D4">
        <w:rPr>
          <w:noProof/>
          <w:u w:val="single"/>
          <w:lang w:eastAsia="en-US"/>
        </w:rPr>
        <mc:AlternateContent>
          <mc:Choice Requires="wps">
            <w:drawing>
              <wp:anchor distT="0" distB="0" distL="114300" distR="114300" simplePos="0" relativeHeight="251703296" behindDoc="0" locked="0" layoutInCell="1" allowOverlap="1" wp14:anchorId="3C16BC09" wp14:editId="4F3872D2">
                <wp:simplePos x="0" y="0"/>
                <wp:positionH relativeFrom="column">
                  <wp:posOffset>205105</wp:posOffset>
                </wp:positionH>
                <wp:positionV relativeFrom="paragraph">
                  <wp:posOffset>2407285</wp:posOffset>
                </wp:positionV>
                <wp:extent cx="71120" cy="74295"/>
                <wp:effectExtent l="0" t="0" r="5080" b="1905"/>
                <wp:wrapNone/>
                <wp:docPr id="3"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id="Rectangle 1" o:spid="_x0000_s1026" style="position:absolute;margin-left:16.15pt;margin-top:189.55pt;width:5.6pt;height:5.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" fillcolor="#00b050" stroked="f" strokeweight="1pt"/>
            </w:pict>
          </mc:Fallback>
        </mc:AlternateContent>
      </w:r>
      <w:r w:rsidRPr="002518D4">
        <w:rPr>
          <w:noProof/>
          <w:u w:val="single"/>
          <w:lang w:eastAsia="en-US"/>
        </w:rPr>
        <mc:AlternateContent>
          <mc:Choice Requires="wps">
            <w:drawing>
              <wp:anchor distT="0" distB="0" distL="114300" distR="114300" simplePos="0" relativeHeight="251705344" behindDoc="0" locked="0" layoutInCell="1" allowOverlap="1" wp14:anchorId="4399BC0E" wp14:editId="7BD02FC9">
                <wp:simplePos x="0" y="0"/>
                <wp:positionH relativeFrom="column">
                  <wp:posOffset>2289810</wp:posOffset>
                </wp:positionH>
                <wp:positionV relativeFrom="paragraph">
                  <wp:posOffset>2412061</wp:posOffset>
                </wp:positionV>
                <wp:extent cx="71120" cy="74295"/>
                <wp:effectExtent l="0" t="0" r="5080" b="1905"/>
                <wp:wrapNone/>
                <wp:docPr id="5"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rgbClr val="FF0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180.3pt;margin-top:189.95pt;width:5.6pt;height:5.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" fillcolor="red" stroked="f" strokeweight="1pt"/>
            </w:pict>
          </mc:Fallback>
        </mc:AlternateContent>
      </w:r>
      <w:r>
        <w:rPr>
          <w:noProof/>
          <w:lang w:eastAsia="en-US"/>
        </w:rPr>
        <mc:AlternateContent>
          <mc:Choice Requires="wps">
            <w:drawing>
              <wp:anchor distT="0" distB="0" distL="114300" distR="114300" simplePos="0" relativeHeight="251707392" behindDoc="0" locked="0" layoutInCell="1" allowOverlap="1" wp14:anchorId="7CC635E4" wp14:editId="5B0E600A">
                <wp:simplePos x="0" y="0"/>
                <wp:positionH relativeFrom="column">
                  <wp:posOffset>273685</wp:posOffset>
                </wp:positionH>
                <wp:positionV relativeFrom="paragraph">
                  <wp:posOffset>2310130</wp:posOffset>
                </wp:positionV>
                <wp:extent cx="59880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1403985"/>
                        </a:xfrm>
                        <a:prstGeom prst="rect">
                          <a:avLst/>
                        </a:prstGeom>
                        <a:noFill/>
                        <a:ln w="9525">
                          <a:noFill/>
                          <a:miter lim="800000"/>
                          <a:headEnd/>
                          <a:tailEnd/>
                        </a:ln>
                      </wps:spPr>
                      <wps:txbx>
                        <w:txbxContent>
                          <w:p w:rsidR="008B11DD" w:rsidRDefault="008B11DD" w:rsidP="002518D4">
                            <w:r>
                              <w:t>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1.55pt;margin-top:181.9pt;width:47.1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" filled="f" stroked="f">
                <v:textbox style="mso-fit-shape-to-text:t">
                  <w:txbxContent>
                    <w:p w:rsidR="008B11DD" w:rsidRDefault="008B11DD" w:rsidP="002518D4">
                      <w:r>
                        <w:t>2014</w:t>
                      </w:r>
                    </w:p>
                  </w:txbxContent>
                </v:textbox>
              </v:shape>
            </w:pict>
          </mc:Fallback>
        </mc:AlternateContent>
      </w:r>
      <w:r>
        <w:rPr>
          <w:noProof/>
          <w:lang w:eastAsia="en-US"/>
        </w:rPr>
        <w:drawing>
          <wp:inline distT="0" distB="0" distL="0" distR="0" wp14:anchorId="51875558" wp14:editId="4FE1F885">
            <wp:extent cx="5923370" cy="2265770"/>
            <wp:effectExtent l="0" t="0" r="20320" b="203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518D4" w:rsidRDefault="002518D4" w:rsidP="00CE2B39">
      <w:pPr>
        <w:pStyle w:val="ONUME"/>
        <w:numPr>
          <w:ilvl w:val="0"/>
          <w:numId w:val="0"/>
        </w:numPr>
        <w:rPr>
          <w:noProof/>
        </w:rPr>
      </w:pPr>
    </w:p>
    <w:p w:rsidR="00D91208" w:rsidRPr="00E474B5" w:rsidRDefault="003A394E" w:rsidP="00E474B5">
      <w:pPr>
        <w:pStyle w:val="ONUME"/>
      </w:pPr>
      <w:r w:rsidRPr="00E474B5">
        <w:t xml:space="preserve">Looking at the most designated Contracting Parties, </w:t>
      </w:r>
      <w:r w:rsidR="001969AB" w:rsidRPr="00E474B5">
        <w:t>i</w:t>
      </w:r>
      <w:r w:rsidR="009D600D" w:rsidRPr="00E474B5">
        <w:t xml:space="preserve">n </w:t>
      </w:r>
      <w:r w:rsidR="00A878BB" w:rsidRPr="00E474B5">
        <w:t>2014, the highest average number of designs w</w:t>
      </w:r>
      <w:r w:rsidR="001969AB" w:rsidRPr="00E474B5">
        <w:t>as</w:t>
      </w:r>
      <w:r w:rsidR="00A878BB" w:rsidRPr="00E474B5">
        <w:t xml:space="preserve"> in international registrations designating (at least) Switzerland (5.5)</w:t>
      </w:r>
      <w:r w:rsidR="005459FB" w:rsidRPr="00E474B5">
        <w:t xml:space="preserve"> or</w:t>
      </w:r>
      <w:r w:rsidR="00A878BB" w:rsidRPr="00E474B5">
        <w:t xml:space="preserve"> the European Union (5.3)</w:t>
      </w:r>
      <w:r w:rsidR="002F2046" w:rsidRPr="00E474B5">
        <w:t>.</w:t>
      </w:r>
      <w:r w:rsidR="00D534C3" w:rsidRPr="00E474B5">
        <w:t xml:space="preserve"> </w:t>
      </w:r>
      <w:r w:rsidR="00212CE4">
        <w:t xml:space="preserve"> </w:t>
      </w:r>
      <w:r w:rsidR="00E017B5" w:rsidRPr="00E474B5">
        <w:t>T</w:t>
      </w:r>
      <w:r w:rsidR="002F2046" w:rsidRPr="00E474B5">
        <w:t>he average number of designs in international registrations designating (at least) the Republic of</w:t>
      </w:r>
      <w:r w:rsidR="002C6DC3">
        <w:t> </w:t>
      </w:r>
      <w:r w:rsidR="002F2046" w:rsidRPr="00E474B5">
        <w:t>Korea (3.7) was lower than the average number of designs</w:t>
      </w:r>
      <w:r w:rsidR="005459FB" w:rsidRPr="00E474B5">
        <w:t xml:space="preserve"> (5)</w:t>
      </w:r>
      <w:r w:rsidR="002F2046" w:rsidRPr="00E474B5">
        <w:t xml:space="preserve"> in all the international registrations</w:t>
      </w:r>
      <w:r w:rsidR="00D91208" w:rsidRPr="00E474B5">
        <w:t>.</w:t>
      </w:r>
    </w:p>
    <w:p w:rsidR="009D600D" w:rsidRPr="00E474B5" w:rsidRDefault="00D91208" w:rsidP="00E474B5">
      <w:pPr>
        <w:pStyle w:val="ONUME"/>
      </w:pPr>
      <w:r w:rsidRPr="00E474B5">
        <w:t>I</w:t>
      </w:r>
      <w:r w:rsidR="00D534C3" w:rsidRPr="00E474B5">
        <w:t xml:space="preserve">n </w:t>
      </w:r>
      <w:r w:rsidR="00663B29">
        <w:t xml:space="preserve">2015, </w:t>
      </w:r>
      <w:r w:rsidR="00D534C3" w:rsidRPr="00E474B5">
        <w:t xml:space="preserve">the </w:t>
      </w:r>
      <w:r w:rsidR="00E8751D" w:rsidRPr="00E474B5">
        <w:t xml:space="preserve">highest </w:t>
      </w:r>
      <w:r w:rsidR="00D534C3" w:rsidRPr="00E474B5">
        <w:t>average number</w:t>
      </w:r>
      <w:r w:rsidR="00E8751D" w:rsidRPr="00E474B5">
        <w:t>s</w:t>
      </w:r>
      <w:r w:rsidR="00D534C3" w:rsidRPr="00E474B5">
        <w:t xml:space="preserve"> of designs </w:t>
      </w:r>
      <w:r w:rsidR="00E8751D" w:rsidRPr="00E474B5">
        <w:t xml:space="preserve">were still </w:t>
      </w:r>
      <w:r w:rsidR="003679A8" w:rsidRPr="00E474B5">
        <w:t xml:space="preserve">in respect </w:t>
      </w:r>
      <w:r w:rsidR="00AD7AC0" w:rsidRPr="00E474B5">
        <w:t xml:space="preserve">of </w:t>
      </w:r>
      <w:r w:rsidR="009D600D" w:rsidRPr="00E474B5">
        <w:t>Switzerland</w:t>
      </w:r>
      <w:r w:rsidR="00663B29">
        <w:t> </w:t>
      </w:r>
      <w:r w:rsidR="00D534C3" w:rsidRPr="00E474B5">
        <w:t>(5)</w:t>
      </w:r>
      <w:r w:rsidR="0051497C" w:rsidRPr="00E474B5">
        <w:t xml:space="preserve"> and </w:t>
      </w:r>
      <w:r w:rsidR="009D600D" w:rsidRPr="00E474B5">
        <w:t xml:space="preserve">the European Union </w:t>
      </w:r>
      <w:r w:rsidR="00D534C3" w:rsidRPr="00E474B5">
        <w:t>(</w:t>
      </w:r>
      <w:r w:rsidR="009D600D" w:rsidRPr="00E474B5">
        <w:t>4.3</w:t>
      </w:r>
      <w:r w:rsidR="00D534C3" w:rsidRPr="00E474B5">
        <w:t>)</w:t>
      </w:r>
      <w:r w:rsidR="00712225" w:rsidRPr="00E474B5">
        <w:t xml:space="preserve"> </w:t>
      </w:r>
      <w:r w:rsidR="00E8751D" w:rsidRPr="00E474B5">
        <w:t>but went</w:t>
      </w:r>
      <w:r w:rsidR="00712225" w:rsidRPr="00E474B5">
        <w:t xml:space="preserve"> down slightly</w:t>
      </w:r>
      <w:r w:rsidR="00E8751D" w:rsidRPr="00E474B5">
        <w:t xml:space="preserve"> compared to 2014</w:t>
      </w:r>
      <w:r w:rsidRPr="00E474B5">
        <w:t>.</w:t>
      </w:r>
      <w:r w:rsidR="00663B29">
        <w:t xml:space="preserve">  </w:t>
      </w:r>
      <w:r w:rsidR="00E017B5" w:rsidRPr="00E474B5">
        <w:t>T</w:t>
      </w:r>
      <w:r w:rsidR="00057209" w:rsidRPr="00E474B5">
        <w:t xml:space="preserve">he average number of designs in </w:t>
      </w:r>
      <w:r w:rsidR="00F5740B" w:rsidRPr="00E474B5">
        <w:t xml:space="preserve">international registrations </w:t>
      </w:r>
      <w:r w:rsidR="00452608" w:rsidRPr="00E474B5">
        <w:t>designati</w:t>
      </w:r>
      <w:r w:rsidR="00F5740B" w:rsidRPr="00E474B5">
        <w:t>ng</w:t>
      </w:r>
      <w:r w:rsidR="00452608" w:rsidRPr="00E474B5">
        <w:t xml:space="preserve"> (at least) </w:t>
      </w:r>
      <w:r w:rsidR="009D600D" w:rsidRPr="00E474B5">
        <w:t xml:space="preserve">Japan </w:t>
      </w:r>
      <w:r w:rsidR="00057209" w:rsidRPr="00E474B5">
        <w:t>(</w:t>
      </w:r>
      <w:r w:rsidR="009D600D" w:rsidRPr="00E474B5">
        <w:t>2.1</w:t>
      </w:r>
      <w:r w:rsidR="00057209" w:rsidRPr="00E474B5">
        <w:t>)</w:t>
      </w:r>
      <w:r w:rsidR="009D600D" w:rsidRPr="00E474B5">
        <w:t>, the United States of</w:t>
      </w:r>
      <w:r w:rsidR="00663B29">
        <w:t> </w:t>
      </w:r>
      <w:r w:rsidR="009D600D" w:rsidRPr="00E474B5">
        <w:t>America</w:t>
      </w:r>
      <w:r w:rsidR="00057209" w:rsidRPr="00E474B5">
        <w:t xml:space="preserve"> (</w:t>
      </w:r>
      <w:r w:rsidR="009D600D" w:rsidRPr="00E474B5">
        <w:t>2.5</w:t>
      </w:r>
      <w:r w:rsidR="00057209" w:rsidRPr="00E474B5">
        <w:t>)</w:t>
      </w:r>
      <w:r w:rsidR="009D600D" w:rsidRPr="00E474B5">
        <w:t xml:space="preserve"> </w:t>
      </w:r>
      <w:r w:rsidR="00956B24" w:rsidRPr="00E474B5">
        <w:t>or</w:t>
      </w:r>
      <w:r w:rsidR="009D600D" w:rsidRPr="00E474B5">
        <w:t xml:space="preserve"> the Republic of</w:t>
      </w:r>
      <w:r w:rsidR="00663B29">
        <w:t> </w:t>
      </w:r>
      <w:r w:rsidR="009D600D" w:rsidRPr="00E474B5">
        <w:t>Korea</w:t>
      </w:r>
      <w:r w:rsidR="00057209" w:rsidRPr="00E474B5">
        <w:t xml:space="preserve"> (</w:t>
      </w:r>
      <w:r w:rsidR="009D600D" w:rsidRPr="00E474B5">
        <w:t>2.9</w:t>
      </w:r>
      <w:r w:rsidR="00057209" w:rsidRPr="00E474B5">
        <w:t>)</w:t>
      </w:r>
      <w:r w:rsidR="005459FB" w:rsidRPr="00E474B5">
        <w:t xml:space="preserve"> was significantly lower</w:t>
      </w:r>
      <w:r w:rsidR="00712225" w:rsidRPr="00E474B5">
        <w:t xml:space="preserve"> than the average number of designs (4) in all international registrations.</w:t>
      </w:r>
    </w:p>
    <w:p w:rsidR="00163310" w:rsidRPr="00E474B5" w:rsidRDefault="009D600D" w:rsidP="00E474B5">
      <w:pPr>
        <w:pStyle w:val="ONUME"/>
      </w:pPr>
      <w:r w:rsidRPr="00E474B5">
        <w:t xml:space="preserve">During the first three months of 2016, the average number of designs in international registrations designating </w:t>
      </w:r>
      <w:r w:rsidR="000A45C4" w:rsidRPr="00E474B5">
        <w:t xml:space="preserve">(at least) </w:t>
      </w:r>
      <w:r w:rsidRPr="00E474B5">
        <w:t xml:space="preserve">Switzerland </w:t>
      </w:r>
      <w:r w:rsidR="000A45C4" w:rsidRPr="00E474B5">
        <w:t>(</w:t>
      </w:r>
      <w:r w:rsidRPr="00E474B5">
        <w:t>4</w:t>
      </w:r>
      <w:r w:rsidR="000A45C4" w:rsidRPr="00E474B5">
        <w:t>)</w:t>
      </w:r>
      <w:r w:rsidRPr="00E474B5">
        <w:t xml:space="preserve">, </w:t>
      </w:r>
      <w:r w:rsidR="000A45C4" w:rsidRPr="00E474B5">
        <w:t>or</w:t>
      </w:r>
      <w:r w:rsidRPr="00E474B5">
        <w:t xml:space="preserve"> the European Union </w:t>
      </w:r>
      <w:r w:rsidR="000A45C4" w:rsidRPr="00E474B5">
        <w:t>(</w:t>
      </w:r>
      <w:r w:rsidRPr="00E474B5">
        <w:t>3.5</w:t>
      </w:r>
      <w:r w:rsidR="000A45C4" w:rsidRPr="00E474B5">
        <w:t>) further dropped</w:t>
      </w:r>
      <w:r w:rsidRPr="00E474B5">
        <w:t xml:space="preserve">. </w:t>
      </w:r>
      <w:r w:rsidR="00212CE4">
        <w:t xml:space="preserve"> </w:t>
      </w:r>
      <w:r w:rsidRPr="00E474B5">
        <w:t xml:space="preserve">The average number of designs in international registrations designating </w:t>
      </w:r>
      <w:r w:rsidR="000A45C4" w:rsidRPr="00E474B5">
        <w:t xml:space="preserve">(at least) </w:t>
      </w:r>
      <w:r w:rsidRPr="00E474B5">
        <w:t>the United</w:t>
      </w:r>
      <w:r w:rsidR="00212CE4">
        <w:t> </w:t>
      </w:r>
      <w:r w:rsidRPr="00E474B5">
        <w:t>States of</w:t>
      </w:r>
      <w:r w:rsidR="00212CE4">
        <w:t> </w:t>
      </w:r>
      <w:r w:rsidRPr="00E474B5">
        <w:t>America</w:t>
      </w:r>
      <w:r w:rsidR="000A45C4" w:rsidRPr="00E474B5">
        <w:t xml:space="preserve"> (</w:t>
      </w:r>
      <w:r w:rsidRPr="00E474B5">
        <w:t>1.5</w:t>
      </w:r>
      <w:r w:rsidR="000A45C4" w:rsidRPr="00E474B5">
        <w:t>)</w:t>
      </w:r>
      <w:r w:rsidRPr="00E474B5">
        <w:t xml:space="preserve">, Japan </w:t>
      </w:r>
      <w:r w:rsidR="000A45C4" w:rsidRPr="00E474B5">
        <w:t>(</w:t>
      </w:r>
      <w:r w:rsidRPr="00E474B5">
        <w:t>2.4</w:t>
      </w:r>
      <w:r w:rsidR="000A45C4" w:rsidRPr="00E474B5">
        <w:t>)</w:t>
      </w:r>
      <w:r w:rsidRPr="00E474B5">
        <w:t xml:space="preserve"> </w:t>
      </w:r>
      <w:r w:rsidR="000A45C4" w:rsidRPr="00E474B5">
        <w:t>or</w:t>
      </w:r>
      <w:r w:rsidRPr="00E474B5">
        <w:t xml:space="preserve"> the Republic of</w:t>
      </w:r>
      <w:r w:rsidR="00212CE4">
        <w:t> </w:t>
      </w:r>
      <w:r w:rsidRPr="00E474B5">
        <w:t xml:space="preserve">Korea </w:t>
      </w:r>
      <w:r w:rsidR="000A45C4" w:rsidRPr="00E474B5">
        <w:t>(</w:t>
      </w:r>
      <w:r w:rsidRPr="00E474B5">
        <w:t>2.7</w:t>
      </w:r>
      <w:r w:rsidR="000A45C4" w:rsidRPr="00E474B5">
        <w:t>)</w:t>
      </w:r>
      <w:r w:rsidRPr="00E474B5">
        <w:t xml:space="preserve"> </w:t>
      </w:r>
      <w:r w:rsidR="005459FB" w:rsidRPr="00E474B5">
        <w:t>remained low</w:t>
      </w:r>
      <w:r w:rsidR="00CD2FC5" w:rsidRPr="00E474B5">
        <w:t>.</w:t>
      </w:r>
    </w:p>
    <w:p w:rsidR="00EB4501" w:rsidRPr="00E474B5" w:rsidRDefault="00D125D1" w:rsidP="00E474B5">
      <w:pPr>
        <w:pStyle w:val="ONUME"/>
      </w:pPr>
      <w:r w:rsidRPr="00E474B5">
        <w:t xml:space="preserve">It </w:t>
      </w:r>
      <w:r w:rsidR="00150630" w:rsidRPr="00E474B5">
        <w:t>is recalled that the United</w:t>
      </w:r>
      <w:r w:rsidR="00212CE4">
        <w:t> </w:t>
      </w:r>
      <w:r w:rsidR="00150630" w:rsidRPr="00E474B5">
        <w:t>States of</w:t>
      </w:r>
      <w:r w:rsidR="00212CE4">
        <w:t> </w:t>
      </w:r>
      <w:r w:rsidR="00150630" w:rsidRPr="00E474B5">
        <w:t>America is a frequently designated Contracting Party</w:t>
      </w:r>
      <w:r w:rsidR="00F21BCD" w:rsidRPr="00212CE4">
        <w:rPr>
          <w:rStyle w:val="FootnoteReference"/>
        </w:rPr>
        <w:footnoteReference w:id="7"/>
      </w:r>
      <w:r w:rsidR="00F21BCD" w:rsidRPr="00E474B5">
        <w:t>, and it seems that the filing strategies take into account the requirement of unity of design under the law of the United States of America</w:t>
      </w:r>
      <w:r w:rsidR="00F21BCD" w:rsidRPr="00D674B0">
        <w:rPr>
          <w:rStyle w:val="FootnoteReference"/>
        </w:rPr>
        <w:footnoteReference w:id="8"/>
      </w:r>
      <w:r w:rsidR="00F21BCD" w:rsidRPr="00E474B5">
        <w:t xml:space="preserve">.  </w:t>
      </w:r>
      <w:r w:rsidR="004C0060" w:rsidRPr="00E474B5">
        <w:t>Thus, a</w:t>
      </w:r>
      <w:r w:rsidRPr="00E474B5">
        <w:t>n explanation to an overall trend of fewer designs in an international registration might be that users of the Hague System wish to forestall a possible refusal by the</w:t>
      </w:r>
      <w:r w:rsidR="00663B29">
        <w:t xml:space="preserve"> United States Patent and Trademark Office</w:t>
      </w:r>
      <w:r w:rsidRPr="00E474B5">
        <w:t xml:space="preserve"> </w:t>
      </w:r>
      <w:r w:rsidR="00663B29">
        <w:t>(</w:t>
      </w:r>
      <w:r w:rsidRPr="00E474B5">
        <w:t>USPTO</w:t>
      </w:r>
      <w:r w:rsidR="00663B29">
        <w:t>)</w:t>
      </w:r>
      <w:r w:rsidRPr="00E474B5">
        <w:t xml:space="preserve"> on the ground</w:t>
      </w:r>
      <w:r w:rsidR="00D674B0">
        <w:t>s</w:t>
      </w:r>
      <w:r w:rsidRPr="00E474B5">
        <w:t xml:space="preserve"> of lack of unity and, consequently, instead of filing divisional applications prefer to file several </w:t>
      </w:r>
      <w:r w:rsidR="004C0060" w:rsidRPr="00E474B5">
        <w:t xml:space="preserve">single design </w:t>
      </w:r>
      <w:r w:rsidRPr="00E474B5">
        <w:t>international applications</w:t>
      </w:r>
      <w:r w:rsidR="004C0060" w:rsidRPr="00E474B5">
        <w:t>.</w:t>
      </w:r>
    </w:p>
    <w:p w:rsidR="00A271CB" w:rsidRDefault="00A271CB">
      <w:pPr>
        <w:rPr>
          <w:bCs/>
          <w:noProof/>
          <w:szCs w:val="26"/>
          <w:u w:val="single"/>
        </w:rPr>
      </w:pPr>
      <w:r>
        <w:rPr>
          <w:noProof/>
        </w:rPr>
        <w:br w:type="page"/>
      </w:r>
    </w:p>
    <w:p w:rsidR="00471BBE" w:rsidRDefault="00471BBE" w:rsidP="00F92173">
      <w:pPr>
        <w:pStyle w:val="Heading3"/>
        <w:rPr>
          <w:noProof/>
        </w:rPr>
      </w:pPr>
      <w:r w:rsidRPr="00E4035A">
        <w:rPr>
          <w:noProof/>
        </w:rPr>
        <w:lastRenderedPageBreak/>
        <w:t>By Country of Address of the Holder of the International Registration</w:t>
      </w:r>
    </w:p>
    <w:p w:rsidR="00F92173" w:rsidRPr="00F92173" w:rsidRDefault="00F92173" w:rsidP="00F92173"/>
    <w:p w:rsidR="00220A2D" w:rsidRPr="00E474B5" w:rsidRDefault="002E3D27" w:rsidP="00E474B5">
      <w:pPr>
        <w:pStyle w:val="ONUME"/>
      </w:pPr>
      <w:r w:rsidRPr="00E474B5">
        <w:t xml:space="preserve">In </w:t>
      </w:r>
      <w:r w:rsidR="00B31E15" w:rsidRPr="00E474B5">
        <w:t xml:space="preserve">2014, </w:t>
      </w:r>
      <w:r w:rsidRPr="00E474B5">
        <w:t>in the top</w:t>
      </w:r>
      <w:r w:rsidR="00332BC2">
        <w:t> 10</w:t>
      </w:r>
      <w:r w:rsidRPr="00E474B5">
        <w:t xml:space="preserve"> </w:t>
      </w:r>
      <w:r w:rsidR="00220A2D" w:rsidRPr="00E474B5">
        <w:t>origins</w:t>
      </w:r>
      <w:r w:rsidRPr="00E474B5">
        <w:t xml:space="preserve">, the highest average number of designs </w:t>
      </w:r>
      <w:r w:rsidR="00697C68" w:rsidRPr="00E474B5">
        <w:t xml:space="preserve">was </w:t>
      </w:r>
      <w:r w:rsidRPr="00E474B5">
        <w:t xml:space="preserve">in </w:t>
      </w:r>
      <w:r w:rsidR="007D3E98" w:rsidRPr="00E474B5">
        <w:t xml:space="preserve">respect of </w:t>
      </w:r>
      <w:r w:rsidRPr="00E474B5">
        <w:t>international registrations originating from</w:t>
      </w:r>
      <w:r w:rsidR="00B31E15" w:rsidRPr="00E474B5">
        <w:t xml:space="preserve"> </w:t>
      </w:r>
      <w:r w:rsidR="00FC4C3E" w:rsidRPr="00E474B5">
        <w:t>the United</w:t>
      </w:r>
      <w:r w:rsidR="00F92173">
        <w:t> </w:t>
      </w:r>
      <w:r w:rsidR="00FC4C3E" w:rsidRPr="00E474B5">
        <w:t>States of</w:t>
      </w:r>
      <w:r w:rsidR="00F92173">
        <w:t> </w:t>
      </w:r>
      <w:r w:rsidR="00FC4C3E" w:rsidRPr="00E474B5">
        <w:t xml:space="preserve">America (6), followed by </w:t>
      </w:r>
      <w:r w:rsidR="00B31E15" w:rsidRPr="00E474B5">
        <w:t>Germany (5.8</w:t>
      </w:r>
      <w:r w:rsidR="00FC4C3E" w:rsidRPr="00E474B5">
        <w:t>)</w:t>
      </w:r>
      <w:r w:rsidR="00B72BC8" w:rsidRPr="00E474B5">
        <w:t xml:space="preserve"> and </w:t>
      </w:r>
      <w:r w:rsidR="00FC4C3E" w:rsidRPr="00E474B5">
        <w:t xml:space="preserve">Switzerland (4.9).  </w:t>
      </w:r>
      <w:r w:rsidR="00232649" w:rsidRPr="00E474B5">
        <w:t>Furthermore</w:t>
      </w:r>
      <w:r w:rsidR="00220A2D" w:rsidRPr="00E474B5">
        <w:t xml:space="preserve">, the average number of designs </w:t>
      </w:r>
      <w:r w:rsidR="00752AB6" w:rsidRPr="00E474B5">
        <w:t>of</w:t>
      </w:r>
      <w:r w:rsidR="00220A2D" w:rsidRPr="00E474B5">
        <w:t xml:space="preserve"> international registrations originating from the Republic of</w:t>
      </w:r>
      <w:r w:rsidR="00F92173">
        <w:t> </w:t>
      </w:r>
      <w:r w:rsidR="00220A2D" w:rsidRPr="00E474B5">
        <w:t>Korea (2.2) w</w:t>
      </w:r>
      <w:r w:rsidR="00752AB6" w:rsidRPr="00E474B5">
        <w:t>as</w:t>
      </w:r>
      <w:r w:rsidR="00220A2D" w:rsidRPr="00E474B5">
        <w:t xml:space="preserve"> among the lowest</w:t>
      </w:r>
      <w:r w:rsidR="00220A2D" w:rsidRPr="00F92173">
        <w:rPr>
          <w:rStyle w:val="FootnoteReference"/>
        </w:rPr>
        <w:footnoteReference w:id="9"/>
      </w:r>
      <w:r w:rsidR="00F92173">
        <w:t>.</w:t>
      </w:r>
    </w:p>
    <w:p w:rsidR="002E3D27" w:rsidRPr="00E474B5" w:rsidRDefault="00697C68" w:rsidP="00E474B5">
      <w:pPr>
        <w:pStyle w:val="ONUME"/>
      </w:pPr>
      <w:r w:rsidRPr="00E474B5">
        <w:t>I</w:t>
      </w:r>
      <w:r w:rsidR="00FC4C3E" w:rsidRPr="00E474B5">
        <w:t xml:space="preserve">n 2015, there was a slight decrease in </w:t>
      </w:r>
      <w:r w:rsidR="007D3E98" w:rsidRPr="00E474B5">
        <w:t xml:space="preserve">respect of </w:t>
      </w:r>
      <w:r w:rsidR="000E3C03" w:rsidRPr="00E474B5">
        <w:t xml:space="preserve">certain of </w:t>
      </w:r>
      <w:r w:rsidR="00FC4C3E" w:rsidRPr="00E474B5">
        <w:t>those figures</w:t>
      </w:r>
      <w:r w:rsidR="00497369" w:rsidRPr="00E474B5">
        <w:t>, namely,</w:t>
      </w:r>
      <w:r w:rsidR="000E3C03" w:rsidRPr="00E474B5">
        <w:t xml:space="preserve"> </w:t>
      </w:r>
      <w:r w:rsidR="002E3D27" w:rsidRPr="00E474B5">
        <w:t xml:space="preserve">Germany </w:t>
      </w:r>
      <w:r w:rsidR="00FC4C3E" w:rsidRPr="00E474B5">
        <w:t>(</w:t>
      </w:r>
      <w:r w:rsidR="002E3D27" w:rsidRPr="00E474B5">
        <w:t>5.4</w:t>
      </w:r>
      <w:r w:rsidR="00FC4C3E" w:rsidRPr="00E474B5">
        <w:t>)</w:t>
      </w:r>
      <w:r w:rsidR="002E3D27" w:rsidRPr="00E474B5">
        <w:t>, the United</w:t>
      </w:r>
      <w:r w:rsidR="00FF5F90">
        <w:t> </w:t>
      </w:r>
      <w:r w:rsidR="002E3D27" w:rsidRPr="00E474B5">
        <w:t>States of</w:t>
      </w:r>
      <w:r w:rsidR="00FF5F90">
        <w:t> </w:t>
      </w:r>
      <w:r w:rsidR="002E3D27" w:rsidRPr="00E474B5">
        <w:t xml:space="preserve">America </w:t>
      </w:r>
      <w:r w:rsidR="00FC4C3E" w:rsidRPr="00E474B5">
        <w:t>(</w:t>
      </w:r>
      <w:r w:rsidR="002E3D27" w:rsidRPr="00E474B5">
        <w:t>4.8</w:t>
      </w:r>
      <w:r w:rsidR="00FC4C3E" w:rsidRPr="00E474B5">
        <w:t>)</w:t>
      </w:r>
      <w:r w:rsidR="00FF5F90">
        <w:t>,</w:t>
      </w:r>
      <w:r w:rsidR="002E3D27" w:rsidRPr="00E474B5">
        <w:t xml:space="preserve"> </w:t>
      </w:r>
      <w:r w:rsidR="00FC4C3E" w:rsidRPr="00E474B5">
        <w:t>a</w:t>
      </w:r>
      <w:r w:rsidR="007D3E98" w:rsidRPr="00E474B5">
        <w:t xml:space="preserve">s well as </w:t>
      </w:r>
      <w:r w:rsidR="00FC4C3E" w:rsidRPr="00E474B5">
        <w:t>Switzerland (4.4)</w:t>
      </w:r>
      <w:r w:rsidR="000C38DA" w:rsidRPr="00E474B5">
        <w:t>,</w:t>
      </w:r>
      <w:r w:rsidR="000E3C03" w:rsidRPr="00E474B5">
        <w:t xml:space="preserve"> but</w:t>
      </w:r>
      <w:r w:rsidR="00680DF1" w:rsidRPr="00E474B5">
        <w:t xml:space="preserve"> </w:t>
      </w:r>
      <w:r w:rsidR="008B148A" w:rsidRPr="00E474B5">
        <w:t>t</w:t>
      </w:r>
      <w:r w:rsidR="00FC4C3E" w:rsidRPr="00E474B5">
        <w:t>here were also trends in the o</w:t>
      </w:r>
      <w:r w:rsidR="00234B46" w:rsidRPr="00E474B5">
        <w:t>pposite</w:t>
      </w:r>
      <w:r w:rsidR="00FC4C3E" w:rsidRPr="00E474B5">
        <w:t xml:space="preserve"> direction</w:t>
      </w:r>
      <w:r w:rsidR="000E3C03" w:rsidRPr="00E474B5">
        <w:t xml:space="preserve"> (</w:t>
      </w:r>
      <w:r w:rsidR="00FC4C3E" w:rsidRPr="00E474B5">
        <w:t>for example,</w:t>
      </w:r>
      <w:r w:rsidR="00FF5F90">
        <w:t xml:space="preserve"> </w:t>
      </w:r>
      <w:r w:rsidR="00FC4C3E" w:rsidRPr="00E474B5">
        <w:t>the Netherlands</w:t>
      </w:r>
      <w:r w:rsidR="000E3C03" w:rsidRPr="00E474B5">
        <w:t xml:space="preserve">, with </w:t>
      </w:r>
      <w:r w:rsidR="00C0080A" w:rsidRPr="00E474B5">
        <w:t xml:space="preserve">4.6 </w:t>
      </w:r>
      <w:r w:rsidR="000E3C03" w:rsidRPr="00E474B5">
        <w:t>and up from</w:t>
      </w:r>
      <w:r w:rsidR="00FF5F90">
        <w:t xml:space="preserve"> three</w:t>
      </w:r>
      <w:r w:rsidR="000E3C03" w:rsidRPr="00E474B5">
        <w:t xml:space="preserve"> </w:t>
      </w:r>
      <w:r w:rsidR="00C0080A" w:rsidRPr="00E474B5">
        <w:t>in</w:t>
      </w:r>
      <w:r w:rsidR="00FF5F90">
        <w:t> </w:t>
      </w:r>
      <w:r w:rsidR="00C0080A" w:rsidRPr="00E474B5">
        <w:t>2014</w:t>
      </w:r>
      <w:r w:rsidR="00FC4C3E" w:rsidRPr="00E474B5">
        <w:t>)</w:t>
      </w:r>
      <w:r w:rsidR="00B736F2" w:rsidRPr="00E474B5">
        <w:t>.</w:t>
      </w:r>
      <w:r w:rsidR="007D3E98" w:rsidRPr="00E474B5">
        <w:t xml:space="preserve"> </w:t>
      </w:r>
      <w:r w:rsidR="00C14489" w:rsidRPr="00E474B5">
        <w:t xml:space="preserve"> Finally, in 2015</w:t>
      </w:r>
      <w:r w:rsidR="00FF5F90">
        <w:t>,</w:t>
      </w:r>
      <w:r w:rsidR="007D3E98" w:rsidRPr="00E474B5">
        <w:t xml:space="preserve"> the </w:t>
      </w:r>
      <w:r w:rsidR="00234B46" w:rsidRPr="00E474B5">
        <w:t>average number of designs in international registrations originating from the Republic of</w:t>
      </w:r>
      <w:r w:rsidR="00FF5F90">
        <w:t> </w:t>
      </w:r>
      <w:r w:rsidR="00234B46" w:rsidRPr="00E474B5">
        <w:t xml:space="preserve">Korea </w:t>
      </w:r>
      <w:r w:rsidR="007D3E98" w:rsidRPr="00E474B5">
        <w:t>(1.2) and Japan (3.2)</w:t>
      </w:r>
      <w:r w:rsidR="00234B46" w:rsidRPr="00E474B5">
        <w:t xml:space="preserve"> were among the lowest.</w:t>
      </w:r>
    </w:p>
    <w:p w:rsidR="00471BBE" w:rsidRPr="00E474B5" w:rsidRDefault="002E3D27" w:rsidP="00E474B5">
      <w:pPr>
        <w:pStyle w:val="ONUME"/>
      </w:pPr>
      <w:r w:rsidRPr="00E474B5">
        <w:t xml:space="preserve">During the first three months of 2016, </w:t>
      </w:r>
      <w:r w:rsidR="000E3C03" w:rsidRPr="00E474B5">
        <w:t xml:space="preserve">the </w:t>
      </w:r>
      <w:r w:rsidR="00F07F00" w:rsidRPr="00E474B5">
        <w:t xml:space="preserve">average number of designs in </w:t>
      </w:r>
      <w:r w:rsidRPr="00E474B5">
        <w:t xml:space="preserve">international registrations originating from the Netherlands </w:t>
      </w:r>
      <w:r w:rsidR="00D125D1" w:rsidRPr="00E474B5">
        <w:t xml:space="preserve">(5.7) </w:t>
      </w:r>
      <w:r w:rsidR="00F07F00" w:rsidRPr="00E474B5">
        <w:t xml:space="preserve">continued to increase </w:t>
      </w:r>
      <w:r w:rsidR="00097FBA" w:rsidRPr="00E474B5">
        <w:t>to become the highest</w:t>
      </w:r>
      <w:r w:rsidRPr="00E474B5">
        <w:t xml:space="preserve">, followed by </w:t>
      </w:r>
      <w:r w:rsidR="00097FBA" w:rsidRPr="00E474B5">
        <w:t xml:space="preserve">that relating to </w:t>
      </w:r>
      <w:r w:rsidRPr="00E474B5">
        <w:t>the United</w:t>
      </w:r>
      <w:r w:rsidR="002C6DC3">
        <w:t> </w:t>
      </w:r>
      <w:r w:rsidRPr="00E474B5">
        <w:t>States of</w:t>
      </w:r>
      <w:r w:rsidR="002C6DC3">
        <w:t> </w:t>
      </w:r>
      <w:r w:rsidRPr="00E474B5">
        <w:t>America</w:t>
      </w:r>
      <w:r w:rsidR="00F07F00" w:rsidRPr="00E474B5">
        <w:t xml:space="preserve"> (</w:t>
      </w:r>
      <w:r w:rsidRPr="00E474B5">
        <w:t>5.4</w:t>
      </w:r>
      <w:r w:rsidR="00F07F00" w:rsidRPr="00E474B5">
        <w:t>)</w:t>
      </w:r>
      <w:r w:rsidRPr="00E474B5">
        <w:t xml:space="preserve"> and Germany</w:t>
      </w:r>
      <w:r w:rsidR="00F07F00" w:rsidRPr="00E474B5">
        <w:t xml:space="preserve"> (</w:t>
      </w:r>
      <w:r w:rsidRPr="00E474B5">
        <w:t>4.4 designs</w:t>
      </w:r>
      <w:r w:rsidR="00F07F00" w:rsidRPr="00E474B5">
        <w:t>)</w:t>
      </w:r>
      <w:r w:rsidRPr="00E474B5">
        <w:t xml:space="preserve">. </w:t>
      </w:r>
      <w:r w:rsidR="00F07F00" w:rsidRPr="00E474B5">
        <w:t xml:space="preserve"> On the other hand, </w:t>
      </w:r>
      <w:r w:rsidR="002A0C8D" w:rsidRPr="00E474B5">
        <w:t xml:space="preserve">the average number of designs in </w:t>
      </w:r>
      <w:r w:rsidRPr="00E474B5">
        <w:t>international registrations originating from the Republic of</w:t>
      </w:r>
      <w:r w:rsidR="002C6DC3">
        <w:t> </w:t>
      </w:r>
      <w:r w:rsidRPr="00E474B5">
        <w:t>Korea</w:t>
      </w:r>
      <w:r w:rsidR="00F07F00" w:rsidRPr="00E474B5">
        <w:t xml:space="preserve"> (1.4) and Japan (2.4)</w:t>
      </w:r>
      <w:r w:rsidRPr="00E474B5">
        <w:t xml:space="preserve"> </w:t>
      </w:r>
      <w:r w:rsidR="002A0C8D" w:rsidRPr="00E474B5">
        <w:t>continued to be</w:t>
      </w:r>
      <w:r w:rsidR="00F22776" w:rsidRPr="00E474B5">
        <w:t xml:space="preserve"> </w:t>
      </w:r>
      <w:r w:rsidR="00F07F00" w:rsidRPr="00E474B5">
        <w:t>low</w:t>
      </w:r>
      <w:r w:rsidRPr="00E474B5">
        <w:t>.</w:t>
      </w:r>
    </w:p>
    <w:p w:rsidR="00D665F2" w:rsidRPr="00E474B5" w:rsidRDefault="00E034AE" w:rsidP="00E474B5">
      <w:pPr>
        <w:pStyle w:val="ONUME"/>
      </w:pPr>
      <w:r w:rsidRPr="00E474B5">
        <w:t>In co</w:t>
      </w:r>
      <w:r w:rsidR="000C6017" w:rsidRPr="00E474B5">
        <w:t>mparison with international registrations originating from Japan and the Republic of</w:t>
      </w:r>
      <w:r w:rsidR="002C6DC3">
        <w:t> </w:t>
      </w:r>
      <w:r w:rsidR="000C6017" w:rsidRPr="00E474B5">
        <w:t>Korea</w:t>
      </w:r>
      <w:r w:rsidRPr="00E474B5">
        <w:t>, th</w:t>
      </w:r>
      <w:r w:rsidR="000C6017" w:rsidRPr="00E474B5">
        <w:t xml:space="preserve">ose originating </w:t>
      </w:r>
      <w:r w:rsidRPr="00E474B5">
        <w:t>from the United</w:t>
      </w:r>
      <w:r w:rsidR="002C6DC3">
        <w:t> </w:t>
      </w:r>
      <w:r w:rsidRPr="00E474B5">
        <w:t>States of</w:t>
      </w:r>
      <w:r w:rsidR="002C6DC3">
        <w:t> </w:t>
      </w:r>
      <w:r w:rsidRPr="00E474B5">
        <w:t xml:space="preserve">America </w:t>
      </w:r>
      <w:r w:rsidR="004D63B7" w:rsidRPr="00E474B5">
        <w:t xml:space="preserve">seem to </w:t>
      </w:r>
      <w:r w:rsidR="00097FBA" w:rsidRPr="00E474B5">
        <w:t>reflect a greater tendency to take advantage</w:t>
      </w:r>
      <w:r w:rsidRPr="00E474B5">
        <w:t xml:space="preserve"> of the possibility under the Hague System of </w:t>
      </w:r>
      <w:r w:rsidR="007E18E1" w:rsidRPr="00E474B5">
        <w:t xml:space="preserve">filing </w:t>
      </w:r>
      <w:r w:rsidRPr="00E474B5">
        <w:t xml:space="preserve">multiple design </w:t>
      </w:r>
      <w:r w:rsidR="007E18E1" w:rsidRPr="00E474B5">
        <w:t>applications</w:t>
      </w:r>
      <w:r w:rsidRPr="00E474B5">
        <w:t>.</w:t>
      </w:r>
    </w:p>
    <w:p w:rsidR="003742AB" w:rsidRDefault="000C78D7" w:rsidP="00A271CB">
      <w:pPr>
        <w:pStyle w:val="Heading2"/>
        <w:spacing w:before="480"/>
        <w:rPr>
          <w:noProof/>
        </w:rPr>
      </w:pPr>
      <w:r w:rsidRPr="00CD4636">
        <w:rPr>
          <w:noProof/>
        </w:rPr>
        <w:t>SHARE</w:t>
      </w:r>
      <w:r w:rsidR="0084298B" w:rsidRPr="00CD4636">
        <w:rPr>
          <w:noProof/>
        </w:rPr>
        <w:t xml:space="preserve"> AND ORIGIN OF PRIORITY CLAIMS IN INTERNATIONAL REGISTRATIONS</w:t>
      </w:r>
    </w:p>
    <w:p w:rsidR="002C6DC3" w:rsidRPr="002C6DC3" w:rsidRDefault="002C6DC3" w:rsidP="002C6DC3"/>
    <w:p w:rsidR="0084298B" w:rsidRPr="00CD4636" w:rsidRDefault="003742AB" w:rsidP="00CE2B39">
      <w:pPr>
        <w:pStyle w:val="ONUME"/>
        <w:numPr>
          <w:ilvl w:val="0"/>
          <w:numId w:val="0"/>
        </w:numPr>
        <w:rPr>
          <w:noProof/>
          <w:u w:val="single"/>
        </w:rPr>
      </w:pPr>
      <w:r>
        <w:rPr>
          <w:noProof/>
          <w:lang w:eastAsia="en-US"/>
        </w:rPr>
        <w:drawing>
          <wp:inline distT="0" distB="0" distL="0" distR="0" wp14:anchorId="5F7F4E34" wp14:editId="31E80931">
            <wp:extent cx="4737100" cy="2876549"/>
            <wp:effectExtent l="0" t="0" r="25400"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403C" w:rsidRPr="00E474B5" w:rsidRDefault="00CD4636" w:rsidP="00E474B5">
      <w:pPr>
        <w:pStyle w:val="ONUME"/>
      </w:pPr>
      <w:r w:rsidRPr="00E474B5">
        <w:t>A</w:t>
      </w:r>
      <w:r w:rsidR="00AD23A2" w:rsidRPr="00E474B5">
        <w:t>s prescribed by A</w:t>
      </w:r>
      <w:r w:rsidR="00D2672A" w:rsidRPr="00E474B5">
        <w:t>rticle</w:t>
      </w:r>
      <w:r w:rsidR="000E7EF0">
        <w:t> </w:t>
      </w:r>
      <w:r w:rsidR="00D2672A" w:rsidRPr="00E474B5">
        <w:t>6(2) of the 1999</w:t>
      </w:r>
      <w:r w:rsidR="000E7EF0">
        <w:t> </w:t>
      </w:r>
      <w:r w:rsidR="00D2672A" w:rsidRPr="00E474B5">
        <w:t>Act, an</w:t>
      </w:r>
      <w:r w:rsidR="00AD23A2" w:rsidRPr="00E474B5">
        <w:t xml:space="preserve"> international application may be a first application and serve as a basis for claiming priority.  </w:t>
      </w:r>
      <w:r w:rsidR="00D2672A" w:rsidRPr="00E474B5">
        <w:t xml:space="preserve">However, certain users of the Hague System </w:t>
      </w:r>
      <w:r w:rsidR="007E18E1" w:rsidRPr="00E474B5">
        <w:t xml:space="preserve">obviously prefer making a </w:t>
      </w:r>
      <w:r w:rsidR="00432C91" w:rsidRPr="00E474B5">
        <w:t>first</w:t>
      </w:r>
      <w:r w:rsidR="007E18E1" w:rsidRPr="00E474B5">
        <w:t xml:space="preserve"> application </w:t>
      </w:r>
      <w:r w:rsidR="00D2672A" w:rsidRPr="00E474B5">
        <w:t>which they</w:t>
      </w:r>
      <w:r w:rsidR="007E18E1" w:rsidRPr="00E474B5">
        <w:t xml:space="preserve"> would</w:t>
      </w:r>
      <w:r w:rsidR="00D2672A" w:rsidRPr="00E474B5">
        <w:t xml:space="preserve"> claim </w:t>
      </w:r>
      <w:r w:rsidR="007E18E1" w:rsidRPr="00E474B5">
        <w:t xml:space="preserve">priority from </w:t>
      </w:r>
      <w:r w:rsidR="00D2672A" w:rsidRPr="00E474B5">
        <w:t xml:space="preserve">in an international </w:t>
      </w:r>
      <w:r w:rsidR="003C688D" w:rsidRPr="00E474B5">
        <w:t>registration</w:t>
      </w:r>
      <w:r w:rsidR="00DA60A3" w:rsidRPr="00E474B5">
        <w:t>, in accordance with Article</w:t>
      </w:r>
      <w:r w:rsidR="000E7EF0">
        <w:t> </w:t>
      </w:r>
      <w:r w:rsidR="00DA60A3" w:rsidRPr="00E474B5">
        <w:t>6(1</w:t>
      </w:r>
      <w:proofErr w:type="gramStart"/>
      <w:r w:rsidR="00DA60A3" w:rsidRPr="00E474B5">
        <w:t>)(</w:t>
      </w:r>
      <w:proofErr w:type="gramEnd"/>
      <w:r w:rsidR="00DA60A3" w:rsidRPr="00E474B5">
        <w:t>a)</w:t>
      </w:r>
      <w:r w:rsidR="00432C91" w:rsidRPr="000E7EF0">
        <w:rPr>
          <w:rStyle w:val="FootnoteReference"/>
        </w:rPr>
        <w:footnoteReference w:id="10"/>
      </w:r>
      <w:r w:rsidR="00432C91" w:rsidRPr="00E474B5">
        <w:t>.</w:t>
      </w:r>
      <w:r w:rsidR="00D2672A" w:rsidRPr="00E474B5">
        <w:t xml:space="preserve"> </w:t>
      </w:r>
      <w:r w:rsidR="000E7EF0">
        <w:t xml:space="preserve"> </w:t>
      </w:r>
      <w:r w:rsidR="00E03CD5" w:rsidRPr="00E474B5">
        <w:t xml:space="preserve">In 2014, </w:t>
      </w:r>
      <w:r w:rsidR="000426BE" w:rsidRPr="00E474B5">
        <w:t>36.1</w:t>
      </w:r>
      <w:r w:rsidR="000E7EF0">
        <w:t> </w:t>
      </w:r>
      <w:r w:rsidR="000426BE" w:rsidRPr="00E474B5">
        <w:t>per</w:t>
      </w:r>
      <w:r w:rsidR="000E7EF0">
        <w:t> </w:t>
      </w:r>
      <w:r w:rsidR="000426BE" w:rsidRPr="00E474B5">
        <w:t xml:space="preserve">cent </w:t>
      </w:r>
      <w:r w:rsidR="00060A92" w:rsidRPr="00E474B5">
        <w:t>of</w:t>
      </w:r>
      <w:r w:rsidR="00E03CD5" w:rsidRPr="00E474B5">
        <w:t xml:space="preserve"> international registrations contained a priority claim, </w:t>
      </w:r>
      <w:r w:rsidR="003F6118" w:rsidRPr="00E474B5">
        <w:t>whereas</w:t>
      </w:r>
      <w:r w:rsidR="00060A92" w:rsidRPr="00E474B5">
        <w:t xml:space="preserve"> </w:t>
      </w:r>
      <w:r w:rsidR="00247C48" w:rsidRPr="00E474B5">
        <w:t>in</w:t>
      </w:r>
      <w:r w:rsidR="00E03CD5" w:rsidRPr="00E474B5">
        <w:t xml:space="preserve"> 2015, </w:t>
      </w:r>
      <w:r w:rsidR="000426BE" w:rsidRPr="00E474B5">
        <w:t xml:space="preserve">that </w:t>
      </w:r>
      <w:r w:rsidR="00E03CD5" w:rsidRPr="00E474B5">
        <w:t xml:space="preserve">share </w:t>
      </w:r>
      <w:r w:rsidR="000426BE" w:rsidRPr="00E474B5">
        <w:t>was</w:t>
      </w:r>
      <w:r w:rsidR="00E03CD5" w:rsidRPr="00E474B5">
        <w:t xml:space="preserve"> </w:t>
      </w:r>
      <w:r w:rsidR="00E03CD5" w:rsidRPr="00E474B5">
        <w:lastRenderedPageBreak/>
        <w:t>4</w:t>
      </w:r>
      <w:r w:rsidR="007F55EB" w:rsidRPr="00E474B5">
        <w:t>7</w:t>
      </w:r>
      <w:r w:rsidR="00E03CD5" w:rsidRPr="00E474B5">
        <w:t>.</w:t>
      </w:r>
      <w:r w:rsidR="007F55EB" w:rsidRPr="00E474B5">
        <w:t>1</w:t>
      </w:r>
      <w:r w:rsidR="000E7EF0">
        <w:t> </w:t>
      </w:r>
      <w:r w:rsidR="00E03CD5" w:rsidRPr="00E474B5">
        <w:t>per</w:t>
      </w:r>
      <w:r w:rsidR="000E7EF0">
        <w:t> </w:t>
      </w:r>
      <w:r w:rsidR="00E03CD5" w:rsidRPr="00E474B5">
        <w:t>cent</w:t>
      </w:r>
      <w:r w:rsidR="00502467" w:rsidRPr="00E474B5">
        <w:t xml:space="preserve"> and </w:t>
      </w:r>
      <w:r w:rsidR="00204E82" w:rsidRPr="00E474B5">
        <w:t xml:space="preserve">during the first three months of </w:t>
      </w:r>
      <w:r w:rsidR="00502467" w:rsidRPr="00E474B5">
        <w:t>2016, 44.9</w:t>
      </w:r>
      <w:r w:rsidR="000E7EF0">
        <w:t> </w:t>
      </w:r>
      <w:r w:rsidR="00502467" w:rsidRPr="00E474B5">
        <w:t>per</w:t>
      </w:r>
      <w:r w:rsidR="000E7EF0">
        <w:t> </w:t>
      </w:r>
      <w:r w:rsidR="00502467" w:rsidRPr="00E474B5">
        <w:t>cent</w:t>
      </w:r>
      <w:r w:rsidR="00965267" w:rsidRPr="00E474B5">
        <w:t>.</w:t>
      </w:r>
      <w:r w:rsidR="001D40C3" w:rsidRPr="00E474B5">
        <w:t xml:space="preserve"> </w:t>
      </w:r>
      <w:r w:rsidR="000426BE" w:rsidRPr="00E474B5">
        <w:t xml:space="preserve"> </w:t>
      </w:r>
      <w:r w:rsidR="00B36DD6" w:rsidRPr="00E474B5">
        <w:t>This phenomenon is further detailed below.</w:t>
      </w:r>
    </w:p>
    <w:p w:rsidR="000C78D7" w:rsidRDefault="00843F01" w:rsidP="00A271CB">
      <w:pPr>
        <w:pStyle w:val="Heading3"/>
        <w:spacing w:before="480"/>
      </w:pPr>
      <w:r>
        <w:rPr>
          <w:noProof/>
        </w:rPr>
        <w:t xml:space="preserve">Office of </w:t>
      </w:r>
      <w:r w:rsidR="00B7744F">
        <w:rPr>
          <w:noProof/>
        </w:rPr>
        <w:t xml:space="preserve">the Earlier Filing </w:t>
      </w:r>
      <w:r w:rsidR="001723DC">
        <w:rPr>
          <w:noProof/>
        </w:rPr>
        <w:t>U</w:t>
      </w:r>
      <w:r w:rsidR="00206266">
        <w:rPr>
          <w:noProof/>
        </w:rPr>
        <w:t xml:space="preserve">nder Article 6(1)(a) of </w:t>
      </w:r>
      <w:r w:rsidR="00206266" w:rsidRPr="00B7403C">
        <w:rPr>
          <w:noProof/>
        </w:rPr>
        <w:t xml:space="preserve">the </w:t>
      </w:r>
      <w:r w:rsidR="00206266" w:rsidRPr="00B7403C">
        <w:t>1999 Act</w:t>
      </w:r>
    </w:p>
    <w:p w:rsidR="000E7EF0" w:rsidRPr="000E7EF0" w:rsidRDefault="000E7EF0" w:rsidP="000E7EF0"/>
    <w:p w:rsidR="003742AB" w:rsidRDefault="003742AB" w:rsidP="00CE2B39">
      <w:pPr>
        <w:pStyle w:val="ONUME"/>
        <w:numPr>
          <w:ilvl w:val="0"/>
          <w:numId w:val="0"/>
        </w:numPr>
        <w:rPr>
          <w:noProof/>
        </w:rPr>
      </w:pPr>
      <w:r w:rsidRPr="003742AB">
        <w:rPr>
          <w:noProof/>
          <w:lang w:eastAsia="en-US"/>
        </w:rPr>
        <mc:AlternateContent>
          <mc:Choice Requires="wps">
            <w:drawing>
              <wp:anchor distT="0" distB="0" distL="114300" distR="114300" simplePos="0" relativeHeight="251718656" behindDoc="0" locked="0" layoutInCell="1" allowOverlap="1" wp14:anchorId="018AE004" wp14:editId="47C0A908">
                <wp:simplePos x="0" y="0"/>
                <wp:positionH relativeFrom="column">
                  <wp:posOffset>2363470</wp:posOffset>
                </wp:positionH>
                <wp:positionV relativeFrom="paragraph">
                  <wp:posOffset>2984500</wp:posOffset>
                </wp:positionV>
                <wp:extent cx="711835" cy="25019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8B11DD" w:rsidRDefault="008B11DD" w:rsidP="003742AB">
                            <w:r>
                              <w:t>DPMA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6.1pt;margin-top:235pt;width:56.05pt;height:1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" filled="f" stroked="f">
                <v:textbox>
                  <w:txbxContent>
                    <w:p w:rsidR="008B11DD" w:rsidRDefault="008B11DD" w:rsidP="003742AB">
                      <w:r>
                        <w:t>DPMA</w:t>
                      </w:r>
                    </w:p>
                  </w:txbxContent>
                </v:textbox>
              </v:shape>
            </w:pict>
          </mc:Fallback>
        </mc:AlternateContent>
      </w:r>
      <w:r w:rsidRPr="003742AB">
        <w:rPr>
          <w:noProof/>
          <w:lang w:eastAsia="en-US"/>
        </w:rPr>
        <mc:AlternateContent>
          <mc:Choice Requires="wps">
            <w:drawing>
              <wp:anchor distT="0" distB="0" distL="114300" distR="114300" simplePos="0" relativeHeight="251720704" behindDoc="0" locked="0" layoutInCell="1" allowOverlap="1" wp14:anchorId="45217EDC" wp14:editId="310C92E4">
                <wp:simplePos x="0" y="0"/>
                <wp:positionH relativeFrom="column">
                  <wp:posOffset>506095</wp:posOffset>
                </wp:positionH>
                <wp:positionV relativeFrom="paragraph">
                  <wp:posOffset>2985770</wp:posOffset>
                </wp:positionV>
                <wp:extent cx="630555" cy="2501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50190"/>
                        </a:xfrm>
                        <a:prstGeom prst="rect">
                          <a:avLst/>
                        </a:prstGeom>
                        <a:noFill/>
                        <a:ln w="9525">
                          <a:noFill/>
                          <a:miter lim="800000"/>
                          <a:headEnd/>
                          <a:tailEnd/>
                        </a:ln>
                      </wps:spPr>
                      <wps:txbx>
                        <w:txbxContent>
                          <w:p w:rsidR="008B11DD" w:rsidRDefault="008B11DD" w:rsidP="003742AB">
                            <w:r>
                              <w:t>EUIPO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85pt;margin-top:235.1pt;width:49.65pt;height:1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" filled="f" stroked="f">
                <v:textbox>
                  <w:txbxContent>
                    <w:p w:rsidR="008B11DD" w:rsidRDefault="008B11DD" w:rsidP="003742AB">
                      <w:r>
                        <w:t>EUIPO</w:t>
                      </w:r>
                    </w:p>
                  </w:txbxContent>
                </v:textbox>
              </v:shape>
            </w:pict>
          </mc:Fallback>
        </mc:AlternateContent>
      </w:r>
      <w:r w:rsidRPr="003742AB">
        <w:rPr>
          <w:noProof/>
          <w:lang w:eastAsia="en-US"/>
        </w:rPr>
        <mc:AlternateContent>
          <mc:Choice Requires="wps">
            <w:drawing>
              <wp:anchor distT="0" distB="0" distL="114300" distR="114300" simplePos="0" relativeHeight="251721728" behindDoc="0" locked="0" layoutInCell="1" allowOverlap="1" wp14:anchorId="4A6C0DEB" wp14:editId="2E5EC916">
                <wp:simplePos x="0" y="0"/>
                <wp:positionH relativeFrom="column">
                  <wp:posOffset>1377950</wp:posOffset>
                </wp:positionH>
                <wp:positionV relativeFrom="paragraph">
                  <wp:posOffset>2988945</wp:posOffset>
                </wp:positionV>
                <wp:extent cx="737870" cy="25019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50190"/>
                        </a:xfrm>
                        <a:prstGeom prst="rect">
                          <a:avLst/>
                        </a:prstGeom>
                        <a:noFill/>
                        <a:ln w="9525">
                          <a:noFill/>
                          <a:miter lim="800000"/>
                          <a:headEnd/>
                          <a:tailEnd/>
                        </a:ln>
                      </wps:spPr>
                      <wps:txbx>
                        <w:txbxContent>
                          <w:p w:rsidR="008B11DD" w:rsidRDefault="008B11DD" w:rsidP="003742AB">
                            <w:r>
                              <w:t>USPTO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8.5pt;margin-top:235.35pt;width:58.1pt;height:19.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" filled="f" stroked="f">
                <v:textbox>
                  <w:txbxContent>
                    <w:p w:rsidR="008B11DD" w:rsidRDefault="008B11DD" w:rsidP="003742AB">
                      <w:r>
                        <w:t>USPTO</w:t>
                      </w:r>
                    </w:p>
                  </w:txbxContent>
                </v:textbox>
              </v:shape>
            </w:pict>
          </mc:Fallback>
        </mc:AlternateContent>
      </w:r>
      <w:r w:rsidRPr="003742AB">
        <w:rPr>
          <w:noProof/>
          <w:lang w:eastAsia="en-US"/>
        </w:rPr>
        <mc:AlternateContent>
          <mc:Choice Requires="wps">
            <w:drawing>
              <wp:anchor distT="0" distB="0" distL="114300" distR="114300" simplePos="0" relativeHeight="251722752" behindDoc="0" locked="0" layoutInCell="1" allowOverlap="1" wp14:anchorId="05552D3C" wp14:editId="2FB4FAEA">
                <wp:simplePos x="0" y="0"/>
                <wp:positionH relativeFrom="column">
                  <wp:posOffset>3286125</wp:posOffset>
                </wp:positionH>
                <wp:positionV relativeFrom="paragraph">
                  <wp:posOffset>2981960</wp:posOffset>
                </wp:positionV>
                <wp:extent cx="711835" cy="25019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8B11DD" w:rsidRDefault="008B11DD" w:rsidP="003742AB">
                            <w:r>
                              <w:t>SFIIP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8.75pt;margin-top:234.8pt;width:56.05pt;height:1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" filled="f" stroked="f">
                <v:textbox>
                  <w:txbxContent>
                    <w:p w:rsidR="008B11DD" w:rsidRDefault="008B11DD" w:rsidP="003742AB">
                      <w:r>
                        <w:t>SFIIP</w:t>
                      </w:r>
                    </w:p>
                  </w:txbxContent>
                </v:textbox>
              </v:shape>
            </w:pict>
          </mc:Fallback>
        </mc:AlternateContent>
      </w:r>
      <w:r w:rsidRPr="003742AB">
        <w:rPr>
          <w:noProof/>
          <w:lang w:eastAsia="en-US"/>
        </w:rPr>
        <mc:AlternateContent>
          <mc:Choice Requires="wps">
            <w:drawing>
              <wp:anchor distT="0" distB="0" distL="114300" distR="114300" simplePos="0" relativeHeight="251723776" behindDoc="0" locked="0" layoutInCell="1" allowOverlap="1" wp14:anchorId="4D0AAB9D" wp14:editId="2D668040">
                <wp:simplePos x="0" y="0"/>
                <wp:positionH relativeFrom="column">
                  <wp:posOffset>4150360</wp:posOffset>
                </wp:positionH>
                <wp:positionV relativeFrom="paragraph">
                  <wp:posOffset>2980055</wp:posOffset>
                </wp:positionV>
                <wp:extent cx="711835" cy="25019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8B11DD" w:rsidRDefault="008B11DD" w:rsidP="003742AB">
                            <w:r>
                              <w:t>KIPO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6.8pt;margin-top:234.65pt;width:56.05pt;height:1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dbDgIAAPk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" filled="f" stroked="f">
                <v:textbox>
                  <w:txbxContent>
                    <w:p w:rsidR="008B11DD" w:rsidRDefault="008B11DD" w:rsidP="003742AB">
                      <w:r>
                        <w:t>KIPO</w:t>
                      </w:r>
                    </w:p>
                  </w:txbxContent>
                </v:textbox>
              </v:shape>
            </w:pict>
          </mc:Fallback>
        </mc:AlternateContent>
      </w:r>
      <w:r w:rsidRPr="003742AB">
        <w:rPr>
          <w:noProof/>
          <w:lang w:eastAsia="en-US"/>
        </w:rPr>
        <mc:AlternateContent>
          <mc:Choice Requires="wps">
            <w:drawing>
              <wp:anchor distT="0" distB="0" distL="114300" distR="114300" simplePos="0" relativeHeight="251724800" behindDoc="0" locked="0" layoutInCell="1" allowOverlap="1" wp14:anchorId="5052E566" wp14:editId="17376534">
                <wp:simplePos x="0" y="0"/>
                <wp:positionH relativeFrom="column">
                  <wp:posOffset>4972685</wp:posOffset>
                </wp:positionH>
                <wp:positionV relativeFrom="paragraph">
                  <wp:posOffset>2985770</wp:posOffset>
                </wp:positionV>
                <wp:extent cx="751840" cy="2501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0190"/>
                        </a:xfrm>
                        <a:prstGeom prst="rect">
                          <a:avLst/>
                        </a:prstGeom>
                        <a:noFill/>
                        <a:ln w="9525">
                          <a:noFill/>
                          <a:miter lim="800000"/>
                          <a:headEnd/>
                          <a:tailEnd/>
                        </a:ln>
                      </wps:spPr>
                      <wps:txbx>
                        <w:txbxContent>
                          <w:p w:rsidR="008B11DD" w:rsidRDefault="008B11DD" w:rsidP="003742AB">
                            <w:r>
                              <w:t>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1.55pt;margin-top:235.1pt;width:59.2pt;height:1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" filled="f" stroked="f">
                <v:textbox>
                  <w:txbxContent>
                    <w:p w:rsidR="008B11DD" w:rsidRDefault="008B11DD" w:rsidP="003742AB">
                      <w:r>
                        <w:t>Others</w:t>
                      </w:r>
                    </w:p>
                  </w:txbxContent>
                </v:textbox>
              </v:shape>
            </w:pict>
          </mc:Fallback>
        </mc:AlternateContent>
      </w:r>
      <w:r w:rsidRPr="003742AB">
        <w:rPr>
          <w:noProof/>
          <w:lang w:eastAsia="en-US"/>
        </w:rPr>
        <mc:AlternateContent>
          <mc:Choice Requires="wps">
            <w:drawing>
              <wp:anchor distT="0" distB="0" distL="114300" distR="114300" simplePos="0" relativeHeight="251725824" behindDoc="0" locked="0" layoutInCell="1" allowOverlap="1" wp14:anchorId="43324BFD" wp14:editId="7B9A096A">
                <wp:simplePos x="0" y="0"/>
                <wp:positionH relativeFrom="column">
                  <wp:posOffset>2304056</wp:posOffset>
                </wp:positionH>
                <wp:positionV relativeFrom="paragraph">
                  <wp:posOffset>3089910</wp:posOffset>
                </wp:positionV>
                <wp:extent cx="57150" cy="58420"/>
                <wp:effectExtent l="0" t="0" r="0" b="0"/>
                <wp:wrapNone/>
                <wp:docPr id="3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181.4pt;margin-top:243.3pt;width:4.5pt;height:4.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" fillcolor="#ffc000" stroked="f" strokeweight="2pt"/>
            </w:pict>
          </mc:Fallback>
        </mc:AlternateContent>
      </w:r>
      <w:r w:rsidRPr="003742AB">
        <w:rPr>
          <w:noProof/>
          <w:lang w:eastAsia="en-US"/>
        </w:rPr>
        <mc:AlternateContent>
          <mc:Choice Requires="wps">
            <w:drawing>
              <wp:anchor distT="0" distB="0" distL="114300" distR="114300" simplePos="0" relativeHeight="251717632" behindDoc="0" locked="0" layoutInCell="1" allowOverlap="1" wp14:anchorId="5F6825E9" wp14:editId="398345F8">
                <wp:simplePos x="0" y="0"/>
                <wp:positionH relativeFrom="column">
                  <wp:posOffset>4937760</wp:posOffset>
                </wp:positionH>
                <wp:positionV relativeFrom="paragraph">
                  <wp:posOffset>3084195</wp:posOffset>
                </wp:positionV>
                <wp:extent cx="57150" cy="58420"/>
                <wp:effectExtent l="0" t="0" r="0" b="0"/>
                <wp:wrapNone/>
                <wp:docPr id="2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388.8pt;margin-top:242.85pt;width:4.5pt;height:4.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" fillcolor="#bfbfbf [2412]" stroked="f" strokeweight="2pt"/>
            </w:pict>
          </mc:Fallback>
        </mc:AlternateContent>
      </w:r>
      <w:r w:rsidRPr="003742AB">
        <w:rPr>
          <w:noProof/>
          <w:lang w:eastAsia="en-US"/>
        </w:rPr>
        <mc:AlternateContent>
          <mc:Choice Requires="wps">
            <w:drawing>
              <wp:anchor distT="0" distB="0" distL="114300" distR="114300" simplePos="0" relativeHeight="251716608" behindDoc="0" locked="0" layoutInCell="1" allowOverlap="1" wp14:anchorId="7C200B44" wp14:editId="745D172D">
                <wp:simplePos x="0" y="0"/>
                <wp:positionH relativeFrom="column">
                  <wp:posOffset>4098290</wp:posOffset>
                </wp:positionH>
                <wp:positionV relativeFrom="paragraph">
                  <wp:posOffset>3077210</wp:posOffset>
                </wp:positionV>
                <wp:extent cx="57150" cy="58420"/>
                <wp:effectExtent l="0" t="0" r="0" b="0"/>
                <wp:wrapNone/>
                <wp:docPr id="2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322.7pt;margin-top:242.3pt;width:4.5pt;height:4.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" fillcolor="#31849b [2408]" stroked="f" strokeweight="2pt"/>
            </w:pict>
          </mc:Fallback>
        </mc:AlternateContent>
      </w:r>
      <w:r w:rsidRPr="003742AB">
        <w:rPr>
          <w:noProof/>
          <w:lang w:eastAsia="en-US"/>
        </w:rPr>
        <mc:AlternateContent>
          <mc:Choice Requires="wps">
            <w:drawing>
              <wp:anchor distT="0" distB="0" distL="114300" distR="114300" simplePos="0" relativeHeight="251715584" behindDoc="0" locked="0" layoutInCell="1" allowOverlap="1" wp14:anchorId="324F13B5" wp14:editId="1EB3D20F">
                <wp:simplePos x="0" y="0"/>
                <wp:positionH relativeFrom="column">
                  <wp:posOffset>3250565</wp:posOffset>
                </wp:positionH>
                <wp:positionV relativeFrom="paragraph">
                  <wp:posOffset>3079750</wp:posOffset>
                </wp:positionV>
                <wp:extent cx="57150" cy="58420"/>
                <wp:effectExtent l="0" t="0" r="0" b="0"/>
                <wp:wrapNone/>
                <wp:docPr id="2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255.95pt;margin-top:242.5pt;width:4.5pt;height:4.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" fillcolor="red" stroked="f" strokeweight="2pt"/>
            </w:pict>
          </mc:Fallback>
        </mc:AlternateContent>
      </w:r>
      <w:r w:rsidRPr="003742AB">
        <w:rPr>
          <w:noProof/>
          <w:lang w:eastAsia="en-US"/>
        </w:rPr>
        <mc:AlternateContent>
          <mc:Choice Requires="wps">
            <w:drawing>
              <wp:anchor distT="0" distB="0" distL="114300" distR="114300" simplePos="0" relativeHeight="251714560" behindDoc="0" locked="0" layoutInCell="1" allowOverlap="1" wp14:anchorId="738E51FA" wp14:editId="35EBDD6E">
                <wp:simplePos x="0" y="0"/>
                <wp:positionH relativeFrom="column">
                  <wp:posOffset>1344295</wp:posOffset>
                </wp:positionH>
                <wp:positionV relativeFrom="paragraph">
                  <wp:posOffset>3088640</wp:posOffset>
                </wp:positionV>
                <wp:extent cx="57150" cy="58420"/>
                <wp:effectExtent l="0" t="0" r="0" b="0"/>
                <wp:wrapNone/>
                <wp:docPr id="1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105.85pt;margin-top:243.2pt;width:4.5pt;height:4.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" fillcolor="purple" stroked="f" strokeweight="2pt"/>
            </w:pict>
          </mc:Fallback>
        </mc:AlternateContent>
      </w:r>
      <w:r w:rsidRPr="003742AB">
        <w:rPr>
          <w:noProof/>
          <w:lang w:eastAsia="en-US"/>
        </w:rPr>
        <mc:AlternateContent>
          <mc:Choice Requires="wps">
            <w:drawing>
              <wp:anchor distT="0" distB="0" distL="114300" distR="114300" simplePos="0" relativeHeight="251713536" behindDoc="0" locked="0" layoutInCell="1" allowOverlap="1" wp14:anchorId="349A974F" wp14:editId="29AB7D14">
                <wp:simplePos x="0" y="0"/>
                <wp:positionH relativeFrom="column">
                  <wp:posOffset>450850</wp:posOffset>
                </wp:positionH>
                <wp:positionV relativeFrom="paragraph">
                  <wp:posOffset>3083560</wp:posOffset>
                </wp:positionV>
                <wp:extent cx="57150" cy="58420"/>
                <wp:effectExtent l="0" t="0" r="0" b="0"/>
                <wp:wrapNone/>
                <wp:docPr id="1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35.5pt;margin-top:242.8pt;width:4.5pt;height:4.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" fillcolor="#00b0f0" stroked="f" strokeweight="2pt"/>
            </w:pict>
          </mc:Fallback>
        </mc:AlternateContent>
      </w:r>
      <w:r w:rsidR="00444DBD">
        <w:rPr>
          <w:noProof/>
          <w:lang w:eastAsia="en-US"/>
        </w:rPr>
        <w:drawing>
          <wp:inline distT="0" distB="0" distL="0" distR="0" wp14:anchorId="32EA37C4" wp14:editId="5E6A2953">
            <wp:extent cx="5775325" cy="2924175"/>
            <wp:effectExtent l="0" t="0" r="15875" b="9525"/>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42AB" w:rsidRPr="00D211FA" w:rsidRDefault="003742AB" w:rsidP="00CE2B39">
      <w:pPr>
        <w:pStyle w:val="ONUME"/>
        <w:numPr>
          <w:ilvl w:val="0"/>
          <w:numId w:val="0"/>
        </w:numPr>
        <w:rPr>
          <w:noProof/>
        </w:rPr>
      </w:pPr>
    </w:p>
    <w:p w:rsidR="001F55F6" w:rsidRDefault="00874E11" w:rsidP="00E474B5">
      <w:pPr>
        <w:pStyle w:val="ONUME"/>
        <w:rPr>
          <w:noProof/>
        </w:rPr>
      </w:pPr>
      <w:r>
        <w:rPr>
          <w:noProof/>
        </w:rPr>
        <w:t>Until</w:t>
      </w:r>
      <w:r w:rsidR="00A10101">
        <w:rPr>
          <w:noProof/>
        </w:rPr>
        <w:t xml:space="preserve"> </w:t>
      </w:r>
      <w:r w:rsidR="00843F01">
        <w:rPr>
          <w:noProof/>
        </w:rPr>
        <w:t>recent</w:t>
      </w:r>
      <w:r>
        <w:rPr>
          <w:noProof/>
        </w:rPr>
        <w:t>ly</w:t>
      </w:r>
      <w:r w:rsidR="00A10101">
        <w:rPr>
          <w:noProof/>
        </w:rPr>
        <w:t>, the majority of earlier applications</w:t>
      </w:r>
      <w:r w:rsidR="00F30CD0">
        <w:rPr>
          <w:noProof/>
        </w:rPr>
        <w:t xml:space="preserve"> on which </w:t>
      </w:r>
      <w:r w:rsidR="00843F01">
        <w:rPr>
          <w:noProof/>
        </w:rPr>
        <w:t xml:space="preserve">priority </w:t>
      </w:r>
      <w:r w:rsidR="00F30CD0">
        <w:rPr>
          <w:noProof/>
        </w:rPr>
        <w:t>claim</w:t>
      </w:r>
      <w:r w:rsidR="00ED65EF">
        <w:rPr>
          <w:noProof/>
        </w:rPr>
        <w:t>s</w:t>
      </w:r>
      <w:r w:rsidR="00F30CD0">
        <w:rPr>
          <w:noProof/>
        </w:rPr>
        <w:t xml:space="preserve"> in international r</w:t>
      </w:r>
      <w:r w:rsidR="00A10101">
        <w:rPr>
          <w:noProof/>
        </w:rPr>
        <w:t>egistration</w:t>
      </w:r>
      <w:r w:rsidR="00ED65EF">
        <w:rPr>
          <w:noProof/>
        </w:rPr>
        <w:t>s were</w:t>
      </w:r>
      <w:r w:rsidR="00A10101">
        <w:rPr>
          <w:noProof/>
        </w:rPr>
        <w:t xml:space="preserve"> based, were filed</w:t>
      </w:r>
      <w:r w:rsidR="00F30CD0">
        <w:rPr>
          <w:noProof/>
        </w:rPr>
        <w:t xml:space="preserve"> at the </w:t>
      </w:r>
      <w:r w:rsidR="00021339">
        <w:rPr>
          <w:noProof/>
        </w:rPr>
        <w:t>European Union Intellectual</w:t>
      </w:r>
      <w:r w:rsidR="00F30CD0">
        <w:rPr>
          <w:noProof/>
        </w:rPr>
        <w:t xml:space="preserve"> Property Office</w:t>
      </w:r>
      <w:r w:rsidR="008B11DD">
        <w:rPr>
          <w:noProof/>
        </w:rPr>
        <w:t> </w:t>
      </w:r>
      <w:r w:rsidR="00F30CD0">
        <w:rPr>
          <w:noProof/>
        </w:rPr>
        <w:t>(EUIPO)</w:t>
      </w:r>
      <w:r w:rsidR="001F55F6">
        <w:rPr>
          <w:noProof/>
        </w:rPr>
        <w:t xml:space="preserve">.  </w:t>
      </w:r>
      <w:r w:rsidR="00AC4E1D">
        <w:rPr>
          <w:noProof/>
        </w:rPr>
        <w:t xml:space="preserve">Thus, </w:t>
      </w:r>
      <w:r w:rsidR="00763F67">
        <w:rPr>
          <w:noProof/>
        </w:rPr>
        <w:t>in 2014, 44</w:t>
      </w:r>
      <w:r w:rsidR="008B11DD">
        <w:rPr>
          <w:noProof/>
        </w:rPr>
        <w:t> </w:t>
      </w:r>
      <w:r w:rsidR="00763F67">
        <w:rPr>
          <w:noProof/>
        </w:rPr>
        <w:t>per</w:t>
      </w:r>
      <w:r w:rsidR="008B11DD">
        <w:rPr>
          <w:noProof/>
        </w:rPr>
        <w:t> </w:t>
      </w:r>
      <w:r w:rsidR="00763F67">
        <w:rPr>
          <w:noProof/>
        </w:rPr>
        <w:t>cent</w:t>
      </w:r>
      <w:r w:rsidR="00763F67" w:rsidRPr="00932700">
        <w:rPr>
          <w:noProof/>
        </w:rPr>
        <w:t xml:space="preserve"> </w:t>
      </w:r>
      <w:r w:rsidR="00763F67">
        <w:rPr>
          <w:noProof/>
        </w:rPr>
        <w:t xml:space="preserve">of </w:t>
      </w:r>
      <w:r w:rsidR="00AC4E1D">
        <w:rPr>
          <w:noProof/>
        </w:rPr>
        <w:t xml:space="preserve">all </w:t>
      </w:r>
      <w:r w:rsidR="00763F67">
        <w:rPr>
          <w:noProof/>
        </w:rPr>
        <w:t xml:space="preserve">priority claims in international registrations </w:t>
      </w:r>
      <w:r w:rsidR="00AC4E1D">
        <w:rPr>
          <w:noProof/>
        </w:rPr>
        <w:t xml:space="preserve">were based on </w:t>
      </w:r>
      <w:r w:rsidR="00763F67">
        <w:rPr>
          <w:noProof/>
        </w:rPr>
        <w:t>an earlier filing</w:t>
      </w:r>
      <w:r w:rsidR="00763F67" w:rsidRPr="006F380F">
        <w:rPr>
          <w:noProof/>
        </w:rPr>
        <w:t xml:space="preserve"> </w:t>
      </w:r>
      <w:r w:rsidR="00763F67">
        <w:rPr>
          <w:noProof/>
        </w:rPr>
        <w:t>at</w:t>
      </w:r>
      <w:r w:rsidR="008B11DD">
        <w:rPr>
          <w:noProof/>
        </w:rPr>
        <w:t> </w:t>
      </w:r>
      <w:r w:rsidR="00763F67">
        <w:rPr>
          <w:noProof/>
        </w:rPr>
        <w:t>EUIPO.</w:t>
      </w:r>
    </w:p>
    <w:p w:rsidR="00B415C6" w:rsidRPr="00E4035A" w:rsidRDefault="000D233F" w:rsidP="008B11DD">
      <w:pPr>
        <w:pStyle w:val="ONUME"/>
        <w:rPr>
          <w:szCs w:val="22"/>
        </w:rPr>
      </w:pPr>
      <w:r w:rsidRPr="00E4035A">
        <w:rPr>
          <w:noProof/>
          <w:szCs w:val="22"/>
        </w:rPr>
        <w:t>In 201</w:t>
      </w:r>
      <w:r w:rsidR="00375F55" w:rsidRPr="00E4035A">
        <w:rPr>
          <w:noProof/>
          <w:szCs w:val="22"/>
        </w:rPr>
        <w:t>5</w:t>
      </w:r>
      <w:r w:rsidR="006F380F" w:rsidRPr="00E4035A">
        <w:rPr>
          <w:noProof/>
          <w:szCs w:val="22"/>
        </w:rPr>
        <w:t xml:space="preserve"> already</w:t>
      </w:r>
      <w:r w:rsidR="00375F55" w:rsidRPr="00E4035A">
        <w:rPr>
          <w:noProof/>
          <w:szCs w:val="22"/>
        </w:rPr>
        <w:t>, i.e.,</w:t>
      </w:r>
      <w:r w:rsidR="008B11DD">
        <w:rPr>
          <w:noProof/>
          <w:szCs w:val="22"/>
        </w:rPr>
        <w:t> </w:t>
      </w:r>
      <w:r w:rsidR="00375F55" w:rsidRPr="00E4035A">
        <w:rPr>
          <w:noProof/>
          <w:szCs w:val="22"/>
        </w:rPr>
        <w:t>the first whole year after the accession of the Republic of</w:t>
      </w:r>
      <w:r w:rsidR="008B11DD">
        <w:rPr>
          <w:noProof/>
          <w:szCs w:val="22"/>
        </w:rPr>
        <w:t> </w:t>
      </w:r>
      <w:r w:rsidR="00375F55" w:rsidRPr="00E4035A">
        <w:rPr>
          <w:noProof/>
          <w:szCs w:val="22"/>
        </w:rPr>
        <w:t>Korea to the 1999</w:t>
      </w:r>
      <w:r w:rsidR="008B11DD">
        <w:rPr>
          <w:noProof/>
          <w:szCs w:val="22"/>
        </w:rPr>
        <w:t> </w:t>
      </w:r>
      <w:r w:rsidR="00375F55" w:rsidRPr="00E4035A">
        <w:rPr>
          <w:noProof/>
          <w:szCs w:val="22"/>
        </w:rPr>
        <w:t xml:space="preserve">Act, </w:t>
      </w:r>
      <w:r w:rsidR="00932700" w:rsidRPr="00E4035A">
        <w:rPr>
          <w:noProof/>
          <w:szCs w:val="22"/>
        </w:rPr>
        <w:t xml:space="preserve">34 </w:t>
      </w:r>
      <w:r w:rsidR="000426BE" w:rsidRPr="00E4035A">
        <w:rPr>
          <w:noProof/>
          <w:szCs w:val="22"/>
        </w:rPr>
        <w:t xml:space="preserve">per cent of </w:t>
      </w:r>
      <w:r w:rsidR="00AC4E1D" w:rsidRPr="00E4035A">
        <w:rPr>
          <w:noProof/>
          <w:szCs w:val="22"/>
        </w:rPr>
        <w:t xml:space="preserve">all </w:t>
      </w:r>
      <w:r w:rsidR="00375F55" w:rsidRPr="00E4035A">
        <w:rPr>
          <w:noProof/>
          <w:szCs w:val="22"/>
        </w:rPr>
        <w:t>priority claim</w:t>
      </w:r>
      <w:r w:rsidR="00932700" w:rsidRPr="00E4035A">
        <w:rPr>
          <w:noProof/>
          <w:szCs w:val="22"/>
        </w:rPr>
        <w:t xml:space="preserve">s were </w:t>
      </w:r>
      <w:r w:rsidR="00ED2B14" w:rsidRPr="00E4035A">
        <w:rPr>
          <w:noProof/>
          <w:szCs w:val="22"/>
        </w:rPr>
        <w:t>based on</w:t>
      </w:r>
      <w:r w:rsidR="006607BB" w:rsidRPr="00E4035A">
        <w:rPr>
          <w:noProof/>
          <w:szCs w:val="22"/>
        </w:rPr>
        <w:t xml:space="preserve"> </w:t>
      </w:r>
      <w:r w:rsidR="00375F55" w:rsidRPr="00E4035A">
        <w:rPr>
          <w:noProof/>
          <w:szCs w:val="22"/>
        </w:rPr>
        <w:t>an earlier filing</w:t>
      </w:r>
      <w:r w:rsidR="00932700" w:rsidRPr="00E4035A">
        <w:rPr>
          <w:noProof/>
          <w:szCs w:val="22"/>
        </w:rPr>
        <w:t xml:space="preserve"> at</w:t>
      </w:r>
      <w:r w:rsidR="008B11DD">
        <w:rPr>
          <w:noProof/>
          <w:szCs w:val="22"/>
        </w:rPr>
        <w:t> </w:t>
      </w:r>
      <w:r w:rsidR="00932700" w:rsidRPr="00E4035A">
        <w:rPr>
          <w:noProof/>
          <w:szCs w:val="22"/>
        </w:rPr>
        <w:t>EUIPO and</w:t>
      </w:r>
      <w:r w:rsidR="00365494">
        <w:rPr>
          <w:noProof/>
          <w:szCs w:val="22"/>
        </w:rPr>
        <w:t xml:space="preserve"> 26.8 per cent</w:t>
      </w:r>
      <w:r w:rsidR="00932700" w:rsidRPr="00E4035A">
        <w:rPr>
          <w:noProof/>
          <w:szCs w:val="22"/>
        </w:rPr>
        <w:t xml:space="preserve"> </w:t>
      </w:r>
      <w:r w:rsidR="00375F55" w:rsidRPr="00E4035A">
        <w:rPr>
          <w:noProof/>
          <w:szCs w:val="22"/>
        </w:rPr>
        <w:t xml:space="preserve">at </w:t>
      </w:r>
      <w:r w:rsidR="00FE1013" w:rsidRPr="00E4035A">
        <w:rPr>
          <w:noProof/>
          <w:szCs w:val="22"/>
        </w:rPr>
        <w:t>the Korean Intellectual Property Office</w:t>
      </w:r>
      <w:r w:rsidR="008B11DD">
        <w:rPr>
          <w:noProof/>
          <w:szCs w:val="22"/>
        </w:rPr>
        <w:t> </w:t>
      </w:r>
      <w:r w:rsidR="00FE1013" w:rsidRPr="00E4035A">
        <w:rPr>
          <w:noProof/>
          <w:szCs w:val="22"/>
        </w:rPr>
        <w:t>(</w:t>
      </w:r>
      <w:r w:rsidR="00375F55" w:rsidRPr="00E4035A">
        <w:rPr>
          <w:noProof/>
          <w:szCs w:val="22"/>
        </w:rPr>
        <w:t>KIPO</w:t>
      </w:r>
      <w:r w:rsidR="00FE1013" w:rsidRPr="00E4035A">
        <w:rPr>
          <w:noProof/>
          <w:szCs w:val="22"/>
        </w:rPr>
        <w:t>)</w:t>
      </w:r>
      <w:r w:rsidR="00A10101" w:rsidRPr="00E4035A">
        <w:rPr>
          <w:noProof/>
          <w:szCs w:val="22"/>
        </w:rPr>
        <w:t xml:space="preserve">.  In </w:t>
      </w:r>
      <w:r w:rsidR="004013AD" w:rsidRPr="00E4035A">
        <w:rPr>
          <w:noProof/>
          <w:szCs w:val="22"/>
        </w:rPr>
        <w:t>the same year</w:t>
      </w:r>
      <w:r w:rsidR="00A10101" w:rsidRPr="00E4035A">
        <w:rPr>
          <w:noProof/>
          <w:szCs w:val="22"/>
        </w:rPr>
        <w:t>, i.e.,</w:t>
      </w:r>
      <w:r w:rsidR="008B11DD">
        <w:rPr>
          <w:noProof/>
          <w:szCs w:val="22"/>
        </w:rPr>
        <w:t> </w:t>
      </w:r>
      <w:r w:rsidR="00BE0159" w:rsidRPr="00E4035A">
        <w:rPr>
          <w:noProof/>
          <w:szCs w:val="22"/>
        </w:rPr>
        <w:t xml:space="preserve">the year </w:t>
      </w:r>
      <w:r w:rsidR="00A10101" w:rsidRPr="00E4035A">
        <w:rPr>
          <w:noProof/>
          <w:szCs w:val="22"/>
        </w:rPr>
        <w:t>w</w:t>
      </w:r>
      <w:r w:rsidR="00BE0159" w:rsidRPr="00E4035A">
        <w:rPr>
          <w:noProof/>
          <w:szCs w:val="22"/>
        </w:rPr>
        <w:t>h</w:t>
      </w:r>
      <w:r w:rsidR="00A10101" w:rsidRPr="00E4035A">
        <w:rPr>
          <w:noProof/>
          <w:szCs w:val="22"/>
        </w:rPr>
        <w:t>ere both the United</w:t>
      </w:r>
      <w:r w:rsidR="008B11DD">
        <w:rPr>
          <w:noProof/>
          <w:szCs w:val="22"/>
        </w:rPr>
        <w:t> </w:t>
      </w:r>
      <w:r w:rsidR="00A10101" w:rsidRPr="00E4035A">
        <w:rPr>
          <w:noProof/>
          <w:szCs w:val="22"/>
        </w:rPr>
        <w:t>States of</w:t>
      </w:r>
      <w:r w:rsidR="008B11DD">
        <w:rPr>
          <w:noProof/>
          <w:szCs w:val="22"/>
        </w:rPr>
        <w:t> </w:t>
      </w:r>
      <w:r w:rsidR="00A10101" w:rsidRPr="00E4035A">
        <w:rPr>
          <w:noProof/>
          <w:szCs w:val="22"/>
        </w:rPr>
        <w:t>America and Japan became parties to the 1999</w:t>
      </w:r>
      <w:r w:rsidR="008B11DD">
        <w:rPr>
          <w:noProof/>
          <w:szCs w:val="22"/>
        </w:rPr>
        <w:t> </w:t>
      </w:r>
      <w:r w:rsidR="00A10101" w:rsidRPr="00E4035A">
        <w:rPr>
          <w:noProof/>
          <w:szCs w:val="22"/>
        </w:rPr>
        <w:t xml:space="preserve">Act, </w:t>
      </w:r>
      <w:r w:rsidR="006F380F" w:rsidRPr="00E4035A">
        <w:rPr>
          <w:noProof/>
          <w:szCs w:val="22"/>
        </w:rPr>
        <w:t xml:space="preserve">9.8 </w:t>
      </w:r>
      <w:r w:rsidR="00AC4E1D" w:rsidRPr="00E4035A">
        <w:rPr>
          <w:noProof/>
          <w:szCs w:val="22"/>
        </w:rPr>
        <w:t>and 4.9</w:t>
      </w:r>
      <w:r w:rsidR="008B11DD">
        <w:rPr>
          <w:noProof/>
          <w:szCs w:val="22"/>
        </w:rPr>
        <w:t> </w:t>
      </w:r>
      <w:r w:rsidR="006F380F" w:rsidRPr="00E4035A">
        <w:rPr>
          <w:noProof/>
          <w:szCs w:val="22"/>
        </w:rPr>
        <w:t xml:space="preserve">per cent of priority claims were </w:t>
      </w:r>
      <w:r w:rsidR="00AC4E1D" w:rsidRPr="00E4035A">
        <w:rPr>
          <w:noProof/>
          <w:szCs w:val="22"/>
        </w:rPr>
        <w:t>based on</w:t>
      </w:r>
      <w:r w:rsidR="00A10101" w:rsidRPr="00E4035A">
        <w:rPr>
          <w:noProof/>
          <w:szCs w:val="22"/>
        </w:rPr>
        <w:t xml:space="preserve"> earlier filing</w:t>
      </w:r>
      <w:r w:rsidR="00AC4E1D" w:rsidRPr="00E4035A">
        <w:rPr>
          <w:noProof/>
          <w:szCs w:val="22"/>
        </w:rPr>
        <w:t>s</w:t>
      </w:r>
      <w:r w:rsidR="00A10101" w:rsidRPr="00E4035A">
        <w:rPr>
          <w:noProof/>
          <w:szCs w:val="22"/>
        </w:rPr>
        <w:t xml:space="preserve"> </w:t>
      </w:r>
      <w:r w:rsidR="00AC4E1D" w:rsidRPr="00E4035A">
        <w:rPr>
          <w:noProof/>
          <w:szCs w:val="22"/>
        </w:rPr>
        <w:t xml:space="preserve">made respectively </w:t>
      </w:r>
      <w:r w:rsidR="00A10101" w:rsidRPr="00E4035A">
        <w:rPr>
          <w:noProof/>
          <w:szCs w:val="22"/>
        </w:rPr>
        <w:t>at the</w:t>
      </w:r>
      <w:r w:rsidR="008B11DD">
        <w:rPr>
          <w:noProof/>
          <w:szCs w:val="22"/>
        </w:rPr>
        <w:t> </w:t>
      </w:r>
      <w:r w:rsidR="00375F55" w:rsidRPr="00E4035A">
        <w:rPr>
          <w:noProof/>
          <w:szCs w:val="22"/>
        </w:rPr>
        <w:t xml:space="preserve">USPTO </w:t>
      </w:r>
      <w:r w:rsidR="00A10101" w:rsidRPr="00E4035A">
        <w:rPr>
          <w:noProof/>
          <w:szCs w:val="22"/>
        </w:rPr>
        <w:t>and the</w:t>
      </w:r>
      <w:r w:rsidR="008B11DD">
        <w:rPr>
          <w:noProof/>
          <w:szCs w:val="22"/>
        </w:rPr>
        <w:t> </w:t>
      </w:r>
      <w:r w:rsidR="00663B29">
        <w:rPr>
          <w:noProof/>
          <w:szCs w:val="22"/>
        </w:rPr>
        <w:t>Japan Patent Office (</w:t>
      </w:r>
      <w:r w:rsidR="00A10101" w:rsidRPr="00E4035A">
        <w:rPr>
          <w:noProof/>
          <w:szCs w:val="22"/>
        </w:rPr>
        <w:t>JPO</w:t>
      </w:r>
      <w:r w:rsidR="00663B29">
        <w:rPr>
          <w:noProof/>
          <w:szCs w:val="22"/>
        </w:rPr>
        <w:t>)</w:t>
      </w:r>
      <w:r w:rsidR="008B11DD">
        <w:rPr>
          <w:noProof/>
          <w:szCs w:val="22"/>
        </w:rPr>
        <w:t xml:space="preserve">. </w:t>
      </w:r>
      <w:r w:rsidR="00A10101" w:rsidRPr="00E4035A">
        <w:rPr>
          <w:noProof/>
          <w:szCs w:val="22"/>
        </w:rPr>
        <w:t xml:space="preserve"> </w:t>
      </w:r>
      <w:r w:rsidR="00AA3B58" w:rsidRPr="00E4035A">
        <w:rPr>
          <w:szCs w:val="22"/>
        </w:rPr>
        <w:t>It is to be noted that both Japan and the United</w:t>
      </w:r>
      <w:r w:rsidR="008B11DD">
        <w:rPr>
          <w:szCs w:val="22"/>
        </w:rPr>
        <w:t> </w:t>
      </w:r>
      <w:r w:rsidR="00AA3B58" w:rsidRPr="00E4035A">
        <w:rPr>
          <w:szCs w:val="22"/>
        </w:rPr>
        <w:t>States of</w:t>
      </w:r>
      <w:r w:rsidR="008B11DD">
        <w:rPr>
          <w:szCs w:val="22"/>
        </w:rPr>
        <w:t> </w:t>
      </w:r>
      <w:r w:rsidR="00AA3B58" w:rsidRPr="00E4035A">
        <w:rPr>
          <w:szCs w:val="22"/>
        </w:rPr>
        <w:t>America became party to the 1999</w:t>
      </w:r>
      <w:r w:rsidR="008B11DD">
        <w:rPr>
          <w:szCs w:val="22"/>
        </w:rPr>
        <w:t> </w:t>
      </w:r>
      <w:r w:rsidR="00AA3B58" w:rsidRPr="00E4035A">
        <w:rPr>
          <w:szCs w:val="22"/>
        </w:rPr>
        <w:t>Act on May</w:t>
      </w:r>
      <w:r w:rsidR="008B11DD">
        <w:rPr>
          <w:szCs w:val="22"/>
        </w:rPr>
        <w:t> </w:t>
      </w:r>
      <w:r w:rsidR="00AA3B58" w:rsidRPr="00E4035A">
        <w:rPr>
          <w:szCs w:val="22"/>
        </w:rPr>
        <w:t>13,</w:t>
      </w:r>
      <w:r w:rsidR="008B11DD">
        <w:rPr>
          <w:szCs w:val="22"/>
        </w:rPr>
        <w:t> </w:t>
      </w:r>
      <w:r w:rsidR="00AA3B58" w:rsidRPr="00E4035A">
        <w:rPr>
          <w:szCs w:val="22"/>
        </w:rPr>
        <w:t>2015.  In respect of international registrations with</w:t>
      </w:r>
      <w:r w:rsidR="007F76E6" w:rsidRPr="007F76E6">
        <w:rPr>
          <w:szCs w:val="22"/>
        </w:rPr>
        <w:t xml:space="preserve"> a registration date from May</w:t>
      </w:r>
      <w:r w:rsidR="00AA3B58" w:rsidRPr="00E4035A">
        <w:rPr>
          <w:szCs w:val="22"/>
        </w:rPr>
        <w:t xml:space="preserve"> to December</w:t>
      </w:r>
      <w:r w:rsidR="007F76E6">
        <w:rPr>
          <w:szCs w:val="22"/>
        </w:rPr>
        <w:t xml:space="preserve"> </w:t>
      </w:r>
      <w:r w:rsidR="00AA3B58" w:rsidRPr="00E4035A">
        <w:rPr>
          <w:szCs w:val="22"/>
        </w:rPr>
        <w:t>2015, 6</w:t>
      </w:r>
      <w:r w:rsidR="008B11DD">
        <w:rPr>
          <w:szCs w:val="22"/>
        </w:rPr>
        <w:t>.</w:t>
      </w:r>
      <w:r w:rsidR="00AA3B58" w:rsidRPr="00E4035A">
        <w:rPr>
          <w:szCs w:val="22"/>
        </w:rPr>
        <w:t>9 per cent of international registrations contained a priority claim with the USPTO and 3</w:t>
      </w:r>
      <w:r w:rsidR="008B11DD">
        <w:rPr>
          <w:szCs w:val="22"/>
        </w:rPr>
        <w:t>.</w:t>
      </w:r>
      <w:r w:rsidR="00AA3B58" w:rsidRPr="00E4035A">
        <w:rPr>
          <w:szCs w:val="22"/>
        </w:rPr>
        <w:t>5 per cent a priority claim with the JPO.</w:t>
      </w:r>
    </w:p>
    <w:p w:rsidR="00FB1575" w:rsidRDefault="00EA2973" w:rsidP="008B11DD">
      <w:pPr>
        <w:pStyle w:val="ONUME"/>
        <w:rPr>
          <w:noProof/>
        </w:rPr>
      </w:pPr>
      <w:r>
        <w:rPr>
          <w:noProof/>
        </w:rPr>
        <w:t xml:space="preserve">During the first </w:t>
      </w:r>
      <w:r w:rsidR="00DB3343">
        <w:rPr>
          <w:noProof/>
        </w:rPr>
        <w:t xml:space="preserve">quarter </w:t>
      </w:r>
      <w:r>
        <w:rPr>
          <w:noProof/>
        </w:rPr>
        <w:t>of 2016,</w:t>
      </w:r>
      <w:r w:rsidR="00911920" w:rsidRPr="00911920">
        <w:rPr>
          <w:noProof/>
        </w:rPr>
        <w:t xml:space="preserve"> </w:t>
      </w:r>
      <w:r w:rsidR="00191946">
        <w:rPr>
          <w:noProof/>
        </w:rPr>
        <w:t>almost half of the priority claims in international registrations, i.e.,</w:t>
      </w:r>
      <w:r w:rsidR="008B11DD">
        <w:rPr>
          <w:noProof/>
        </w:rPr>
        <w:t> </w:t>
      </w:r>
      <w:r w:rsidR="00191946">
        <w:rPr>
          <w:noProof/>
        </w:rPr>
        <w:t>46.</w:t>
      </w:r>
      <w:r w:rsidR="00365494">
        <w:rPr>
          <w:noProof/>
        </w:rPr>
        <w:t>7</w:t>
      </w:r>
      <w:r w:rsidR="008B11DD">
        <w:rPr>
          <w:noProof/>
        </w:rPr>
        <w:t> </w:t>
      </w:r>
      <w:r w:rsidR="00191946">
        <w:rPr>
          <w:noProof/>
        </w:rPr>
        <w:t>per</w:t>
      </w:r>
      <w:r w:rsidR="008B11DD">
        <w:rPr>
          <w:noProof/>
        </w:rPr>
        <w:t> </w:t>
      </w:r>
      <w:r w:rsidR="00191946">
        <w:rPr>
          <w:noProof/>
        </w:rPr>
        <w:t xml:space="preserve">cent were </w:t>
      </w:r>
      <w:r w:rsidR="00432C91">
        <w:rPr>
          <w:noProof/>
        </w:rPr>
        <w:t>based on</w:t>
      </w:r>
      <w:r w:rsidR="00911920">
        <w:rPr>
          <w:noProof/>
        </w:rPr>
        <w:t xml:space="preserve"> an earlier filing at</w:t>
      </w:r>
      <w:r w:rsidR="002D6906">
        <w:rPr>
          <w:noProof/>
        </w:rPr>
        <w:t> </w:t>
      </w:r>
      <w:r w:rsidR="00911920">
        <w:rPr>
          <w:noProof/>
        </w:rPr>
        <w:t xml:space="preserve">KIPO, </w:t>
      </w:r>
      <w:r w:rsidR="00191946">
        <w:rPr>
          <w:noProof/>
        </w:rPr>
        <w:t>22.2</w:t>
      </w:r>
      <w:r w:rsidR="002D6906">
        <w:rPr>
          <w:noProof/>
        </w:rPr>
        <w:t> </w:t>
      </w:r>
      <w:r w:rsidR="00191946">
        <w:rPr>
          <w:noProof/>
        </w:rPr>
        <w:t>per</w:t>
      </w:r>
      <w:r w:rsidR="002D6906">
        <w:rPr>
          <w:noProof/>
        </w:rPr>
        <w:t> </w:t>
      </w:r>
      <w:r w:rsidR="00191946">
        <w:rPr>
          <w:noProof/>
        </w:rPr>
        <w:t>cent</w:t>
      </w:r>
      <w:r w:rsidR="00191946" w:rsidRPr="00D1518A">
        <w:rPr>
          <w:noProof/>
        </w:rPr>
        <w:t xml:space="preserve"> </w:t>
      </w:r>
      <w:r w:rsidR="00911920">
        <w:rPr>
          <w:noProof/>
        </w:rPr>
        <w:t>at</w:t>
      </w:r>
      <w:r w:rsidR="002D6906">
        <w:rPr>
          <w:noProof/>
        </w:rPr>
        <w:t> </w:t>
      </w:r>
      <w:r w:rsidR="00911920">
        <w:rPr>
          <w:noProof/>
        </w:rPr>
        <w:t xml:space="preserve">EUIPO, </w:t>
      </w:r>
      <w:r w:rsidR="00191946">
        <w:rPr>
          <w:noProof/>
        </w:rPr>
        <w:t>9.5</w:t>
      </w:r>
      <w:r w:rsidR="002D6906">
        <w:rPr>
          <w:noProof/>
        </w:rPr>
        <w:t> </w:t>
      </w:r>
      <w:r w:rsidR="00191946">
        <w:rPr>
          <w:noProof/>
        </w:rPr>
        <w:t>per</w:t>
      </w:r>
      <w:r w:rsidR="002D6906">
        <w:rPr>
          <w:noProof/>
        </w:rPr>
        <w:t> </w:t>
      </w:r>
      <w:r w:rsidR="00191946">
        <w:rPr>
          <w:noProof/>
        </w:rPr>
        <w:t xml:space="preserve">cent </w:t>
      </w:r>
      <w:r w:rsidR="00911920">
        <w:rPr>
          <w:noProof/>
        </w:rPr>
        <w:t xml:space="preserve">at </w:t>
      </w:r>
      <w:r w:rsidR="00591F00">
        <w:rPr>
          <w:noProof/>
        </w:rPr>
        <w:t>the German Patent and Trademark Office</w:t>
      </w:r>
      <w:r w:rsidR="002D6906">
        <w:rPr>
          <w:noProof/>
        </w:rPr>
        <w:t> </w:t>
      </w:r>
      <w:r w:rsidR="00591F00">
        <w:rPr>
          <w:noProof/>
        </w:rPr>
        <w:t>(</w:t>
      </w:r>
      <w:r w:rsidR="00191946">
        <w:rPr>
          <w:noProof/>
        </w:rPr>
        <w:t>DPMA</w:t>
      </w:r>
      <w:r w:rsidR="00591F00">
        <w:rPr>
          <w:noProof/>
        </w:rPr>
        <w:t>)</w:t>
      </w:r>
      <w:r w:rsidR="00911920">
        <w:rPr>
          <w:noProof/>
        </w:rPr>
        <w:t xml:space="preserve">, </w:t>
      </w:r>
      <w:r w:rsidR="00191946">
        <w:rPr>
          <w:noProof/>
        </w:rPr>
        <w:t>6.2</w:t>
      </w:r>
      <w:r w:rsidR="002D6906">
        <w:rPr>
          <w:noProof/>
        </w:rPr>
        <w:t> </w:t>
      </w:r>
      <w:r w:rsidR="00191946">
        <w:rPr>
          <w:noProof/>
        </w:rPr>
        <w:t>per</w:t>
      </w:r>
      <w:r w:rsidR="002D6906">
        <w:rPr>
          <w:noProof/>
        </w:rPr>
        <w:t> </w:t>
      </w:r>
      <w:r w:rsidR="00191946">
        <w:rPr>
          <w:noProof/>
        </w:rPr>
        <w:t xml:space="preserve">cent </w:t>
      </w:r>
      <w:r w:rsidR="00911920">
        <w:rPr>
          <w:noProof/>
        </w:rPr>
        <w:t xml:space="preserve">at </w:t>
      </w:r>
      <w:r w:rsidR="002D6906">
        <w:rPr>
          <w:noProof/>
        </w:rPr>
        <w:t>the </w:t>
      </w:r>
      <w:r w:rsidR="00911920">
        <w:rPr>
          <w:noProof/>
        </w:rPr>
        <w:t xml:space="preserve">USPTO, and </w:t>
      </w:r>
      <w:r w:rsidR="00191946">
        <w:rPr>
          <w:noProof/>
        </w:rPr>
        <w:t xml:space="preserve">5.3 per cent </w:t>
      </w:r>
      <w:r w:rsidR="00911920">
        <w:rPr>
          <w:noProof/>
        </w:rPr>
        <w:t>at</w:t>
      </w:r>
      <w:r w:rsidR="002D6906">
        <w:rPr>
          <w:noProof/>
        </w:rPr>
        <w:t xml:space="preserve"> the JPO.</w:t>
      </w:r>
    </w:p>
    <w:p w:rsidR="00273349" w:rsidRDefault="007F1224" w:rsidP="002D6906">
      <w:pPr>
        <w:pStyle w:val="Heading3"/>
        <w:rPr>
          <w:noProof/>
        </w:rPr>
      </w:pPr>
      <w:r>
        <w:rPr>
          <w:noProof/>
        </w:rPr>
        <w:lastRenderedPageBreak/>
        <w:t xml:space="preserve">Share of </w:t>
      </w:r>
      <w:r w:rsidR="00945D08">
        <w:rPr>
          <w:noProof/>
        </w:rPr>
        <w:t xml:space="preserve">Priority Claims in </w:t>
      </w:r>
      <w:r>
        <w:rPr>
          <w:noProof/>
        </w:rPr>
        <w:t>International R</w:t>
      </w:r>
      <w:r w:rsidR="00B058EB">
        <w:rPr>
          <w:noProof/>
        </w:rPr>
        <w:t>egistrations by Origin</w:t>
      </w:r>
    </w:p>
    <w:p w:rsidR="002D6906" w:rsidRPr="002D6906" w:rsidRDefault="002D6906" w:rsidP="002D6906">
      <w:pPr>
        <w:keepNext/>
      </w:pPr>
    </w:p>
    <w:p w:rsidR="000B74C8" w:rsidRDefault="00444DBD" w:rsidP="00CE2B39">
      <w:pPr>
        <w:pStyle w:val="ONUME"/>
        <w:numPr>
          <w:ilvl w:val="0"/>
          <w:numId w:val="0"/>
        </w:numPr>
        <w:rPr>
          <w:noProof/>
          <w:u w:val="single"/>
        </w:rPr>
      </w:pPr>
      <w:r>
        <w:rPr>
          <w:noProof/>
          <w:lang w:eastAsia="en-US"/>
        </w:rPr>
        <mc:AlternateContent>
          <mc:Choice Requires="wps">
            <w:drawing>
              <wp:anchor distT="0" distB="0" distL="114300" distR="114300" simplePos="0" relativeHeight="251777024" behindDoc="0" locked="0" layoutInCell="1" allowOverlap="1" wp14:anchorId="22786B53" wp14:editId="00BA1C42">
                <wp:simplePos x="0" y="0"/>
                <wp:positionH relativeFrom="column">
                  <wp:posOffset>4859020</wp:posOffset>
                </wp:positionH>
                <wp:positionV relativeFrom="paragraph">
                  <wp:posOffset>3082925</wp:posOffset>
                </wp:positionV>
                <wp:extent cx="535305" cy="249555"/>
                <wp:effectExtent l="0" t="0" r="0" b="0"/>
                <wp:wrapNone/>
                <wp:docPr id="257" name="Zone de texte 257"/>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D20563">
                            <w: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7" o:spid="_x0000_s1035" type="#_x0000_t202" style="position:absolute;margin-left:382.6pt;margin-top:242.75pt;width:42.15pt;height:1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" filled="f" stroked="f" strokeweight=".5pt">
                <v:textbox>
                  <w:txbxContent>
                    <w:p w:rsidR="008B11DD" w:rsidRDefault="008B11DD" w:rsidP="00D20563">
                      <w:r>
                        <w:t>IT</w:t>
                      </w:r>
                    </w:p>
                  </w:txbxContent>
                </v:textbox>
              </v:shape>
            </w:pict>
          </mc:Fallback>
        </mc:AlternateContent>
      </w:r>
      <w:r>
        <w:rPr>
          <w:noProof/>
          <w:lang w:eastAsia="en-US"/>
        </w:rPr>
        <mc:AlternateContent>
          <mc:Choice Requires="wps">
            <w:drawing>
              <wp:anchor distT="0" distB="0" distL="114300" distR="114300" simplePos="0" relativeHeight="251772928" behindDoc="0" locked="0" layoutInCell="1" allowOverlap="1" wp14:anchorId="7EDABFED" wp14:editId="2901F0E5">
                <wp:simplePos x="0" y="0"/>
                <wp:positionH relativeFrom="column">
                  <wp:posOffset>208280</wp:posOffset>
                </wp:positionH>
                <wp:positionV relativeFrom="paragraph">
                  <wp:posOffset>3093720</wp:posOffset>
                </wp:positionV>
                <wp:extent cx="535305" cy="24955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D20563">
                            <w: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6" type="#_x0000_t202" style="position:absolute;margin-left:16.4pt;margin-top:243.6pt;width:42.15pt;height:1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" filled="f" stroked="f" strokeweight=".5pt">
                <v:textbox>
                  <w:txbxContent>
                    <w:p w:rsidR="008B11DD" w:rsidRDefault="008B11DD" w:rsidP="00D20563">
                      <w:r>
                        <w:t>US</w:t>
                      </w:r>
                    </w:p>
                  </w:txbxContent>
                </v:textbox>
              </v:shape>
            </w:pict>
          </mc:Fallback>
        </mc:AlternateContent>
      </w:r>
      <w:r>
        <w:rPr>
          <w:noProof/>
          <w:lang w:eastAsia="en-US"/>
        </w:rPr>
        <mc:AlternateContent>
          <mc:Choice Requires="wps">
            <w:drawing>
              <wp:anchor distT="0" distB="0" distL="114300" distR="114300" simplePos="0" relativeHeight="251770880" behindDoc="0" locked="0" layoutInCell="1" allowOverlap="1" wp14:anchorId="4A83418E" wp14:editId="2876BF8D">
                <wp:simplePos x="0" y="0"/>
                <wp:positionH relativeFrom="column">
                  <wp:posOffset>1040765</wp:posOffset>
                </wp:positionH>
                <wp:positionV relativeFrom="paragraph">
                  <wp:posOffset>3090545</wp:posOffset>
                </wp:positionV>
                <wp:extent cx="535305" cy="249555"/>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D20563">
                            <w: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37" type="#_x0000_t202" style="position:absolute;margin-left:81.95pt;margin-top:243.35pt;width:42.15pt;height:1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" filled="f" stroked="f" strokeweight=".5pt">
                <v:textbox>
                  <w:txbxContent>
                    <w:p w:rsidR="008B11DD" w:rsidRDefault="008B11DD" w:rsidP="00D20563">
                      <w:r>
                        <w:t>DE</w:t>
                      </w:r>
                    </w:p>
                  </w:txbxContent>
                </v:textbox>
              </v:shape>
            </w:pict>
          </mc:Fallback>
        </mc:AlternateContent>
      </w:r>
      <w:r>
        <w:rPr>
          <w:noProof/>
          <w:lang w:eastAsia="en-US"/>
        </w:rPr>
        <mc:AlternateContent>
          <mc:Choice Requires="wps">
            <w:drawing>
              <wp:anchor distT="0" distB="0" distL="114300" distR="114300" simplePos="0" relativeHeight="251768832" behindDoc="0" locked="0" layoutInCell="1" allowOverlap="1" wp14:anchorId="6E9F4B54" wp14:editId="7019BDD0">
                <wp:simplePos x="0" y="0"/>
                <wp:positionH relativeFrom="column">
                  <wp:posOffset>1855470</wp:posOffset>
                </wp:positionH>
                <wp:positionV relativeFrom="paragraph">
                  <wp:posOffset>3093720</wp:posOffset>
                </wp:positionV>
                <wp:extent cx="535305" cy="249555"/>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D20563">
                            <w: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38" type="#_x0000_t202" style="position:absolute;margin-left:146.1pt;margin-top:243.6pt;width:42.15pt;height:1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" filled="f" stroked="f" strokeweight=".5pt">
                <v:textbox>
                  <w:txbxContent>
                    <w:p w:rsidR="008B11DD" w:rsidRDefault="008B11DD" w:rsidP="00D20563">
                      <w:r>
                        <w:t>CH</w:t>
                      </w:r>
                    </w:p>
                  </w:txbxContent>
                </v:textbox>
              </v:shape>
            </w:pict>
          </mc:Fallback>
        </mc:AlternateContent>
      </w:r>
      <w:r>
        <w:rPr>
          <w:noProof/>
          <w:lang w:eastAsia="en-US"/>
        </w:rPr>
        <mc:AlternateContent>
          <mc:Choice Requires="wps">
            <w:drawing>
              <wp:anchor distT="0" distB="0" distL="114300" distR="114300" simplePos="0" relativeHeight="251766784" behindDoc="0" locked="0" layoutInCell="1" allowOverlap="1" wp14:anchorId="2693CEC6" wp14:editId="0F703F4D">
                <wp:simplePos x="0" y="0"/>
                <wp:positionH relativeFrom="column">
                  <wp:posOffset>2698750</wp:posOffset>
                </wp:positionH>
                <wp:positionV relativeFrom="paragraph">
                  <wp:posOffset>3090545</wp:posOffset>
                </wp:positionV>
                <wp:extent cx="535305" cy="24955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D20563">
                            <w: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39" type="#_x0000_t202" style="position:absolute;margin-left:212.5pt;margin-top:243.35pt;width:42.15pt;height:1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" filled="f" stroked="f" strokeweight=".5pt">
                <v:textbox>
                  <w:txbxContent>
                    <w:p w:rsidR="008B11DD" w:rsidRDefault="008B11DD" w:rsidP="00D20563">
                      <w:r>
                        <w:t>KR</w:t>
                      </w:r>
                    </w:p>
                  </w:txbxContent>
                </v:textbox>
              </v:shape>
            </w:pict>
          </mc:Fallback>
        </mc:AlternateContent>
      </w:r>
      <w:r>
        <w:rPr>
          <w:noProof/>
          <w:lang w:eastAsia="en-US"/>
        </w:rPr>
        <mc:AlternateContent>
          <mc:Choice Requires="wps">
            <w:drawing>
              <wp:anchor distT="0" distB="0" distL="114300" distR="114300" simplePos="0" relativeHeight="251764736" behindDoc="0" locked="0" layoutInCell="1" allowOverlap="1" wp14:anchorId="60391761" wp14:editId="0942DD1A">
                <wp:simplePos x="0" y="0"/>
                <wp:positionH relativeFrom="column">
                  <wp:posOffset>4182110</wp:posOffset>
                </wp:positionH>
                <wp:positionV relativeFrom="paragraph">
                  <wp:posOffset>3085465</wp:posOffset>
                </wp:positionV>
                <wp:extent cx="535305" cy="249555"/>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D20563">
                            <w: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40" type="#_x0000_t202" style="position:absolute;margin-left:329.3pt;margin-top:242.95pt;width:42.15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" filled="f" stroked="f" strokeweight=".5pt">
                <v:textbox>
                  <w:txbxContent>
                    <w:p w:rsidR="008B11DD" w:rsidRDefault="008B11DD" w:rsidP="00D20563">
                      <w:r>
                        <w:t>NL</w:t>
                      </w:r>
                    </w:p>
                  </w:txbxContent>
                </v:textbox>
              </v:shape>
            </w:pict>
          </mc:Fallback>
        </mc:AlternateContent>
      </w:r>
      <w:r>
        <w:rPr>
          <w:noProof/>
          <w:lang w:eastAsia="en-US"/>
        </w:rPr>
        <mc:AlternateContent>
          <mc:Choice Requires="wps">
            <w:drawing>
              <wp:anchor distT="0" distB="0" distL="114300" distR="114300" simplePos="0" relativeHeight="251762688" behindDoc="0" locked="0" layoutInCell="1" allowOverlap="1" wp14:anchorId="6528E165" wp14:editId="6C5BCD4F">
                <wp:simplePos x="0" y="0"/>
                <wp:positionH relativeFrom="column">
                  <wp:posOffset>3488690</wp:posOffset>
                </wp:positionH>
                <wp:positionV relativeFrom="paragraph">
                  <wp:posOffset>3088640</wp:posOffset>
                </wp:positionV>
                <wp:extent cx="535305" cy="249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D20563">
                            <w: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41" type="#_x0000_t202" style="position:absolute;margin-left:274.7pt;margin-top:243.2pt;width:42.15pt;height:19.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" filled="f" stroked="f" strokeweight=".5pt">
                <v:textbox>
                  <w:txbxContent>
                    <w:p w:rsidR="008B11DD" w:rsidRDefault="008B11DD" w:rsidP="00D20563">
                      <w:r>
                        <w:t>CN</w:t>
                      </w:r>
                    </w:p>
                  </w:txbxContent>
                </v:textbox>
              </v:shape>
            </w:pict>
          </mc:Fallback>
        </mc:AlternateContent>
      </w:r>
      <w:r w:rsidRPr="00F33FD8">
        <w:rPr>
          <w:noProof/>
          <w:u w:val="single"/>
          <w:lang w:eastAsia="en-US"/>
        </w:rPr>
        <mc:AlternateContent>
          <mc:Choice Requires="wps">
            <w:drawing>
              <wp:anchor distT="0" distB="0" distL="114300" distR="114300" simplePos="0" relativeHeight="251751424" behindDoc="0" locked="0" layoutInCell="1" allowOverlap="1" wp14:anchorId="18E045F0" wp14:editId="6EE7D3CA">
                <wp:simplePos x="0" y="0"/>
                <wp:positionH relativeFrom="column">
                  <wp:posOffset>976630</wp:posOffset>
                </wp:positionH>
                <wp:positionV relativeFrom="paragraph">
                  <wp:posOffset>3193415</wp:posOffset>
                </wp:positionV>
                <wp:extent cx="57150" cy="58420"/>
                <wp:effectExtent l="0" t="0" r="0" b="0"/>
                <wp:wrapNone/>
                <wp:docPr id="5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margin-left:76.9pt;margin-top:251.45pt;width:4.5pt;height:4.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" fillcolor="#ffc000" stroked="f" strokeweight="2pt"/>
            </w:pict>
          </mc:Fallback>
        </mc:AlternateContent>
      </w:r>
      <w:r w:rsidRPr="00F33FD8">
        <w:rPr>
          <w:noProof/>
          <w:u w:val="single"/>
          <w:lang w:eastAsia="en-US"/>
        </w:rPr>
        <mc:AlternateContent>
          <mc:Choice Requires="wps">
            <w:drawing>
              <wp:anchor distT="0" distB="0" distL="114300" distR="114300" simplePos="0" relativeHeight="251749376" behindDoc="0" locked="0" layoutInCell="1" allowOverlap="1" wp14:anchorId="4EB4D0C9" wp14:editId="09BA9826">
                <wp:simplePos x="0" y="0"/>
                <wp:positionH relativeFrom="column">
                  <wp:posOffset>1796415</wp:posOffset>
                </wp:positionH>
                <wp:positionV relativeFrom="paragraph">
                  <wp:posOffset>3190875</wp:posOffset>
                </wp:positionV>
                <wp:extent cx="57150" cy="58420"/>
                <wp:effectExtent l="0" t="0" r="0" b="0"/>
                <wp:wrapNone/>
                <wp:docPr id="4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margin-left:141.45pt;margin-top:251.25pt;width:4.5pt;height:4.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" fillcolor="red" stroked="f" strokeweight="2pt"/>
            </w:pict>
          </mc:Fallback>
        </mc:AlternateContent>
      </w:r>
      <w:r w:rsidRPr="00F33FD8">
        <w:rPr>
          <w:noProof/>
          <w:u w:val="single"/>
          <w:lang w:eastAsia="en-US"/>
        </w:rPr>
        <mc:AlternateContent>
          <mc:Choice Requires="wps">
            <w:drawing>
              <wp:anchor distT="0" distB="0" distL="114300" distR="114300" simplePos="0" relativeHeight="251747328" behindDoc="0" locked="0" layoutInCell="1" allowOverlap="1" wp14:anchorId="566B9736" wp14:editId="7894CF4D">
                <wp:simplePos x="0" y="0"/>
                <wp:positionH relativeFrom="column">
                  <wp:posOffset>2641600</wp:posOffset>
                </wp:positionH>
                <wp:positionV relativeFrom="paragraph">
                  <wp:posOffset>3194685</wp:posOffset>
                </wp:positionV>
                <wp:extent cx="57150" cy="58420"/>
                <wp:effectExtent l="0" t="0" r="0" b="0"/>
                <wp:wrapNone/>
                <wp:docPr id="4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9999"/>
                        </a:solidFill>
                        <a:ln w="25400" cap="flat" cmpd="sng" algn="ctr">
                          <a:noFill/>
                          <a:prstDash val="solid"/>
                        </a:ln>
                        <a:effectLst/>
                      </wps:spPr>
                      <wps:bodyPr/>
                    </wps:wsp>
                  </a:graphicData>
                </a:graphic>
              </wp:anchor>
            </w:drawing>
          </mc:Choice>
          <mc:Fallback>
            <w:pict>
              <v:rect id="Rectangle 1" o:spid="_x0000_s1026" style="position:absolute;margin-left:208pt;margin-top:251.55pt;width:4.5pt;height:4.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" fillcolor="#099" stroked="f" strokeweight="2pt"/>
            </w:pict>
          </mc:Fallback>
        </mc:AlternateContent>
      </w:r>
      <w:r w:rsidRPr="00F33FD8">
        <w:rPr>
          <w:noProof/>
          <w:u w:val="single"/>
          <w:lang w:eastAsia="en-US"/>
        </w:rPr>
        <mc:AlternateContent>
          <mc:Choice Requires="wps">
            <w:drawing>
              <wp:anchor distT="0" distB="0" distL="114300" distR="114300" simplePos="0" relativeHeight="251750400" behindDoc="0" locked="0" layoutInCell="1" allowOverlap="1" wp14:anchorId="7FE1B142" wp14:editId="105A2D96">
                <wp:simplePos x="0" y="0"/>
                <wp:positionH relativeFrom="column">
                  <wp:posOffset>3430905</wp:posOffset>
                </wp:positionH>
                <wp:positionV relativeFrom="paragraph">
                  <wp:posOffset>3180715</wp:posOffset>
                </wp:positionV>
                <wp:extent cx="57150" cy="58420"/>
                <wp:effectExtent l="0" t="0" r="0" b="0"/>
                <wp:wrapNone/>
                <wp:docPr id="4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50"/>
                        </a:solidFill>
                        <a:ln w="25400" cap="flat" cmpd="sng" algn="ctr">
                          <a:noFill/>
                          <a:prstDash val="solid"/>
                        </a:ln>
                        <a:effectLst/>
                      </wps:spPr>
                      <wps:bodyPr/>
                    </wps:wsp>
                  </a:graphicData>
                </a:graphic>
              </wp:anchor>
            </w:drawing>
          </mc:Choice>
          <mc:Fallback>
            <w:pict>
              <v:rect id="Rectangle 1" o:spid="_x0000_s1026" style="position:absolute;margin-left:270.15pt;margin-top:250.45pt;width:4.5pt;height:4.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" fillcolor="#00b050" stroked="f" strokeweight="2pt"/>
            </w:pict>
          </mc:Fallback>
        </mc:AlternateContent>
      </w:r>
      <w:r w:rsidRPr="00F33FD8">
        <w:rPr>
          <w:noProof/>
          <w:u w:val="single"/>
          <w:lang w:eastAsia="en-US"/>
        </w:rPr>
        <mc:AlternateContent>
          <mc:Choice Requires="wps">
            <w:drawing>
              <wp:anchor distT="0" distB="0" distL="114300" distR="114300" simplePos="0" relativeHeight="251752448" behindDoc="0" locked="0" layoutInCell="1" allowOverlap="1" wp14:anchorId="6E9389AA" wp14:editId="2D15251D">
                <wp:simplePos x="0" y="0"/>
                <wp:positionH relativeFrom="column">
                  <wp:posOffset>4130040</wp:posOffset>
                </wp:positionH>
                <wp:positionV relativeFrom="paragraph">
                  <wp:posOffset>3184525</wp:posOffset>
                </wp:positionV>
                <wp:extent cx="57150" cy="58420"/>
                <wp:effectExtent l="0" t="0" r="0" b="0"/>
                <wp:wrapNone/>
                <wp:docPr id="5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325.2pt;margin-top:250.75pt;width:4.5pt;height:4.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" fillcolor="#a5a5a5 [2092]" stroked="f" strokeweight="2pt"/>
            </w:pict>
          </mc:Fallback>
        </mc:AlternateContent>
      </w:r>
      <w:r w:rsidRPr="00F33FD8">
        <w:rPr>
          <w:noProof/>
          <w:u w:val="single"/>
          <w:lang w:eastAsia="en-US"/>
        </w:rPr>
        <mc:AlternateContent>
          <mc:Choice Requires="wps">
            <w:drawing>
              <wp:anchor distT="0" distB="0" distL="114300" distR="114300" simplePos="0" relativeHeight="251774976" behindDoc="0" locked="0" layoutInCell="1" allowOverlap="1" wp14:anchorId="1F3D81A9" wp14:editId="15A3E5BF">
                <wp:simplePos x="0" y="0"/>
                <wp:positionH relativeFrom="column">
                  <wp:posOffset>4801235</wp:posOffset>
                </wp:positionH>
                <wp:positionV relativeFrom="paragraph">
                  <wp:posOffset>3183255</wp:posOffset>
                </wp:positionV>
                <wp:extent cx="57150" cy="58420"/>
                <wp:effectExtent l="0" t="0" r="0" b="0"/>
                <wp:wrapNone/>
                <wp:docPr id="25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anchor>
            </w:drawing>
          </mc:Choice>
          <mc:Fallback>
            <w:pict>
              <v:rect id="Rectangle 1" o:spid="_x0000_s1026" style="position:absolute;margin-left:378.05pt;margin-top:250.65pt;width:4.5pt;height:4.6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" fillcolor="#92d050" stroked="f" strokeweight="2pt"/>
            </w:pict>
          </mc:Fallback>
        </mc:AlternateContent>
      </w:r>
      <w:r w:rsidR="002D6906">
        <w:rPr>
          <w:noProof/>
          <w:lang w:eastAsia="en-US"/>
        </w:rPr>
        <w:t>–</w:t>
      </w:r>
      <w:r>
        <w:rPr>
          <w:noProof/>
          <w:lang w:eastAsia="en-US"/>
        </w:rPr>
        <w:drawing>
          <wp:inline distT="0" distB="0" distL="0" distR="0" wp14:anchorId="4BB19073" wp14:editId="75FF713A">
            <wp:extent cx="5260862" cy="2964108"/>
            <wp:effectExtent l="0" t="0" r="16510" b="27305"/>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3FDD" w:rsidRDefault="00444DBD" w:rsidP="00CE2B39">
      <w:pPr>
        <w:pStyle w:val="ONUME"/>
        <w:numPr>
          <w:ilvl w:val="0"/>
          <w:numId w:val="0"/>
        </w:numPr>
        <w:rPr>
          <w:noProof/>
        </w:rPr>
      </w:pPr>
      <w:r w:rsidRPr="00F33FD8">
        <w:rPr>
          <w:noProof/>
          <w:lang w:eastAsia="en-US"/>
        </w:rPr>
        <mc:AlternateContent>
          <mc:Choice Requires="wps">
            <w:drawing>
              <wp:anchor distT="0" distB="0" distL="114300" distR="114300" simplePos="0" relativeHeight="251748352" behindDoc="0" locked="0" layoutInCell="1" allowOverlap="1" wp14:anchorId="34E5190F" wp14:editId="53FF16FC">
                <wp:simplePos x="0" y="0"/>
                <wp:positionH relativeFrom="column">
                  <wp:posOffset>152136</wp:posOffset>
                </wp:positionH>
                <wp:positionV relativeFrom="paragraph">
                  <wp:posOffset>57150</wp:posOffset>
                </wp:positionV>
                <wp:extent cx="57150" cy="58420"/>
                <wp:effectExtent l="0" t="0" r="0" b="0"/>
                <wp:wrapNone/>
                <wp:docPr id="4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800080"/>
                        </a:solidFill>
                        <a:ln w="25400" cap="flat" cmpd="sng" algn="ctr">
                          <a:noFill/>
                          <a:prstDash val="solid"/>
                        </a:ln>
                        <a:effectLst/>
                      </wps:spPr>
                      <wps:bodyPr/>
                    </wps:wsp>
                  </a:graphicData>
                </a:graphic>
              </wp:anchor>
            </w:drawing>
          </mc:Choice>
          <mc:Fallback>
            <w:pict>
              <v:rect id="Rectangle 1" o:spid="_x0000_s1026" style="position:absolute;margin-left:12pt;margin-top:4.5pt;width:4.5pt;height:4.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" fillcolor="purple" stroked="f" strokeweight="2pt"/>
            </w:pict>
          </mc:Fallback>
        </mc:AlternateContent>
      </w:r>
    </w:p>
    <w:p w:rsidR="007F1224" w:rsidRPr="00E474B5" w:rsidRDefault="00822FDD" w:rsidP="00E474B5">
      <w:pPr>
        <w:pStyle w:val="ONUME"/>
      </w:pPr>
      <w:r w:rsidRPr="00E474B5">
        <w:t>In 2014,</w:t>
      </w:r>
      <w:r w:rsidR="006B42AC" w:rsidRPr="00E474B5">
        <w:t xml:space="preserve"> where the European Union was designated in an international registration, 71.7</w:t>
      </w:r>
      <w:r w:rsidR="00BA606D">
        <w:t> </w:t>
      </w:r>
      <w:r w:rsidR="006B42AC" w:rsidRPr="00E474B5">
        <w:t>per</w:t>
      </w:r>
      <w:r w:rsidR="00BA606D">
        <w:t> </w:t>
      </w:r>
      <w:r w:rsidR="006B42AC" w:rsidRPr="00E474B5">
        <w:t>cent of international registrations originating from the United</w:t>
      </w:r>
      <w:r w:rsidR="00BA606D">
        <w:t> </w:t>
      </w:r>
      <w:r w:rsidR="006B42AC" w:rsidRPr="00E474B5">
        <w:t>States of</w:t>
      </w:r>
      <w:r w:rsidR="00BA606D">
        <w:t xml:space="preserve"> America contained </w:t>
      </w:r>
      <w:r w:rsidR="006B42AC" w:rsidRPr="00E474B5">
        <w:t xml:space="preserve">a priority claim, </w:t>
      </w:r>
      <w:r w:rsidR="00E55824" w:rsidRPr="00E474B5">
        <w:t xml:space="preserve">compared to </w:t>
      </w:r>
      <w:r w:rsidR="006B42AC" w:rsidRPr="00E474B5">
        <w:t>21.5</w:t>
      </w:r>
      <w:r w:rsidR="00BA606D">
        <w:t> </w:t>
      </w:r>
      <w:r w:rsidR="006B42AC" w:rsidRPr="00E474B5">
        <w:t>per</w:t>
      </w:r>
      <w:r w:rsidR="00BA606D">
        <w:t> </w:t>
      </w:r>
      <w:r w:rsidR="006B42AC" w:rsidRPr="00E474B5">
        <w:t xml:space="preserve">cent of </w:t>
      </w:r>
      <w:r w:rsidR="00E55824" w:rsidRPr="00E474B5">
        <w:t xml:space="preserve">those </w:t>
      </w:r>
      <w:r w:rsidR="006B42AC" w:rsidRPr="00E474B5">
        <w:t>originating from Germany, 14.1</w:t>
      </w:r>
      <w:r w:rsidR="00BA606D">
        <w:t> </w:t>
      </w:r>
      <w:r w:rsidR="006B42AC" w:rsidRPr="00E474B5">
        <w:t>per</w:t>
      </w:r>
      <w:r w:rsidR="00BA606D">
        <w:t> </w:t>
      </w:r>
      <w:r w:rsidR="006B42AC" w:rsidRPr="00E474B5">
        <w:t xml:space="preserve">cent of </w:t>
      </w:r>
      <w:r w:rsidR="00DC5E95" w:rsidRPr="00E474B5">
        <w:t xml:space="preserve">those </w:t>
      </w:r>
      <w:r w:rsidR="006B42AC" w:rsidRPr="00E474B5">
        <w:t>originating from Switzerland, 90</w:t>
      </w:r>
      <w:r w:rsidR="00BA606D">
        <w:t> </w:t>
      </w:r>
      <w:r w:rsidR="006B42AC" w:rsidRPr="00E474B5">
        <w:t>per</w:t>
      </w:r>
      <w:r w:rsidR="00BA606D">
        <w:t> </w:t>
      </w:r>
      <w:r w:rsidR="006B42AC" w:rsidRPr="00E474B5">
        <w:t xml:space="preserve">cent of </w:t>
      </w:r>
      <w:r w:rsidR="00DC5E95" w:rsidRPr="00E474B5">
        <w:t xml:space="preserve">those </w:t>
      </w:r>
      <w:r w:rsidR="006B42AC" w:rsidRPr="00E474B5">
        <w:t>originating from the Republic of</w:t>
      </w:r>
      <w:r w:rsidR="00BA606D">
        <w:t> </w:t>
      </w:r>
      <w:r w:rsidR="006B42AC" w:rsidRPr="00E474B5">
        <w:t>Korea and 81.3</w:t>
      </w:r>
      <w:r w:rsidR="00BA606D">
        <w:t> </w:t>
      </w:r>
      <w:r w:rsidR="006B42AC" w:rsidRPr="00E474B5">
        <w:t>per</w:t>
      </w:r>
      <w:r w:rsidR="00BA606D">
        <w:t> </w:t>
      </w:r>
      <w:r w:rsidR="006B42AC" w:rsidRPr="00E474B5">
        <w:t xml:space="preserve">cent of </w:t>
      </w:r>
      <w:r w:rsidR="00DC5E95" w:rsidRPr="00E474B5">
        <w:t xml:space="preserve">those </w:t>
      </w:r>
      <w:r w:rsidR="006B42AC" w:rsidRPr="00E474B5">
        <w:t>originating from China.</w:t>
      </w:r>
    </w:p>
    <w:p w:rsidR="00822FDD" w:rsidRPr="00E474B5" w:rsidRDefault="00364B61" w:rsidP="00E474B5">
      <w:pPr>
        <w:pStyle w:val="ONUME"/>
      </w:pPr>
      <w:r w:rsidRPr="00E474B5">
        <w:t>On the other hand, in 2014, where the Republic of</w:t>
      </w:r>
      <w:r w:rsidR="00BA606D">
        <w:t> </w:t>
      </w:r>
      <w:r w:rsidRPr="00E474B5">
        <w:t xml:space="preserve">Korea was designated in an international registration, </w:t>
      </w:r>
      <w:r w:rsidR="00E05968" w:rsidRPr="00E474B5">
        <w:t>17</w:t>
      </w:r>
      <w:r w:rsidR="00BA606D">
        <w:t> </w:t>
      </w:r>
      <w:r w:rsidR="00E05968" w:rsidRPr="00E474B5">
        <w:t xml:space="preserve">per cent of international registrations originating from Switzerland contained a priority claim, </w:t>
      </w:r>
      <w:r w:rsidR="008053A7" w:rsidRPr="00E474B5">
        <w:t xml:space="preserve">compared to </w:t>
      </w:r>
      <w:r w:rsidR="00E05968" w:rsidRPr="00E474B5">
        <w:t>45.5</w:t>
      </w:r>
      <w:r w:rsidR="00BA606D">
        <w:t> </w:t>
      </w:r>
      <w:r w:rsidR="00E05968" w:rsidRPr="00E474B5">
        <w:t>per</w:t>
      </w:r>
      <w:r w:rsidR="00BA606D">
        <w:t> </w:t>
      </w:r>
      <w:r w:rsidR="00E05968" w:rsidRPr="00E474B5">
        <w:t xml:space="preserve">cent of </w:t>
      </w:r>
      <w:r w:rsidR="00E01DD5" w:rsidRPr="00E474B5">
        <w:t>those</w:t>
      </w:r>
      <w:r w:rsidR="0044285A" w:rsidRPr="00E474B5">
        <w:t xml:space="preserve"> </w:t>
      </w:r>
      <w:r w:rsidR="00E05968" w:rsidRPr="00E474B5">
        <w:t>originating from Germany, 80</w:t>
      </w:r>
      <w:r w:rsidR="00BA606D">
        <w:t> </w:t>
      </w:r>
      <w:r w:rsidR="00E05968" w:rsidRPr="00E474B5">
        <w:t>per</w:t>
      </w:r>
      <w:r w:rsidR="00BA606D">
        <w:t> </w:t>
      </w:r>
      <w:r w:rsidR="00E05968" w:rsidRPr="00E474B5">
        <w:t xml:space="preserve">cent of </w:t>
      </w:r>
      <w:r w:rsidR="00E01DD5" w:rsidRPr="00E474B5">
        <w:t>those</w:t>
      </w:r>
      <w:r w:rsidR="0044285A" w:rsidRPr="00E474B5">
        <w:t xml:space="preserve"> </w:t>
      </w:r>
      <w:r w:rsidR="00E05968" w:rsidRPr="00E474B5">
        <w:t>originating from the Netherlands, 54.8</w:t>
      </w:r>
      <w:r w:rsidR="00BA606D">
        <w:t> </w:t>
      </w:r>
      <w:r w:rsidR="00E05968" w:rsidRPr="00E474B5">
        <w:t>per</w:t>
      </w:r>
      <w:r w:rsidR="00BA606D">
        <w:t> </w:t>
      </w:r>
      <w:r w:rsidR="00E05968" w:rsidRPr="00E474B5">
        <w:t xml:space="preserve">cent of </w:t>
      </w:r>
      <w:r w:rsidR="00E01DD5" w:rsidRPr="00E474B5">
        <w:t xml:space="preserve">those </w:t>
      </w:r>
      <w:r w:rsidR="00E05968" w:rsidRPr="00E474B5">
        <w:t xml:space="preserve">originating from Italy, and </w:t>
      </w:r>
      <w:r w:rsidRPr="00E474B5">
        <w:t>78.6</w:t>
      </w:r>
      <w:r w:rsidR="00BA606D">
        <w:t> </w:t>
      </w:r>
      <w:r w:rsidRPr="00E474B5">
        <w:t>per</w:t>
      </w:r>
      <w:r w:rsidR="00BA606D">
        <w:t> </w:t>
      </w:r>
      <w:r w:rsidRPr="00E474B5">
        <w:t xml:space="preserve">cent of </w:t>
      </w:r>
      <w:r w:rsidR="00E01DD5" w:rsidRPr="00E474B5">
        <w:t>those</w:t>
      </w:r>
      <w:r w:rsidR="0044285A" w:rsidRPr="00E474B5">
        <w:t xml:space="preserve"> </w:t>
      </w:r>
      <w:r w:rsidRPr="00E474B5">
        <w:t>originating from the United</w:t>
      </w:r>
      <w:r w:rsidR="00BA606D">
        <w:t> </w:t>
      </w:r>
      <w:r w:rsidRPr="00E474B5">
        <w:t>States of</w:t>
      </w:r>
      <w:proofErr w:type="gramStart"/>
      <w:r w:rsidR="00BA606D">
        <w:t> </w:t>
      </w:r>
      <w:r w:rsidRPr="00E474B5">
        <w:t xml:space="preserve"> America</w:t>
      </w:r>
      <w:proofErr w:type="gramEnd"/>
      <w:r w:rsidR="00E05968" w:rsidRPr="00E474B5">
        <w:t>.</w:t>
      </w:r>
    </w:p>
    <w:p w:rsidR="006A4F98" w:rsidRDefault="00444DBD" w:rsidP="00CE2B39">
      <w:pPr>
        <w:pStyle w:val="ONUME"/>
        <w:numPr>
          <w:ilvl w:val="0"/>
          <w:numId w:val="0"/>
        </w:numPr>
        <w:rPr>
          <w:noProof/>
        </w:rPr>
      </w:pPr>
      <w:r>
        <w:rPr>
          <w:noProof/>
          <w:lang w:eastAsia="en-US"/>
        </w:rPr>
        <mc:AlternateContent>
          <mc:Choice Requires="wps">
            <w:drawing>
              <wp:anchor distT="0" distB="0" distL="114300" distR="114300" simplePos="0" relativeHeight="251803648" behindDoc="0" locked="0" layoutInCell="1" allowOverlap="1" wp14:anchorId="200CD3EC" wp14:editId="272ADB21">
                <wp:simplePos x="0" y="0"/>
                <wp:positionH relativeFrom="column">
                  <wp:posOffset>5085715</wp:posOffset>
                </wp:positionH>
                <wp:positionV relativeFrom="paragraph">
                  <wp:posOffset>2807970</wp:posOffset>
                </wp:positionV>
                <wp:extent cx="535305" cy="248920"/>
                <wp:effectExtent l="0" t="0" r="0" b="0"/>
                <wp:wrapNone/>
                <wp:docPr id="280" name="Zone de texte 280"/>
                <wp:cNvGraphicFramePr/>
                <a:graphic xmlns:a="http://schemas.openxmlformats.org/drawingml/2006/main">
                  <a:graphicData uri="http://schemas.microsoft.com/office/word/2010/wordprocessingShape">
                    <wps:wsp>
                      <wps:cNvSpPr txBox="1"/>
                      <wps:spPr>
                        <a:xfrm>
                          <a:off x="0" y="0"/>
                          <a:ext cx="5353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746947">
                            <w: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 o:spid="_x0000_s1042" type="#_x0000_t202" style="position:absolute;margin-left:400.45pt;margin-top:221.1pt;width:42.15pt;height:19.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" filled="f" stroked="f" strokeweight=".5pt">
                <v:textbox>
                  <w:txbxContent>
                    <w:p w:rsidR="008B11DD" w:rsidRDefault="008B11DD" w:rsidP="00746947">
                      <w:r>
                        <w:t>IT</w:t>
                      </w:r>
                    </w:p>
                  </w:txbxContent>
                </v:textbox>
              </v:shape>
            </w:pict>
          </mc:Fallback>
        </mc:AlternateContent>
      </w:r>
      <w:r>
        <w:rPr>
          <w:noProof/>
          <w:lang w:eastAsia="en-US"/>
        </w:rPr>
        <mc:AlternateContent>
          <mc:Choice Requires="wps">
            <w:drawing>
              <wp:anchor distT="0" distB="0" distL="114300" distR="114300" simplePos="0" relativeHeight="251801600" behindDoc="0" locked="0" layoutInCell="1" allowOverlap="1" wp14:anchorId="32254506" wp14:editId="5AD5CE52">
                <wp:simplePos x="0" y="0"/>
                <wp:positionH relativeFrom="column">
                  <wp:posOffset>4480728</wp:posOffset>
                </wp:positionH>
                <wp:positionV relativeFrom="paragraph">
                  <wp:posOffset>2807251</wp:posOffset>
                </wp:positionV>
                <wp:extent cx="535305" cy="248920"/>
                <wp:effectExtent l="0" t="0" r="0" b="0"/>
                <wp:wrapNone/>
                <wp:docPr id="279" name="Zone de texte 279"/>
                <wp:cNvGraphicFramePr/>
                <a:graphic xmlns:a="http://schemas.openxmlformats.org/drawingml/2006/main">
                  <a:graphicData uri="http://schemas.microsoft.com/office/word/2010/wordprocessingShape">
                    <wps:wsp>
                      <wps:cNvSpPr txBox="1"/>
                      <wps:spPr>
                        <a:xfrm>
                          <a:off x="0" y="0"/>
                          <a:ext cx="5353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746947">
                            <w: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9" o:spid="_x0000_s1043" type="#_x0000_t202" style="position:absolute;margin-left:352.8pt;margin-top:221.05pt;width:42.15pt;height:19.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" filled="f" stroked="f" strokeweight=".5pt">
                <v:textbox>
                  <w:txbxContent>
                    <w:p w:rsidR="008B11DD" w:rsidRDefault="008B11DD" w:rsidP="00746947">
                      <w:r>
                        <w:t>NL</w:t>
                      </w:r>
                    </w:p>
                  </w:txbxContent>
                </v:textbox>
              </v:shape>
            </w:pict>
          </mc:Fallback>
        </mc:AlternateContent>
      </w:r>
      <w:r>
        <w:rPr>
          <w:noProof/>
          <w:lang w:eastAsia="en-US"/>
        </w:rPr>
        <mc:AlternateContent>
          <mc:Choice Requires="wps">
            <w:drawing>
              <wp:anchor distT="0" distB="0" distL="114300" distR="114300" simplePos="0" relativeHeight="251799552" behindDoc="0" locked="0" layoutInCell="1" allowOverlap="1" wp14:anchorId="57590325" wp14:editId="0CDA76BD">
                <wp:simplePos x="0" y="0"/>
                <wp:positionH relativeFrom="column">
                  <wp:posOffset>3792220</wp:posOffset>
                </wp:positionH>
                <wp:positionV relativeFrom="paragraph">
                  <wp:posOffset>2815698</wp:posOffset>
                </wp:positionV>
                <wp:extent cx="535305" cy="249339"/>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535305" cy="249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746947">
                            <w: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8" o:spid="_x0000_s1044" type="#_x0000_t202" style="position:absolute;margin-left:298.6pt;margin-top:221.7pt;width:42.15pt;height:19.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" filled="f" stroked="f" strokeweight=".5pt">
                <v:textbox>
                  <w:txbxContent>
                    <w:p w:rsidR="008B11DD" w:rsidRDefault="008B11DD" w:rsidP="00746947">
                      <w:r>
                        <w:t>FR</w:t>
                      </w:r>
                    </w:p>
                  </w:txbxContent>
                </v:textbox>
              </v:shape>
            </w:pict>
          </mc:Fallback>
        </mc:AlternateContent>
      </w:r>
      <w:r>
        <w:rPr>
          <w:noProof/>
          <w:lang w:eastAsia="en-US"/>
        </w:rPr>
        <mc:AlternateContent>
          <mc:Choice Requires="wps">
            <w:drawing>
              <wp:anchor distT="0" distB="0" distL="114300" distR="114300" simplePos="0" relativeHeight="251797504" behindDoc="0" locked="0" layoutInCell="1" allowOverlap="1" wp14:anchorId="3409F166" wp14:editId="7C7EAD7E">
                <wp:simplePos x="0" y="0"/>
                <wp:positionH relativeFrom="column">
                  <wp:posOffset>3075940</wp:posOffset>
                </wp:positionH>
                <wp:positionV relativeFrom="paragraph">
                  <wp:posOffset>2816225</wp:posOffset>
                </wp:positionV>
                <wp:extent cx="535305" cy="231775"/>
                <wp:effectExtent l="0" t="0" r="0" b="0"/>
                <wp:wrapNone/>
                <wp:docPr id="277" name="Zone de texte 277"/>
                <wp:cNvGraphicFramePr/>
                <a:graphic xmlns:a="http://schemas.openxmlformats.org/drawingml/2006/main">
                  <a:graphicData uri="http://schemas.microsoft.com/office/word/2010/wordprocessingShape">
                    <wps:wsp>
                      <wps:cNvSpPr txBox="1"/>
                      <wps:spPr>
                        <a:xfrm>
                          <a:off x="0" y="0"/>
                          <a:ext cx="53530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746947">
                            <w: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7" o:spid="_x0000_s1045" type="#_x0000_t202" style="position:absolute;margin-left:242.2pt;margin-top:221.75pt;width:42.15pt;height:18.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" filled="f" stroked="f" strokeweight=".5pt">
                <v:textbox>
                  <w:txbxContent>
                    <w:p w:rsidR="008B11DD" w:rsidRDefault="008B11DD" w:rsidP="00746947">
                      <w:r>
                        <w:t>CH</w:t>
                      </w:r>
                    </w:p>
                  </w:txbxContent>
                </v:textbox>
              </v:shape>
            </w:pict>
          </mc:Fallback>
        </mc:AlternateContent>
      </w:r>
      <w:r>
        <w:rPr>
          <w:noProof/>
          <w:lang w:eastAsia="en-US"/>
        </w:rPr>
        <mc:AlternateContent>
          <mc:Choice Requires="wps">
            <w:drawing>
              <wp:anchor distT="0" distB="0" distL="114300" distR="114300" simplePos="0" relativeHeight="251795456" behindDoc="0" locked="0" layoutInCell="1" allowOverlap="1" wp14:anchorId="22D2BA01" wp14:editId="09367C2D">
                <wp:simplePos x="0" y="0"/>
                <wp:positionH relativeFrom="column">
                  <wp:posOffset>2377440</wp:posOffset>
                </wp:positionH>
                <wp:positionV relativeFrom="paragraph">
                  <wp:posOffset>2816225</wp:posOffset>
                </wp:positionV>
                <wp:extent cx="535305" cy="23177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53530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746947">
                            <w: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6" o:spid="_x0000_s1046" type="#_x0000_t202" style="position:absolute;margin-left:187.2pt;margin-top:221.75pt;width:42.15pt;height:1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" filled="f" stroked="f" strokeweight=".5pt">
                <v:textbox>
                  <w:txbxContent>
                    <w:p w:rsidR="008B11DD" w:rsidRDefault="008B11DD" w:rsidP="00746947">
                      <w:r>
                        <w:t>JP</w:t>
                      </w:r>
                    </w:p>
                  </w:txbxContent>
                </v:textbox>
              </v:shape>
            </w:pict>
          </mc:Fallback>
        </mc:AlternateContent>
      </w:r>
      <w:r w:rsidR="00746947">
        <w:rPr>
          <w:noProof/>
          <w:lang w:eastAsia="en-US"/>
        </w:rPr>
        <mc:AlternateContent>
          <mc:Choice Requires="wps">
            <w:drawing>
              <wp:anchor distT="0" distB="0" distL="114300" distR="114300" simplePos="0" relativeHeight="251789312" behindDoc="0" locked="0" layoutInCell="1" allowOverlap="1" wp14:anchorId="0A468C96" wp14:editId="4F8C1FD9">
                <wp:simplePos x="0" y="0"/>
                <wp:positionH relativeFrom="column">
                  <wp:posOffset>304800</wp:posOffset>
                </wp:positionH>
                <wp:positionV relativeFrom="paragraph">
                  <wp:posOffset>2824480</wp:posOffset>
                </wp:positionV>
                <wp:extent cx="535305" cy="249555"/>
                <wp:effectExtent l="0" t="0" r="0" b="0"/>
                <wp:wrapNone/>
                <wp:docPr id="273" name="Zone de texte 27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746947">
                            <w: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 o:spid="_x0000_s1047" type="#_x0000_t202" style="position:absolute;margin-left:24pt;margin-top:222.4pt;width:42.15pt;height:1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sQhg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" filled="f" stroked="f" strokeweight=".5pt">
                <v:textbox>
                  <w:txbxContent>
                    <w:p w:rsidR="008B11DD" w:rsidRDefault="008B11DD" w:rsidP="00746947">
                      <w:r>
                        <w:t>KR</w:t>
                      </w:r>
                    </w:p>
                  </w:txbxContent>
                </v:textbox>
              </v:shape>
            </w:pict>
          </mc:Fallback>
        </mc:AlternateContent>
      </w:r>
      <w:r w:rsidR="00746947">
        <w:rPr>
          <w:noProof/>
          <w:lang w:eastAsia="en-US"/>
        </w:rPr>
        <mc:AlternateContent>
          <mc:Choice Requires="wps">
            <w:drawing>
              <wp:anchor distT="0" distB="0" distL="114300" distR="114300" simplePos="0" relativeHeight="251793408" behindDoc="0" locked="0" layoutInCell="1" allowOverlap="1" wp14:anchorId="4DAE9B00" wp14:editId="3E7D40AB">
                <wp:simplePos x="0" y="0"/>
                <wp:positionH relativeFrom="column">
                  <wp:posOffset>1691640</wp:posOffset>
                </wp:positionH>
                <wp:positionV relativeFrom="paragraph">
                  <wp:posOffset>2822879</wp:posOffset>
                </wp:positionV>
                <wp:extent cx="535305" cy="249555"/>
                <wp:effectExtent l="0" t="0" r="0" b="0"/>
                <wp:wrapNone/>
                <wp:docPr id="275" name="Zone de texte 275"/>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746947">
                            <w: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5" o:spid="_x0000_s1048" type="#_x0000_t202" style="position:absolute;margin-left:133.2pt;margin-top:222.25pt;width:42.15pt;height:19.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" filled="f" stroked="f" strokeweight=".5pt">
                <v:textbox>
                  <w:txbxContent>
                    <w:p w:rsidR="008B11DD" w:rsidRDefault="008B11DD" w:rsidP="00746947">
                      <w:r>
                        <w:t>DE</w:t>
                      </w:r>
                    </w:p>
                  </w:txbxContent>
                </v:textbox>
              </v:shape>
            </w:pict>
          </mc:Fallback>
        </mc:AlternateContent>
      </w:r>
      <w:r w:rsidR="00746947">
        <w:rPr>
          <w:noProof/>
          <w:lang w:eastAsia="en-US"/>
        </w:rPr>
        <mc:AlternateContent>
          <mc:Choice Requires="wps">
            <w:drawing>
              <wp:anchor distT="0" distB="0" distL="114300" distR="114300" simplePos="0" relativeHeight="251791360" behindDoc="0" locked="0" layoutInCell="1" allowOverlap="1" wp14:anchorId="6626A8A6" wp14:editId="7420E1E9">
                <wp:simplePos x="0" y="0"/>
                <wp:positionH relativeFrom="column">
                  <wp:posOffset>1005954</wp:posOffset>
                </wp:positionH>
                <wp:positionV relativeFrom="paragraph">
                  <wp:posOffset>2817003</wp:posOffset>
                </wp:positionV>
                <wp:extent cx="535305" cy="249555"/>
                <wp:effectExtent l="0" t="0" r="0" b="0"/>
                <wp:wrapNone/>
                <wp:docPr id="274" name="Zone de texte 274"/>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746947">
                            <w: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4" o:spid="_x0000_s1049" type="#_x0000_t202" style="position:absolute;margin-left:79.2pt;margin-top:221.8pt;width:42.15pt;height:1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1nhg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" filled="f" stroked="f" strokeweight=".5pt">
                <v:textbox>
                  <w:txbxContent>
                    <w:p w:rsidR="008B11DD" w:rsidRDefault="008B11DD" w:rsidP="00746947">
                      <w:r>
                        <w:t>US</w:t>
                      </w:r>
                    </w:p>
                  </w:txbxContent>
                </v:textbox>
              </v:shape>
            </w:pict>
          </mc:Fallback>
        </mc:AlternateContent>
      </w:r>
      <w:r w:rsidR="006A4F98">
        <w:rPr>
          <w:noProof/>
          <w:lang w:eastAsia="en-US"/>
        </w:rPr>
        <w:drawing>
          <wp:inline distT="0" distB="0" distL="0" distR="0" wp14:anchorId="2C87A048" wp14:editId="6A1CAE90">
            <wp:extent cx="5940425" cy="2730852"/>
            <wp:effectExtent l="0" t="0" r="22225" b="1270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3FDD" w:rsidRDefault="00444DBD" w:rsidP="00CE2B39">
      <w:pPr>
        <w:pStyle w:val="ONUME"/>
        <w:numPr>
          <w:ilvl w:val="0"/>
          <w:numId w:val="0"/>
        </w:numPr>
        <w:rPr>
          <w:noProof/>
        </w:rPr>
      </w:pPr>
      <w:r w:rsidRPr="000D628C">
        <w:rPr>
          <w:noProof/>
          <w:lang w:eastAsia="en-US"/>
        </w:rPr>
        <mc:AlternateContent>
          <mc:Choice Requires="wps">
            <w:drawing>
              <wp:anchor distT="0" distB="0" distL="114300" distR="114300" simplePos="0" relativeHeight="251785216" behindDoc="0" locked="0" layoutInCell="1" allowOverlap="1" wp14:anchorId="66B4665B" wp14:editId="31C7AD97">
                <wp:simplePos x="0" y="0"/>
                <wp:positionH relativeFrom="column">
                  <wp:posOffset>3740150</wp:posOffset>
                </wp:positionH>
                <wp:positionV relativeFrom="paragraph">
                  <wp:posOffset>18679</wp:posOffset>
                </wp:positionV>
                <wp:extent cx="57150" cy="58420"/>
                <wp:effectExtent l="0" t="0" r="0" b="0"/>
                <wp:wrapNone/>
                <wp:docPr id="27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70C0"/>
                        </a:solidFill>
                        <a:ln w="25400" cap="flat" cmpd="sng" algn="ctr">
                          <a:noFill/>
                          <a:prstDash val="solid"/>
                        </a:ln>
                        <a:effectLst/>
                      </wps:spPr>
                      <wps:bodyPr/>
                    </wps:wsp>
                  </a:graphicData>
                </a:graphic>
              </wp:anchor>
            </w:drawing>
          </mc:Choice>
          <mc:Fallback>
            <w:pict>
              <v:rect id="Rectangle 1" o:spid="_x0000_s1026" style="position:absolute;margin-left:294.5pt;margin-top:1.45pt;width:4.5pt;height:4.6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" fillcolor="#0070c0" stroked="f" strokeweight="2pt"/>
            </w:pict>
          </mc:Fallback>
        </mc:AlternateContent>
      </w:r>
      <w:r w:rsidRPr="000D628C">
        <w:rPr>
          <w:noProof/>
          <w:lang w:eastAsia="en-US"/>
        </w:rPr>
        <mc:AlternateContent>
          <mc:Choice Requires="wps">
            <w:drawing>
              <wp:anchor distT="0" distB="0" distL="114300" distR="114300" simplePos="0" relativeHeight="251787264" behindDoc="0" locked="0" layoutInCell="1" allowOverlap="1" wp14:anchorId="545B4F59" wp14:editId="4DFFECD6">
                <wp:simplePos x="0" y="0"/>
                <wp:positionH relativeFrom="column">
                  <wp:posOffset>5017135</wp:posOffset>
                </wp:positionH>
                <wp:positionV relativeFrom="paragraph">
                  <wp:posOffset>11801</wp:posOffset>
                </wp:positionV>
                <wp:extent cx="57150" cy="58420"/>
                <wp:effectExtent l="0" t="0" r="0" b="0"/>
                <wp:wrapNone/>
                <wp:docPr id="27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anchor>
            </w:drawing>
          </mc:Choice>
          <mc:Fallback>
            <w:pict>
              <v:rect id="Rectangle 1" o:spid="_x0000_s1026" style="position:absolute;margin-left:395.05pt;margin-top:.95pt;width:4.5pt;height:4.6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" fillcolor="#92d050" stroked="f" strokeweight="2pt"/>
            </w:pict>
          </mc:Fallback>
        </mc:AlternateContent>
      </w:r>
      <w:r w:rsidRPr="000D628C">
        <w:rPr>
          <w:noProof/>
          <w:lang w:eastAsia="en-US"/>
        </w:rPr>
        <mc:AlternateContent>
          <mc:Choice Requires="wps">
            <w:drawing>
              <wp:anchor distT="0" distB="0" distL="114300" distR="114300" simplePos="0" relativeHeight="251782144" behindDoc="0" locked="0" layoutInCell="1" allowOverlap="1" wp14:anchorId="6E2DAFF8" wp14:editId="69C4C250">
                <wp:simplePos x="0" y="0"/>
                <wp:positionH relativeFrom="column">
                  <wp:posOffset>4428490</wp:posOffset>
                </wp:positionH>
                <wp:positionV relativeFrom="paragraph">
                  <wp:posOffset>9261</wp:posOffset>
                </wp:positionV>
                <wp:extent cx="57150" cy="58420"/>
                <wp:effectExtent l="0" t="0" r="0" b="0"/>
                <wp:wrapNone/>
                <wp:docPr id="26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w="25400" cap="flat" cmpd="sng" algn="ctr">
                          <a:noFill/>
                          <a:prstDash val="solid"/>
                        </a:ln>
                        <a:effectLst/>
                      </wps:spPr>
                      <wps:bodyPr/>
                    </wps:wsp>
                  </a:graphicData>
                </a:graphic>
              </wp:anchor>
            </w:drawing>
          </mc:Choice>
          <mc:Fallback>
            <w:pict>
              <v:rect id="Rectangle 1" o:spid="_x0000_s1026" style="position:absolute;margin-left:348.7pt;margin-top:.75pt;width:4.5pt;height:4.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" fillcolor="#a5a5a5 [2092]" stroked="f" strokeweight="2pt"/>
            </w:pict>
          </mc:Fallback>
        </mc:AlternateContent>
      </w:r>
      <w:r w:rsidRPr="000D628C">
        <w:rPr>
          <w:noProof/>
          <w:lang w:eastAsia="en-US"/>
        </w:rPr>
        <mc:AlternateContent>
          <mc:Choice Requires="wps">
            <w:drawing>
              <wp:anchor distT="0" distB="0" distL="114300" distR="114300" simplePos="0" relativeHeight="251781120" behindDoc="0" locked="0" layoutInCell="1" allowOverlap="1" wp14:anchorId="3C5F759E" wp14:editId="35300039">
                <wp:simplePos x="0" y="0"/>
                <wp:positionH relativeFrom="column">
                  <wp:posOffset>3023235</wp:posOffset>
                </wp:positionH>
                <wp:positionV relativeFrom="paragraph">
                  <wp:posOffset>19421</wp:posOffset>
                </wp:positionV>
                <wp:extent cx="57150" cy="58420"/>
                <wp:effectExtent l="0" t="0" r="0" b="0"/>
                <wp:wrapNone/>
                <wp:docPr id="26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margin-left:238.05pt;margin-top:1.55pt;width:4.5pt;height:4.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" fillcolor="red" stroked="f" strokeweight="2pt"/>
            </w:pict>
          </mc:Fallback>
        </mc:AlternateContent>
      </w:r>
      <w:r w:rsidRPr="000D628C">
        <w:rPr>
          <w:noProof/>
          <w:lang w:eastAsia="en-US"/>
        </w:rPr>
        <mc:AlternateContent>
          <mc:Choice Requires="wps">
            <w:drawing>
              <wp:anchor distT="0" distB="0" distL="114300" distR="114300" simplePos="0" relativeHeight="251784192" behindDoc="0" locked="0" layoutInCell="1" allowOverlap="1" wp14:anchorId="0D854BAC" wp14:editId="4DB4CB78">
                <wp:simplePos x="0" y="0"/>
                <wp:positionH relativeFrom="column">
                  <wp:posOffset>2324735</wp:posOffset>
                </wp:positionH>
                <wp:positionV relativeFrom="paragraph">
                  <wp:posOffset>28946</wp:posOffset>
                </wp:positionV>
                <wp:extent cx="57150" cy="58420"/>
                <wp:effectExtent l="0" t="0" r="0" b="0"/>
                <wp:wrapNone/>
                <wp:docPr id="270"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25400" cap="flat" cmpd="sng" algn="ctr">
                          <a:noFill/>
                          <a:prstDash val="solid"/>
                        </a:ln>
                        <a:effectLst/>
                      </wps:spPr>
                      <wps:bodyPr/>
                    </wps:wsp>
                  </a:graphicData>
                </a:graphic>
              </wp:anchor>
            </w:drawing>
          </mc:Choice>
          <mc:Fallback>
            <w:pict>
              <v:rect id="Rectangle 1" o:spid="_x0000_s1026" style="position:absolute;margin-left:183.05pt;margin-top:2.3pt;width:4.5pt;height:4.6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" fillcolor="#b6dde8 [1304]" stroked="f" strokeweight="2pt"/>
            </w:pict>
          </mc:Fallback>
        </mc:AlternateContent>
      </w:r>
      <w:r w:rsidRPr="000D628C">
        <w:rPr>
          <w:noProof/>
          <w:lang w:eastAsia="en-US"/>
        </w:rPr>
        <mc:AlternateContent>
          <mc:Choice Requires="wps">
            <w:drawing>
              <wp:anchor distT="0" distB="0" distL="114300" distR="114300" simplePos="0" relativeHeight="251783168" behindDoc="0" locked="0" layoutInCell="1" allowOverlap="1" wp14:anchorId="2BEE8719" wp14:editId="78C18F03">
                <wp:simplePos x="0" y="0"/>
                <wp:positionH relativeFrom="column">
                  <wp:posOffset>1633220</wp:posOffset>
                </wp:positionH>
                <wp:positionV relativeFrom="paragraph">
                  <wp:posOffset>30109</wp:posOffset>
                </wp:positionV>
                <wp:extent cx="57150" cy="58420"/>
                <wp:effectExtent l="0" t="0" r="0" b="0"/>
                <wp:wrapNone/>
                <wp:docPr id="269"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margin-left:128.6pt;margin-top:2.35pt;width:4.5pt;height:4.6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" fillcolor="#ffc000" stroked="f" strokeweight="2pt"/>
            </w:pict>
          </mc:Fallback>
        </mc:AlternateContent>
      </w:r>
      <w:r w:rsidRPr="000D628C">
        <w:rPr>
          <w:noProof/>
          <w:lang w:eastAsia="en-US"/>
        </w:rPr>
        <mc:AlternateContent>
          <mc:Choice Requires="wps">
            <w:drawing>
              <wp:anchor distT="0" distB="0" distL="114300" distR="114300" simplePos="0" relativeHeight="251780096" behindDoc="0" locked="0" layoutInCell="1" allowOverlap="1" wp14:anchorId="34986A7D" wp14:editId="563A15C0">
                <wp:simplePos x="0" y="0"/>
                <wp:positionH relativeFrom="column">
                  <wp:posOffset>941705</wp:posOffset>
                </wp:positionH>
                <wp:positionV relativeFrom="paragraph">
                  <wp:posOffset>32756</wp:posOffset>
                </wp:positionV>
                <wp:extent cx="57150" cy="58420"/>
                <wp:effectExtent l="0" t="0" r="0" b="0"/>
                <wp:wrapNone/>
                <wp:docPr id="26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800080"/>
                        </a:solidFill>
                        <a:ln w="25400" cap="flat" cmpd="sng" algn="ctr">
                          <a:noFill/>
                          <a:prstDash val="solid"/>
                        </a:ln>
                        <a:effectLst/>
                      </wps:spPr>
                      <wps:bodyPr/>
                    </wps:wsp>
                  </a:graphicData>
                </a:graphic>
              </wp:anchor>
            </w:drawing>
          </mc:Choice>
          <mc:Fallback>
            <w:pict>
              <v:rect id="Rectangle 1" o:spid="_x0000_s1026" style="position:absolute;margin-left:74.15pt;margin-top:2.6pt;width:4.5pt;height:4.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" fillcolor="purple" stroked="f" strokeweight="2pt"/>
            </w:pict>
          </mc:Fallback>
        </mc:AlternateContent>
      </w:r>
      <w:r w:rsidR="00746947" w:rsidRPr="000D628C">
        <w:rPr>
          <w:noProof/>
          <w:lang w:eastAsia="en-US"/>
        </w:rPr>
        <mc:AlternateContent>
          <mc:Choice Requires="wps">
            <w:drawing>
              <wp:anchor distT="0" distB="0" distL="114300" distR="114300" simplePos="0" relativeHeight="251779072" behindDoc="0" locked="0" layoutInCell="1" allowOverlap="1" wp14:anchorId="0D614683" wp14:editId="67DAC84F">
                <wp:simplePos x="0" y="0"/>
                <wp:positionH relativeFrom="column">
                  <wp:posOffset>226060</wp:posOffset>
                </wp:positionH>
                <wp:positionV relativeFrom="paragraph">
                  <wp:posOffset>35296</wp:posOffset>
                </wp:positionV>
                <wp:extent cx="57150" cy="58420"/>
                <wp:effectExtent l="0" t="0" r="0" b="0"/>
                <wp:wrapNone/>
                <wp:docPr id="26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9999"/>
                        </a:solidFill>
                        <a:ln w="25400" cap="flat" cmpd="sng" algn="ctr">
                          <a:noFill/>
                          <a:prstDash val="solid"/>
                        </a:ln>
                        <a:effectLst/>
                      </wps:spPr>
                      <wps:bodyPr/>
                    </wps:wsp>
                  </a:graphicData>
                </a:graphic>
              </wp:anchor>
            </w:drawing>
          </mc:Choice>
          <mc:Fallback>
            <w:pict>
              <v:rect id="Rectangle 1" o:spid="_x0000_s1026" style="position:absolute;margin-left:17.8pt;margin-top:2.8pt;width:4.5pt;height:4.6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" fillcolor="#099" stroked="f" strokeweight="2pt"/>
            </w:pict>
          </mc:Fallback>
        </mc:AlternateContent>
      </w:r>
    </w:p>
    <w:p w:rsidR="00B06453" w:rsidRPr="00E474B5" w:rsidRDefault="00822FDD" w:rsidP="00E474B5">
      <w:pPr>
        <w:pStyle w:val="ONUME"/>
      </w:pPr>
      <w:r w:rsidRPr="00E474B5">
        <w:lastRenderedPageBreak/>
        <w:t>In 2015,</w:t>
      </w:r>
      <w:r w:rsidR="00522199" w:rsidRPr="00E474B5">
        <w:t xml:space="preserve"> </w:t>
      </w:r>
      <w:r w:rsidR="00B06453" w:rsidRPr="00E474B5">
        <w:t>where the European Union was designated in an international registration, 94.3</w:t>
      </w:r>
      <w:r w:rsidR="007D0EE9">
        <w:t> </w:t>
      </w:r>
      <w:r w:rsidR="00B06453" w:rsidRPr="00E474B5">
        <w:t>per</w:t>
      </w:r>
      <w:r w:rsidR="007D0EE9">
        <w:t> </w:t>
      </w:r>
      <w:r w:rsidR="00B06453" w:rsidRPr="00E474B5">
        <w:t>cent of international registrations originating from the Republic of</w:t>
      </w:r>
      <w:r w:rsidR="007D0EE9">
        <w:t> </w:t>
      </w:r>
      <w:r w:rsidR="00B06453" w:rsidRPr="00E474B5">
        <w:t xml:space="preserve">Korea contained a priority claim, </w:t>
      </w:r>
      <w:r w:rsidR="008053A7" w:rsidRPr="00E474B5">
        <w:t xml:space="preserve">compared to </w:t>
      </w:r>
      <w:r w:rsidR="00B06453" w:rsidRPr="00E474B5">
        <w:t>74.4</w:t>
      </w:r>
      <w:r w:rsidR="007D0EE9">
        <w:t> </w:t>
      </w:r>
      <w:r w:rsidR="00B06453" w:rsidRPr="00E474B5">
        <w:t>per</w:t>
      </w:r>
      <w:r w:rsidR="007D0EE9">
        <w:t> </w:t>
      </w:r>
      <w:r w:rsidR="00B06453" w:rsidRPr="00E474B5">
        <w:t xml:space="preserve">cent of </w:t>
      </w:r>
      <w:r w:rsidR="00E01DD5" w:rsidRPr="00E474B5">
        <w:t>those</w:t>
      </w:r>
      <w:r w:rsidR="00495ED7" w:rsidRPr="00E474B5">
        <w:t xml:space="preserve"> </w:t>
      </w:r>
      <w:r w:rsidR="00B06453" w:rsidRPr="00E474B5">
        <w:t xml:space="preserve">originating from </w:t>
      </w:r>
      <w:r w:rsidR="007D0EE9">
        <w:t>t</w:t>
      </w:r>
      <w:r w:rsidR="00B06453" w:rsidRPr="00E474B5">
        <w:t>he United</w:t>
      </w:r>
      <w:r w:rsidR="007D0EE9">
        <w:t> </w:t>
      </w:r>
      <w:r w:rsidR="00B06453" w:rsidRPr="00E474B5">
        <w:t>States of</w:t>
      </w:r>
      <w:r w:rsidR="007D0EE9">
        <w:t> </w:t>
      </w:r>
      <w:r w:rsidR="00B06453" w:rsidRPr="00E474B5">
        <w:t>America, 23.6</w:t>
      </w:r>
      <w:r w:rsidR="007D0EE9">
        <w:t> </w:t>
      </w:r>
      <w:r w:rsidR="00B06453" w:rsidRPr="00E474B5">
        <w:t>per</w:t>
      </w:r>
      <w:r w:rsidR="007D0EE9">
        <w:t> </w:t>
      </w:r>
      <w:r w:rsidR="00B06453" w:rsidRPr="00E474B5">
        <w:t xml:space="preserve">cent of </w:t>
      </w:r>
      <w:r w:rsidR="00E01DD5" w:rsidRPr="00E474B5">
        <w:t>those</w:t>
      </w:r>
      <w:r w:rsidR="00495ED7" w:rsidRPr="00E474B5">
        <w:t xml:space="preserve"> </w:t>
      </w:r>
      <w:r w:rsidR="00B06453" w:rsidRPr="00E474B5">
        <w:t>originating from Germany, 72.3</w:t>
      </w:r>
      <w:r w:rsidR="007D0EE9">
        <w:t> </w:t>
      </w:r>
      <w:r w:rsidR="00B06453" w:rsidRPr="00E474B5">
        <w:t>per</w:t>
      </w:r>
      <w:r w:rsidR="007D0EE9">
        <w:t> </w:t>
      </w:r>
      <w:r w:rsidR="00B06453" w:rsidRPr="00E474B5">
        <w:t xml:space="preserve">cent of </w:t>
      </w:r>
      <w:r w:rsidR="00E01DD5" w:rsidRPr="00E474B5">
        <w:t>those</w:t>
      </w:r>
      <w:r w:rsidR="00495ED7" w:rsidRPr="00E474B5">
        <w:t xml:space="preserve"> </w:t>
      </w:r>
      <w:r w:rsidR="00B06453" w:rsidRPr="00E474B5">
        <w:t>originating from Japan and 9.8</w:t>
      </w:r>
      <w:r w:rsidR="007D0EE9">
        <w:t> </w:t>
      </w:r>
      <w:r w:rsidR="00B06453" w:rsidRPr="00E474B5">
        <w:t>per</w:t>
      </w:r>
      <w:r w:rsidR="007D0EE9">
        <w:t> </w:t>
      </w:r>
      <w:r w:rsidR="00B06453" w:rsidRPr="00E474B5">
        <w:t xml:space="preserve">cent of </w:t>
      </w:r>
      <w:r w:rsidR="00E01DD5" w:rsidRPr="00E474B5">
        <w:t>those</w:t>
      </w:r>
      <w:r w:rsidR="00495ED7" w:rsidRPr="00E474B5">
        <w:t xml:space="preserve"> </w:t>
      </w:r>
      <w:r w:rsidR="00B06453" w:rsidRPr="00E474B5">
        <w:t>originating from Switzerland.</w:t>
      </w:r>
    </w:p>
    <w:p w:rsidR="00B06453" w:rsidRPr="00E474B5" w:rsidRDefault="00B06453" w:rsidP="00E474B5">
      <w:pPr>
        <w:pStyle w:val="ONUME"/>
      </w:pPr>
      <w:r w:rsidRPr="00E474B5">
        <w:t>On the other hand, in 2015, where the Republic of</w:t>
      </w:r>
      <w:r w:rsidR="00B22A19">
        <w:t> </w:t>
      </w:r>
      <w:r w:rsidRPr="00E474B5">
        <w:t>Korea was designated in an international registration, 94</w:t>
      </w:r>
      <w:r w:rsidR="00B22A19">
        <w:t> </w:t>
      </w:r>
      <w:r w:rsidRPr="00E474B5">
        <w:t>per</w:t>
      </w:r>
      <w:r w:rsidR="00B22A19">
        <w:t> </w:t>
      </w:r>
      <w:r w:rsidRPr="00E474B5">
        <w:t>cent of international registrations originating from the Netherlands contained a priority claim</w:t>
      </w:r>
      <w:r w:rsidR="00663B29">
        <w:t>,</w:t>
      </w:r>
      <w:r w:rsidR="008053A7" w:rsidRPr="00E474B5">
        <w:t xml:space="preserve"> compared to</w:t>
      </w:r>
      <w:r w:rsidRPr="00E474B5">
        <w:t xml:space="preserve"> 48.8</w:t>
      </w:r>
      <w:r w:rsidR="00B22A19">
        <w:t> </w:t>
      </w:r>
      <w:r w:rsidRPr="00E474B5">
        <w:t>per cent of</w:t>
      </w:r>
      <w:r w:rsidR="005C7970" w:rsidRPr="00E474B5">
        <w:t xml:space="preserve"> </w:t>
      </w:r>
      <w:r w:rsidR="00E01DD5" w:rsidRPr="00E474B5">
        <w:t>those</w:t>
      </w:r>
      <w:r w:rsidRPr="00E474B5">
        <w:t xml:space="preserve"> originating from Germany,</w:t>
      </w:r>
      <w:r w:rsidR="00E05968" w:rsidRPr="00E474B5">
        <w:t xml:space="preserve"> </w:t>
      </w:r>
      <w:r w:rsidRPr="00E474B5">
        <w:t>86.6</w:t>
      </w:r>
      <w:r w:rsidR="00B22A19">
        <w:t> </w:t>
      </w:r>
      <w:r w:rsidRPr="00E474B5">
        <w:t>per</w:t>
      </w:r>
      <w:r w:rsidR="00B22A19">
        <w:t> </w:t>
      </w:r>
      <w:r w:rsidRPr="00E474B5">
        <w:t xml:space="preserve">cent of </w:t>
      </w:r>
      <w:r w:rsidR="00E01DD5" w:rsidRPr="00E474B5">
        <w:t>those</w:t>
      </w:r>
      <w:r w:rsidR="005C7970" w:rsidRPr="00E474B5">
        <w:t xml:space="preserve"> </w:t>
      </w:r>
      <w:r w:rsidRPr="00E474B5">
        <w:t>originating from the United</w:t>
      </w:r>
      <w:r w:rsidR="00B22A19">
        <w:t> </w:t>
      </w:r>
      <w:r w:rsidRPr="00E474B5">
        <w:t>States of</w:t>
      </w:r>
      <w:r w:rsidR="00B22A19">
        <w:t> </w:t>
      </w:r>
      <w:r w:rsidRPr="00E474B5">
        <w:t>America, 35.4</w:t>
      </w:r>
      <w:r w:rsidR="00B22A19">
        <w:t> </w:t>
      </w:r>
      <w:r w:rsidRPr="00E474B5">
        <w:t>per</w:t>
      </w:r>
      <w:r w:rsidR="00B22A19">
        <w:t> </w:t>
      </w:r>
      <w:r w:rsidRPr="00E474B5">
        <w:t xml:space="preserve">cent of </w:t>
      </w:r>
      <w:r w:rsidR="00E01DD5" w:rsidRPr="00E474B5">
        <w:t>those</w:t>
      </w:r>
      <w:r w:rsidR="00663B29">
        <w:t xml:space="preserve"> origina</w:t>
      </w:r>
      <w:r w:rsidR="00147F6A">
        <w:t>ting</w:t>
      </w:r>
      <w:r w:rsidR="005C7970" w:rsidRPr="00E474B5">
        <w:t xml:space="preserve"> </w:t>
      </w:r>
      <w:r w:rsidRPr="00E474B5">
        <w:t>from France and 73.3</w:t>
      </w:r>
      <w:r w:rsidR="00B22A19">
        <w:t> </w:t>
      </w:r>
      <w:r w:rsidRPr="00E474B5">
        <w:t>per</w:t>
      </w:r>
      <w:r w:rsidR="00B22A19">
        <w:t> </w:t>
      </w:r>
      <w:r w:rsidRPr="00E474B5">
        <w:t xml:space="preserve">cent of </w:t>
      </w:r>
      <w:r w:rsidR="00E01DD5" w:rsidRPr="00E474B5">
        <w:t>those</w:t>
      </w:r>
      <w:r w:rsidR="005C7970" w:rsidRPr="00E474B5">
        <w:t xml:space="preserve"> </w:t>
      </w:r>
      <w:r w:rsidRPr="00E474B5">
        <w:t>originating from Japan.</w:t>
      </w:r>
    </w:p>
    <w:p w:rsidR="00B06453" w:rsidRPr="00E474B5" w:rsidRDefault="00B06453" w:rsidP="00E474B5">
      <w:pPr>
        <w:pStyle w:val="ONUME"/>
      </w:pPr>
      <w:r w:rsidRPr="00E474B5">
        <w:t>Also in 2015, where Japan was designated in a</w:t>
      </w:r>
      <w:r w:rsidR="002725F5" w:rsidRPr="00E474B5">
        <w:t xml:space="preserve">n international registration, </w:t>
      </w:r>
      <w:r w:rsidR="00E05968" w:rsidRPr="00E474B5">
        <w:t>88.4</w:t>
      </w:r>
      <w:r w:rsidR="000E74E6">
        <w:t> </w:t>
      </w:r>
      <w:r w:rsidR="00E05968" w:rsidRPr="00E474B5">
        <w:t>per</w:t>
      </w:r>
      <w:r w:rsidR="000E74E6">
        <w:t> </w:t>
      </w:r>
      <w:r w:rsidR="00E05968" w:rsidRPr="00E474B5">
        <w:t>cent of international registrations originating from the United</w:t>
      </w:r>
      <w:r w:rsidR="000E74E6">
        <w:t> </w:t>
      </w:r>
      <w:r w:rsidR="00E05968" w:rsidRPr="00E474B5">
        <w:t>States of</w:t>
      </w:r>
      <w:r w:rsidR="000E74E6">
        <w:t> </w:t>
      </w:r>
      <w:r w:rsidR="00E05968" w:rsidRPr="00E474B5">
        <w:t xml:space="preserve">America contained a priority claim, </w:t>
      </w:r>
      <w:r w:rsidR="008053A7" w:rsidRPr="00E474B5">
        <w:t xml:space="preserve">compared to </w:t>
      </w:r>
      <w:r w:rsidR="002725F5" w:rsidRPr="00E474B5">
        <w:t>48.8</w:t>
      </w:r>
      <w:r w:rsidR="000E74E6">
        <w:t> </w:t>
      </w:r>
      <w:r w:rsidRPr="00E474B5">
        <w:t>per</w:t>
      </w:r>
      <w:r w:rsidR="000E74E6">
        <w:t> </w:t>
      </w:r>
      <w:r w:rsidRPr="00E474B5">
        <w:t xml:space="preserve">cent of </w:t>
      </w:r>
      <w:r w:rsidR="00E01DD5" w:rsidRPr="00E474B5">
        <w:t>those</w:t>
      </w:r>
      <w:r w:rsidR="005C7970" w:rsidRPr="00E474B5">
        <w:t xml:space="preserve"> </w:t>
      </w:r>
      <w:r w:rsidR="002725F5" w:rsidRPr="00E474B5">
        <w:t>originating from Germany</w:t>
      </w:r>
      <w:r w:rsidRPr="00E474B5">
        <w:t xml:space="preserve">, </w:t>
      </w:r>
      <w:r w:rsidR="00E05968" w:rsidRPr="00E474B5">
        <w:t>50.7</w:t>
      </w:r>
      <w:r w:rsidR="000E74E6">
        <w:t> </w:t>
      </w:r>
      <w:r w:rsidRPr="00E474B5">
        <w:t>per</w:t>
      </w:r>
      <w:r w:rsidR="000E74E6">
        <w:t> </w:t>
      </w:r>
      <w:r w:rsidRPr="00E474B5">
        <w:t>cent of</w:t>
      </w:r>
      <w:r w:rsidR="005C7970" w:rsidRPr="00E474B5">
        <w:t xml:space="preserve"> </w:t>
      </w:r>
      <w:r w:rsidR="00E01DD5" w:rsidRPr="00E474B5">
        <w:t>those</w:t>
      </w:r>
      <w:r w:rsidRPr="00E474B5">
        <w:t xml:space="preserve"> originating from </w:t>
      </w:r>
      <w:r w:rsidR="00E05968" w:rsidRPr="00E474B5">
        <w:t>France, 91.2</w:t>
      </w:r>
      <w:r w:rsidR="000E74E6">
        <w:t> </w:t>
      </w:r>
      <w:r w:rsidR="00E05968" w:rsidRPr="00E474B5">
        <w:t>per</w:t>
      </w:r>
      <w:r w:rsidR="000E74E6">
        <w:t> </w:t>
      </w:r>
      <w:r w:rsidR="00E05968" w:rsidRPr="00E474B5">
        <w:t xml:space="preserve">cent of </w:t>
      </w:r>
      <w:r w:rsidR="00E01DD5" w:rsidRPr="00E474B5">
        <w:t>those</w:t>
      </w:r>
      <w:r w:rsidR="005C7970" w:rsidRPr="00E474B5">
        <w:t xml:space="preserve"> </w:t>
      </w:r>
      <w:r w:rsidR="00E05968" w:rsidRPr="00E474B5">
        <w:t>originating from the Netherlands and 35.2</w:t>
      </w:r>
      <w:r w:rsidR="000E74E6">
        <w:t> </w:t>
      </w:r>
      <w:r w:rsidRPr="00E474B5">
        <w:t>per</w:t>
      </w:r>
      <w:r w:rsidR="000E74E6">
        <w:t> </w:t>
      </w:r>
      <w:r w:rsidRPr="00E474B5">
        <w:t xml:space="preserve">cent of </w:t>
      </w:r>
      <w:r w:rsidR="00E01DD5" w:rsidRPr="00E474B5">
        <w:t>those</w:t>
      </w:r>
      <w:r w:rsidR="005C7970" w:rsidRPr="00E474B5">
        <w:t xml:space="preserve"> </w:t>
      </w:r>
      <w:r w:rsidRPr="00E474B5">
        <w:t xml:space="preserve">originating from </w:t>
      </w:r>
      <w:r w:rsidR="00E05968" w:rsidRPr="00E474B5">
        <w:t>Switzerland</w:t>
      </w:r>
      <w:r w:rsidRPr="00E474B5">
        <w:t>.</w:t>
      </w:r>
    </w:p>
    <w:p w:rsidR="002725F5" w:rsidRPr="00E474B5" w:rsidRDefault="00E05968" w:rsidP="00E474B5">
      <w:pPr>
        <w:pStyle w:val="ONUME"/>
      </w:pPr>
      <w:r w:rsidRPr="00E474B5">
        <w:t>Finally</w:t>
      </w:r>
      <w:r w:rsidR="002725F5" w:rsidRPr="00E474B5">
        <w:t xml:space="preserve"> in 2015, where the United</w:t>
      </w:r>
      <w:r w:rsidR="00D20191">
        <w:t> </w:t>
      </w:r>
      <w:r w:rsidR="002725F5" w:rsidRPr="00E474B5">
        <w:t>States of</w:t>
      </w:r>
      <w:r w:rsidR="00D20191">
        <w:t> </w:t>
      </w:r>
      <w:r w:rsidR="002725F5" w:rsidRPr="00E474B5">
        <w:t>America was designated in a</w:t>
      </w:r>
      <w:r w:rsidR="002375A8" w:rsidRPr="00E474B5">
        <w:t>n international registration, 67.5</w:t>
      </w:r>
      <w:r w:rsidR="00D20191">
        <w:t> </w:t>
      </w:r>
      <w:r w:rsidR="002725F5" w:rsidRPr="00E474B5">
        <w:t>per</w:t>
      </w:r>
      <w:r w:rsidR="00D20191">
        <w:t> </w:t>
      </w:r>
      <w:r w:rsidR="002725F5" w:rsidRPr="00E474B5">
        <w:t>cent of international reg</w:t>
      </w:r>
      <w:r w:rsidR="002375A8" w:rsidRPr="00E474B5">
        <w:t xml:space="preserve">istrations originating from Italy </w:t>
      </w:r>
      <w:r w:rsidR="002725F5" w:rsidRPr="00E474B5">
        <w:t>contained a priority claim</w:t>
      </w:r>
      <w:r w:rsidR="00663B29">
        <w:t>,</w:t>
      </w:r>
      <w:r w:rsidR="008053A7" w:rsidRPr="00E474B5">
        <w:t xml:space="preserve"> compared to</w:t>
      </w:r>
      <w:r w:rsidR="002725F5" w:rsidRPr="00E474B5">
        <w:t xml:space="preserve"> </w:t>
      </w:r>
      <w:r w:rsidR="002375A8" w:rsidRPr="00E474B5">
        <w:t>62.3</w:t>
      </w:r>
      <w:r w:rsidR="00D20191">
        <w:t> </w:t>
      </w:r>
      <w:r w:rsidR="002725F5" w:rsidRPr="00E474B5">
        <w:t>per</w:t>
      </w:r>
      <w:r w:rsidR="00D20191">
        <w:t> </w:t>
      </w:r>
      <w:r w:rsidR="002725F5" w:rsidRPr="00E474B5">
        <w:t xml:space="preserve">cent of </w:t>
      </w:r>
      <w:r w:rsidR="00E01DD5" w:rsidRPr="00E474B5">
        <w:t>those</w:t>
      </w:r>
      <w:r w:rsidR="00D05379" w:rsidRPr="00E474B5">
        <w:t xml:space="preserve"> </w:t>
      </w:r>
      <w:r w:rsidR="002725F5" w:rsidRPr="00E474B5">
        <w:t>originating from Germany,</w:t>
      </w:r>
      <w:r w:rsidR="002375A8" w:rsidRPr="00E474B5">
        <w:t xml:space="preserve"> 50</w:t>
      </w:r>
      <w:r w:rsidR="00D20191">
        <w:t> </w:t>
      </w:r>
      <w:r w:rsidR="002725F5" w:rsidRPr="00E474B5">
        <w:t>per</w:t>
      </w:r>
      <w:r w:rsidR="00D20191">
        <w:t> </w:t>
      </w:r>
      <w:r w:rsidR="002725F5" w:rsidRPr="00E474B5">
        <w:t xml:space="preserve">cent of </w:t>
      </w:r>
      <w:r w:rsidR="00E01DD5" w:rsidRPr="00E474B5">
        <w:t>those</w:t>
      </w:r>
      <w:r w:rsidR="00D05379" w:rsidRPr="00E474B5">
        <w:t xml:space="preserve"> </w:t>
      </w:r>
      <w:r w:rsidR="002375A8" w:rsidRPr="00E474B5">
        <w:t>originating from France, 68.3</w:t>
      </w:r>
      <w:r w:rsidR="00D20191">
        <w:t> </w:t>
      </w:r>
      <w:r w:rsidR="002725F5" w:rsidRPr="00E474B5">
        <w:t>per</w:t>
      </w:r>
      <w:r w:rsidR="00D20191">
        <w:t> </w:t>
      </w:r>
      <w:r w:rsidR="002725F5" w:rsidRPr="00E474B5">
        <w:t>cent of</w:t>
      </w:r>
      <w:r w:rsidR="00D05379" w:rsidRPr="00E474B5">
        <w:t xml:space="preserve"> </w:t>
      </w:r>
      <w:r w:rsidR="00E01DD5" w:rsidRPr="00E474B5">
        <w:t>those</w:t>
      </w:r>
      <w:r w:rsidR="002725F5" w:rsidRPr="00E474B5">
        <w:t xml:space="preserve"> originating from </w:t>
      </w:r>
      <w:r w:rsidR="00D05379" w:rsidRPr="00E474B5">
        <w:t>Japan and 78.7</w:t>
      </w:r>
      <w:r w:rsidR="00D20191">
        <w:t xml:space="preserve"> per cent </w:t>
      </w:r>
      <w:r w:rsidR="00D05379" w:rsidRPr="00E474B5">
        <w:t>of those originating from the Netherlands</w:t>
      </w:r>
      <w:r w:rsidR="002725F5" w:rsidRPr="00E474B5">
        <w:t>.</w:t>
      </w:r>
    </w:p>
    <w:p w:rsidR="006A4F98" w:rsidRDefault="00885497" w:rsidP="00CE2B39">
      <w:pPr>
        <w:pStyle w:val="ONUME"/>
        <w:numPr>
          <w:ilvl w:val="0"/>
          <w:numId w:val="0"/>
        </w:numPr>
        <w:rPr>
          <w:noProof/>
        </w:rPr>
      </w:pPr>
      <w:r w:rsidRPr="001030DE">
        <w:rPr>
          <w:noProof/>
          <w:lang w:eastAsia="en-US"/>
        </w:rPr>
        <mc:AlternateContent>
          <mc:Choice Requires="wps">
            <w:drawing>
              <wp:anchor distT="0" distB="0" distL="114300" distR="114300" simplePos="0" relativeHeight="251807744" behindDoc="0" locked="0" layoutInCell="1" allowOverlap="1" wp14:anchorId="0C9609AD" wp14:editId="72FDE459">
                <wp:simplePos x="0" y="0"/>
                <wp:positionH relativeFrom="column">
                  <wp:posOffset>2936240</wp:posOffset>
                </wp:positionH>
                <wp:positionV relativeFrom="paragraph">
                  <wp:posOffset>3059430</wp:posOffset>
                </wp:positionV>
                <wp:extent cx="57150" cy="58420"/>
                <wp:effectExtent l="0" t="0" r="0" b="0"/>
                <wp:wrapNone/>
                <wp:docPr id="28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margin-left:231.2pt;margin-top:240.9pt;width:4.5pt;height:4.6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" fillcolor="red" stroked="f" strokeweight="2pt"/>
            </w:pict>
          </mc:Fallback>
        </mc:AlternateContent>
      </w:r>
      <w:r>
        <w:rPr>
          <w:noProof/>
          <w:lang w:eastAsia="en-US"/>
        </w:rPr>
        <mc:AlternateContent>
          <mc:Choice Requires="wps">
            <w:drawing>
              <wp:anchor distT="0" distB="0" distL="114300" distR="114300" simplePos="0" relativeHeight="251823104" behindDoc="0" locked="0" layoutInCell="1" allowOverlap="1" wp14:anchorId="112E1482" wp14:editId="2FD5818A">
                <wp:simplePos x="0" y="0"/>
                <wp:positionH relativeFrom="column">
                  <wp:posOffset>2993390</wp:posOffset>
                </wp:positionH>
                <wp:positionV relativeFrom="paragraph">
                  <wp:posOffset>2959735</wp:posOffset>
                </wp:positionV>
                <wp:extent cx="535305" cy="249555"/>
                <wp:effectExtent l="0" t="0" r="0" b="0"/>
                <wp:wrapNone/>
                <wp:docPr id="306" name="Zone de texte 306"/>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0DE">
                            <w: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6" o:spid="_x0000_s1050" type="#_x0000_t202" style="position:absolute;margin-left:235.7pt;margin-top:233.05pt;width:42.15pt;height:19.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DUhw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" filled="f" stroked="f" strokeweight=".5pt">
                <v:textbox>
                  <w:txbxContent>
                    <w:p w:rsidR="008B11DD" w:rsidRDefault="008B11DD" w:rsidP="001030DE">
                      <w:r>
                        <w:t>CH</w:t>
                      </w:r>
                    </w:p>
                  </w:txbxContent>
                </v:textbox>
              </v:shape>
            </w:pict>
          </mc:Fallback>
        </mc:AlternateContent>
      </w:r>
      <w:r>
        <w:rPr>
          <w:noProof/>
          <w:lang w:eastAsia="en-US"/>
        </w:rPr>
        <mc:AlternateContent>
          <mc:Choice Requires="wps">
            <w:drawing>
              <wp:anchor distT="0" distB="0" distL="114300" distR="114300" simplePos="0" relativeHeight="251827200" behindDoc="0" locked="0" layoutInCell="1" allowOverlap="1" wp14:anchorId="2CD75B75" wp14:editId="5CDC668D">
                <wp:simplePos x="0" y="0"/>
                <wp:positionH relativeFrom="column">
                  <wp:posOffset>4387850</wp:posOffset>
                </wp:positionH>
                <wp:positionV relativeFrom="paragraph">
                  <wp:posOffset>2950210</wp:posOffset>
                </wp:positionV>
                <wp:extent cx="535305" cy="249555"/>
                <wp:effectExtent l="0" t="0" r="0" b="0"/>
                <wp:wrapNone/>
                <wp:docPr id="309" name="Zone de texte 309"/>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0DE">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9" o:spid="_x0000_s1051" type="#_x0000_t202" style="position:absolute;margin-left:345.5pt;margin-top:232.3pt;width:42.15pt;height:19.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" filled="f" stroked="f" strokeweight=".5pt">
                <v:textbox>
                  <w:txbxContent>
                    <w:p w:rsidR="008B11DD" w:rsidRDefault="008B11DD" w:rsidP="001030DE">
                      <w:r>
                        <w:t>SI</w:t>
                      </w:r>
                    </w:p>
                  </w:txbxContent>
                </v:textbox>
              </v:shape>
            </w:pict>
          </mc:Fallback>
        </mc:AlternateContent>
      </w:r>
      <w:r w:rsidRPr="001030DE">
        <w:rPr>
          <w:noProof/>
          <w:lang w:eastAsia="en-US"/>
        </w:rPr>
        <mc:AlternateContent>
          <mc:Choice Requires="wps">
            <w:drawing>
              <wp:anchor distT="0" distB="0" distL="114300" distR="114300" simplePos="0" relativeHeight="251811840" behindDoc="0" locked="0" layoutInCell="1" allowOverlap="1" wp14:anchorId="0E572144" wp14:editId="3FA3F2B6">
                <wp:simplePos x="0" y="0"/>
                <wp:positionH relativeFrom="column">
                  <wp:posOffset>4331335</wp:posOffset>
                </wp:positionH>
                <wp:positionV relativeFrom="paragraph">
                  <wp:posOffset>3051175</wp:posOffset>
                </wp:positionV>
                <wp:extent cx="57150" cy="58420"/>
                <wp:effectExtent l="0" t="0" r="0" b="0"/>
                <wp:wrapNone/>
                <wp:docPr id="28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500CC"/>
                        </a:solidFill>
                        <a:ln w="25400" cap="flat" cmpd="sng" algn="ctr">
                          <a:noFill/>
                          <a:prstDash val="solid"/>
                        </a:ln>
                        <a:effectLst/>
                      </wps:spPr>
                      <wps:bodyPr/>
                    </wps:wsp>
                  </a:graphicData>
                </a:graphic>
              </wp:anchor>
            </w:drawing>
          </mc:Choice>
          <mc:Fallback>
            <w:pict>
              <v:rect id="Rectangle 1" o:spid="_x0000_s1026" style="position:absolute;margin-left:341.05pt;margin-top:240.25pt;width:4.5pt;height:4.6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" fillcolor="#7500cc" stroked="f" strokeweight="2pt"/>
            </w:pict>
          </mc:Fallback>
        </mc:AlternateContent>
      </w:r>
      <w:r>
        <w:rPr>
          <w:noProof/>
          <w:lang w:eastAsia="en-US"/>
        </w:rPr>
        <mc:AlternateContent>
          <mc:Choice Requires="wps">
            <w:drawing>
              <wp:anchor distT="0" distB="0" distL="114300" distR="114300" simplePos="0" relativeHeight="251829248" behindDoc="0" locked="0" layoutInCell="1" allowOverlap="1" wp14:anchorId="0FA31520" wp14:editId="7E6E1A67">
                <wp:simplePos x="0" y="0"/>
                <wp:positionH relativeFrom="column">
                  <wp:posOffset>4997186</wp:posOffset>
                </wp:positionH>
                <wp:positionV relativeFrom="paragraph">
                  <wp:posOffset>2957830</wp:posOffset>
                </wp:positionV>
                <wp:extent cx="535305" cy="249555"/>
                <wp:effectExtent l="0" t="0" r="0" b="0"/>
                <wp:wrapNone/>
                <wp:docPr id="310" name="Zone de texte 310"/>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0DE">
                            <w: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0" o:spid="_x0000_s1052" type="#_x0000_t202" style="position:absolute;margin-left:393.5pt;margin-top:232.9pt;width:42.15pt;height:19.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" filled="f" stroked="f" strokeweight=".5pt">
                <v:textbox>
                  <w:txbxContent>
                    <w:p w:rsidR="008B11DD" w:rsidRDefault="008B11DD" w:rsidP="001030DE">
                      <w:r>
                        <w:t>IT</w:t>
                      </w:r>
                    </w:p>
                  </w:txbxContent>
                </v:textbox>
              </v:shape>
            </w:pict>
          </mc:Fallback>
        </mc:AlternateContent>
      </w:r>
      <w:r>
        <w:rPr>
          <w:noProof/>
          <w:lang w:eastAsia="en-US"/>
        </w:rPr>
        <mc:AlternateContent>
          <mc:Choice Requires="wps">
            <w:drawing>
              <wp:anchor distT="0" distB="0" distL="114300" distR="114300" simplePos="0" relativeHeight="251833344" behindDoc="0" locked="0" layoutInCell="1" allowOverlap="1" wp14:anchorId="60F7E0F2" wp14:editId="207D839A">
                <wp:simplePos x="0" y="0"/>
                <wp:positionH relativeFrom="column">
                  <wp:posOffset>5571861</wp:posOffset>
                </wp:positionH>
                <wp:positionV relativeFrom="paragraph">
                  <wp:posOffset>2959735</wp:posOffset>
                </wp:positionV>
                <wp:extent cx="535305" cy="249555"/>
                <wp:effectExtent l="0" t="0" r="0" b="0"/>
                <wp:wrapNone/>
                <wp:docPr id="312" name="Zone de texte 31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55D">
                            <w: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2" o:spid="_x0000_s1053" type="#_x0000_t202" style="position:absolute;margin-left:438.75pt;margin-top:233.05pt;width:42.15pt;height:19.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ZIhw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" filled="f" stroked="f" strokeweight=".5pt">
                <v:textbox>
                  <w:txbxContent>
                    <w:p w:rsidR="008B11DD" w:rsidRDefault="008B11DD" w:rsidP="0010355D">
                      <w:r>
                        <w:t>FR</w:t>
                      </w:r>
                    </w:p>
                  </w:txbxContent>
                </v:textbox>
              </v:shape>
            </w:pict>
          </mc:Fallback>
        </mc:AlternateContent>
      </w:r>
      <w:r>
        <w:rPr>
          <w:noProof/>
          <w:lang w:eastAsia="en-US"/>
        </w:rPr>
        <mc:AlternateContent>
          <mc:Choice Requires="wps">
            <w:drawing>
              <wp:anchor distT="0" distB="0" distL="114300" distR="114300" simplePos="0" relativeHeight="251814912" behindDoc="0" locked="0" layoutInCell="1" allowOverlap="1" wp14:anchorId="0A2E5CB4" wp14:editId="2FA709E2">
                <wp:simplePos x="0" y="0"/>
                <wp:positionH relativeFrom="column">
                  <wp:posOffset>247386</wp:posOffset>
                </wp:positionH>
                <wp:positionV relativeFrom="paragraph">
                  <wp:posOffset>2967355</wp:posOffset>
                </wp:positionV>
                <wp:extent cx="535305" cy="249555"/>
                <wp:effectExtent l="0" t="0" r="0" b="0"/>
                <wp:wrapNone/>
                <wp:docPr id="302" name="Zone de texte 30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0DE">
                            <w: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2" o:spid="_x0000_s1054" type="#_x0000_t202" style="position:absolute;margin-left:19.5pt;margin-top:233.65pt;width:42.15pt;height:19.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" filled="f" stroked="f" strokeweight=".5pt">
                <v:textbox>
                  <w:txbxContent>
                    <w:p w:rsidR="008B11DD" w:rsidRDefault="008B11DD" w:rsidP="001030DE">
                      <w:r>
                        <w:t>KR</w:t>
                      </w:r>
                    </w:p>
                  </w:txbxContent>
                </v:textbox>
              </v:shape>
            </w:pict>
          </mc:Fallback>
        </mc:AlternateContent>
      </w:r>
      <w:r w:rsidR="0010355D" w:rsidRPr="001030DE">
        <w:rPr>
          <w:noProof/>
          <w:lang w:eastAsia="en-US"/>
        </w:rPr>
        <mc:AlternateContent>
          <mc:Choice Requires="wps">
            <w:drawing>
              <wp:anchor distT="0" distB="0" distL="114300" distR="114300" simplePos="0" relativeHeight="251808768" behindDoc="0" locked="0" layoutInCell="1" allowOverlap="1" wp14:anchorId="3632E830" wp14:editId="5A023F0B">
                <wp:simplePos x="0" y="0"/>
                <wp:positionH relativeFrom="column">
                  <wp:posOffset>3647440</wp:posOffset>
                </wp:positionH>
                <wp:positionV relativeFrom="paragraph">
                  <wp:posOffset>3057525</wp:posOffset>
                </wp:positionV>
                <wp:extent cx="57150" cy="58420"/>
                <wp:effectExtent l="0" t="0" r="0" b="0"/>
                <wp:wrapNone/>
                <wp:docPr id="28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w="25400" cap="flat" cmpd="sng" algn="ctr">
                          <a:noFill/>
                          <a:prstDash val="solid"/>
                        </a:ln>
                        <a:effectLst/>
                      </wps:spPr>
                      <wps:bodyPr/>
                    </wps:wsp>
                  </a:graphicData>
                </a:graphic>
              </wp:anchor>
            </w:drawing>
          </mc:Choice>
          <mc:Fallback>
            <w:pict>
              <v:rect id="Rectangle 1" o:spid="_x0000_s1026" style="position:absolute;margin-left:287.2pt;margin-top:240.75pt;width:4.5pt;height:4.6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" fillcolor="#a5a5a5 [2092]" stroked="f" strokeweight="2pt"/>
            </w:pict>
          </mc:Fallback>
        </mc:AlternateContent>
      </w:r>
      <w:r w:rsidR="001030DE">
        <w:rPr>
          <w:noProof/>
          <w:lang w:eastAsia="en-US"/>
        </w:rPr>
        <mc:AlternateContent>
          <mc:Choice Requires="wps">
            <w:drawing>
              <wp:anchor distT="0" distB="0" distL="114300" distR="114300" simplePos="0" relativeHeight="251825152" behindDoc="0" locked="0" layoutInCell="1" allowOverlap="1" wp14:anchorId="23397F63" wp14:editId="6FD8AC23">
                <wp:simplePos x="0" y="0"/>
                <wp:positionH relativeFrom="column">
                  <wp:posOffset>3695700</wp:posOffset>
                </wp:positionH>
                <wp:positionV relativeFrom="paragraph">
                  <wp:posOffset>2957830</wp:posOffset>
                </wp:positionV>
                <wp:extent cx="535305" cy="249555"/>
                <wp:effectExtent l="0" t="0" r="0" b="0"/>
                <wp:wrapNone/>
                <wp:docPr id="308" name="Zone de texte 308"/>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0DE">
                            <w: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8" o:spid="_x0000_s1055" type="#_x0000_t202" style="position:absolute;margin-left:291pt;margin-top:232.9pt;width:42.15pt;height:19.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" filled="f" stroked="f" strokeweight=".5pt">
                <v:textbox>
                  <w:txbxContent>
                    <w:p w:rsidR="008B11DD" w:rsidRDefault="008B11DD" w:rsidP="001030DE">
                      <w:r>
                        <w:t>NL</w:t>
                      </w:r>
                    </w:p>
                  </w:txbxContent>
                </v:textbox>
              </v:shape>
            </w:pict>
          </mc:Fallback>
        </mc:AlternateContent>
      </w:r>
      <w:r w:rsidR="001030DE">
        <w:rPr>
          <w:noProof/>
          <w:lang w:eastAsia="en-US"/>
        </w:rPr>
        <mc:AlternateContent>
          <mc:Choice Requires="wps">
            <w:drawing>
              <wp:anchor distT="0" distB="0" distL="114300" distR="114300" simplePos="0" relativeHeight="251821056" behindDoc="0" locked="0" layoutInCell="1" allowOverlap="1" wp14:anchorId="6650BD3D" wp14:editId="4278B709">
                <wp:simplePos x="0" y="0"/>
                <wp:positionH relativeFrom="column">
                  <wp:posOffset>2286000</wp:posOffset>
                </wp:positionH>
                <wp:positionV relativeFrom="paragraph">
                  <wp:posOffset>2957830</wp:posOffset>
                </wp:positionV>
                <wp:extent cx="535305" cy="249555"/>
                <wp:effectExtent l="0" t="0" r="0" b="0"/>
                <wp:wrapNone/>
                <wp:docPr id="305" name="Zone de texte 305"/>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0DE">
                            <w: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5" o:spid="_x0000_s1056" type="#_x0000_t202" style="position:absolute;margin-left:180pt;margin-top:232.9pt;width:42.15pt;height:19.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" filled="f" stroked="f" strokeweight=".5pt">
                <v:textbox>
                  <w:txbxContent>
                    <w:p w:rsidR="008B11DD" w:rsidRDefault="008B11DD" w:rsidP="001030DE">
                      <w:r>
                        <w:t>US</w:t>
                      </w:r>
                    </w:p>
                  </w:txbxContent>
                </v:textbox>
              </v:shape>
            </w:pict>
          </mc:Fallback>
        </mc:AlternateContent>
      </w:r>
      <w:r w:rsidR="001030DE">
        <w:rPr>
          <w:noProof/>
          <w:lang w:eastAsia="en-US"/>
        </w:rPr>
        <mc:AlternateContent>
          <mc:Choice Requires="wps">
            <w:drawing>
              <wp:anchor distT="0" distB="0" distL="114300" distR="114300" simplePos="0" relativeHeight="251819008" behindDoc="0" locked="0" layoutInCell="1" allowOverlap="1" wp14:anchorId="2C12A0FF" wp14:editId="61B73079">
                <wp:simplePos x="0" y="0"/>
                <wp:positionH relativeFrom="column">
                  <wp:posOffset>1590675</wp:posOffset>
                </wp:positionH>
                <wp:positionV relativeFrom="paragraph">
                  <wp:posOffset>2959735</wp:posOffset>
                </wp:positionV>
                <wp:extent cx="535305" cy="249555"/>
                <wp:effectExtent l="0" t="0" r="0" b="0"/>
                <wp:wrapNone/>
                <wp:docPr id="304" name="Zone de texte 304"/>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0DE">
                            <w: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4" o:spid="_x0000_s1057" type="#_x0000_t202" style="position:absolute;margin-left:125.25pt;margin-top:233.05pt;width:42.15pt;height:19.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Hvhg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" filled="f" stroked="f" strokeweight=".5pt">
                <v:textbox>
                  <w:txbxContent>
                    <w:p w:rsidR="008B11DD" w:rsidRDefault="008B11DD" w:rsidP="001030DE">
                      <w:r>
                        <w:t>JP</w:t>
                      </w:r>
                    </w:p>
                  </w:txbxContent>
                </v:textbox>
              </v:shape>
            </w:pict>
          </mc:Fallback>
        </mc:AlternateContent>
      </w:r>
      <w:r w:rsidR="001030DE">
        <w:rPr>
          <w:noProof/>
          <w:lang w:eastAsia="en-US"/>
        </w:rPr>
        <mc:AlternateContent>
          <mc:Choice Requires="wps">
            <w:drawing>
              <wp:anchor distT="0" distB="0" distL="114300" distR="114300" simplePos="0" relativeHeight="251816960" behindDoc="0" locked="0" layoutInCell="1" allowOverlap="1" wp14:anchorId="4BCB89FE" wp14:editId="5A79AEA9">
                <wp:simplePos x="0" y="0"/>
                <wp:positionH relativeFrom="column">
                  <wp:posOffset>895350</wp:posOffset>
                </wp:positionH>
                <wp:positionV relativeFrom="paragraph">
                  <wp:posOffset>2959735</wp:posOffset>
                </wp:positionV>
                <wp:extent cx="535305" cy="249555"/>
                <wp:effectExtent l="0" t="0" r="0" b="0"/>
                <wp:wrapNone/>
                <wp:docPr id="303" name="Zone de texte 30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1030DE">
                            <w: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3" o:spid="_x0000_s1058" type="#_x0000_t202" style="position:absolute;margin-left:70.5pt;margin-top:233.05pt;width:42.15pt;height:19.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hNhw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" filled="f" stroked="f" strokeweight=".5pt">
                <v:textbox>
                  <w:txbxContent>
                    <w:p w:rsidR="008B11DD" w:rsidRDefault="008B11DD" w:rsidP="001030DE">
                      <w:r>
                        <w:t>DE</w:t>
                      </w:r>
                    </w:p>
                  </w:txbxContent>
                </v:textbox>
              </v:shape>
            </w:pict>
          </mc:Fallback>
        </mc:AlternateContent>
      </w:r>
      <w:r w:rsidR="001030DE" w:rsidRPr="001030DE">
        <w:rPr>
          <w:noProof/>
          <w:lang w:eastAsia="en-US"/>
        </w:rPr>
        <mc:AlternateContent>
          <mc:Choice Requires="wps">
            <w:drawing>
              <wp:anchor distT="0" distB="0" distL="114300" distR="114300" simplePos="0" relativeHeight="251806720" behindDoc="0" locked="0" layoutInCell="1" allowOverlap="1" wp14:anchorId="092E7DFD" wp14:editId="57A3F84C">
                <wp:simplePos x="0" y="0"/>
                <wp:positionH relativeFrom="column">
                  <wp:posOffset>846455</wp:posOffset>
                </wp:positionH>
                <wp:positionV relativeFrom="paragraph">
                  <wp:posOffset>3056255</wp:posOffset>
                </wp:positionV>
                <wp:extent cx="57150" cy="58420"/>
                <wp:effectExtent l="0" t="0" r="0" b="0"/>
                <wp:wrapNone/>
                <wp:docPr id="28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margin-left:66.65pt;margin-top:240.65pt;width:4.5pt;height:4.6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" fillcolor="#ffc000" stroked="f" strokeweight="2pt"/>
            </w:pict>
          </mc:Fallback>
        </mc:AlternateContent>
      </w:r>
      <w:r w:rsidR="001030DE" w:rsidRPr="001030DE">
        <w:rPr>
          <w:noProof/>
          <w:lang w:eastAsia="en-US"/>
        </w:rPr>
        <mc:AlternateContent>
          <mc:Choice Requires="wps">
            <w:drawing>
              <wp:anchor distT="0" distB="0" distL="114300" distR="114300" simplePos="0" relativeHeight="251809792" behindDoc="0" locked="0" layoutInCell="1" allowOverlap="1" wp14:anchorId="48796DF3" wp14:editId="757BE428">
                <wp:simplePos x="0" y="0"/>
                <wp:positionH relativeFrom="column">
                  <wp:posOffset>1537970</wp:posOffset>
                </wp:positionH>
                <wp:positionV relativeFrom="paragraph">
                  <wp:posOffset>3061970</wp:posOffset>
                </wp:positionV>
                <wp:extent cx="57150" cy="58420"/>
                <wp:effectExtent l="0" t="0" r="0" b="0"/>
                <wp:wrapNone/>
                <wp:docPr id="28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25400" cap="flat" cmpd="sng" algn="ctr">
                          <a:noFill/>
                          <a:prstDash val="solid"/>
                        </a:ln>
                        <a:effectLst/>
                      </wps:spPr>
                      <wps:bodyPr/>
                    </wps:wsp>
                  </a:graphicData>
                </a:graphic>
              </wp:anchor>
            </w:drawing>
          </mc:Choice>
          <mc:Fallback>
            <w:pict>
              <v:rect id="Rectangle 1" o:spid="_x0000_s1026" style="position:absolute;margin-left:121.1pt;margin-top:241.1pt;width:4.5pt;height:4.6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" fillcolor="#b6dde8 [1304]" stroked="f" strokeweight="2pt"/>
            </w:pict>
          </mc:Fallback>
        </mc:AlternateContent>
      </w:r>
      <w:r w:rsidR="001030DE" w:rsidRPr="001030DE">
        <w:rPr>
          <w:noProof/>
          <w:lang w:eastAsia="en-US"/>
        </w:rPr>
        <mc:AlternateContent>
          <mc:Choice Requires="wps">
            <w:drawing>
              <wp:anchor distT="0" distB="0" distL="114300" distR="114300" simplePos="0" relativeHeight="251810816" behindDoc="0" locked="0" layoutInCell="1" allowOverlap="1" wp14:anchorId="2CECCD6A" wp14:editId="13913127">
                <wp:simplePos x="0" y="0"/>
                <wp:positionH relativeFrom="column">
                  <wp:posOffset>2229485</wp:posOffset>
                </wp:positionH>
                <wp:positionV relativeFrom="paragraph">
                  <wp:posOffset>3061335</wp:posOffset>
                </wp:positionV>
                <wp:extent cx="57150" cy="58420"/>
                <wp:effectExtent l="0" t="0" r="0" b="0"/>
                <wp:wrapNone/>
                <wp:docPr id="28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030A0"/>
                        </a:solidFill>
                        <a:ln w="25400" cap="flat" cmpd="sng" algn="ctr">
                          <a:noFill/>
                          <a:prstDash val="solid"/>
                        </a:ln>
                        <a:effectLst/>
                      </wps:spPr>
                      <wps:bodyPr/>
                    </wps:wsp>
                  </a:graphicData>
                </a:graphic>
              </wp:anchor>
            </w:drawing>
          </mc:Choice>
          <mc:Fallback>
            <w:pict>
              <v:rect id="Rectangle 1" o:spid="_x0000_s1026" style="position:absolute;margin-left:175.55pt;margin-top:241.05pt;width:4.5pt;height:4.6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" fillcolor="#7030a0" stroked="f" strokeweight="2pt"/>
            </w:pict>
          </mc:Fallback>
        </mc:AlternateContent>
      </w:r>
      <w:r w:rsidR="006A4F98">
        <w:rPr>
          <w:noProof/>
          <w:lang w:eastAsia="en-US"/>
        </w:rPr>
        <w:drawing>
          <wp:inline distT="0" distB="0" distL="0" distR="0" wp14:anchorId="4417703F" wp14:editId="5239FAE0">
            <wp:extent cx="5940425" cy="2890005"/>
            <wp:effectExtent l="0" t="0" r="22225" b="24765"/>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30DE" w:rsidRDefault="00885497" w:rsidP="00CE2B39">
      <w:pPr>
        <w:pStyle w:val="ONUME"/>
        <w:numPr>
          <w:ilvl w:val="0"/>
          <w:numId w:val="0"/>
        </w:numPr>
        <w:rPr>
          <w:noProof/>
        </w:rPr>
      </w:pPr>
      <w:r w:rsidRPr="001030DE">
        <w:rPr>
          <w:noProof/>
          <w:lang w:eastAsia="en-US"/>
        </w:rPr>
        <mc:AlternateContent>
          <mc:Choice Requires="wps">
            <w:drawing>
              <wp:anchor distT="0" distB="0" distL="114300" distR="114300" simplePos="0" relativeHeight="251812864" behindDoc="0" locked="0" layoutInCell="1" allowOverlap="1" wp14:anchorId="42C88EB2" wp14:editId="231711A4">
                <wp:simplePos x="0" y="0"/>
                <wp:positionH relativeFrom="column">
                  <wp:posOffset>4946650</wp:posOffset>
                </wp:positionH>
                <wp:positionV relativeFrom="paragraph">
                  <wp:posOffset>5715</wp:posOffset>
                </wp:positionV>
                <wp:extent cx="57150" cy="58420"/>
                <wp:effectExtent l="0" t="0" r="0" b="0"/>
                <wp:wrapNone/>
                <wp:docPr id="29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anchor>
            </w:drawing>
          </mc:Choice>
          <mc:Fallback>
            <w:pict>
              <v:rect id="Rectangle 1" o:spid="_x0000_s1026" style="position:absolute;margin-left:389.5pt;margin-top:.45pt;width:4.5pt;height:4.6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" fillcolor="#92d050" stroked="f" strokeweight="2pt"/>
            </w:pict>
          </mc:Fallback>
        </mc:AlternateContent>
      </w:r>
      <w:r w:rsidRPr="001030DE">
        <w:rPr>
          <w:noProof/>
          <w:lang w:eastAsia="en-US"/>
        </w:rPr>
        <mc:AlternateContent>
          <mc:Choice Requires="wps">
            <w:drawing>
              <wp:anchor distT="0" distB="0" distL="114300" distR="114300" simplePos="0" relativeHeight="251831296" behindDoc="0" locked="0" layoutInCell="1" allowOverlap="1" wp14:anchorId="470C854A" wp14:editId="46623103">
                <wp:simplePos x="0" y="0"/>
                <wp:positionH relativeFrom="column">
                  <wp:posOffset>5524871</wp:posOffset>
                </wp:positionH>
                <wp:positionV relativeFrom="paragraph">
                  <wp:posOffset>-3175</wp:posOffset>
                </wp:positionV>
                <wp:extent cx="57150" cy="58420"/>
                <wp:effectExtent l="0" t="0" r="0" b="0"/>
                <wp:wrapNone/>
                <wp:docPr id="31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70C0"/>
                        </a:solidFill>
                        <a:ln w="25400" cap="flat" cmpd="sng" algn="ctr">
                          <a:noFill/>
                          <a:prstDash val="solid"/>
                        </a:ln>
                        <a:effectLst/>
                      </wps:spPr>
                      <wps:bodyPr/>
                    </wps:wsp>
                  </a:graphicData>
                </a:graphic>
              </wp:anchor>
            </w:drawing>
          </mc:Choice>
          <mc:Fallback>
            <w:pict>
              <v:rect id="Rectangle 1" o:spid="_x0000_s1026" style="position:absolute;margin-left:435.05pt;margin-top:-.25pt;width:4.5pt;height:4.6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" fillcolor="#0070c0" stroked="f" strokeweight="2pt"/>
            </w:pict>
          </mc:Fallback>
        </mc:AlternateContent>
      </w:r>
      <w:r w:rsidRPr="001030DE">
        <w:rPr>
          <w:noProof/>
          <w:lang w:eastAsia="en-US"/>
        </w:rPr>
        <mc:AlternateContent>
          <mc:Choice Requires="wps">
            <w:drawing>
              <wp:anchor distT="0" distB="0" distL="114300" distR="114300" simplePos="0" relativeHeight="251805696" behindDoc="0" locked="0" layoutInCell="1" allowOverlap="1" wp14:anchorId="3FFF24B8" wp14:editId="3A307E83">
                <wp:simplePos x="0" y="0"/>
                <wp:positionH relativeFrom="column">
                  <wp:posOffset>197221</wp:posOffset>
                </wp:positionH>
                <wp:positionV relativeFrom="paragraph">
                  <wp:posOffset>12700</wp:posOffset>
                </wp:positionV>
                <wp:extent cx="57150" cy="58420"/>
                <wp:effectExtent l="0" t="0" r="0" b="0"/>
                <wp:wrapNone/>
                <wp:docPr id="28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9999"/>
                        </a:solidFill>
                        <a:ln w="25400" cap="flat" cmpd="sng" algn="ctr">
                          <a:noFill/>
                          <a:prstDash val="solid"/>
                        </a:ln>
                        <a:effectLst/>
                      </wps:spPr>
                      <wps:bodyPr/>
                    </wps:wsp>
                  </a:graphicData>
                </a:graphic>
              </wp:anchor>
            </w:drawing>
          </mc:Choice>
          <mc:Fallback>
            <w:pict>
              <v:rect id="Rectangle 1" o:spid="_x0000_s1026" style="position:absolute;margin-left:15.55pt;margin-top:1pt;width:4.5pt;height:4.6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" fillcolor="#099" stroked="f" strokeweight="2pt"/>
            </w:pict>
          </mc:Fallback>
        </mc:AlternateContent>
      </w:r>
    </w:p>
    <w:p w:rsidR="00B06453" w:rsidRPr="00E474B5" w:rsidRDefault="00822FDD" w:rsidP="00E474B5">
      <w:pPr>
        <w:pStyle w:val="ONUME"/>
      </w:pPr>
      <w:r w:rsidRPr="00E474B5">
        <w:t>In 2016,</w:t>
      </w:r>
      <w:r w:rsidR="00B06453" w:rsidRPr="00E474B5">
        <w:t xml:space="preserve"> where the European Union was designated in an </w:t>
      </w:r>
      <w:r w:rsidR="00B078F1" w:rsidRPr="00E474B5">
        <w:t>international registration, 71.1</w:t>
      </w:r>
      <w:r w:rsidR="00292C63">
        <w:t> </w:t>
      </w:r>
      <w:r w:rsidR="00B06453" w:rsidRPr="00E474B5">
        <w:t>per</w:t>
      </w:r>
      <w:r w:rsidR="00292C63">
        <w:t> </w:t>
      </w:r>
      <w:r w:rsidR="00B06453" w:rsidRPr="00E474B5">
        <w:t xml:space="preserve">cent of international registrations originating from the </w:t>
      </w:r>
      <w:r w:rsidR="00B078F1" w:rsidRPr="00E474B5">
        <w:t>Republic of</w:t>
      </w:r>
      <w:r w:rsidR="00292C63">
        <w:t> </w:t>
      </w:r>
      <w:r w:rsidR="00B078F1" w:rsidRPr="00E474B5">
        <w:t xml:space="preserve">Korea </w:t>
      </w:r>
      <w:r w:rsidR="00B06453" w:rsidRPr="00E474B5">
        <w:t>contained a priority claim</w:t>
      </w:r>
      <w:r w:rsidR="00663B29">
        <w:t>,</w:t>
      </w:r>
      <w:r w:rsidR="008053A7" w:rsidRPr="00E474B5">
        <w:t xml:space="preserve"> compared to</w:t>
      </w:r>
      <w:r w:rsidR="00B06453" w:rsidRPr="00E474B5">
        <w:t xml:space="preserve"> </w:t>
      </w:r>
      <w:r w:rsidR="00B078F1" w:rsidRPr="00E474B5">
        <w:t>37.5</w:t>
      </w:r>
      <w:r w:rsidR="00292C63">
        <w:t> </w:t>
      </w:r>
      <w:r w:rsidR="00B06453" w:rsidRPr="00E474B5">
        <w:t>per</w:t>
      </w:r>
      <w:r w:rsidR="00292C63">
        <w:t> </w:t>
      </w:r>
      <w:r w:rsidR="00B06453" w:rsidRPr="00E474B5">
        <w:t xml:space="preserve">cent of </w:t>
      </w:r>
      <w:r w:rsidR="00E01DD5" w:rsidRPr="00E474B5">
        <w:t>those</w:t>
      </w:r>
      <w:r w:rsidR="00277E02" w:rsidRPr="00E474B5">
        <w:t xml:space="preserve"> </w:t>
      </w:r>
      <w:r w:rsidR="00B06453" w:rsidRPr="00E474B5">
        <w:t xml:space="preserve">originating from Germany, </w:t>
      </w:r>
      <w:r w:rsidR="00B078F1" w:rsidRPr="00E474B5">
        <w:t>62.5</w:t>
      </w:r>
      <w:r w:rsidR="00292C63">
        <w:t> </w:t>
      </w:r>
      <w:r w:rsidR="00B06453" w:rsidRPr="00E474B5">
        <w:t>per</w:t>
      </w:r>
      <w:r w:rsidR="00292C63">
        <w:t> </w:t>
      </w:r>
      <w:r w:rsidR="00B06453" w:rsidRPr="00E474B5">
        <w:t xml:space="preserve">cent of </w:t>
      </w:r>
      <w:r w:rsidR="00277E02" w:rsidRPr="00E474B5">
        <w:t xml:space="preserve">those </w:t>
      </w:r>
      <w:r w:rsidR="00B06453" w:rsidRPr="00E474B5">
        <w:t xml:space="preserve">originating from </w:t>
      </w:r>
      <w:r w:rsidR="00B078F1" w:rsidRPr="00E474B5">
        <w:t>Japan</w:t>
      </w:r>
      <w:r w:rsidR="00B06453" w:rsidRPr="00E474B5">
        <w:t xml:space="preserve">, </w:t>
      </w:r>
      <w:r w:rsidR="00B078F1" w:rsidRPr="00E474B5">
        <w:t>50</w:t>
      </w:r>
      <w:r w:rsidR="00292C63">
        <w:t> </w:t>
      </w:r>
      <w:r w:rsidR="00B06453" w:rsidRPr="00E474B5">
        <w:t>per</w:t>
      </w:r>
      <w:r w:rsidR="00292C63">
        <w:t> </w:t>
      </w:r>
      <w:r w:rsidR="00B06453" w:rsidRPr="00E474B5">
        <w:t xml:space="preserve">cent of </w:t>
      </w:r>
      <w:r w:rsidR="00E01DD5" w:rsidRPr="00E474B5">
        <w:t>those</w:t>
      </w:r>
      <w:r w:rsidR="006E3EED" w:rsidRPr="00E474B5">
        <w:t xml:space="preserve"> </w:t>
      </w:r>
      <w:r w:rsidR="00B06453" w:rsidRPr="00E474B5">
        <w:t xml:space="preserve">originating from the </w:t>
      </w:r>
      <w:r w:rsidR="00B078F1" w:rsidRPr="00E474B5">
        <w:t>United</w:t>
      </w:r>
      <w:r w:rsidR="00292C63">
        <w:t> </w:t>
      </w:r>
      <w:r w:rsidR="00B078F1" w:rsidRPr="00E474B5">
        <w:t>States of</w:t>
      </w:r>
      <w:r w:rsidR="00292C63">
        <w:t> </w:t>
      </w:r>
      <w:r w:rsidR="00B078F1" w:rsidRPr="00E474B5">
        <w:t>America</w:t>
      </w:r>
      <w:r w:rsidR="00B06453" w:rsidRPr="00E474B5">
        <w:t xml:space="preserve"> </w:t>
      </w:r>
      <w:r w:rsidR="00B078F1" w:rsidRPr="00E474B5">
        <w:t>and 7.7</w:t>
      </w:r>
      <w:r w:rsidR="00292C63">
        <w:t> </w:t>
      </w:r>
      <w:r w:rsidR="00B06453" w:rsidRPr="00E474B5">
        <w:t>per</w:t>
      </w:r>
      <w:r w:rsidR="00292C63">
        <w:t> </w:t>
      </w:r>
      <w:r w:rsidR="00B06453" w:rsidRPr="00E474B5">
        <w:t xml:space="preserve">cent of </w:t>
      </w:r>
      <w:r w:rsidR="00E01DD5" w:rsidRPr="00E474B5">
        <w:t>those</w:t>
      </w:r>
      <w:r w:rsidR="006E3EED" w:rsidRPr="00E474B5">
        <w:t xml:space="preserve"> </w:t>
      </w:r>
      <w:r w:rsidR="00B06453" w:rsidRPr="00E474B5">
        <w:t xml:space="preserve">originating from </w:t>
      </w:r>
      <w:r w:rsidR="00B078F1" w:rsidRPr="00E474B5">
        <w:t>Switzerland</w:t>
      </w:r>
      <w:r w:rsidR="00B06453" w:rsidRPr="00E474B5">
        <w:t>.</w:t>
      </w:r>
    </w:p>
    <w:p w:rsidR="00B06453" w:rsidRPr="00E474B5" w:rsidRDefault="00B06453" w:rsidP="00E474B5">
      <w:pPr>
        <w:pStyle w:val="ONUME"/>
      </w:pPr>
      <w:r w:rsidRPr="00E474B5">
        <w:t xml:space="preserve">On the other hand, </w:t>
      </w:r>
      <w:r w:rsidR="00B078F1" w:rsidRPr="00E474B5">
        <w:t>in 2016</w:t>
      </w:r>
      <w:r w:rsidRPr="00E474B5">
        <w:t>, where the Republic of</w:t>
      </w:r>
      <w:r w:rsidR="00051DC6">
        <w:t> </w:t>
      </w:r>
      <w:r w:rsidRPr="00E474B5">
        <w:t xml:space="preserve">Korea was designated in an </w:t>
      </w:r>
      <w:r w:rsidR="00B078F1" w:rsidRPr="00E474B5">
        <w:t>international registration, 88.2</w:t>
      </w:r>
      <w:r w:rsidR="00051DC6">
        <w:t> </w:t>
      </w:r>
      <w:r w:rsidRPr="00E474B5">
        <w:t xml:space="preserve">per cent of international registrations originating from the </w:t>
      </w:r>
      <w:r w:rsidR="00B078F1" w:rsidRPr="00E474B5">
        <w:t>Netherlands</w:t>
      </w:r>
      <w:r w:rsidRPr="00E474B5">
        <w:t xml:space="preserve"> contained a priority claim</w:t>
      </w:r>
      <w:r w:rsidR="00663B29">
        <w:t>,</w:t>
      </w:r>
      <w:r w:rsidR="008053A7" w:rsidRPr="00E474B5">
        <w:t xml:space="preserve"> compared to</w:t>
      </w:r>
      <w:r w:rsidRPr="00E474B5">
        <w:t xml:space="preserve"> </w:t>
      </w:r>
      <w:r w:rsidR="00B078F1" w:rsidRPr="00E474B5">
        <w:t>72.7</w:t>
      </w:r>
      <w:r w:rsidR="00051DC6">
        <w:t> </w:t>
      </w:r>
      <w:r w:rsidRPr="00E474B5">
        <w:t>per</w:t>
      </w:r>
      <w:r w:rsidR="00051DC6">
        <w:t> </w:t>
      </w:r>
      <w:r w:rsidRPr="00E474B5">
        <w:t xml:space="preserve">cent of </w:t>
      </w:r>
      <w:r w:rsidR="00E01DD5" w:rsidRPr="00E474B5">
        <w:t>those</w:t>
      </w:r>
      <w:r w:rsidR="006E3EED" w:rsidRPr="00E474B5">
        <w:t xml:space="preserve"> </w:t>
      </w:r>
      <w:r w:rsidRPr="00E474B5">
        <w:t xml:space="preserve">originating from </w:t>
      </w:r>
      <w:r w:rsidR="00B078F1" w:rsidRPr="00E474B5">
        <w:t>the United</w:t>
      </w:r>
      <w:r w:rsidR="00051DC6">
        <w:t> </w:t>
      </w:r>
      <w:r w:rsidR="00B078F1" w:rsidRPr="00E474B5">
        <w:t>States of</w:t>
      </w:r>
      <w:r w:rsidR="00051DC6">
        <w:t> </w:t>
      </w:r>
      <w:r w:rsidR="00B078F1" w:rsidRPr="00E474B5">
        <w:t>America</w:t>
      </w:r>
      <w:r w:rsidRPr="00E474B5">
        <w:t>,</w:t>
      </w:r>
      <w:r w:rsidR="00B078F1" w:rsidRPr="00E474B5">
        <w:t xml:space="preserve"> 85.7</w:t>
      </w:r>
      <w:r w:rsidR="00051DC6">
        <w:t> </w:t>
      </w:r>
      <w:r w:rsidRPr="00E474B5">
        <w:t>per</w:t>
      </w:r>
      <w:r w:rsidR="00051DC6">
        <w:t> </w:t>
      </w:r>
      <w:r w:rsidRPr="00E474B5">
        <w:t>cent of</w:t>
      </w:r>
      <w:r w:rsidR="006E3EED" w:rsidRPr="00E474B5">
        <w:t xml:space="preserve"> </w:t>
      </w:r>
      <w:r w:rsidR="00E01DD5" w:rsidRPr="00E474B5">
        <w:t>those</w:t>
      </w:r>
      <w:r w:rsidRPr="00E474B5">
        <w:t xml:space="preserve"> originating from </w:t>
      </w:r>
      <w:r w:rsidR="00B078F1" w:rsidRPr="00E474B5">
        <w:t>Japan, 38.5</w:t>
      </w:r>
      <w:r w:rsidR="00051DC6">
        <w:t> </w:t>
      </w:r>
      <w:r w:rsidRPr="00E474B5">
        <w:t>per</w:t>
      </w:r>
      <w:r w:rsidR="00051DC6">
        <w:t> </w:t>
      </w:r>
      <w:r w:rsidRPr="00E474B5">
        <w:t xml:space="preserve">cent of </w:t>
      </w:r>
      <w:r w:rsidR="00E01DD5" w:rsidRPr="00E474B5">
        <w:t>those</w:t>
      </w:r>
      <w:r w:rsidR="006E3EED" w:rsidRPr="00E474B5">
        <w:t xml:space="preserve"> </w:t>
      </w:r>
      <w:r w:rsidR="00B078F1" w:rsidRPr="00E474B5">
        <w:t>originating from</w:t>
      </w:r>
      <w:r w:rsidR="00051DC6">
        <w:t xml:space="preserve"> the Republic of Korea</w:t>
      </w:r>
      <w:r w:rsidR="00B078F1" w:rsidRPr="00E474B5">
        <w:t xml:space="preserve"> and 7.8</w:t>
      </w:r>
      <w:r w:rsidR="00051DC6">
        <w:t> </w:t>
      </w:r>
      <w:r w:rsidRPr="00E474B5">
        <w:t xml:space="preserve">per cent of </w:t>
      </w:r>
      <w:r w:rsidR="00E01DD5" w:rsidRPr="00E474B5">
        <w:t>those</w:t>
      </w:r>
      <w:r w:rsidR="006E3EED" w:rsidRPr="00E474B5">
        <w:t xml:space="preserve"> </w:t>
      </w:r>
      <w:r w:rsidRPr="00E474B5">
        <w:t xml:space="preserve">originating from </w:t>
      </w:r>
      <w:r w:rsidR="00B078F1" w:rsidRPr="00E474B5">
        <w:t>Switzerland</w:t>
      </w:r>
      <w:r w:rsidRPr="00E474B5">
        <w:t>.</w:t>
      </w:r>
    </w:p>
    <w:p w:rsidR="00B078F1" w:rsidRPr="00E474B5" w:rsidRDefault="00B078F1" w:rsidP="00E474B5">
      <w:pPr>
        <w:pStyle w:val="ONUME"/>
      </w:pPr>
      <w:r w:rsidRPr="00E474B5">
        <w:lastRenderedPageBreak/>
        <w:t>Also in early 2016, where Japan was designated in an international registration, 45.7</w:t>
      </w:r>
      <w:r w:rsidR="00602E94">
        <w:t> </w:t>
      </w:r>
      <w:r w:rsidRPr="00E474B5">
        <w:t>per</w:t>
      </w:r>
      <w:r w:rsidR="00602E94">
        <w:t> </w:t>
      </w:r>
      <w:r w:rsidRPr="00E474B5">
        <w:t>cent of international registrations originating from the Republic of</w:t>
      </w:r>
      <w:r w:rsidR="00602E94">
        <w:t> </w:t>
      </w:r>
      <w:r w:rsidRPr="00E474B5">
        <w:t>Korea contained a priority claim</w:t>
      </w:r>
      <w:r w:rsidR="00663B29">
        <w:t>,</w:t>
      </w:r>
      <w:r w:rsidR="008053A7" w:rsidRPr="00E474B5">
        <w:t xml:space="preserve"> compared to</w:t>
      </w:r>
      <w:r w:rsidRPr="00E474B5">
        <w:t xml:space="preserve"> 88.2</w:t>
      </w:r>
      <w:r w:rsidR="00602E94">
        <w:t> </w:t>
      </w:r>
      <w:r w:rsidRPr="00E474B5">
        <w:t>per</w:t>
      </w:r>
      <w:r w:rsidR="00602E94">
        <w:t> </w:t>
      </w:r>
      <w:r w:rsidRPr="00E474B5">
        <w:t xml:space="preserve">cent of </w:t>
      </w:r>
      <w:r w:rsidR="00E01DD5" w:rsidRPr="00E474B5">
        <w:t>those</w:t>
      </w:r>
      <w:r w:rsidR="00544C2D" w:rsidRPr="00E474B5">
        <w:t xml:space="preserve"> </w:t>
      </w:r>
      <w:r w:rsidRPr="00E474B5">
        <w:t>originating from the Netherlands, 81.8</w:t>
      </w:r>
      <w:r w:rsidR="00602E94">
        <w:t> </w:t>
      </w:r>
      <w:r w:rsidRPr="00E474B5">
        <w:t>per</w:t>
      </w:r>
      <w:r w:rsidR="00602E94">
        <w:t> </w:t>
      </w:r>
      <w:r w:rsidRPr="00E474B5">
        <w:t xml:space="preserve">cent of </w:t>
      </w:r>
      <w:r w:rsidR="00E01DD5" w:rsidRPr="00E474B5">
        <w:t>those</w:t>
      </w:r>
      <w:r w:rsidR="00544C2D" w:rsidRPr="00E474B5">
        <w:t xml:space="preserve"> </w:t>
      </w:r>
      <w:r w:rsidRPr="00E474B5">
        <w:t>originating from the United</w:t>
      </w:r>
      <w:r w:rsidR="00602E94">
        <w:t> </w:t>
      </w:r>
      <w:r w:rsidRPr="00E474B5">
        <w:t>States of</w:t>
      </w:r>
      <w:r w:rsidR="00602E94">
        <w:t> </w:t>
      </w:r>
      <w:r w:rsidRPr="00E474B5">
        <w:t>America, 26.3</w:t>
      </w:r>
      <w:r w:rsidR="00602E94">
        <w:t> </w:t>
      </w:r>
      <w:r w:rsidRPr="00E474B5">
        <w:t>per</w:t>
      </w:r>
      <w:r w:rsidR="00602E94">
        <w:t> </w:t>
      </w:r>
      <w:r w:rsidRPr="00E474B5">
        <w:t xml:space="preserve">cent of </w:t>
      </w:r>
      <w:r w:rsidR="00E01DD5" w:rsidRPr="00E474B5">
        <w:t>those</w:t>
      </w:r>
      <w:r w:rsidR="00544C2D" w:rsidRPr="00E474B5">
        <w:t xml:space="preserve"> </w:t>
      </w:r>
      <w:r w:rsidRPr="00E474B5">
        <w:t>originating from Switzerland and 71.4</w:t>
      </w:r>
      <w:r w:rsidR="00602E94">
        <w:t> </w:t>
      </w:r>
      <w:r w:rsidRPr="00E474B5">
        <w:t>per</w:t>
      </w:r>
      <w:r w:rsidR="00602E94">
        <w:t> </w:t>
      </w:r>
      <w:r w:rsidRPr="00E474B5">
        <w:t xml:space="preserve">cent of </w:t>
      </w:r>
      <w:r w:rsidR="00E01DD5" w:rsidRPr="00E474B5">
        <w:t>those</w:t>
      </w:r>
      <w:r w:rsidR="00544C2D" w:rsidRPr="00E474B5">
        <w:t xml:space="preserve"> </w:t>
      </w:r>
      <w:r w:rsidRPr="00E474B5">
        <w:t>originating from the United</w:t>
      </w:r>
      <w:r w:rsidR="00602E94">
        <w:t> </w:t>
      </w:r>
      <w:r w:rsidRPr="00E474B5">
        <w:t>States of</w:t>
      </w:r>
      <w:r w:rsidR="00602E94">
        <w:t> </w:t>
      </w:r>
      <w:r w:rsidRPr="00E474B5">
        <w:t>America.</w:t>
      </w:r>
    </w:p>
    <w:p w:rsidR="00822FDD" w:rsidRPr="00E474B5" w:rsidRDefault="00A978D9" w:rsidP="00E474B5">
      <w:pPr>
        <w:pStyle w:val="ONUME"/>
      </w:pPr>
      <w:r w:rsidRPr="00E474B5">
        <w:t>Finally in 2016</w:t>
      </w:r>
      <w:r w:rsidR="00B078F1" w:rsidRPr="00E474B5">
        <w:t>, where the United</w:t>
      </w:r>
      <w:r w:rsidR="00602E94">
        <w:t> </w:t>
      </w:r>
      <w:r w:rsidR="00B078F1" w:rsidRPr="00E474B5">
        <w:t>States of</w:t>
      </w:r>
      <w:r w:rsidR="00602E94">
        <w:t> </w:t>
      </w:r>
      <w:r w:rsidR="00B078F1" w:rsidRPr="00E474B5">
        <w:t>America was designated in an international registration, 81.4</w:t>
      </w:r>
      <w:r w:rsidR="00602E94">
        <w:t> </w:t>
      </w:r>
      <w:r w:rsidR="00B078F1" w:rsidRPr="00E474B5">
        <w:t>per</w:t>
      </w:r>
      <w:r w:rsidR="00602E94">
        <w:t> </w:t>
      </w:r>
      <w:r w:rsidR="00B078F1" w:rsidRPr="00E474B5">
        <w:t>cent of international registrations originating from the Republic of</w:t>
      </w:r>
      <w:r w:rsidR="00602E94">
        <w:t> </w:t>
      </w:r>
      <w:r w:rsidR="00B078F1" w:rsidRPr="00E474B5">
        <w:t>Korea contained a priority claim</w:t>
      </w:r>
      <w:r w:rsidR="00663B29">
        <w:t>,</w:t>
      </w:r>
      <w:r w:rsidR="008053A7" w:rsidRPr="00E474B5">
        <w:t xml:space="preserve"> compared to</w:t>
      </w:r>
      <w:r w:rsidR="00B078F1" w:rsidRPr="00E474B5">
        <w:t xml:space="preserve"> 80.8</w:t>
      </w:r>
      <w:r w:rsidR="00602E94">
        <w:t> </w:t>
      </w:r>
      <w:r w:rsidR="00B078F1" w:rsidRPr="00E474B5">
        <w:t>per</w:t>
      </w:r>
      <w:r w:rsidR="00602E94">
        <w:t> </w:t>
      </w:r>
      <w:r w:rsidR="00B078F1" w:rsidRPr="00E474B5">
        <w:t xml:space="preserve">cent of </w:t>
      </w:r>
      <w:r w:rsidR="00E01DD5" w:rsidRPr="00E474B5">
        <w:t>those</w:t>
      </w:r>
      <w:r w:rsidR="00E92EDC" w:rsidRPr="00E474B5">
        <w:t xml:space="preserve"> </w:t>
      </w:r>
      <w:r w:rsidR="00B078F1" w:rsidRPr="00E474B5">
        <w:t>originating from the Netherlands, 50</w:t>
      </w:r>
      <w:r w:rsidR="00602E94">
        <w:t> </w:t>
      </w:r>
      <w:r w:rsidR="00B078F1" w:rsidRPr="00E474B5">
        <w:t>per</w:t>
      </w:r>
      <w:r w:rsidR="00602E94">
        <w:t> </w:t>
      </w:r>
      <w:r w:rsidR="00B078F1" w:rsidRPr="00E474B5">
        <w:t xml:space="preserve">cent of </w:t>
      </w:r>
      <w:r w:rsidR="00E01DD5" w:rsidRPr="00E474B5">
        <w:t>those</w:t>
      </w:r>
      <w:r w:rsidR="00E92EDC" w:rsidRPr="00E474B5">
        <w:t xml:space="preserve"> </w:t>
      </w:r>
      <w:r w:rsidR="00B078F1" w:rsidRPr="00E474B5">
        <w:t>originating from Italy, 50</w:t>
      </w:r>
      <w:r w:rsidR="00602E94">
        <w:t> </w:t>
      </w:r>
      <w:r w:rsidR="00B078F1" w:rsidRPr="00E474B5">
        <w:t>per</w:t>
      </w:r>
      <w:r w:rsidR="00602E94">
        <w:t> </w:t>
      </w:r>
      <w:r w:rsidR="00B078F1" w:rsidRPr="00E474B5">
        <w:t xml:space="preserve">cent of </w:t>
      </w:r>
      <w:r w:rsidR="00E01DD5" w:rsidRPr="00E474B5">
        <w:t>those</w:t>
      </w:r>
      <w:r w:rsidR="00E92EDC" w:rsidRPr="00E474B5">
        <w:t xml:space="preserve"> </w:t>
      </w:r>
      <w:r w:rsidR="00B078F1" w:rsidRPr="00E474B5">
        <w:t>originating from France and 41.7</w:t>
      </w:r>
      <w:r w:rsidR="00602E94">
        <w:t> </w:t>
      </w:r>
      <w:r w:rsidR="00B078F1" w:rsidRPr="00E474B5">
        <w:t>per</w:t>
      </w:r>
      <w:r w:rsidR="00602E94">
        <w:t> </w:t>
      </w:r>
      <w:r w:rsidR="00B078F1" w:rsidRPr="00E474B5">
        <w:t>cent of</w:t>
      </w:r>
      <w:r w:rsidR="00D05379" w:rsidRPr="00E474B5">
        <w:t xml:space="preserve"> </w:t>
      </w:r>
      <w:r w:rsidR="00E01DD5" w:rsidRPr="00E474B5">
        <w:t>those</w:t>
      </w:r>
      <w:r w:rsidR="00B078F1" w:rsidRPr="00E474B5">
        <w:t xml:space="preserve"> originating from Japan.</w:t>
      </w:r>
    </w:p>
    <w:p w:rsidR="001F5FD0" w:rsidRDefault="00220618" w:rsidP="00A271CB">
      <w:pPr>
        <w:pStyle w:val="Heading3"/>
        <w:spacing w:before="480"/>
        <w:rPr>
          <w:noProof/>
        </w:rPr>
      </w:pPr>
      <w:r w:rsidRPr="00163310">
        <w:rPr>
          <w:noProof/>
        </w:rPr>
        <w:t xml:space="preserve">Trends </w:t>
      </w:r>
      <w:r w:rsidR="00602E94">
        <w:rPr>
          <w:noProof/>
        </w:rPr>
        <w:t>R</w:t>
      </w:r>
      <w:r w:rsidRPr="00163310">
        <w:rPr>
          <w:noProof/>
        </w:rPr>
        <w:t xml:space="preserve">egarding </w:t>
      </w:r>
      <w:r w:rsidR="00602E94">
        <w:rPr>
          <w:noProof/>
        </w:rPr>
        <w:t>C</w:t>
      </w:r>
      <w:r w:rsidRPr="00163310">
        <w:rPr>
          <w:noProof/>
        </w:rPr>
        <w:t xml:space="preserve">laiming </w:t>
      </w:r>
      <w:r w:rsidR="00602E94">
        <w:rPr>
          <w:noProof/>
        </w:rPr>
        <w:t>P</w:t>
      </w:r>
      <w:r w:rsidRPr="00163310">
        <w:rPr>
          <w:noProof/>
        </w:rPr>
        <w:t>riority</w:t>
      </w:r>
    </w:p>
    <w:p w:rsidR="00602E94" w:rsidRPr="00602E94" w:rsidRDefault="00602E94" w:rsidP="00602E94"/>
    <w:p w:rsidR="00497B21" w:rsidRPr="00E474B5" w:rsidRDefault="00497B21" w:rsidP="00E474B5">
      <w:pPr>
        <w:pStyle w:val="ONUME"/>
      </w:pPr>
      <w:r w:rsidRPr="00E474B5">
        <w:t xml:space="preserve">A </w:t>
      </w:r>
      <w:r w:rsidR="001D021D" w:rsidRPr="00E474B5">
        <w:t>visible</w:t>
      </w:r>
      <w:r w:rsidRPr="00E474B5">
        <w:t xml:space="preserve"> trend may be observed in respect of international registrations originating from the Republic of</w:t>
      </w:r>
      <w:r w:rsidR="00602E94">
        <w:t> </w:t>
      </w:r>
      <w:r w:rsidRPr="00E474B5">
        <w:t xml:space="preserve">Korea.  Almost all such international registrations claim priority.  In contrast, it may be remarked that the share of priority claims in international registrations originating from Switzerland </w:t>
      </w:r>
      <w:r w:rsidR="001D021D" w:rsidRPr="00E474B5">
        <w:t>wa</w:t>
      </w:r>
      <w:r w:rsidRPr="00E474B5">
        <w:t xml:space="preserve">s </w:t>
      </w:r>
      <w:r w:rsidR="003045AD" w:rsidRPr="00E474B5">
        <w:t xml:space="preserve">significantly lower than from most other </w:t>
      </w:r>
      <w:r w:rsidR="00DC5E95" w:rsidRPr="00E474B5">
        <w:t xml:space="preserve">top </w:t>
      </w:r>
      <w:r w:rsidR="003045AD" w:rsidRPr="00E474B5">
        <w:t>origins.</w:t>
      </w:r>
    </w:p>
    <w:p w:rsidR="004C260D" w:rsidRPr="00E474B5" w:rsidRDefault="001D021D" w:rsidP="00E474B5">
      <w:pPr>
        <w:pStyle w:val="ONUME"/>
      </w:pPr>
      <w:r w:rsidRPr="00E474B5">
        <w:t>I</w:t>
      </w:r>
      <w:r w:rsidR="004C260D" w:rsidRPr="00E474B5">
        <w:t xml:space="preserve">t </w:t>
      </w:r>
      <w:r w:rsidRPr="00E474B5">
        <w:t>may be further</w:t>
      </w:r>
      <w:r w:rsidR="004C260D" w:rsidRPr="00E474B5">
        <w:t xml:space="preserve"> observed that the priority claims outside the </w:t>
      </w:r>
      <w:r w:rsidR="00602E94">
        <w:t>m</w:t>
      </w:r>
      <w:r w:rsidR="004C260D" w:rsidRPr="00E474B5">
        <w:t xml:space="preserve">embers of the Hague Union have been </w:t>
      </w:r>
      <w:r w:rsidR="00DC5E95" w:rsidRPr="00E474B5">
        <w:t xml:space="preserve">quite naturally </w:t>
      </w:r>
      <w:r w:rsidR="004C260D" w:rsidRPr="00E474B5">
        <w:t>rare</w:t>
      </w:r>
      <w:r w:rsidR="00DC5E95" w:rsidRPr="00E474B5">
        <w:t>, but not inexistent</w:t>
      </w:r>
      <w:r w:rsidR="004C260D" w:rsidRPr="00E474B5">
        <w:t xml:space="preserve">.  </w:t>
      </w:r>
      <w:r w:rsidR="00DC5E95" w:rsidRPr="00E474B5">
        <w:t>Thus, i</w:t>
      </w:r>
      <w:r w:rsidR="004C260D" w:rsidRPr="00E474B5">
        <w:t>n 2014, 2015 and the first quarter of 2016, 36, 18 and</w:t>
      </w:r>
      <w:r w:rsidR="00602E94">
        <w:t xml:space="preserve"> two</w:t>
      </w:r>
      <w:r w:rsidR="004C260D" w:rsidRPr="00E474B5">
        <w:t xml:space="preserve"> international registrations, respectively, claimed priority from an earlier filing </w:t>
      </w:r>
      <w:r w:rsidR="004C6524" w:rsidRPr="00E474B5">
        <w:t xml:space="preserve">with </w:t>
      </w:r>
      <w:r w:rsidR="004C260D" w:rsidRPr="00E474B5">
        <w:t>the State Intellectual Property Office of</w:t>
      </w:r>
      <w:r w:rsidR="00602E94">
        <w:t xml:space="preserve"> the</w:t>
      </w:r>
      <w:r w:rsidR="004C260D" w:rsidRPr="00E474B5">
        <w:t xml:space="preserve"> People’s Republic of</w:t>
      </w:r>
      <w:r w:rsidR="00602E94">
        <w:t> </w:t>
      </w:r>
      <w:r w:rsidR="004C260D" w:rsidRPr="00E474B5">
        <w:t>China</w:t>
      </w:r>
      <w:r w:rsidR="00602E94">
        <w:t> </w:t>
      </w:r>
      <w:r w:rsidR="004C260D" w:rsidRPr="00E474B5">
        <w:t>(SIPO). Furthermore, in 2014, 2015 and the first quarter of 2016,</w:t>
      </w:r>
      <w:r w:rsidR="00602E94">
        <w:t xml:space="preserve"> six</w:t>
      </w:r>
      <w:r w:rsidR="004C260D" w:rsidRPr="00E474B5">
        <w:t>,</w:t>
      </w:r>
      <w:r w:rsidR="00602E94">
        <w:t xml:space="preserve"> two</w:t>
      </w:r>
      <w:r w:rsidR="004C260D" w:rsidRPr="00E474B5">
        <w:t xml:space="preserve"> and</w:t>
      </w:r>
      <w:r w:rsidR="00602E94">
        <w:t xml:space="preserve"> one</w:t>
      </w:r>
      <w:r w:rsidR="004C260D" w:rsidRPr="00E474B5">
        <w:t xml:space="preserve"> international registrations claimed priority from the Federal Service for Int</w:t>
      </w:r>
      <w:r w:rsidR="00602E94">
        <w:t>ellectual Property (ROSPATENT).</w:t>
      </w:r>
    </w:p>
    <w:p w:rsidR="001D021D" w:rsidRPr="00E474B5" w:rsidRDefault="005E7EEE" w:rsidP="00E474B5">
      <w:pPr>
        <w:pStyle w:val="ONUME"/>
      </w:pPr>
      <w:r w:rsidRPr="00E474B5">
        <w:t>Finally, in parenthesis, it may be remarked that a</w:t>
      </w:r>
      <w:r w:rsidR="001D021D" w:rsidRPr="00E474B5">
        <w:t xml:space="preserve"> relatively high share of priority claims from an earlier international application</w:t>
      </w:r>
      <w:r w:rsidR="002E01A8" w:rsidRPr="00E474B5">
        <w:t xml:space="preserve"> were contained</w:t>
      </w:r>
      <w:r w:rsidR="001D021D" w:rsidRPr="00E474B5">
        <w:t xml:space="preserve"> in international registrations designating the United</w:t>
      </w:r>
      <w:r w:rsidR="00602E94">
        <w:t> </w:t>
      </w:r>
      <w:r w:rsidR="001D021D" w:rsidRPr="00E474B5">
        <w:t>States of</w:t>
      </w:r>
      <w:r w:rsidR="00602E94">
        <w:t> </w:t>
      </w:r>
      <w:r w:rsidR="001D021D" w:rsidRPr="00E474B5">
        <w:t>America in</w:t>
      </w:r>
      <w:r w:rsidR="00602E94">
        <w:t> </w:t>
      </w:r>
      <w:r w:rsidR="001D021D" w:rsidRPr="00E474B5">
        <w:t>2015</w:t>
      </w:r>
      <w:r w:rsidR="002E01A8" w:rsidRPr="00E474B5">
        <w:t>, which</w:t>
      </w:r>
      <w:r w:rsidRPr="00E474B5">
        <w:t xml:space="preserve"> </w:t>
      </w:r>
      <w:r w:rsidR="001D021D" w:rsidRPr="00E474B5">
        <w:t>may be explained by the fact that the ratification by the United</w:t>
      </w:r>
      <w:r w:rsidR="00602E94">
        <w:t> </w:t>
      </w:r>
      <w:r w:rsidR="001D021D" w:rsidRPr="00E474B5">
        <w:t>States of</w:t>
      </w:r>
      <w:r w:rsidR="00602E94">
        <w:t> </w:t>
      </w:r>
      <w:r w:rsidR="001D021D" w:rsidRPr="00E474B5">
        <w:t>America of the 1999</w:t>
      </w:r>
      <w:r w:rsidR="00602E94">
        <w:t> </w:t>
      </w:r>
      <w:r w:rsidR="001D021D" w:rsidRPr="00E474B5">
        <w:t>Act came into effect on May</w:t>
      </w:r>
      <w:r w:rsidR="00602E94">
        <w:t> </w:t>
      </w:r>
      <w:r w:rsidR="001D021D" w:rsidRPr="00E474B5">
        <w:t>13,</w:t>
      </w:r>
      <w:r w:rsidR="00602E94">
        <w:t> </w:t>
      </w:r>
      <w:r w:rsidR="001D021D" w:rsidRPr="00E474B5">
        <w:t>2015, and the holders of prior international registrations wished to extend the protection to the United</w:t>
      </w:r>
      <w:r w:rsidR="00602E94">
        <w:t> </w:t>
      </w:r>
      <w:r w:rsidR="001D021D" w:rsidRPr="00E474B5">
        <w:t>States of</w:t>
      </w:r>
      <w:r w:rsidR="00602E94">
        <w:t> </w:t>
      </w:r>
      <w:r w:rsidR="001D021D" w:rsidRPr="00E474B5">
        <w:t>America.  It is to be noted that in the first quarter of</w:t>
      </w:r>
      <w:r w:rsidR="00602E94">
        <w:t> </w:t>
      </w:r>
      <w:r w:rsidR="001D021D" w:rsidRPr="00E474B5">
        <w:t>2016, none of the international registrations designating the United</w:t>
      </w:r>
      <w:r w:rsidR="00602E94">
        <w:t> </w:t>
      </w:r>
      <w:r w:rsidR="001D021D" w:rsidRPr="00E474B5">
        <w:t>States of</w:t>
      </w:r>
      <w:r w:rsidR="00602E94">
        <w:t> </w:t>
      </w:r>
      <w:r w:rsidR="001D021D" w:rsidRPr="00E474B5">
        <w:t>America contained a priority claim from an earlier international application.</w:t>
      </w:r>
    </w:p>
    <w:p w:rsidR="00452AEE" w:rsidRDefault="00452AEE" w:rsidP="00602E94">
      <w:pPr>
        <w:pStyle w:val="Heading2"/>
        <w:spacing w:before="480"/>
        <w:rPr>
          <w:noProof/>
        </w:rPr>
      </w:pPr>
      <w:r>
        <w:rPr>
          <w:noProof/>
        </w:rPr>
        <w:t>PUBLICATION OF INTERNATIONAL REGISTRATIONS</w:t>
      </w:r>
    </w:p>
    <w:p w:rsidR="00602E94" w:rsidRPr="00602E94" w:rsidRDefault="00602E94" w:rsidP="00602E94"/>
    <w:p w:rsidR="00452AEE" w:rsidRPr="00E474B5" w:rsidRDefault="00452AEE" w:rsidP="00E474B5">
      <w:pPr>
        <w:pStyle w:val="ONUME"/>
      </w:pPr>
      <w:r w:rsidRPr="00E474B5">
        <w:t xml:space="preserve">The weekly publication cycle of the </w:t>
      </w:r>
      <w:r w:rsidRPr="004B1A07">
        <w:rPr>
          <w:i/>
        </w:rPr>
        <w:t>International Designs Bulletin</w:t>
      </w:r>
      <w:r w:rsidRPr="00E474B5">
        <w:t xml:space="preserve"> was introduced in</w:t>
      </w:r>
      <w:r w:rsidR="004B1A07">
        <w:t> </w:t>
      </w:r>
      <w:r w:rsidRPr="00E474B5">
        <w:t xml:space="preserve">2012, </w:t>
      </w:r>
      <w:r w:rsidR="004C6524" w:rsidRPr="00E474B5">
        <w:t>making</w:t>
      </w:r>
      <w:r w:rsidRPr="00E474B5">
        <w:t xml:space="preserve"> the immediate publication option </w:t>
      </w:r>
      <w:r w:rsidR="004C6524" w:rsidRPr="00E474B5">
        <w:t xml:space="preserve">more attractive </w:t>
      </w:r>
      <w:r w:rsidRPr="00E474B5">
        <w:t xml:space="preserve">for users.  In </w:t>
      </w:r>
      <w:r w:rsidR="0038590F" w:rsidRPr="00E474B5">
        <w:t>2014</w:t>
      </w:r>
      <w:r w:rsidRPr="00E474B5">
        <w:t>, immediate publication was requested in respect of the</w:t>
      </w:r>
      <w:r w:rsidR="0038590F" w:rsidRPr="00E474B5">
        <w:t xml:space="preserve"> 53</w:t>
      </w:r>
      <w:r w:rsidR="00E23801" w:rsidRPr="00E474B5">
        <w:t>.</w:t>
      </w:r>
      <w:r w:rsidR="0038590F" w:rsidRPr="00E474B5">
        <w:t>9</w:t>
      </w:r>
      <w:r w:rsidR="004B1A07">
        <w:t> </w:t>
      </w:r>
      <w:r w:rsidRPr="00E474B5">
        <w:t>per</w:t>
      </w:r>
      <w:r w:rsidR="004B1A07">
        <w:t> </w:t>
      </w:r>
      <w:r w:rsidRPr="00E474B5">
        <w:t>cent of international registrations, whereas, in</w:t>
      </w:r>
      <w:r w:rsidR="0038590F" w:rsidRPr="00E474B5">
        <w:t xml:space="preserve"> 2015</w:t>
      </w:r>
      <w:r w:rsidRPr="00E474B5">
        <w:t xml:space="preserve">, that share was </w:t>
      </w:r>
      <w:r w:rsidR="0038590F" w:rsidRPr="00E474B5">
        <w:t>50</w:t>
      </w:r>
      <w:r w:rsidR="00E23801" w:rsidRPr="00E474B5">
        <w:t>.</w:t>
      </w:r>
      <w:r w:rsidR="0038590F" w:rsidRPr="00E474B5">
        <w:t>1</w:t>
      </w:r>
      <w:r w:rsidR="004B1A07">
        <w:t> </w:t>
      </w:r>
      <w:r w:rsidRPr="00E474B5">
        <w:t>per cent of international registrations</w:t>
      </w:r>
      <w:r w:rsidR="00DE669D" w:rsidRPr="00E474B5">
        <w:t>.</w:t>
      </w:r>
    </w:p>
    <w:p w:rsidR="00452AEE" w:rsidRPr="00E474B5" w:rsidRDefault="00452AEE" w:rsidP="00E474B5">
      <w:pPr>
        <w:pStyle w:val="ONUME"/>
      </w:pPr>
      <w:r w:rsidRPr="00E474B5">
        <w:t xml:space="preserve">In </w:t>
      </w:r>
      <w:r w:rsidR="0038590F" w:rsidRPr="00E474B5">
        <w:t>2014,</w:t>
      </w:r>
      <w:r w:rsidRPr="00E474B5">
        <w:t xml:space="preserve"> </w:t>
      </w:r>
      <w:r w:rsidR="0038590F" w:rsidRPr="00E474B5">
        <w:t>38</w:t>
      </w:r>
      <w:proofErr w:type="gramStart"/>
      <w:r w:rsidR="0038590F" w:rsidRPr="00E474B5">
        <w:t>,4</w:t>
      </w:r>
      <w:proofErr w:type="gramEnd"/>
      <w:r w:rsidR="004B1A07">
        <w:t> </w:t>
      </w:r>
      <w:r w:rsidRPr="00E474B5">
        <w:t>per</w:t>
      </w:r>
      <w:r w:rsidR="004B1A07">
        <w:t> </w:t>
      </w:r>
      <w:r w:rsidRPr="00E474B5">
        <w:t>cent of international registrations were the subject of standard publication, whereas</w:t>
      </w:r>
      <w:r w:rsidR="002E01A8" w:rsidRPr="00E474B5">
        <w:t xml:space="preserve"> in</w:t>
      </w:r>
      <w:r w:rsidR="004B1A07">
        <w:t> </w:t>
      </w:r>
      <w:r w:rsidR="002E01A8" w:rsidRPr="00E474B5">
        <w:t>2015</w:t>
      </w:r>
      <w:r w:rsidRPr="00E474B5">
        <w:t xml:space="preserve"> that share was </w:t>
      </w:r>
      <w:r w:rsidR="0038590F" w:rsidRPr="00E474B5">
        <w:t>40</w:t>
      </w:r>
      <w:r w:rsidR="004B1A07">
        <w:t> </w:t>
      </w:r>
      <w:r w:rsidRPr="00E474B5">
        <w:t>per</w:t>
      </w:r>
      <w:r w:rsidR="004B1A07">
        <w:t> </w:t>
      </w:r>
      <w:r w:rsidRPr="00E474B5">
        <w:t xml:space="preserve">cent. </w:t>
      </w:r>
      <w:r w:rsidR="0038590F" w:rsidRPr="00E474B5">
        <w:t xml:space="preserve"> In 2014, d</w:t>
      </w:r>
      <w:r w:rsidRPr="00E474B5">
        <w:t xml:space="preserve">eferment of publication was requested in respect of </w:t>
      </w:r>
      <w:r w:rsidR="0038590F" w:rsidRPr="00E474B5">
        <w:t>7</w:t>
      </w:r>
      <w:r w:rsidR="00E23801" w:rsidRPr="00E474B5">
        <w:t>.</w:t>
      </w:r>
      <w:r w:rsidR="0038590F" w:rsidRPr="00E474B5">
        <w:t>7</w:t>
      </w:r>
      <w:r w:rsidR="004B1A07">
        <w:t> </w:t>
      </w:r>
      <w:r w:rsidRPr="00E474B5">
        <w:t>per</w:t>
      </w:r>
      <w:r w:rsidR="004B1A07">
        <w:t> </w:t>
      </w:r>
      <w:r w:rsidRPr="00E474B5">
        <w:t>cent of international registrations whereas</w:t>
      </w:r>
      <w:r w:rsidR="0038590F" w:rsidRPr="00E474B5">
        <w:t xml:space="preserve"> in 2015</w:t>
      </w:r>
      <w:r w:rsidRPr="00E474B5">
        <w:t xml:space="preserve"> it was requested in </w:t>
      </w:r>
      <w:r w:rsidR="00B84B0C" w:rsidRPr="00E474B5">
        <w:t xml:space="preserve">respect of </w:t>
      </w:r>
      <w:r w:rsidR="0038590F" w:rsidRPr="00E474B5">
        <w:t>9</w:t>
      </w:r>
      <w:r w:rsidR="00E23801" w:rsidRPr="00E474B5">
        <w:t>.</w:t>
      </w:r>
      <w:r w:rsidR="0038590F" w:rsidRPr="00E474B5">
        <w:t>9</w:t>
      </w:r>
      <w:r w:rsidR="004B1A07">
        <w:t> </w:t>
      </w:r>
      <w:r w:rsidRPr="00E474B5">
        <w:t>per</w:t>
      </w:r>
      <w:r w:rsidR="004B1A07">
        <w:t> </w:t>
      </w:r>
      <w:r w:rsidRPr="00E474B5">
        <w:t>cent of international registrations.</w:t>
      </w:r>
    </w:p>
    <w:p w:rsidR="001011C7" w:rsidRPr="00E474B5" w:rsidRDefault="00452AEE" w:rsidP="00E474B5">
      <w:pPr>
        <w:pStyle w:val="ONUME"/>
      </w:pPr>
      <w:r w:rsidRPr="00E474B5">
        <w:t>During the first three months of 2016, 47</w:t>
      </w:r>
      <w:r w:rsidR="00B84B0C" w:rsidRPr="00E474B5">
        <w:t>.</w:t>
      </w:r>
      <w:r w:rsidRPr="00E474B5">
        <w:t>9</w:t>
      </w:r>
      <w:r w:rsidR="004B1A07">
        <w:t> </w:t>
      </w:r>
      <w:r w:rsidRPr="00E474B5">
        <w:t>per</w:t>
      </w:r>
      <w:r w:rsidR="004B1A07">
        <w:t> </w:t>
      </w:r>
      <w:r w:rsidRPr="00E474B5">
        <w:t>cent of international registrations were the subject of immediate publication, 45</w:t>
      </w:r>
      <w:r w:rsidR="00B84B0C" w:rsidRPr="00E474B5">
        <w:t>.</w:t>
      </w:r>
      <w:r w:rsidRPr="00E474B5">
        <w:t>6</w:t>
      </w:r>
      <w:r w:rsidR="004B1A07">
        <w:t> </w:t>
      </w:r>
      <w:r w:rsidRPr="00E474B5">
        <w:t>per</w:t>
      </w:r>
      <w:r w:rsidR="004B1A07">
        <w:t> </w:t>
      </w:r>
      <w:r w:rsidRPr="00E474B5">
        <w:t>cent of standard publication and 6</w:t>
      </w:r>
      <w:r w:rsidR="00B84B0C" w:rsidRPr="00E474B5">
        <w:t>.</w:t>
      </w:r>
      <w:r w:rsidRPr="00E474B5">
        <w:t>5</w:t>
      </w:r>
      <w:r w:rsidR="004B1A07">
        <w:t> </w:t>
      </w:r>
      <w:r w:rsidRPr="00E474B5">
        <w:t>per</w:t>
      </w:r>
      <w:r w:rsidR="004B1A07">
        <w:t> </w:t>
      </w:r>
      <w:r w:rsidRPr="00E474B5">
        <w:t>cent of deferred publication.</w:t>
      </w:r>
    </w:p>
    <w:p w:rsidR="00A271CB" w:rsidRDefault="00A271CB">
      <w:r>
        <w:br w:type="page"/>
      </w:r>
    </w:p>
    <w:p w:rsidR="00452AEE" w:rsidRPr="00E474B5" w:rsidRDefault="001011C7" w:rsidP="00E474B5">
      <w:pPr>
        <w:pStyle w:val="ONUME"/>
      </w:pPr>
      <w:r w:rsidRPr="00E474B5">
        <w:lastRenderedPageBreak/>
        <w:t>It may be foreseen that the share of deferred publications will remain low, since a number of Contracting Parties, including the United</w:t>
      </w:r>
      <w:r w:rsidR="004B1A07">
        <w:t> </w:t>
      </w:r>
      <w:r w:rsidRPr="00E474B5">
        <w:t>States of</w:t>
      </w:r>
      <w:r w:rsidR="004B1A07">
        <w:t> </w:t>
      </w:r>
      <w:r w:rsidRPr="00E474B5">
        <w:t>America,</w:t>
      </w:r>
      <w:r w:rsidR="00D64E7E" w:rsidRPr="00E474B5">
        <w:t xml:space="preserve"> which is frequently designated in international registrations,</w:t>
      </w:r>
      <w:r w:rsidRPr="00E474B5">
        <w:t xml:space="preserve"> have made declaration</w:t>
      </w:r>
      <w:r w:rsidR="00D25A8C" w:rsidRPr="00E474B5">
        <w:t>s</w:t>
      </w:r>
      <w:r w:rsidRPr="00E474B5">
        <w:t xml:space="preserve"> under Article</w:t>
      </w:r>
      <w:r w:rsidR="004B1A07">
        <w:t> </w:t>
      </w:r>
      <w:r w:rsidR="00DA0710" w:rsidRPr="00E474B5">
        <w:t>11(1</w:t>
      </w:r>
      <w:proofErr w:type="gramStart"/>
      <w:r w:rsidR="00DA0710" w:rsidRPr="00E474B5">
        <w:t>)(</w:t>
      </w:r>
      <w:proofErr w:type="gramEnd"/>
      <w:r w:rsidR="00DA0710" w:rsidRPr="00E474B5">
        <w:t>b)</w:t>
      </w:r>
      <w:r w:rsidR="00D25A8C" w:rsidRPr="00E474B5">
        <w:t xml:space="preserve"> of the 1999</w:t>
      </w:r>
      <w:r w:rsidR="004B1A07">
        <w:t> </w:t>
      </w:r>
      <w:r w:rsidR="00D25A8C" w:rsidRPr="00E474B5">
        <w:t>Act</w:t>
      </w:r>
      <w:r w:rsidR="00DA0710" w:rsidRPr="00E474B5">
        <w:t xml:space="preserve"> prohibiting the deferment of publication.</w:t>
      </w:r>
    </w:p>
    <w:p w:rsidR="00D97E3B" w:rsidRPr="0025759D" w:rsidRDefault="00D97E3B" w:rsidP="00BC5E27">
      <w:pPr>
        <w:pStyle w:val="Heading1"/>
        <w:spacing w:before="480"/>
        <w:ind w:left="567" w:hanging="567"/>
        <w:rPr>
          <w:noProof/>
        </w:rPr>
      </w:pPr>
      <w:r w:rsidRPr="0025759D">
        <w:rPr>
          <w:noProof/>
        </w:rPr>
        <w:t>IV.</w:t>
      </w:r>
      <w:r w:rsidR="004B1A07">
        <w:rPr>
          <w:noProof/>
        </w:rPr>
        <w:tab/>
      </w:r>
      <w:r w:rsidR="00D822B2">
        <w:rPr>
          <w:noProof/>
        </w:rPr>
        <w:t xml:space="preserve">SELF-DESIGNATION AND </w:t>
      </w:r>
      <w:r w:rsidR="00316AD9">
        <w:rPr>
          <w:noProof/>
        </w:rPr>
        <w:t>“</w:t>
      </w:r>
      <w:r w:rsidRPr="0025759D">
        <w:rPr>
          <w:noProof/>
        </w:rPr>
        <w:t>DESIGNATION-FAMILIES</w:t>
      </w:r>
      <w:r w:rsidR="00316AD9">
        <w:rPr>
          <w:noProof/>
        </w:rPr>
        <w:t>”</w:t>
      </w:r>
      <w:r w:rsidRPr="0025759D">
        <w:rPr>
          <w:noProof/>
        </w:rPr>
        <w:t xml:space="preserve"> IN INTERNATIONAL REGISTRATIONS</w:t>
      </w:r>
    </w:p>
    <w:p w:rsidR="000515CD" w:rsidRDefault="000515CD" w:rsidP="004B1A07">
      <w:pPr>
        <w:pStyle w:val="Heading2"/>
        <w:rPr>
          <w:noProof/>
        </w:rPr>
      </w:pPr>
      <w:r>
        <w:rPr>
          <w:noProof/>
        </w:rPr>
        <w:t xml:space="preserve">SELF-DESIGNATIONS </w:t>
      </w:r>
      <w:r w:rsidR="00C36E31">
        <w:rPr>
          <w:noProof/>
        </w:rPr>
        <w:t>OF</w:t>
      </w:r>
      <w:r>
        <w:rPr>
          <w:noProof/>
        </w:rPr>
        <w:t xml:space="preserve"> </w:t>
      </w:r>
      <w:r w:rsidR="00C36E31">
        <w:rPr>
          <w:noProof/>
        </w:rPr>
        <w:t>“</w:t>
      </w:r>
      <w:r>
        <w:rPr>
          <w:noProof/>
        </w:rPr>
        <w:t>NEW</w:t>
      </w:r>
      <w:r w:rsidR="00C36E31">
        <w:rPr>
          <w:noProof/>
        </w:rPr>
        <w:t>”</w:t>
      </w:r>
      <w:r>
        <w:rPr>
          <w:noProof/>
        </w:rPr>
        <w:t xml:space="preserve"> CONTRACTING PARTIES IN COMPARISON WITH “</w:t>
      </w:r>
      <w:r w:rsidR="009F7802">
        <w:rPr>
          <w:noProof/>
        </w:rPr>
        <w:t>TRADITIONAL</w:t>
      </w:r>
      <w:r>
        <w:rPr>
          <w:noProof/>
        </w:rPr>
        <w:t>” CONTRACTING PARTIES</w:t>
      </w:r>
    </w:p>
    <w:p w:rsidR="003A1716" w:rsidRDefault="003A1716" w:rsidP="004B1A07">
      <w:pPr>
        <w:pStyle w:val="Heading3"/>
        <w:rPr>
          <w:noProof/>
        </w:rPr>
      </w:pPr>
      <w:r>
        <w:rPr>
          <w:noProof/>
        </w:rPr>
        <w:t xml:space="preserve">Self-Designation by </w:t>
      </w:r>
      <w:r w:rsidRPr="001B4E16">
        <w:rPr>
          <w:noProof/>
        </w:rPr>
        <w:t xml:space="preserve">Country of </w:t>
      </w:r>
      <w:r>
        <w:rPr>
          <w:noProof/>
        </w:rPr>
        <w:t>A</w:t>
      </w:r>
      <w:r w:rsidRPr="001B4E16">
        <w:rPr>
          <w:noProof/>
        </w:rPr>
        <w:t xml:space="preserve">ddress of the </w:t>
      </w:r>
      <w:r>
        <w:rPr>
          <w:noProof/>
        </w:rPr>
        <w:t>H</w:t>
      </w:r>
      <w:r w:rsidRPr="001B4E16">
        <w:rPr>
          <w:noProof/>
        </w:rPr>
        <w:t xml:space="preserve">older of the </w:t>
      </w:r>
      <w:r>
        <w:rPr>
          <w:noProof/>
        </w:rPr>
        <w:t>I</w:t>
      </w:r>
      <w:r w:rsidRPr="001B4E16">
        <w:rPr>
          <w:noProof/>
        </w:rPr>
        <w:t xml:space="preserve">nternational </w:t>
      </w:r>
      <w:r>
        <w:rPr>
          <w:noProof/>
        </w:rPr>
        <w:t>R</w:t>
      </w:r>
      <w:r w:rsidRPr="001B4E16">
        <w:rPr>
          <w:noProof/>
        </w:rPr>
        <w:t>egistration</w:t>
      </w:r>
    </w:p>
    <w:p w:rsidR="004B1A07" w:rsidRPr="004B1A07" w:rsidRDefault="004B1A07" w:rsidP="004B1A07"/>
    <w:p w:rsidR="003A1716" w:rsidRPr="00E474B5" w:rsidRDefault="003A1716" w:rsidP="00E474B5">
      <w:pPr>
        <w:pStyle w:val="ONUME"/>
      </w:pPr>
      <w:r w:rsidRPr="00E474B5">
        <w:t>Under the Hague System,</w:t>
      </w:r>
      <w:r w:rsidR="00B917C7" w:rsidRPr="00E474B5">
        <w:t xml:space="preserve"> </w:t>
      </w:r>
      <w:r w:rsidRPr="00E474B5">
        <w:t xml:space="preserve">the </w:t>
      </w:r>
      <w:r w:rsidR="00A93664" w:rsidRPr="00E474B5">
        <w:t>“</w:t>
      </w:r>
      <w:r w:rsidRPr="00E474B5">
        <w:t>Contracting Party of the holder</w:t>
      </w:r>
      <w:r w:rsidR="00A93664" w:rsidRPr="00E474B5">
        <w:t>”</w:t>
      </w:r>
      <w:r w:rsidRPr="00E474B5">
        <w:t xml:space="preserve"> of the international registration may</w:t>
      </w:r>
      <w:r w:rsidR="00BC5E27">
        <w:t xml:space="preserve"> also</w:t>
      </w:r>
      <w:r w:rsidRPr="00E474B5">
        <w:t xml:space="preserve"> be designated</w:t>
      </w:r>
      <w:r w:rsidRPr="00BC5E27">
        <w:rPr>
          <w:rStyle w:val="FootnoteReference"/>
        </w:rPr>
        <w:footnoteReference w:id="11"/>
      </w:r>
      <w:r w:rsidRPr="00E474B5">
        <w:t xml:space="preserve">.  This possibility is widely used by </w:t>
      </w:r>
      <w:r w:rsidR="0038590F" w:rsidRPr="00E474B5">
        <w:t xml:space="preserve">users </w:t>
      </w:r>
      <w:r w:rsidR="00A93664" w:rsidRPr="00E474B5">
        <w:t xml:space="preserve">from </w:t>
      </w:r>
      <w:r w:rsidRPr="00E474B5">
        <w:t xml:space="preserve">certain traditional </w:t>
      </w:r>
      <w:r w:rsidR="0038590F" w:rsidRPr="00E474B5">
        <w:t>origins</w:t>
      </w:r>
      <w:r w:rsidRPr="00E474B5">
        <w:t xml:space="preserve"> of the Hague System, such as users having an address in Switzerland or a </w:t>
      </w:r>
      <w:r w:rsidR="00BC5E27">
        <w:t>m</w:t>
      </w:r>
      <w:r w:rsidRPr="00E474B5">
        <w:t>embe</w:t>
      </w:r>
      <w:r w:rsidR="00BC5E27">
        <w:t>r State of the European Union.</w:t>
      </w:r>
    </w:p>
    <w:p w:rsidR="003A1716" w:rsidRPr="00E474B5" w:rsidRDefault="003A1716" w:rsidP="00E474B5">
      <w:pPr>
        <w:pStyle w:val="ONUME"/>
      </w:pPr>
      <w:r w:rsidRPr="00E474B5">
        <w:t xml:space="preserve">Regarding the </w:t>
      </w:r>
      <w:r w:rsidR="00BC5E27">
        <w:t>m</w:t>
      </w:r>
      <w:r w:rsidRPr="00E474B5">
        <w:t xml:space="preserve">ember </w:t>
      </w:r>
      <w:r w:rsidR="005A2B5C">
        <w:t>s</w:t>
      </w:r>
      <w:r w:rsidRPr="00E474B5">
        <w:t>tates of the European Union</w:t>
      </w:r>
      <w:r w:rsidR="000A0CAE" w:rsidRPr="00E474B5">
        <w:t xml:space="preserve">, </w:t>
      </w:r>
      <w:r w:rsidR="00BC09A2" w:rsidRPr="00E474B5">
        <w:t xml:space="preserve">and </w:t>
      </w:r>
      <w:r w:rsidR="000A0CAE" w:rsidRPr="00E474B5">
        <w:t>for the sake of this document</w:t>
      </w:r>
      <w:r w:rsidRPr="00E474B5">
        <w:t>, the concept of self-designation comprises both the designations of the European Union and the respective State (i.e.,</w:t>
      </w:r>
      <w:r w:rsidR="00BC5E27">
        <w:t> </w:t>
      </w:r>
      <w:r w:rsidRPr="00E474B5">
        <w:t>the country of</w:t>
      </w:r>
      <w:r w:rsidR="00BC5E27">
        <w:t xml:space="preserve"> the</w:t>
      </w:r>
      <w:r w:rsidRPr="00E474B5">
        <w:t xml:space="preserve"> address of the holder)</w:t>
      </w:r>
      <w:r w:rsidR="00A93664" w:rsidRPr="00E474B5">
        <w:t xml:space="preserve"> that is itself a Contracting Party</w:t>
      </w:r>
      <w:r w:rsidRPr="00E474B5">
        <w:t xml:space="preserve">. </w:t>
      </w:r>
      <w:r w:rsidR="00BC5E27">
        <w:t xml:space="preserve"> </w:t>
      </w:r>
      <w:r w:rsidRPr="00E474B5">
        <w:t xml:space="preserve">Furthermore, it is observed that an international registration may contain both the designation of the European Union and </w:t>
      </w:r>
      <w:r w:rsidR="00A93664" w:rsidRPr="00E474B5">
        <w:t xml:space="preserve">of any of </w:t>
      </w:r>
      <w:r w:rsidRPr="00E474B5">
        <w:t xml:space="preserve">its </w:t>
      </w:r>
      <w:r w:rsidR="00BC5E27">
        <w:t>m</w:t>
      </w:r>
      <w:r w:rsidRPr="00E474B5">
        <w:t xml:space="preserve">ember </w:t>
      </w:r>
      <w:r w:rsidR="005A2B5C">
        <w:t>s</w:t>
      </w:r>
      <w:r w:rsidRPr="00E474B5">
        <w:t>tates</w:t>
      </w:r>
      <w:r w:rsidR="00A93664" w:rsidRPr="00E474B5">
        <w:t xml:space="preserve"> that are Contracting Parties</w:t>
      </w:r>
      <w:r w:rsidR="00BC5E27">
        <w:t>.</w:t>
      </w:r>
    </w:p>
    <w:p w:rsidR="003A1716" w:rsidRPr="00E474B5" w:rsidRDefault="003A1716" w:rsidP="00E474B5">
      <w:pPr>
        <w:pStyle w:val="ONUME"/>
      </w:pPr>
      <w:r w:rsidRPr="00E474B5">
        <w:t>Furthermore, the concept of self-designation regarding the Benelux comprises</w:t>
      </w:r>
      <w:r w:rsidR="005D505E" w:rsidRPr="00E474B5">
        <w:t>, for the sake of this document,</w:t>
      </w:r>
      <w:r w:rsidRPr="00E474B5">
        <w:t xml:space="preserve"> both the designations of the European Union and the Benelux by holders having an address in Belgium</w:t>
      </w:r>
      <w:r w:rsidR="00BC5E27">
        <w:t>, the Netherlands or Luxemb</w:t>
      </w:r>
      <w:r w:rsidR="001723DC">
        <w:t>o</w:t>
      </w:r>
      <w:r w:rsidR="00BC5E27">
        <w:t>urg.</w:t>
      </w:r>
    </w:p>
    <w:p w:rsidR="00A271CB" w:rsidRDefault="00A271CB">
      <w:pPr>
        <w:rPr>
          <w:bCs/>
          <w:noProof/>
          <w:szCs w:val="26"/>
          <w:u w:val="single"/>
        </w:rPr>
      </w:pPr>
      <w:r>
        <w:rPr>
          <w:noProof/>
        </w:rPr>
        <w:br w:type="page"/>
      </w:r>
    </w:p>
    <w:p w:rsidR="003A1716" w:rsidRDefault="0038590F" w:rsidP="00211A84">
      <w:pPr>
        <w:pStyle w:val="Heading3"/>
        <w:spacing w:before="480"/>
        <w:rPr>
          <w:noProof/>
        </w:rPr>
      </w:pPr>
      <w:r>
        <w:rPr>
          <w:noProof/>
        </w:rPr>
        <w:lastRenderedPageBreak/>
        <w:t>Geo-European Family</w:t>
      </w:r>
      <w:r w:rsidR="00D6181E" w:rsidRPr="00BC5E27">
        <w:rPr>
          <w:rStyle w:val="FootnoteReference"/>
          <w:noProof/>
        </w:rPr>
        <w:footnoteReference w:id="12"/>
      </w:r>
      <w:r>
        <w:rPr>
          <w:noProof/>
        </w:rPr>
        <w:t xml:space="preserve"> </w:t>
      </w:r>
      <w:r w:rsidR="00E14924">
        <w:rPr>
          <w:noProof/>
        </w:rPr>
        <w:t>under</w:t>
      </w:r>
      <w:r w:rsidR="003A1716" w:rsidRPr="005E07B6">
        <w:rPr>
          <w:noProof/>
        </w:rPr>
        <w:t xml:space="preserve"> the Hague System</w:t>
      </w:r>
    </w:p>
    <w:p w:rsidR="00BC5E27" w:rsidRPr="00BC5E27" w:rsidRDefault="00BC5E27" w:rsidP="00BC5E27"/>
    <w:p w:rsidR="00494A94" w:rsidRDefault="00250556" w:rsidP="00CE2B39">
      <w:pPr>
        <w:pStyle w:val="ONUME"/>
        <w:numPr>
          <w:ilvl w:val="0"/>
          <w:numId w:val="0"/>
        </w:numPr>
        <w:rPr>
          <w:i/>
          <w:noProof/>
          <w:u w:val="single"/>
        </w:rPr>
      </w:pPr>
      <w:r>
        <w:rPr>
          <w:noProof/>
          <w:lang w:eastAsia="en-US"/>
        </w:rPr>
        <mc:AlternateContent>
          <mc:Choice Requires="wps">
            <w:drawing>
              <wp:anchor distT="0" distB="0" distL="114300" distR="114300" simplePos="0" relativeHeight="251838464" behindDoc="0" locked="0" layoutInCell="1" allowOverlap="1" wp14:anchorId="4F1EDC0C" wp14:editId="6DEC8801">
                <wp:simplePos x="0" y="0"/>
                <wp:positionH relativeFrom="column">
                  <wp:posOffset>280670</wp:posOffset>
                </wp:positionH>
                <wp:positionV relativeFrom="paragraph">
                  <wp:posOffset>3076575</wp:posOffset>
                </wp:positionV>
                <wp:extent cx="428625" cy="249555"/>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250556">
                            <w: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5" o:spid="_x0000_s1059" type="#_x0000_t202" style="position:absolute;margin-left:22.1pt;margin-top:242.25pt;width:33.75pt;height:19.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" filled="f" stroked="f" strokeweight=".5pt">
                <v:textbox>
                  <w:txbxContent>
                    <w:p w:rsidR="008B11DD" w:rsidRDefault="008B11DD" w:rsidP="00250556">
                      <w:r>
                        <w:t>EM</w:t>
                      </w:r>
                    </w:p>
                  </w:txbxContent>
                </v:textbox>
              </v:shape>
            </w:pict>
          </mc:Fallback>
        </mc:AlternateContent>
      </w:r>
      <w:r>
        <w:rPr>
          <w:noProof/>
          <w:lang w:eastAsia="en-US"/>
        </w:rPr>
        <mc:AlternateContent>
          <mc:Choice Requires="wps">
            <w:drawing>
              <wp:anchor distT="0" distB="0" distL="114300" distR="114300" simplePos="0" relativeHeight="251840512" behindDoc="0" locked="0" layoutInCell="1" allowOverlap="1" wp14:anchorId="262A91CA" wp14:editId="4A27BCC9">
                <wp:simplePos x="0" y="0"/>
                <wp:positionH relativeFrom="column">
                  <wp:posOffset>995045</wp:posOffset>
                </wp:positionH>
                <wp:positionV relativeFrom="paragraph">
                  <wp:posOffset>3078480</wp:posOffset>
                </wp:positionV>
                <wp:extent cx="457200" cy="249555"/>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250556">
                            <w: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6" o:spid="_x0000_s1060" type="#_x0000_t202" style="position:absolute;margin-left:78.35pt;margin-top:242.4pt;width:36pt;height:1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" filled="f" stroked="f" strokeweight=".5pt">
                <v:textbox>
                  <w:txbxContent>
                    <w:p w:rsidR="008B11DD" w:rsidRDefault="008B11DD" w:rsidP="00250556">
                      <w:r>
                        <w:t>BX</w:t>
                      </w:r>
                    </w:p>
                  </w:txbxContent>
                </v:textbox>
              </v:shape>
            </w:pict>
          </mc:Fallback>
        </mc:AlternateContent>
      </w:r>
      <w:r w:rsidR="00494A94">
        <w:rPr>
          <w:noProof/>
          <w:lang w:eastAsia="en-US"/>
        </w:rPr>
        <w:drawing>
          <wp:inline distT="0" distB="0" distL="0" distR="0" wp14:anchorId="71825304" wp14:editId="2FB7C527">
            <wp:extent cx="3873092" cy="2963867"/>
            <wp:effectExtent l="0" t="0" r="13335" b="2730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0556" w:rsidRPr="005E07B6" w:rsidRDefault="00250556" w:rsidP="00CE2B39">
      <w:pPr>
        <w:pStyle w:val="ONUME"/>
        <w:numPr>
          <w:ilvl w:val="0"/>
          <w:numId w:val="0"/>
        </w:numPr>
        <w:rPr>
          <w:noProof/>
        </w:rPr>
      </w:pPr>
      <w:r w:rsidRPr="00250556">
        <w:rPr>
          <w:noProof/>
          <w:lang w:eastAsia="en-US"/>
        </w:rPr>
        <mc:AlternateContent>
          <mc:Choice Requires="wps">
            <w:drawing>
              <wp:anchor distT="0" distB="0" distL="114300" distR="114300" simplePos="0" relativeHeight="251836416" behindDoc="0" locked="0" layoutInCell="1" allowOverlap="1" wp14:anchorId="54328A17" wp14:editId="31E874F0">
                <wp:simplePos x="0" y="0"/>
                <wp:positionH relativeFrom="column">
                  <wp:posOffset>941705</wp:posOffset>
                </wp:positionH>
                <wp:positionV relativeFrom="paragraph">
                  <wp:posOffset>25400</wp:posOffset>
                </wp:positionV>
                <wp:extent cx="57150" cy="58420"/>
                <wp:effectExtent l="0" t="0" r="19050" b="17780"/>
                <wp:wrapNone/>
                <wp:docPr id="31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margin-left:74.15pt;margin-top:2pt;width:4.5pt;height:4.6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" fillcolor="#ffffb3" strokecolor="#7f7f7f [1612]" strokeweight="1pt"/>
            </w:pict>
          </mc:Fallback>
        </mc:AlternateContent>
      </w:r>
      <w:r w:rsidRPr="00250556">
        <w:rPr>
          <w:noProof/>
          <w:lang w:eastAsia="en-US"/>
        </w:rPr>
        <mc:AlternateContent>
          <mc:Choice Requires="wps">
            <w:drawing>
              <wp:anchor distT="0" distB="0" distL="114300" distR="114300" simplePos="0" relativeHeight="251835392" behindDoc="0" locked="0" layoutInCell="1" allowOverlap="1" wp14:anchorId="3DDAFA32" wp14:editId="14BD364B">
                <wp:simplePos x="0" y="0"/>
                <wp:positionH relativeFrom="column">
                  <wp:posOffset>226060</wp:posOffset>
                </wp:positionH>
                <wp:positionV relativeFrom="paragraph">
                  <wp:posOffset>26035</wp:posOffset>
                </wp:positionV>
                <wp:extent cx="57150" cy="58420"/>
                <wp:effectExtent l="0" t="0" r="0" b="0"/>
                <wp:wrapNone/>
                <wp:docPr id="31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margin-left:17.8pt;margin-top:2.05pt;width:4.5pt;height:4.6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" fillcolor="#00b0f0" stroked="f" strokeweight="2pt"/>
            </w:pict>
          </mc:Fallback>
        </mc:AlternateContent>
      </w:r>
    </w:p>
    <w:p w:rsidR="003A1716" w:rsidRPr="00E474B5" w:rsidRDefault="003A1716" w:rsidP="00E474B5">
      <w:pPr>
        <w:pStyle w:val="ONUME"/>
      </w:pPr>
      <w:r w:rsidRPr="00E474B5">
        <w:t>I</w:t>
      </w:r>
      <w:r w:rsidR="00130712" w:rsidRPr="00E474B5">
        <w:t>t</w:t>
      </w:r>
      <w:r w:rsidRPr="00E474B5">
        <w:t xml:space="preserve"> may be remarked that, in 2014, the holders with an address in France </w:t>
      </w:r>
      <w:r w:rsidR="00836520" w:rsidRPr="00E474B5">
        <w:t xml:space="preserve">are those who most frequently </w:t>
      </w:r>
      <w:r w:rsidRPr="00E474B5">
        <w:t>made self-designations, namely, 72.3</w:t>
      </w:r>
      <w:r w:rsidR="00E52408">
        <w:t> </w:t>
      </w:r>
      <w:r w:rsidRPr="00E474B5">
        <w:t>per</w:t>
      </w:r>
      <w:r w:rsidR="00E52408">
        <w:t> </w:t>
      </w:r>
      <w:r w:rsidRPr="00E474B5">
        <w:t>cent of international registrations originating from France contained a self-designation of the European Union, and 14.5</w:t>
      </w:r>
      <w:r w:rsidR="00E52408">
        <w:t> </w:t>
      </w:r>
      <w:r w:rsidRPr="00E474B5">
        <w:t>per</w:t>
      </w:r>
      <w:r w:rsidR="00E52408">
        <w:t> </w:t>
      </w:r>
      <w:r w:rsidRPr="00E474B5">
        <w:t xml:space="preserve">cent of France, which </w:t>
      </w:r>
      <w:r w:rsidR="00564D87" w:rsidRPr="00E474B5">
        <w:t xml:space="preserve">could </w:t>
      </w:r>
      <w:r w:rsidRPr="00E474B5">
        <w:t xml:space="preserve">make it altogether </w:t>
      </w:r>
      <w:r w:rsidR="00564D87" w:rsidRPr="00E474B5">
        <w:t xml:space="preserve">up to </w:t>
      </w:r>
      <w:r w:rsidRPr="00E474B5">
        <w:t>86</w:t>
      </w:r>
      <w:proofErr w:type="gramStart"/>
      <w:r w:rsidRPr="00E474B5">
        <w:t>,</w:t>
      </w:r>
      <w:r w:rsidR="00564D87" w:rsidRPr="00E474B5">
        <w:t>8</w:t>
      </w:r>
      <w:proofErr w:type="gramEnd"/>
      <w:r w:rsidR="00E52408">
        <w:t> </w:t>
      </w:r>
      <w:r w:rsidRPr="00E474B5">
        <w:t>per</w:t>
      </w:r>
      <w:r w:rsidR="00E52408">
        <w:t> </w:t>
      </w:r>
      <w:r w:rsidRPr="00E474B5">
        <w:t>cent</w:t>
      </w:r>
      <w:r w:rsidR="00564D87" w:rsidRPr="00E474B5">
        <w:t xml:space="preserve"> of all international registrations, it being understood that a fraction of those may contain both </w:t>
      </w:r>
      <w:r w:rsidR="00F72E18" w:rsidRPr="00E474B5">
        <w:t>a</w:t>
      </w:r>
      <w:r w:rsidR="00564D87" w:rsidRPr="00E474B5">
        <w:t xml:space="preserve"> designation of France and of the European</w:t>
      </w:r>
      <w:r w:rsidR="00E52408">
        <w:t> </w:t>
      </w:r>
      <w:r w:rsidR="00564D87" w:rsidRPr="00E474B5">
        <w:t>Union</w:t>
      </w:r>
      <w:r w:rsidRPr="00E474B5">
        <w:t>.</w:t>
      </w:r>
    </w:p>
    <w:p w:rsidR="003A1716" w:rsidRPr="00E474B5" w:rsidRDefault="003A1716" w:rsidP="00E474B5">
      <w:pPr>
        <w:pStyle w:val="ONUME"/>
      </w:pPr>
      <w:r w:rsidRPr="00E474B5">
        <w:t>In 2014, the vast majority (84.4</w:t>
      </w:r>
      <w:r w:rsidR="008D7ABE">
        <w:t> </w:t>
      </w:r>
      <w:r w:rsidRPr="00E474B5">
        <w:t>per</w:t>
      </w:r>
      <w:r w:rsidR="008D7ABE">
        <w:t> </w:t>
      </w:r>
      <w:r w:rsidRPr="00E474B5">
        <w:t>cent) of international registrations originating from Switzerland designated also Switzerland.</w:t>
      </w:r>
      <w:r w:rsidRPr="008D7ABE">
        <w:rPr>
          <w:sz w:val="24"/>
        </w:rPr>
        <w:t xml:space="preserve">  </w:t>
      </w:r>
      <w:r w:rsidRPr="00E474B5">
        <w:t xml:space="preserve">In respect of other “traditional” </w:t>
      </w:r>
      <w:r w:rsidR="001A05FC" w:rsidRPr="00E474B5">
        <w:t>origins</w:t>
      </w:r>
      <w:r w:rsidR="003B54B1" w:rsidRPr="00E474B5">
        <w:t xml:space="preserve"> </w:t>
      </w:r>
      <w:r w:rsidRPr="00E474B5">
        <w:t>of the Hague System, it may be noted that only 15</w:t>
      </w:r>
      <w:r w:rsidR="00663B29">
        <w:t>.</w:t>
      </w:r>
      <w:r w:rsidRPr="00E474B5">
        <w:t>4</w:t>
      </w:r>
      <w:r w:rsidR="008D7ABE">
        <w:t> </w:t>
      </w:r>
      <w:r w:rsidRPr="00E474B5">
        <w:t>per</w:t>
      </w:r>
      <w:r w:rsidR="008D7ABE">
        <w:t> </w:t>
      </w:r>
      <w:r w:rsidRPr="00E474B5">
        <w:t>cent of the international registrations originating from Turkey contained a self-designation of Turkey.</w:t>
      </w:r>
    </w:p>
    <w:p w:rsidR="00494A94" w:rsidRDefault="00885497" w:rsidP="00CE2B39">
      <w:pPr>
        <w:pStyle w:val="ONUME"/>
        <w:numPr>
          <w:ilvl w:val="0"/>
          <w:numId w:val="0"/>
        </w:numPr>
        <w:rPr>
          <w:noProof/>
        </w:rPr>
      </w:pPr>
      <w:r w:rsidRPr="00250556">
        <w:rPr>
          <w:noProof/>
          <w:lang w:eastAsia="en-US"/>
        </w:rPr>
        <w:lastRenderedPageBreak/>
        <mc:AlternateContent>
          <mc:Choice Requires="wps">
            <w:drawing>
              <wp:anchor distT="0" distB="0" distL="114300" distR="114300" simplePos="0" relativeHeight="251848704" behindDoc="0" locked="0" layoutInCell="1" allowOverlap="1" wp14:anchorId="694F3DE5" wp14:editId="20066D22">
                <wp:simplePos x="0" y="0"/>
                <wp:positionH relativeFrom="column">
                  <wp:posOffset>375920</wp:posOffset>
                </wp:positionH>
                <wp:positionV relativeFrom="paragraph">
                  <wp:posOffset>3043184</wp:posOffset>
                </wp:positionV>
                <wp:extent cx="428625" cy="249555"/>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250556">
                            <w: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1" o:spid="_x0000_s1061" type="#_x0000_t202" style="position:absolute;margin-left:29.6pt;margin-top:239.6pt;width:33.75pt;height:1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" filled="f" stroked="f" strokeweight=".5pt">
                <v:textbox>
                  <w:txbxContent>
                    <w:p w:rsidR="008B11DD" w:rsidRDefault="008B11DD" w:rsidP="00250556">
                      <w:r>
                        <w:t>EM</w:t>
                      </w:r>
                    </w:p>
                  </w:txbxContent>
                </v:textbox>
              </v:shape>
            </w:pict>
          </mc:Fallback>
        </mc:AlternateContent>
      </w:r>
      <w:r w:rsidR="00250556" w:rsidRPr="00250556">
        <w:rPr>
          <w:noProof/>
          <w:lang w:eastAsia="en-US"/>
        </w:rPr>
        <mc:AlternateContent>
          <mc:Choice Requires="wps">
            <w:drawing>
              <wp:anchor distT="0" distB="0" distL="114300" distR="114300" simplePos="0" relativeHeight="251849728" behindDoc="0" locked="0" layoutInCell="1" allowOverlap="1" wp14:anchorId="31957D41" wp14:editId="4EF30087">
                <wp:simplePos x="0" y="0"/>
                <wp:positionH relativeFrom="column">
                  <wp:posOffset>1090295</wp:posOffset>
                </wp:positionH>
                <wp:positionV relativeFrom="paragraph">
                  <wp:posOffset>3045089</wp:posOffset>
                </wp:positionV>
                <wp:extent cx="457200" cy="249555"/>
                <wp:effectExtent l="0" t="0" r="0" b="0"/>
                <wp:wrapNone/>
                <wp:docPr id="322" name="Zone de texte 322"/>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250556">
                            <w: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2" o:spid="_x0000_s1062" type="#_x0000_t202" style="position:absolute;margin-left:85.85pt;margin-top:239.75pt;width:36pt;height:1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" filled="f" stroked="f" strokeweight=".5pt">
                <v:textbox>
                  <w:txbxContent>
                    <w:p w:rsidR="008B11DD" w:rsidRDefault="008B11DD" w:rsidP="00250556">
                      <w:r>
                        <w:t>BX</w:t>
                      </w:r>
                    </w:p>
                  </w:txbxContent>
                </v:textbox>
              </v:shape>
            </w:pict>
          </mc:Fallback>
        </mc:AlternateContent>
      </w:r>
      <w:r w:rsidR="00494A94">
        <w:rPr>
          <w:noProof/>
          <w:lang w:eastAsia="en-US"/>
        </w:rPr>
        <w:drawing>
          <wp:inline distT="0" distB="0" distL="0" distR="0" wp14:anchorId="5B6813AF" wp14:editId="42C7F5D8">
            <wp:extent cx="3871504" cy="2963867"/>
            <wp:effectExtent l="0" t="0" r="15240" b="27305"/>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0556" w:rsidRDefault="00885497" w:rsidP="00CE2B39">
      <w:pPr>
        <w:pStyle w:val="ONUME"/>
        <w:numPr>
          <w:ilvl w:val="0"/>
          <w:numId w:val="0"/>
        </w:numPr>
        <w:rPr>
          <w:noProof/>
        </w:rPr>
      </w:pPr>
      <w:r w:rsidRPr="00250556">
        <w:rPr>
          <w:noProof/>
          <w:lang w:eastAsia="en-US"/>
        </w:rPr>
        <mc:AlternateContent>
          <mc:Choice Requires="wps">
            <w:drawing>
              <wp:anchor distT="0" distB="0" distL="114300" distR="114300" simplePos="0" relativeHeight="251852800" behindDoc="0" locked="0" layoutInCell="1" allowOverlap="1" wp14:anchorId="090730C6" wp14:editId="73E6D34D">
                <wp:simplePos x="0" y="0"/>
                <wp:positionH relativeFrom="column">
                  <wp:posOffset>1036955</wp:posOffset>
                </wp:positionH>
                <wp:positionV relativeFrom="paragraph">
                  <wp:posOffset>6614</wp:posOffset>
                </wp:positionV>
                <wp:extent cx="57150" cy="58420"/>
                <wp:effectExtent l="0" t="0" r="19050" b="17780"/>
                <wp:wrapNone/>
                <wp:docPr id="32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margin-left:81.65pt;margin-top:.5pt;width:4.5pt;height:4.6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" fillcolor="#ffffb3" strokecolor="#7f7f7f [1612]" strokeweight="1pt"/>
            </w:pict>
          </mc:Fallback>
        </mc:AlternateContent>
      </w:r>
      <w:r w:rsidRPr="00250556">
        <w:rPr>
          <w:noProof/>
          <w:lang w:eastAsia="en-US"/>
        </w:rPr>
        <mc:AlternateContent>
          <mc:Choice Requires="wps">
            <w:drawing>
              <wp:anchor distT="0" distB="0" distL="114300" distR="114300" simplePos="0" relativeHeight="251851776" behindDoc="0" locked="0" layoutInCell="1" allowOverlap="1" wp14:anchorId="794513BA" wp14:editId="6A12AFD8">
                <wp:simplePos x="0" y="0"/>
                <wp:positionH relativeFrom="column">
                  <wp:posOffset>321310</wp:posOffset>
                </wp:positionH>
                <wp:positionV relativeFrom="paragraph">
                  <wp:posOffset>7249</wp:posOffset>
                </wp:positionV>
                <wp:extent cx="57150" cy="58420"/>
                <wp:effectExtent l="0" t="0" r="0" b="0"/>
                <wp:wrapNone/>
                <wp:docPr id="32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margin-left:25.3pt;margin-top:.55pt;width:4.5pt;height:4.6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" fillcolor="#00b0f0" stroked="f" strokeweight="2pt"/>
            </w:pict>
          </mc:Fallback>
        </mc:AlternateContent>
      </w:r>
    </w:p>
    <w:p w:rsidR="00885497" w:rsidRPr="00E474B5" w:rsidRDefault="00593DF0" w:rsidP="00E474B5">
      <w:pPr>
        <w:pStyle w:val="ONUME"/>
      </w:pPr>
      <w:r w:rsidRPr="00E474B5">
        <w:t>In 2015</w:t>
      </w:r>
      <w:r w:rsidR="003A1716" w:rsidRPr="00E474B5">
        <w:t>, the share of self-designations in international registrations remain</w:t>
      </w:r>
      <w:r w:rsidR="00130712" w:rsidRPr="00E474B5">
        <w:t>ed</w:t>
      </w:r>
      <w:r w:rsidR="003A1716" w:rsidRPr="00E474B5">
        <w:t xml:space="preserve"> high</w:t>
      </w:r>
      <w:r w:rsidRPr="00E474B5">
        <w:t>, except for</w:t>
      </w:r>
      <w:r w:rsidR="00130712" w:rsidRPr="00E474B5">
        <w:t xml:space="preserve"> international registrati</w:t>
      </w:r>
      <w:r w:rsidR="003A1716" w:rsidRPr="00E474B5">
        <w:t>ons originating from Turkey</w:t>
      </w:r>
      <w:r w:rsidR="00130712" w:rsidRPr="00E474B5">
        <w:t>,</w:t>
      </w:r>
      <w:r w:rsidR="003A1716" w:rsidRPr="00E474B5">
        <w:t xml:space="preserve"> </w:t>
      </w:r>
      <w:r w:rsidRPr="00E474B5">
        <w:t>in respect of which only 9.3</w:t>
      </w:r>
      <w:r w:rsidR="00211A84">
        <w:t> </w:t>
      </w:r>
      <w:r w:rsidRPr="00E474B5">
        <w:t>per</w:t>
      </w:r>
      <w:r w:rsidR="00211A84">
        <w:t> </w:t>
      </w:r>
      <w:r w:rsidRPr="00E474B5">
        <w:t xml:space="preserve">cent </w:t>
      </w:r>
      <w:r w:rsidR="003A1716" w:rsidRPr="00E474B5">
        <w:t>contained a self-designation.</w:t>
      </w:r>
    </w:p>
    <w:p w:rsidR="00494A94" w:rsidRDefault="00885497" w:rsidP="00CE2B39">
      <w:pPr>
        <w:pStyle w:val="ONUME"/>
        <w:numPr>
          <w:ilvl w:val="0"/>
          <w:numId w:val="0"/>
        </w:numPr>
        <w:rPr>
          <w:noProof/>
        </w:rPr>
      </w:pPr>
      <w:r w:rsidRPr="00250556">
        <w:rPr>
          <w:noProof/>
          <w:lang w:eastAsia="en-US"/>
        </w:rPr>
        <mc:AlternateContent>
          <mc:Choice Requires="wps">
            <w:drawing>
              <wp:anchor distT="0" distB="0" distL="114300" distR="114300" simplePos="0" relativeHeight="251845632" behindDoc="0" locked="0" layoutInCell="1" allowOverlap="1" wp14:anchorId="3429A355" wp14:editId="3C6BD5D0">
                <wp:simplePos x="0" y="0"/>
                <wp:positionH relativeFrom="column">
                  <wp:posOffset>435610</wp:posOffset>
                </wp:positionH>
                <wp:positionV relativeFrom="paragraph">
                  <wp:posOffset>3061335</wp:posOffset>
                </wp:positionV>
                <wp:extent cx="428625" cy="249555"/>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250556">
                            <w: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9" o:spid="_x0000_s1063" type="#_x0000_t202" style="position:absolute;margin-left:34.3pt;margin-top:241.05pt;width:33.75pt;height:1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" filled="f" stroked="f" strokeweight=".5pt">
                <v:textbox>
                  <w:txbxContent>
                    <w:p w:rsidR="008B11DD" w:rsidRDefault="008B11DD" w:rsidP="00250556">
                      <w:r>
                        <w:t>EM</w:t>
                      </w:r>
                    </w:p>
                  </w:txbxContent>
                </v:textbox>
              </v:shape>
            </w:pict>
          </mc:Fallback>
        </mc:AlternateContent>
      </w:r>
      <w:r w:rsidRPr="00250556">
        <w:rPr>
          <w:noProof/>
          <w:lang w:eastAsia="en-US"/>
        </w:rPr>
        <mc:AlternateContent>
          <mc:Choice Requires="wps">
            <w:drawing>
              <wp:anchor distT="0" distB="0" distL="114300" distR="114300" simplePos="0" relativeHeight="251846656" behindDoc="0" locked="0" layoutInCell="1" allowOverlap="1" wp14:anchorId="0FF64F8D" wp14:editId="77569688">
                <wp:simplePos x="0" y="0"/>
                <wp:positionH relativeFrom="column">
                  <wp:posOffset>1168664</wp:posOffset>
                </wp:positionH>
                <wp:positionV relativeFrom="paragraph">
                  <wp:posOffset>3060065</wp:posOffset>
                </wp:positionV>
                <wp:extent cx="457200" cy="24955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250556">
                            <w: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0" o:spid="_x0000_s1064" type="#_x0000_t202" style="position:absolute;margin-left:92pt;margin-top:240.95pt;width:36pt;height:19.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" filled="f" stroked="f" strokeweight=".5pt">
                <v:textbox>
                  <w:txbxContent>
                    <w:p w:rsidR="008B11DD" w:rsidRDefault="008B11DD" w:rsidP="00250556">
                      <w:r>
                        <w:t>BX</w:t>
                      </w:r>
                    </w:p>
                  </w:txbxContent>
                </v:textbox>
              </v:shape>
            </w:pict>
          </mc:Fallback>
        </mc:AlternateContent>
      </w:r>
      <w:r w:rsidR="00494A94">
        <w:rPr>
          <w:noProof/>
          <w:lang w:eastAsia="en-US"/>
        </w:rPr>
        <w:drawing>
          <wp:inline distT="0" distB="0" distL="0" distR="0" wp14:anchorId="4FD9D618" wp14:editId="72F725C4">
            <wp:extent cx="3873092" cy="2963865"/>
            <wp:effectExtent l="0" t="0" r="13335" b="2730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1716" w:rsidRDefault="00250556" w:rsidP="00CE2B39">
      <w:pPr>
        <w:pStyle w:val="ONUME"/>
        <w:numPr>
          <w:ilvl w:val="0"/>
          <w:numId w:val="0"/>
        </w:numPr>
        <w:rPr>
          <w:noProof/>
        </w:rPr>
      </w:pPr>
      <w:r w:rsidRPr="00250556">
        <w:rPr>
          <w:noProof/>
          <w:lang w:eastAsia="en-US"/>
        </w:rPr>
        <mc:AlternateContent>
          <mc:Choice Requires="wps">
            <w:drawing>
              <wp:anchor distT="0" distB="0" distL="114300" distR="114300" simplePos="0" relativeHeight="251843584" behindDoc="0" locked="0" layoutInCell="1" allowOverlap="1" wp14:anchorId="16D8AFE6" wp14:editId="11E0C933">
                <wp:simplePos x="0" y="0"/>
                <wp:positionH relativeFrom="column">
                  <wp:posOffset>1097544</wp:posOffset>
                </wp:positionH>
                <wp:positionV relativeFrom="paragraph">
                  <wp:posOffset>22225</wp:posOffset>
                </wp:positionV>
                <wp:extent cx="57150" cy="58420"/>
                <wp:effectExtent l="0" t="0" r="19050" b="17780"/>
                <wp:wrapNone/>
                <wp:docPr id="31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margin-left:86.4pt;margin-top:1.75pt;width:4.5pt;height:4.6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" fillcolor="#ffffb3" strokecolor="#7f7f7f [1612]" strokeweight="1pt"/>
            </w:pict>
          </mc:Fallback>
        </mc:AlternateContent>
      </w:r>
      <w:r w:rsidRPr="00250556">
        <w:rPr>
          <w:noProof/>
          <w:lang w:eastAsia="en-US"/>
        </w:rPr>
        <mc:AlternateContent>
          <mc:Choice Requires="wps">
            <w:drawing>
              <wp:anchor distT="0" distB="0" distL="114300" distR="114300" simplePos="0" relativeHeight="251842560" behindDoc="0" locked="0" layoutInCell="1" allowOverlap="1" wp14:anchorId="7793574E" wp14:editId="6A894ADD">
                <wp:simplePos x="0" y="0"/>
                <wp:positionH relativeFrom="column">
                  <wp:posOffset>378460</wp:posOffset>
                </wp:positionH>
                <wp:positionV relativeFrom="paragraph">
                  <wp:posOffset>22860</wp:posOffset>
                </wp:positionV>
                <wp:extent cx="57150" cy="58420"/>
                <wp:effectExtent l="0" t="0" r="0" b="0"/>
                <wp:wrapNone/>
                <wp:docPr id="31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margin-left:29.8pt;margin-top:1.8pt;width:4.5pt;height:4.6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" fillcolor="#00b0f0" stroked="f" strokeweight="2pt"/>
            </w:pict>
          </mc:Fallback>
        </mc:AlternateContent>
      </w:r>
    </w:p>
    <w:p w:rsidR="004D1055" w:rsidRPr="00E474B5" w:rsidRDefault="003A1716" w:rsidP="00E474B5">
      <w:pPr>
        <w:pStyle w:val="ONUME"/>
      </w:pPr>
      <w:r w:rsidRPr="00E474B5">
        <w:t>In the first quarter of 2016, it may be observed that the share of self-designations of France (37.3</w:t>
      </w:r>
      <w:r w:rsidR="00211A84">
        <w:t> </w:t>
      </w:r>
      <w:r w:rsidRPr="00E474B5">
        <w:t>per</w:t>
      </w:r>
      <w:r w:rsidR="00211A84">
        <w:t> </w:t>
      </w:r>
      <w:r w:rsidRPr="00E474B5">
        <w:t>cent) had increased in comparison with the share of self-designations of the European Union (48</w:t>
      </w:r>
      <w:r w:rsidR="00211A84">
        <w:t> </w:t>
      </w:r>
      <w:r w:rsidRPr="00E474B5">
        <w:t>per</w:t>
      </w:r>
      <w:r w:rsidR="00211A84">
        <w:t> </w:t>
      </w:r>
      <w:r w:rsidRPr="00E474B5">
        <w:t>cent) in international registrations originating from France.</w:t>
      </w:r>
      <w:r w:rsidR="00211A84">
        <w:t xml:space="preserve"> </w:t>
      </w:r>
      <w:r w:rsidR="001A05FC" w:rsidRPr="00E474B5">
        <w:t xml:space="preserve"> Otherwise, </w:t>
      </w:r>
      <w:r w:rsidR="00411736" w:rsidRPr="00E474B5">
        <w:t xml:space="preserve">the share of self-designation seems to be stable and no other </w:t>
      </w:r>
      <w:r w:rsidR="001A05FC" w:rsidRPr="00E474B5">
        <w:t>detectable evolution as to the self-designations in the Geo-European family</w:t>
      </w:r>
      <w:r w:rsidR="00411736" w:rsidRPr="00E474B5">
        <w:t xml:space="preserve"> could be observed</w:t>
      </w:r>
      <w:r w:rsidR="001A05FC" w:rsidRPr="00E474B5">
        <w:t>.</w:t>
      </w:r>
    </w:p>
    <w:p w:rsidR="00A271CB" w:rsidRDefault="00A271CB">
      <w:pPr>
        <w:rPr>
          <w:bCs/>
          <w:noProof/>
          <w:szCs w:val="26"/>
          <w:u w:val="single"/>
        </w:rPr>
      </w:pPr>
      <w:r>
        <w:rPr>
          <w:noProof/>
        </w:rPr>
        <w:br w:type="page"/>
      </w:r>
    </w:p>
    <w:p w:rsidR="003A1716" w:rsidRDefault="003A1716" w:rsidP="00211A84">
      <w:pPr>
        <w:pStyle w:val="Heading3"/>
        <w:spacing w:before="480"/>
        <w:rPr>
          <w:noProof/>
        </w:rPr>
      </w:pPr>
      <w:r w:rsidRPr="005E07B6">
        <w:rPr>
          <w:noProof/>
        </w:rPr>
        <w:lastRenderedPageBreak/>
        <w:t>European Union</w:t>
      </w:r>
    </w:p>
    <w:p w:rsidR="00211A84" w:rsidRPr="00211A84" w:rsidRDefault="00211A84" w:rsidP="00211A84"/>
    <w:p w:rsidR="00072F9A" w:rsidRPr="00E474B5" w:rsidRDefault="006B1C7D" w:rsidP="00E474B5">
      <w:pPr>
        <w:pStyle w:val="ONUME"/>
      </w:pPr>
      <w:r w:rsidRPr="00E474B5">
        <w:t>It may be recalled that the designation of the European Union in an international registration covers its whole territory</w:t>
      </w:r>
      <w:r w:rsidRPr="00211A84">
        <w:rPr>
          <w:rStyle w:val="FootnoteReference"/>
        </w:rPr>
        <w:footnoteReference w:id="13"/>
      </w:r>
      <w:r w:rsidRPr="00E474B5">
        <w:t>, includ</w:t>
      </w:r>
      <w:r w:rsidR="00211A84">
        <w:t xml:space="preserve">ing </w:t>
      </w:r>
      <w:r w:rsidRPr="00E474B5">
        <w:t xml:space="preserve">those </w:t>
      </w:r>
      <w:r w:rsidR="00211A84">
        <w:t>m</w:t>
      </w:r>
      <w:r w:rsidRPr="00E474B5">
        <w:t xml:space="preserve">ember </w:t>
      </w:r>
      <w:r w:rsidR="005A2B5C">
        <w:t>s</w:t>
      </w:r>
      <w:r w:rsidRPr="00E474B5">
        <w:t>tates which are not individually part</w:t>
      </w:r>
      <w:r w:rsidR="00211A84">
        <w:t>y</w:t>
      </w:r>
      <w:r w:rsidRPr="00E474B5">
        <w:t xml:space="preserve"> to the 1999 Act.</w:t>
      </w:r>
      <w:r w:rsidR="00072F9A" w:rsidRPr="00E474B5">
        <w:t xml:space="preserve"> </w:t>
      </w:r>
    </w:p>
    <w:p w:rsidR="00F30C50" w:rsidRDefault="00A75277" w:rsidP="00CE2B39">
      <w:pPr>
        <w:pStyle w:val="ONUME"/>
        <w:numPr>
          <w:ilvl w:val="0"/>
          <w:numId w:val="0"/>
        </w:numPr>
        <w:rPr>
          <w:noProof/>
        </w:rPr>
      </w:pPr>
      <w:r w:rsidRPr="00A75277">
        <w:rPr>
          <w:noProof/>
          <w:lang w:eastAsia="en-US"/>
        </w:rPr>
        <mc:AlternateContent>
          <mc:Choice Requires="wps">
            <w:drawing>
              <wp:anchor distT="0" distB="0" distL="114300" distR="114300" simplePos="0" relativeHeight="251854848" behindDoc="0" locked="0" layoutInCell="1" allowOverlap="1" wp14:anchorId="00C92363" wp14:editId="3F5F4071">
                <wp:simplePos x="0" y="0"/>
                <wp:positionH relativeFrom="column">
                  <wp:posOffset>473710</wp:posOffset>
                </wp:positionH>
                <wp:positionV relativeFrom="paragraph">
                  <wp:posOffset>2416175</wp:posOffset>
                </wp:positionV>
                <wp:extent cx="57150" cy="58420"/>
                <wp:effectExtent l="0" t="0" r="0" b="0"/>
                <wp:wrapNone/>
                <wp:docPr id="32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margin-left:37.3pt;margin-top:190.25pt;width:4.5pt;height:4.6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" fillcolor="#00b0f0" stroked="f" strokeweight="2pt"/>
            </w:pict>
          </mc:Fallback>
        </mc:AlternateContent>
      </w:r>
      <w:r w:rsidRPr="00A75277">
        <w:rPr>
          <w:noProof/>
          <w:lang w:eastAsia="en-US"/>
        </w:rPr>
        <mc:AlternateContent>
          <mc:Choice Requires="wps">
            <w:drawing>
              <wp:anchor distT="0" distB="0" distL="114300" distR="114300" simplePos="0" relativeHeight="251855872" behindDoc="0" locked="0" layoutInCell="1" allowOverlap="1" wp14:anchorId="443800B9" wp14:editId="33809E10">
                <wp:simplePos x="0" y="0"/>
                <wp:positionH relativeFrom="column">
                  <wp:posOffset>1189355</wp:posOffset>
                </wp:positionH>
                <wp:positionV relativeFrom="paragraph">
                  <wp:posOffset>2415540</wp:posOffset>
                </wp:positionV>
                <wp:extent cx="57150" cy="58420"/>
                <wp:effectExtent l="0" t="0" r="19050" b="17780"/>
                <wp:wrapNone/>
                <wp:docPr id="32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margin-left:93.65pt;margin-top:190.2pt;width:4.5pt;height:4.6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" fillcolor="#ffffb3" strokecolor="#7f7f7f [1612]" strokeweight="1pt"/>
            </w:pict>
          </mc:Fallback>
        </mc:AlternateContent>
      </w:r>
      <w:r w:rsidRPr="00A75277">
        <w:rPr>
          <w:noProof/>
          <w:lang w:eastAsia="en-US"/>
        </w:rPr>
        <mc:AlternateContent>
          <mc:Choice Requires="wps">
            <w:drawing>
              <wp:anchor distT="0" distB="0" distL="114300" distR="114300" simplePos="0" relativeHeight="251856896" behindDoc="0" locked="0" layoutInCell="1" allowOverlap="1" wp14:anchorId="683C9205" wp14:editId="76BAAB38">
                <wp:simplePos x="0" y="0"/>
                <wp:positionH relativeFrom="column">
                  <wp:posOffset>528320</wp:posOffset>
                </wp:positionH>
                <wp:positionV relativeFrom="paragraph">
                  <wp:posOffset>2316480</wp:posOffset>
                </wp:positionV>
                <wp:extent cx="428625" cy="249555"/>
                <wp:effectExtent l="0" t="0" r="0" b="0"/>
                <wp:wrapNone/>
                <wp:docPr id="328" name="Zone de texte 328"/>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A75277">
                            <w: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8" o:spid="_x0000_s1065" type="#_x0000_t202" style="position:absolute;margin-left:41.6pt;margin-top:182.4pt;width:33.75pt;height:19.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" filled="f" stroked="f" strokeweight=".5pt">
                <v:textbox>
                  <w:txbxContent>
                    <w:p w:rsidR="008B11DD" w:rsidRDefault="008B11DD" w:rsidP="00A75277">
                      <w:r>
                        <w:t>EM</w:t>
                      </w:r>
                    </w:p>
                  </w:txbxContent>
                </v:textbox>
              </v:shape>
            </w:pict>
          </mc:Fallback>
        </mc:AlternateContent>
      </w:r>
      <w:r w:rsidRPr="00A75277">
        <w:rPr>
          <w:noProof/>
          <w:lang w:eastAsia="en-US"/>
        </w:rPr>
        <mc:AlternateContent>
          <mc:Choice Requires="wps">
            <w:drawing>
              <wp:anchor distT="0" distB="0" distL="114300" distR="114300" simplePos="0" relativeHeight="251857920" behindDoc="0" locked="0" layoutInCell="1" allowOverlap="1" wp14:anchorId="724788A3" wp14:editId="3D51DAD0">
                <wp:simplePos x="0" y="0"/>
                <wp:positionH relativeFrom="column">
                  <wp:posOffset>1242695</wp:posOffset>
                </wp:positionH>
                <wp:positionV relativeFrom="paragraph">
                  <wp:posOffset>2318385</wp:posOffset>
                </wp:positionV>
                <wp:extent cx="457200" cy="249555"/>
                <wp:effectExtent l="0" t="0" r="0" b="0"/>
                <wp:wrapNone/>
                <wp:docPr id="329" name="Zone de texte 329"/>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A75277">
                            <w: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9" o:spid="_x0000_s1066" type="#_x0000_t202" style="position:absolute;margin-left:97.85pt;margin-top:182.55pt;width:36pt;height: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" filled="f" stroked="f" strokeweight=".5pt">
                <v:textbox>
                  <w:txbxContent>
                    <w:p w:rsidR="008B11DD" w:rsidRDefault="008B11DD" w:rsidP="00A75277">
                      <w:r>
                        <w:t>BX</w:t>
                      </w:r>
                    </w:p>
                  </w:txbxContent>
                </v:textbox>
              </v:shape>
            </w:pict>
          </mc:Fallback>
        </mc:AlternateContent>
      </w:r>
      <w:r w:rsidR="00072F9A">
        <w:rPr>
          <w:noProof/>
          <w:lang w:eastAsia="en-US"/>
        </w:rPr>
        <w:drawing>
          <wp:inline distT="0" distB="0" distL="0" distR="0" wp14:anchorId="0844324F" wp14:editId="3B4AC4E2">
            <wp:extent cx="5940425" cy="2257425"/>
            <wp:effectExtent l="0" t="0" r="22225" b="28575"/>
            <wp:docPr id="325"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0C50" w:rsidRDefault="00F30C50">
      <w:pPr>
        <w:rPr>
          <w:i/>
          <w:noProof/>
          <w:u w:val="single"/>
        </w:rPr>
      </w:pPr>
    </w:p>
    <w:p w:rsidR="006B1C7D" w:rsidRDefault="006B1C7D" w:rsidP="00CE2B39">
      <w:pPr>
        <w:pStyle w:val="ONUME"/>
        <w:numPr>
          <w:ilvl w:val="0"/>
          <w:numId w:val="0"/>
        </w:numPr>
        <w:rPr>
          <w:noProof/>
        </w:rPr>
      </w:pPr>
    </w:p>
    <w:p w:rsidR="00A75277" w:rsidRPr="005E07B6" w:rsidRDefault="00885497" w:rsidP="00CE2B39">
      <w:pPr>
        <w:pStyle w:val="ONUME"/>
        <w:numPr>
          <w:ilvl w:val="0"/>
          <w:numId w:val="0"/>
        </w:numPr>
        <w:rPr>
          <w:noProof/>
          <w:u w:val="single"/>
        </w:rPr>
      </w:pPr>
      <w:r>
        <w:rPr>
          <w:noProof/>
          <w:lang w:eastAsia="en-US"/>
        </w:rPr>
        <w:drawing>
          <wp:inline distT="0" distB="0" distL="0" distR="0" wp14:anchorId="310B1DB9" wp14:editId="128016CE">
            <wp:extent cx="5940425" cy="2310130"/>
            <wp:effectExtent l="0" t="0" r="22225" b="13970"/>
            <wp:docPr id="330"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1716" w:rsidRPr="00E474B5" w:rsidRDefault="00944B07" w:rsidP="00E474B5">
      <w:pPr>
        <w:pStyle w:val="ONUME"/>
      </w:pPr>
      <w:r>
        <w:t>T</w:t>
      </w:r>
      <w:r w:rsidR="003A1716" w:rsidRPr="00E474B5">
        <w:t xml:space="preserve">he share of self-designation of the European Union has remained at a very high level, both in </w:t>
      </w:r>
      <w:r w:rsidR="002A6F28" w:rsidRPr="00E474B5">
        <w:t xml:space="preserve">international registrations </w:t>
      </w:r>
      <w:r w:rsidR="00677224" w:rsidRPr="00E474B5">
        <w:t xml:space="preserve">originating from </w:t>
      </w:r>
      <w:r w:rsidR="003A1716" w:rsidRPr="00E474B5">
        <w:t xml:space="preserve">the </w:t>
      </w:r>
      <w:r w:rsidR="002C5ADD">
        <w:t>m</w:t>
      </w:r>
      <w:r w:rsidR="003A1716" w:rsidRPr="00E474B5">
        <w:t xml:space="preserve">ember </w:t>
      </w:r>
      <w:r w:rsidR="005A2B5C">
        <w:t>s</w:t>
      </w:r>
      <w:r w:rsidR="003A1716" w:rsidRPr="00E474B5">
        <w:t>tates of the European Union, which are also individually party to the 1999</w:t>
      </w:r>
      <w:r w:rsidR="002C5ADD">
        <w:t> </w:t>
      </w:r>
      <w:r w:rsidR="003A1716" w:rsidRPr="00E474B5">
        <w:t>Act and those which are not (</w:t>
      </w:r>
      <w:r w:rsidR="001657CC" w:rsidRPr="00E474B5">
        <w:t>i.e.,</w:t>
      </w:r>
      <w:r w:rsidR="002C5ADD">
        <w:t> </w:t>
      </w:r>
      <w:r w:rsidR="001657CC" w:rsidRPr="00E474B5">
        <w:t xml:space="preserve">Austria, </w:t>
      </w:r>
      <w:r w:rsidR="002C5ADD" w:rsidRPr="00E474B5">
        <w:t xml:space="preserve">Cyprus, </w:t>
      </w:r>
      <w:r w:rsidR="001657CC" w:rsidRPr="00E474B5">
        <w:t>Czech</w:t>
      </w:r>
      <w:r w:rsidR="002C5ADD">
        <w:t> </w:t>
      </w:r>
      <w:r w:rsidR="001657CC" w:rsidRPr="00E474B5">
        <w:t>Republic, Ireland</w:t>
      </w:r>
      <w:r w:rsidR="003A1716" w:rsidRPr="00E474B5">
        <w:t xml:space="preserve">, </w:t>
      </w:r>
      <w:r w:rsidR="001657CC" w:rsidRPr="00E474B5">
        <w:t xml:space="preserve">Malta, </w:t>
      </w:r>
      <w:r w:rsidR="003A1716" w:rsidRPr="00E474B5">
        <w:t>Po</w:t>
      </w:r>
      <w:r w:rsidR="00E23E99" w:rsidRPr="00E474B5">
        <w:t>rtugal</w:t>
      </w:r>
      <w:r w:rsidR="003A1716" w:rsidRPr="00E474B5">
        <w:t xml:space="preserve">, </w:t>
      </w:r>
      <w:r w:rsidR="001657CC" w:rsidRPr="00E474B5">
        <w:t>Slovakia,</w:t>
      </w:r>
      <w:r w:rsidR="001657CC" w:rsidRPr="00E474B5" w:rsidDel="001657CC">
        <w:t xml:space="preserve"> </w:t>
      </w:r>
      <w:r w:rsidR="001657CC" w:rsidRPr="00E474B5">
        <w:t>Sweden and the United</w:t>
      </w:r>
      <w:r w:rsidR="002C5ADD">
        <w:t> </w:t>
      </w:r>
      <w:r w:rsidR="001657CC" w:rsidRPr="00E474B5">
        <w:t>Kingdom</w:t>
      </w:r>
      <w:r w:rsidR="003A1716" w:rsidRPr="00E474B5">
        <w:t>)</w:t>
      </w:r>
      <w:r w:rsidR="001657CC" w:rsidRPr="00E474B5">
        <w:t>.</w:t>
      </w:r>
    </w:p>
    <w:p w:rsidR="00A271CB" w:rsidRDefault="00A271CB">
      <w:pPr>
        <w:rPr>
          <w:bCs/>
          <w:noProof/>
          <w:szCs w:val="26"/>
          <w:u w:val="single"/>
        </w:rPr>
      </w:pPr>
      <w:r>
        <w:rPr>
          <w:noProof/>
        </w:rPr>
        <w:br w:type="page"/>
      </w:r>
    </w:p>
    <w:p w:rsidR="00BA437D" w:rsidRDefault="003A1716" w:rsidP="00302E87">
      <w:pPr>
        <w:pStyle w:val="Heading3"/>
        <w:spacing w:before="480"/>
        <w:rPr>
          <w:noProof/>
        </w:rPr>
      </w:pPr>
      <w:r w:rsidRPr="005E07B6">
        <w:rPr>
          <w:noProof/>
        </w:rPr>
        <w:lastRenderedPageBreak/>
        <w:t>New Contracting Parties</w:t>
      </w:r>
    </w:p>
    <w:p w:rsidR="00302E87" w:rsidRPr="00302E87" w:rsidRDefault="00302E87" w:rsidP="00302E87"/>
    <w:p w:rsidR="003A1716" w:rsidRDefault="00BA437D" w:rsidP="00CE2B39">
      <w:pPr>
        <w:pStyle w:val="ONUME"/>
        <w:numPr>
          <w:ilvl w:val="0"/>
          <w:numId w:val="0"/>
        </w:numPr>
        <w:rPr>
          <w:noProof/>
        </w:rPr>
      </w:pPr>
      <w:r w:rsidRPr="00F21BCD">
        <w:rPr>
          <w:noProof/>
          <w:lang w:eastAsia="en-US"/>
        </w:rPr>
        <mc:AlternateContent>
          <mc:Choice Requires="wps">
            <w:drawing>
              <wp:anchor distT="0" distB="0" distL="114300" distR="114300" simplePos="0" relativeHeight="251859968" behindDoc="0" locked="0" layoutInCell="1" allowOverlap="1" wp14:anchorId="6F8EA12E" wp14:editId="4DCA67E8">
                <wp:simplePos x="0" y="0"/>
                <wp:positionH relativeFrom="column">
                  <wp:posOffset>668655</wp:posOffset>
                </wp:positionH>
                <wp:positionV relativeFrom="paragraph">
                  <wp:posOffset>3134360</wp:posOffset>
                </wp:positionV>
                <wp:extent cx="57150" cy="58420"/>
                <wp:effectExtent l="0" t="0" r="0" b="0"/>
                <wp:wrapNone/>
                <wp:docPr id="33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31859C"/>
                        </a:solidFill>
                        <a:ln w="25400" cap="flat" cmpd="sng" algn="ctr">
                          <a:noFill/>
                          <a:prstDash val="solid"/>
                        </a:ln>
                        <a:effectLst/>
                      </wps:spPr>
                      <wps:bodyPr/>
                    </wps:wsp>
                  </a:graphicData>
                </a:graphic>
              </wp:anchor>
            </w:drawing>
          </mc:Choice>
          <mc:Fallback>
            <w:pict>
              <v:rect id="Rectangle 1" o:spid="_x0000_s1026" style="position:absolute;margin-left:52.65pt;margin-top:246.8pt;width:4.5pt;height:4.6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" fillcolor="#31859c" stroked="f" strokeweight="2pt"/>
            </w:pict>
          </mc:Fallback>
        </mc:AlternateContent>
      </w:r>
      <w:r w:rsidRPr="00BA437D">
        <w:rPr>
          <w:noProof/>
          <w:lang w:eastAsia="en-US"/>
        </w:rPr>
        <mc:AlternateContent>
          <mc:Choice Requires="wps">
            <w:drawing>
              <wp:anchor distT="0" distB="0" distL="114300" distR="114300" simplePos="0" relativeHeight="251860992" behindDoc="0" locked="0" layoutInCell="1" allowOverlap="1" wp14:anchorId="69011568" wp14:editId="699F26B9">
                <wp:simplePos x="0" y="0"/>
                <wp:positionH relativeFrom="column">
                  <wp:posOffset>1384300</wp:posOffset>
                </wp:positionH>
                <wp:positionV relativeFrom="paragraph">
                  <wp:posOffset>3133725</wp:posOffset>
                </wp:positionV>
                <wp:extent cx="57150" cy="58420"/>
                <wp:effectExtent l="0" t="0" r="0" b="0"/>
                <wp:wrapNone/>
                <wp:docPr id="33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12700" cap="flat" cmpd="sng" algn="ctr">
                          <a:noFill/>
                          <a:prstDash val="solid"/>
                        </a:ln>
                        <a:effectLst/>
                      </wps:spPr>
                      <wps:bodyPr/>
                    </wps:wsp>
                  </a:graphicData>
                </a:graphic>
              </wp:anchor>
            </w:drawing>
          </mc:Choice>
          <mc:Fallback>
            <w:pict>
              <v:rect id="Rectangle 1" o:spid="_x0000_s1026" style="position:absolute;margin-left:109pt;margin-top:246.75pt;width:4.5pt;height:4.6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" fillcolor="#b6dde8 [1304]" stroked="f" strokeweight="1pt"/>
            </w:pict>
          </mc:Fallback>
        </mc:AlternateContent>
      </w:r>
      <w:r w:rsidRPr="00BA437D">
        <w:rPr>
          <w:noProof/>
          <w:lang w:eastAsia="en-US"/>
        </w:rPr>
        <mc:AlternateContent>
          <mc:Choice Requires="wps">
            <w:drawing>
              <wp:anchor distT="0" distB="0" distL="114300" distR="114300" simplePos="0" relativeHeight="251862016" behindDoc="0" locked="0" layoutInCell="1" allowOverlap="1" wp14:anchorId="199D6F49" wp14:editId="47C30276">
                <wp:simplePos x="0" y="0"/>
                <wp:positionH relativeFrom="column">
                  <wp:posOffset>723265</wp:posOffset>
                </wp:positionH>
                <wp:positionV relativeFrom="paragraph">
                  <wp:posOffset>3034665</wp:posOffset>
                </wp:positionV>
                <wp:extent cx="428625" cy="249555"/>
                <wp:effectExtent l="0" t="0" r="0" b="0"/>
                <wp:wrapNone/>
                <wp:docPr id="337" name="Zone de texte 337"/>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BA437D">
                            <w: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7" o:spid="_x0000_s1067" type="#_x0000_t202" style="position:absolute;margin-left:56.95pt;margin-top:238.95pt;width:33.75pt;height:1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" filled="f" stroked="f" strokeweight=".5pt">
                <v:textbox>
                  <w:txbxContent>
                    <w:p w:rsidR="008B11DD" w:rsidRDefault="008B11DD" w:rsidP="00BA437D">
                      <w:r>
                        <w:t>KR</w:t>
                      </w:r>
                    </w:p>
                  </w:txbxContent>
                </v:textbox>
              </v:shape>
            </w:pict>
          </mc:Fallback>
        </mc:AlternateContent>
      </w:r>
      <w:r w:rsidRPr="00BA437D">
        <w:rPr>
          <w:noProof/>
          <w:lang w:eastAsia="en-US"/>
        </w:rPr>
        <mc:AlternateContent>
          <mc:Choice Requires="wps">
            <w:drawing>
              <wp:anchor distT="0" distB="0" distL="114300" distR="114300" simplePos="0" relativeHeight="251863040" behindDoc="0" locked="0" layoutInCell="1" allowOverlap="1" wp14:anchorId="1F423286" wp14:editId="4999075C">
                <wp:simplePos x="0" y="0"/>
                <wp:positionH relativeFrom="column">
                  <wp:posOffset>1437640</wp:posOffset>
                </wp:positionH>
                <wp:positionV relativeFrom="paragraph">
                  <wp:posOffset>3036570</wp:posOffset>
                </wp:positionV>
                <wp:extent cx="457200" cy="249555"/>
                <wp:effectExtent l="0" t="0" r="0" b="0"/>
                <wp:wrapNone/>
                <wp:docPr id="338" name="Zone de texte 338"/>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BA437D">
                            <w: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8" o:spid="_x0000_s1068" type="#_x0000_t202" style="position:absolute;margin-left:113.2pt;margin-top:239.1pt;width:36pt;height:1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" filled="f" stroked="f" strokeweight=".5pt">
                <v:textbox>
                  <w:txbxContent>
                    <w:p w:rsidR="008B11DD" w:rsidRDefault="008B11DD" w:rsidP="00BA437D">
                      <w:r>
                        <w:t>JP</w:t>
                      </w:r>
                    </w:p>
                  </w:txbxContent>
                </v:textbox>
              </v:shape>
            </w:pict>
          </mc:Fallback>
        </mc:AlternateContent>
      </w:r>
      <w:r w:rsidRPr="00BA437D">
        <w:rPr>
          <w:noProof/>
          <w:lang w:eastAsia="en-US"/>
        </w:rPr>
        <mc:AlternateContent>
          <mc:Choice Requires="wps">
            <w:drawing>
              <wp:anchor distT="0" distB="0" distL="114300" distR="114300" simplePos="0" relativeHeight="251864064" behindDoc="0" locked="0" layoutInCell="1" allowOverlap="1" wp14:anchorId="0EBC359B" wp14:editId="65614556">
                <wp:simplePos x="0" y="0"/>
                <wp:positionH relativeFrom="column">
                  <wp:posOffset>1973580</wp:posOffset>
                </wp:positionH>
                <wp:positionV relativeFrom="paragraph">
                  <wp:posOffset>3129280</wp:posOffset>
                </wp:positionV>
                <wp:extent cx="57150" cy="58420"/>
                <wp:effectExtent l="0" t="0" r="0" b="0"/>
                <wp:wrapNone/>
                <wp:docPr id="339"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030A0"/>
                        </a:solidFill>
                        <a:ln w="12700" cap="flat" cmpd="sng" algn="ctr">
                          <a:noFill/>
                          <a:prstDash val="solid"/>
                        </a:ln>
                        <a:effectLst/>
                      </wps:spPr>
                      <wps:bodyPr/>
                    </wps:wsp>
                  </a:graphicData>
                </a:graphic>
              </wp:anchor>
            </w:drawing>
          </mc:Choice>
          <mc:Fallback>
            <w:pict>
              <v:rect id="Rectangle 1" o:spid="_x0000_s1026" style="position:absolute;margin-left:155.4pt;margin-top:246.4pt;width:4.5pt;height:4.6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" fillcolor="#7030a0" stroked="f" strokeweight="1pt"/>
            </w:pict>
          </mc:Fallback>
        </mc:AlternateContent>
      </w:r>
      <w:r w:rsidRPr="00BA437D">
        <w:rPr>
          <w:noProof/>
          <w:lang w:eastAsia="en-US"/>
        </w:rPr>
        <mc:AlternateContent>
          <mc:Choice Requires="wps">
            <w:drawing>
              <wp:anchor distT="0" distB="0" distL="114300" distR="114300" simplePos="0" relativeHeight="251865088" behindDoc="0" locked="0" layoutInCell="1" allowOverlap="1" wp14:anchorId="5FADDFC3" wp14:editId="2C6E2EC8">
                <wp:simplePos x="0" y="0"/>
                <wp:positionH relativeFrom="column">
                  <wp:posOffset>2026920</wp:posOffset>
                </wp:positionH>
                <wp:positionV relativeFrom="paragraph">
                  <wp:posOffset>3032315</wp:posOffset>
                </wp:positionV>
                <wp:extent cx="457200" cy="249555"/>
                <wp:effectExtent l="0" t="0" r="0" b="0"/>
                <wp:wrapNone/>
                <wp:docPr id="340" name="Zone de texte 340"/>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1DD" w:rsidRDefault="008B11DD" w:rsidP="00BA437D">
                            <w: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0" o:spid="_x0000_s1069" type="#_x0000_t202" style="position:absolute;margin-left:159.6pt;margin-top:238.75pt;width:36pt;height:1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" filled="f" stroked="f" strokeweight=".5pt">
                <v:textbox>
                  <w:txbxContent>
                    <w:p w:rsidR="008B11DD" w:rsidRDefault="008B11DD" w:rsidP="00BA437D">
                      <w:r>
                        <w:t>US</w:t>
                      </w:r>
                    </w:p>
                  </w:txbxContent>
                </v:textbox>
              </v:shape>
            </w:pict>
          </mc:Fallback>
        </mc:AlternateContent>
      </w:r>
      <w:r>
        <w:rPr>
          <w:noProof/>
          <w:lang w:eastAsia="en-US"/>
        </w:rPr>
        <w:drawing>
          <wp:inline distT="0" distB="0" distL="0" distR="0" wp14:anchorId="1A057A90" wp14:editId="5F3B99DD">
            <wp:extent cx="3891242" cy="2960218"/>
            <wp:effectExtent l="0" t="0" r="14605" b="12065"/>
            <wp:docPr id="341"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437D" w:rsidRPr="005E07B6" w:rsidRDefault="00BA437D" w:rsidP="00CE2B39">
      <w:pPr>
        <w:pStyle w:val="ONUME"/>
        <w:numPr>
          <w:ilvl w:val="0"/>
          <w:numId w:val="0"/>
        </w:numPr>
        <w:rPr>
          <w:noProof/>
        </w:rPr>
      </w:pPr>
    </w:p>
    <w:p w:rsidR="003A1716" w:rsidRPr="00E474B5" w:rsidRDefault="003A1716" w:rsidP="00E474B5">
      <w:pPr>
        <w:pStyle w:val="ONUME"/>
      </w:pPr>
      <w:r w:rsidRPr="00E474B5">
        <w:t>In 2015, with regard to holders having an address in the United</w:t>
      </w:r>
      <w:r w:rsidR="00302E87">
        <w:t> </w:t>
      </w:r>
      <w:r w:rsidRPr="00E474B5">
        <w:t>States of</w:t>
      </w:r>
      <w:r w:rsidR="00302E87">
        <w:t> </w:t>
      </w:r>
      <w:r w:rsidRPr="00E474B5">
        <w:t>America, the Republic of</w:t>
      </w:r>
      <w:r w:rsidR="00302E87">
        <w:t> </w:t>
      </w:r>
      <w:r w:rsidRPr="00E474B5">
        <w:t>Korea or Japan, the share of self-designation was very low.  Namely, 9.6</w:t>
      </w:r>
      <w:r w:rsidR="00302E87">
        <w:t> </w:t>
      </w:r>
      <w:r w:rsidRPr="00E474B5">
        <w:t>per</w:t>
      </w:r>
      <w:r w:rsidR="00302E87">
        <w:t> </w:t>
      </w:r>
      <w:r w:rsidRPr="00E474B5">
        <w:t>cent of international registrations originating from the United</w:t>
      </w:r>
      <w:r w:rsidR="00302E87">
        <w:t> </w:t>
      </w:r>
      <w:r w:rsidRPr="00E474B5">
        <w:t>States of</w:t>
      </w:r>
      <w:r w:rsidR="00302E87">
        <w:t> </w:t>
      </w:r>
      <w:r w:rsidRPr="00E474B5">
        <w:t>America, 1.2</w:t>
      </w:r>
      <w:r w:rsidR="00302E87">
        <w:t> </w:t>
      </w:r>
      <w:r w:rsidRPr="00E474B5">
        <w:t>per</w:t>
      </w:r>
      <w:r w:rsidR="00302E87">
        <w:t> </w:t>
      </w:r>
      <w:r w:rsidRPr="00E474B5">
        <w:t xml:space="preserve">cent </w:t>
      </w:r>
      <w:r w:rsidR="00677224" w:rsidRPr="00E474B5">
        <w:t xml:space="preserve">of those </w:t>
      </w:r>
      <w:r w:rsidRPr="00E474B5">
        <w:t>originating from the Republic of</w:t>
      </w:r>
      <w:r w:rsidR="00302E87">
        <w:t> </w:t>
      </w:r>
      <w:r w:rsidRPr="00E474B5">
        <w:t>Korea</w:t>
      </w:r>
      <w:r w:rsidR="001B1497" w:rsidRPr="00E474B5">
        <w:t xml:space="preserve"> </w:t>
      </w:r>
      <w:r w:rsidRPr="00E474B5">
        <w:t>and 13.7</w:t>
      </w:r>
      <w:r w:rsidR="00302E87">
        <w:t> </w:t>
      </w:r>
      <w:r w:rsidRPr="00E474B5">
        <w:t>per</w:t>
      </w:r>
      <w:r w:rsidR="00302E87">
        <w:t> </w:t>
      </w:r>
      <w:r w:rsidRPr="00E474B5">
        <w:t xml:space="preserve">cent </w:t>
      </w:r>
      <w:r w:rsidR="00677224" w:rsidRPr="00E474B5">
        <w:t xml:space="preserve">of those </w:t>
      </w:r>
      <w:r w:rsidRPr="00E474B5">
        <w:t>originating from Japan contained a self-designation.</w:t>
      </w:r>
    </w:p>
    <w:p w:rsidR="009E21F7" w:rsidRPr="00302E87" w:rsidRDefault="003A1716" w:rsidP="00E474B5">
      <w:pPr>
        <w:pStyle w:val="ONUME"/>
      </w:pPr>
      <w:r w:rsidRPr="00302E87">
        <w:t>In the first quarter of 2016, the United</w:t>
      </w:r>
      <w:r w:rsidR="004F1B26">
        <w:t> </w:t>
      </w:r>
      <w:r w:rsidRPr="00302E87">
        <w:t>States of</w:t>
      </w:r>
      <w:r w:rsidR="004F1B26">
        <w:t> </w:t>
      </w:r>
      <w:r w:rsidRPr="00302E87">
        <w:t>America was self-designated in 6.9</w:t>
      </w:r>
      <w:r w:rsidR="004F1B26">
        <w:t> </w:t>
      </w:r>
      <w:r w:rsidRPr="00302E87">
        <w:t>per</w:t>
      </w:r>
      <w:r w:rsidR="004F1B26">
        <w:t> </w:t>
      </w:r>
      <w:r w:rsidRPr="00302E87">
        <w:t>cent of international registrations, whereas that share in respect of Japan was 17.2</w:t>
      </w:r>
      <w:r w:rsidR="004F1B26">
        <w:t> </w:t>
      </w:r>
      <w:r w:rsidRPr="00302E87">
        <w:t>per</w:t>
      </w:r>
      <w:r w:rsidR="004F1B26">
        <w:t> </w:t>
      </w:r>
      <w:r w:rsidRPr="00302E87">
        <w:t>cent.  None of the international registrations originating from the Republic of</w:t>
      </w:r>
      <w:r w:rsidR="004F1B26">
        <w:t> </w:t>
      </w:r>
      <w:r w:rsidRPr="00302E87">
        <w:t>Korea contained a self-designation.</w:t>
      </w:r>
    </w:p>
    <w:p w:rsidR="00CF5CE2" w:rsidRPr="00E474B5" w:rsidRDefault="003A1716" w:rsidP="00E474B5">
      <w:pPr>
        <w:pStyle w:val="ONUME"/>
      </w:pPr>
      <w:r w:rsidRPr="00E474B5">
        <w:t xml:space="preserve">It may be concluded that </w:t>
      </w:r>
      <w:r w:rsidR="00CF5CE2" w:rsidRPr="00E474B5">
        <w:t xml:space="preserve">international registrations from </w:t>
      </w:r>
      <w:r w:rsidRPr="00E474B5">
        <w:t xml:space="preserve">the “traditional” </w:t>
      </w:r>
      <w:r w:rsidR="00CF5CE2" w:rsidRPr="00E474B5">
        <w:t>origin</w:t>
      </w:r>
      <w:r w:rsidRPr="00E474B5">
        <w:t xml:space="preserve"> often use the possibility of self-designation under the Hague System, and therefore, for example, </w:t>
      </w:r>
      <w:r w:rsidR="00CF5CE2" w:rsidRPr="00E474B5">
        <w:t>enjoy</w:t>
      </w:r>
      <w:r w:rsidRPr="00E474B5">
        <w:t xml:space="preserve"> the benefit of the subsequent management of the international registration, such as the renewal of </w:t>
      </w:r>
      <w:r w:rsidR="008550CB" w:rsidRPr="00E474B5">
        <w:t>a single</w:t>
      </w:r>
      <w:r w:rsidRPr="00E474B5">
        <w:t xml:space="preserve"> international registration, instead of managing several (reg</w:t>
      </w:r>
      <w:r w:rsidR="00395F53">
        <w:t>ional/national) registrations.</w:t>
      </w:r>
    </w:p>
    <w:p w:rsidR="003A1716" w:rsidRPr="00E474B5" w:rsidRDefault="003A1716" w:rsidP="00E474B5">
      <w:pPr>
        <w:pStyle w:val="ONUME"/>
      </w:pPr>
      <w:r w:rsidRPr="00E474B5">
        <w:t xml:space="preserve">On the other hand, </w:t>
      </w:r>
      <w:r w:rsidR="00CF5CE2" w:rsidRPr="00E474B5">
        <w:t xml:space="preserve">international registrations originating from </w:t>
      </w:r>
      <w:r w:rsidRPr="00E474B5">
        <w:t>new Contracting Parties, such as Japan, the Republic of</w:t>
      </w:r>
      <w:r w:rsidR="00EC29E0">
        <w:t> </w:t>
      </w:r>
      <w:r w:rsidRPr="00E474B5">
        <w:t>Korea and the United</w:t>
      </w:r>
      <w:r w:rsidR="00EC29E0">
        <w:t> </w:t>
      </w:r>
      <w:r w:rsidRPr="00E474B5">
        <w:t>States of</w:t>
      </w:r>
      <w:r w:rsidR="00EC29E0">
        <w:t> </w:t>
      </w:r>
      <w:r w:rsidRPr="00E474B5">
        <w:t>America, take less advantage of this option.</w:t>
      </w:r>
      <w:r w:rsidR="008550CB" w:rsidRPr="00E474B5">
        <w:t xml:space="preserve"> </w:t>
      </w:r>
      <w:r w:rsidR="00EC29E0">
        <w:t xml:space="preserve"> </w:t>
      </w:r>
      <w:r w:rsidR="008550CB" w:rsidRPr="00E474B5">
        <w:t>As already referred to previo</w:t>
      </w:r>
      <w:r w:rsidR="00625BC8" w:rsidRPr="00E474B5">
        <w:t>u</w:t>
      </w:r>
      <w:r w:rsidR="008550CB" w:rsidRPr="00E474B5">
        <w:t xml:space="preserve">sly in this document, </w:t>
      </w:r>
      <w:r w:rsidR="00CF5CE2" w:rsidRPr="00E474B5">
        <w:t>KIPO is frequently the Office of the first filing from which a priority is claimed in an international registration originating from the Republic of</w:t>
      </w:r>
      <w:r w:rsidR="00EC29E0">
        <w:t> </w:t>
      </w:r>
      <w:r w:rsidR="00CF5CE2" w:rsidRPr="00E474B5">
        <w:t>Korea, therefore self-designation in an international registration</w:t>
      </w:r>
      <w:r w:rsidR="00C7644C" w:rsidRPr="00E474B5">
        <w:t xml:space="preserve"> in such cases</w:t>
      </w:r>
      <w:r w:rsidR="00CF5CE2" w:rsidRPr="00E474B5">
        <w:t xml:space="preserve"> would be </w:t>
      </w:r>
      <w:r w:rsidR="00625BC8" w:rsidRPr="00E474B5">
        <w:t>unwarranted</w:t>
      </w:r>
      <w:r w:rsidR="00422C5C" w:rsidRPr="00E474B5">
        <w:t>.</w:t>
      </w:r>
    </w:p>
    <w:p w:rsidR="00A271CB" w:rsidRDefault="00A271CB">
      <w:pPr>
        <w:rPr>
          <w:bCs/>
          <w:noProof/>
          <w:szCs w:val="26"/>
          <w:u w:val="single"/>
        </w:rPr>
      </w:pPr>
      <w:r>
        <w:rPr>
          <w:noProof/>
        </w:rPr>
        <w:br w:type="page"/>
      </w:r>
    </w:p>
    <w:p w:rsidR="003A1716" w:rsidRDefault="003A1716" w:rsidP="00EC29E0">
      <w:pPr>
        <w:pStyle w:val="Heading3"/>
        <w:spacing w:before="480"/>
        <w:rPr>
          <w:noProof/>
        </w:rPr>
      </w:pPr>
      <w:r>
        <w:rPr>
          <w:noProof/>
        </w:rPr>
        <w:lastRenderedPageBreak/>
        <w:t>Share of Self-Designation by Designated Contracting Party</w:t>
      </w:r>
    </w:p>
    <w:p w:rsidR="00EC29E0" w:rsidRPr="00EC29E0" w:rsidRDefault="00EC29E0" w:rsidP="00EC29E0"/>
    <w:p w:rsidR="00BA437D" w:rsidRDefault="00BA437D" w:rsidP="00CE2B39">
      <w:pPr>
        <w:pStyle w:val="ONUME"/>
        <w:numPr>
          <w:ilvl w:val="0"/>
          <w:numId w:val="0"/>
        </w:numPr>
        <w:rPr>
          <w:noProof/>
        </w:rPr>
      </w:pPr>
      <w:r>
        <w:rPr>
          <w:noProof/>
          <w:lang w:eastAsia="en-US"/>
        </w:rPr>
        <w:drawing>
          <wp:inline distT="0" distB="0" distL="0" distR="0" wp14:anchorId="44D39E9C" wp14:editId="05789221">
            <wp:extent cx="5940425" cy="2341245"/>
            <wp:effectExtent l="0" t="0" r="22225" b="20955"/>
            <wp:docPr id="342"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0EFC" w:rsidRDefault="003A1716" w:rsidP="00E474B5">
      <w:pPr>
        <w:pStyle w:val="ONUME"/>
        <w:rPr>
          <w:lang w:eastAsia="en-US"/>
        </w:rPr>
      </w:pPr>
      <w:r>
        <w:rPr>
          <w:lang w:eastAsia="en-US"/>
        </w:rPr>
        <w:t xml:space="preserve">By far the biggest share of self-designations in </w:t>
      </w:r>
      <w:r w:rsidR="00625BC8">
        <w:rPr>
          <w:lang w:eastAsia="en-US"/>
        </w:rPr>
        <w:t xml:space="preserve">all </w:t>
      </w:r>
      <w:r>
        <w:rPr>
          <w:lang w:eastAsia="en-US"/>
        </w:rPr>
        <w:t xml:space="preserve">international registrations </w:t>
      </w:r>
      <w:r w:rsidR="00625BC8">
        <w:rPr>
          <w:lang w:eastAsia="en-US"/>
        </w:rPr>
        <w:t>is in respect of</w:t>
      </w:r>
      <w:r>
        <w:rPr>
          <w:lang w:eastAsia="en-US"/>
        </w:rPr>
        <w:t xml:space="preserve"> the European Union or Switzerland.  However, in recent years, the share of self-designations of the European Union has been decreasing </w:t>
      </w:r>
      <w:r w:rsidR="006E0EFC">
        <w:rPr>
          <w:lang w:eastAsia="en-US"/>
        </w:rPr>
        <w:t xml:space="preserve">(in 2014: </w:t>
      </w:r>
      <w:r w:rsidR="00EC29E0">
        <w:rPr>
          <w:lang w:eastAsia="en-US"/>
        </w:rPr>
        <w:t xml:space="preserve"> </w:t>
      </w:r>
      <w:r w:rsidR="006E0EFC">
        <w:rPr>
          <w:lang w:eastAsia="en-US"/>
        </w:rPr>
        <w:t>52.4</w:t>
      </w:r>
      <w:r w:rsidR="00EC29E0">
        <w:rPr>
          <w:lang w:eastAsia="en-US"/>
        </w:rPr>
        <w:t> </w:t>
      </w:r>
      <w:r w:rsidR="006E0EFC">
        <w:rPr>
          <w:lang w:eastAsia="en-US"/>
        </w:rPr>
        <w:t>per</w:t>
      </w:r>
      <w:r w:rsidR="00EC29E0">
        <w:rPr>
          <w:lang w:eastAsia="en-US"/>
        </w:rPr>
        <w:t> </w:t>
      </w:r>
      <w:r w:rsidR="006E0EFC">
        <w:rPr>
          <w:lang w:eastAsia="en-US"/>
        </w:rPr>
        <w:t>cent</w:t>
      </w:r>
      <w:proofErr w:type="gramStart"/>
      <w:r w:rsidR="006E0EFC">
        <w:rPr>
          <w:lang w:eastAsia="en-US"/>
        </w:rPr>
        <w:t>;</w:t>
      </w:r>
      <w:r w:rsidR="00EC29E0">
        <w:rPr>
          <w:lang w:eastAsia="en-US"/>
        </w:rPr>
        <w:t xml:space="preserve"> </w:t>
      </w:r>
      <w:r w:rsidR="006E0EFC">
        <w:rPr>
          <w:lang w:eastAsia="en-US"/>
        </w:rPr>
        <w:t xml:space="preserve"> in</w:t>
      </w:r>
      <w:proofErr w:type="gramEnd"/>
      <w:r w:rsidR="006E0EFC">
        <w:rPr>
          <w:lang w:eastAsia="en-US"/>
        </w:rPr>
        <w:t xml:space="preserve"> 2015: </w:t>
      </w:r>
      <w:r w:rsidR="00EC29E0">
        <w:rPr>
          <w:lang w:eastAsia="en-US"/>
        </w:rPr>
        <w:t xml:space="preserve"> </w:t>
      </w:r>
      <w:r w:rsidR="006E0EFC">
        <w:rPr>
          <w:lang w:eastAsia="en-US"/>
        </w:rPr>
        <w:t>42.8</w:t>
      </w:r>
      <w:r w:rsidR="00EC29E0">
        <w:rPr>
          <w:lang w:eastAsia="en-US"/>
        </w:rPr>
        <w:t> </w:t>
      </w:r>
      <w:r w:rsidR="006E0EFC">
        <w:rPr>
          <w:lang w:eastAsia="en-US"/>
        </w:rPr>
        <w:t>per</w:t>
      </w:r>
      <w:r w:rsidR="00EC29E0">
        <w:rPr>
          <w:lang w:eastAsia="en-US"/>
        </w:rPr>
        <w:t> </w:t>
      </w:r>
      <w:r w:rsidR="007627D7">
        <w:rPr>
          <w:lang w:eastAsia="en-US"/>
        </w:rPr>
        <w:t>cent).</w:t>
      </w:r>
      <w:r w:rsidR="006E0EFC">
        <w:rPr>
          <w:lang w:eastAsia="en-US"/>
        </w:rPr>
        <w:t xml:space="preserve">  </w:t>
      </w:r>
      <w:r w:rsidR="007627D7">
        <w:rPr>
          <w:lang w:eastAsia="en-US"/>
        </w:rPr>
        <w:t>In the course of the first quarter of 2016, the share of self-designations in international registrations designating the European Union had already dropped to 36.3</w:t>
      </w:r>
      <w:r w:rsidR="00EC29E0">
        <w:rPr>
          <w:lang w:eastAsia="en-US"/>
        </w:rPr>
        <w:t> </w:t>
      </w:r>
      <w:r w:rsidR="007627D7">
        <w:rPr>
          <w:lang w:eastAsia="en-US"/>
        </w:rPr>
        <w:t>per</w:t>
      </w:r>
      <w:r w:rsidR="00EC29E0">
        <w:rPr>
          <w:lang w:eastAsia="en-US"/>
        </w:rPr>
        <w:t> </w:t>
      </w:r>
      <w:r w:rsidR="007627D7">
        <w:rPr>
          <w:lang w:eastAsia="en-US"/>
        </w:rPr>
        <w:t>cent</w:t>
      </w:r>
      <w:r w:rsidR="006E0EFC">
        <w:rPr>
          <w:lang w:eastAsia="en-US"/>
        </w:rPr>
        <w:t>.</w:t>
      </w:r>
    </w:p>
    <w:p w:rsidR="003A1716" w:rsidRDefault="007627D7" w:rsidP="00E474B5">
      <w:pPr>
        <w:pStyle w:val="ONUME"/>
        <w:rPr>
          <w:lang w:eastAsia="en-US"/>
        </w:rPr>
      </w:pPr>
      <w:r>
        <w:rPr>
          <w:lang w:eastAsia="en-US"/>
        </w:rPr>
        <w:t xml:space="preserve">On the other hand, </w:t>
      </w:r>
      <w:r w:rsidR="003A1716">
        <w:rPr>
          <w:lang w:eastAsia="en-US"/>
        </w:rPr>
        <w:t>the share of self-designations of Switzerland seems to be increasing</w:t>
      </w:r>
      <w:r>
        <w:rPr>
          <w:lang w:eastAsia="en-US"/>
        </w:rPr>
        <w:t xml:space="preserve"> (in 2014: </w:t>
      </w:r>
      <w:r w:rsidR="00EC29E0">
        <w:rPr>
          <w:lang w:eastAsia="en-US"/>
        </w:rPr>
        <w:t xml:space="preserve"> </w:t>
      </w:r>
      <w:r>
        <w:rPr>
          <w:lang w:eastAsia="en-US"/>
        </w:rPr>
        <w:t>30.2</w:t>
      </w:r>
      <w:r w:rsidR="00EC29E0">
        <w:rPr>
          <w:lang w:eastAsia="en-US"/>
        </w:rPr>
        <w:t> </w:t>
      </w:r>
      <w:r>
        <w:rPr>
          <w:lang w:eastAsia="en-US"/>
        </w:rPr>
        <w:t>per</w:t>
      </w:r>
      <w:r w:rsidR="00EC29E0">
        <w:rPr>
          <w:lang w:eastAsia="en-US"/>
        </w:rPr>
        <w:t> </w:t>
      </w:r>
      <w:r>
        <w:rPr>
          <w:lang w:eastAsia="en-US"/>
        </w:rPr>
        <w:t>cent</w:t>
      </w:r>
      <w:proofErr w:type="gramStart"/>
      <w:r w:rsidR="00CA23D0">
        <w:rPr>
          <w:lang w:eastAsia="en-US"/>
        </w:rPr>
        <w:t>;</w:t>
      </w:r>
      <w:r>
        <w:rPr>
          <w:lang w:eastAsia="en-US"/>
        </w:rPr>
        <w:t xml:space="preserve"> </w:t>
      </w:r>
      <w:r w:rsidR="00EC29E0">
        <w:rPr>
          <w:lang w:eastAsia="en-US"/>
        </w:rPr>
        <w:t xml:space="preserve"> </w:t>
      </w:r>
      <w:r>
        <w:rPr>
          <w:lang w:eastAsia="en-US"/>
        </w:rPr>
        <w:t>in</w:t>
      </w:r>
      <w:proofErr w:type="gramEnd"/>
      <w:r>
        <w:rPr>
          <w:lang w:eastAsia="en-US"/>
        </w:rPr>
        <w:t xml:space="preserve"> 2015</w:t>
      </w:r>
      <w:r w:rsidR="00EC29E0">
        <w:rPr>
          <w:lang w:eastAsia="en-US"/>
        </w:rPr>
        <w:t xml:space="preserve">: </w:t>
      </w:r>
      <w:r>
        <w:rPr>
          <w:lang w:eastAsia="en-US"/>
        </w:rPr>
        <w:t xml:space="preserve"> 34.7</w:t>
      </w:r>
      <w:r w:rsidR="00EC29E0">
        <w:rPr>
          <w:lang w:eastAsia="en-US"/>
        </w:rPr>
        <w:t> </w:t>
      </w:r>
      <w:r>
        <w:rPr>
          <w:lang w:eastAsia="en-US"/>
        </w:rPr>
        <w:t>per</w:t>
      </w:r>
      <w:r w:rsidR="00EC29E0">
        <w:rPr>
          <w:lang w:eastAsia="en-US"/>
        </w:rPr>
        <w:t> </w:t>
      </w:r>
      <w:r>
        <w:rPr>
          <w:lang w:eastAsia="en-US"/>
        </w:rPr>
        <w:t>cent and</w:t>
      </w:r>
      <w:r w:rsidR="00994186">
        <w:rPr>
          <w:lang w:eastAsia="en-US"/>
        </w:rPr>
        <w:t xml:space="preserve"> in the first quarter of 2016</w:t>
      </w:r>
      <w:r w:rsidR="00CA23D0">
        <w:rPr>
          <w:lang w:eastAsia="en-US"/>
        </w:rPr>
        <w:t>:</w:t>
      </w:r>
      <w:r w:rsidR="00EC29E0">
        <w:rPr>
          <w:lang w:eastAsia="en-US"/>
        </w:rPr>
        <w:t xml:space="preserve"> </w:t>
      </w:r>
      <w:r w:rsidR="00994186">
        <w:rPr>
          <w:lang w:eastAsia="en-US"/>
        </w:rPr>
        <w:t xml:space="preserve"> 39.2</w:t>
      </w:r>
      <w:r w:rsidR="00EC29E0">
        <w:rPr>
          <w:lang w:eastAsia="en-US"/>
        </w:rPr>
        <w:t> </w:t>
      </w:r>
      <w:r w:rsidR="00994186">
        <w:rPr>
          <w:lang w:eastAsia="en-US"/>
        </w:rPr>
        <w:t>per</w:t>
      </w:r>
      <w:r w:rsidR="00EC29E0">
        <w:rPr>
          <w:lang w:eastAsia="en-US"/>
        </w:rPr>
        <w:t> </w:t>
      </w:r>
      <w:r w:rsidR="00994186">
        <w:rPr>
          <w:lang w:eastAsia="en-US"/>
        </w:rPr>
        <w:t>cent.</w:t>
      </w:r>
      <w:r w:rsidR="009134BA">
        <w:rPr>
          <w:lang w:eastAsia="en-US"/>
        </w:rPr>
        <w:t>)</w:t>
      </w:r>
      <w:r w:rsidR="003A1716">
        <w:rPr>
          <w:lang w:eastAsia="en-US"/>
        </w:rPr>
        <w:t>.</w:t>
      </w:r>
    </w:p>
    <w:p w:rsidR="003A1716" w:rsidRDefault="003A1716" w:rsidP="00E474B5">
      <w:pPr>
        <w:pStyle w:val="ONUME"/>
        <w:rPr>
          <w:lang w:eastAsia="en-US"/>
        </w:rPr>
      </w:pPr>
      <w:r>
        <w:rPr>
          <w:lang w:eastAsia="en-US"/>
        </w:rPr>
        <w:t>As to new Contracting Parties, the share of self-designation</w:t>
      </w:r>
      <w:r w:rsidR="00CA23D0">
        <w:rPr>
          <w:lang w:eastAsia="en-US"/>
        </w:rPr>
        <w:t>s</w:t>
      </w:r>
      <w:r>
        <w:rPr>
          <w:lang w:eastAsia="en-US"/>
        </w:rPr>
        <w:t xml:space="preserve"> is very low.  In 2015, only 2.2</w:t>
      </w:r>
      <w:r w:rsidR="006E7EC6">
        <w:rPr>
          <w:lang w:eastAsia="en-US"/>
        </w:rPr>
        <w:t> </w:t>
      </w:r>
      <w:r>
        <w:rPr>
          <w:lang w:eastAsia="en-US"/>
        </w:rPr>
        <w:t>per</w:t>
      </w:r>
      <w:r w:rsidR="006E7EC6">
        <w:rPr>
          <w:lang w:eastAsia="en-US"/>
        </w:rPr>
        <w:t> </w:t>
      </w:r>
      <w:r>
        <w:rPr>
          <w:lang w:eastAsia="en-US"/>
        </w:rPr>
        <w:t>cent</w:t>
      </w:r>
      <w:r w:rsidRPr="003C3913">
        <w:rPr>
          <w:lang w:eastAsia="en-US"/>
        </w:rPr>
        <w:t xml:space="preserve"> </w:t>
      </w:r>
      <w:r>
        <w:rPr>
          <w:lang w:eastAsia="en-US"/>
        </w:rPr>
        <w:t>of designations of the United</w:t>
      </w:r>
      <w:r w:rsidR="006E7EC6">
        <w:rPr>
          <w:lang w:eastAsia="en-US"/>
        </w:rPr>
        <w:t> </w:t>
      </w:r>
      <w:r>
        <w:rPr>
          <w:lang w:eastAsia="en-US"/>
        </w:rPr>
        <w:t>States of</w:t>
      </w:r>
      <w:r w:rsidR="006E7EC6">
        <w:rPr>
          <w:lang w:eastAsia="en-US"/>
        </w:rPr>
        <w:t> </w:t>
      </w:r>
      <w:r>
        <w:rPr>
          <w:lang w:eastAsia="en-US"/>
        </w:rPr>
        <w:t>America, 0.7</w:t>
      </w:r>
      <w:r w:rsidR="006E7EC6">
        <w:rPr>
          <w:lang w:eastAsia="en-US"/>
        </w:rPr>
        <w:t> </w:t>
      </w:r>
      <w:r>
        <w:rPr>
          <w:lang w:eastAsia="en-US"/>
        </w:rPr>
        <w:t>per</w:t>
      </w:r>
      <w:r w:rsidR="006E7EC6">
        <w:rPr>
          <w:lang w:eastAsia="en-US"/>
        </w:rPr>
        <w:t> </w:t>
      </w:r>
      <w:r>
        <w:rPr>
          <w:lang w:eastAsia="en-US"/>
        </w:rPr>
        <w:t>cent</w:t>
      </w:r>
      <w:r w:rsidR="006E7EC6">
        <w:rPr>
          <w:lang w:eastAsia="en-US"/>
        </w:rPr>
        <w:t xml:space="preserve"> of</w:t>
      </w:r>
      <w:r w:rsidRPr="003C3913">
        <w:rPr>
          <w:lang w:eastAsia="en-US"/>
        </w:rPr>
        <w:t xml:space="preserve"> </w:t>
      </w:r>
      <w:r>
        <w:rPr>
          <w:lang w:eastAsia="en-US"/>
        </w:rPr>
        <w:t>designations of the Republic of</w:t>
      </w:r>
      <w:r w:rsidR="006E7EC6">
        <w:rPr>
          <w:lang w:eastAsia="en-US"/>
        </w:rPr>
        <w:t> </w:t>
      </w:r>
      <w:r>
        <w:rPr>
          <w:lang w:eastAsia="en-US"/>
        </w:rPr>
        <w:t>Korea, and 3.1</w:t>
      </w:r>
      <w:r w:rsidR="006E7EC6">
        <w:rPr>
          <w:lang w:eastAsia="en-US"/>
        </w:rPr>
        <w:t> </w:t>
      </w:r>
      <w:r>
        <w:rPr>
          <w:lang w:eastAsia="en-US"/>
        </w:rPr>
        <w:t>per</w:t>
      </w:r>
      <w:r w:rsidR="006E7EC6">
        <w:rPr>
          <w:lang w:eastAsia="en-US"/>
        </w:rPr>
        <w:t> </w:t>
      </w:r>
      <w:r>
        <w:rPr>
          <w:lang w:eastAsia="en-US"/>
        </w:rPr>
        <w:t>cent of designations of Japan were self-designations.</w:t>
      </w:r>
      <w:r w:rsidR="00A47838">
        <w:rPr>
          <w:lang w:eastAsia="en-US"/>
        </w:rPr>
        <w:t xml:space="preserve"> </w:t>
      </w:r>
      <w:r w:rsidR="006E7EC6">
        <w:rPr>
          <w:lang w:eastAsia="en-US"/>
        </w:rPr>
        <w:t xml:space="preserve"> </w:t>
      </w:r>
      <w:r>
        <w:rPr>
          <w:lang w:eastAsia="en-US"/>
        </w:rPr>
        <w:t>During the first three months of 2016, 0.9</w:t>
      </w:r>
      <w:r w:rsidR="006E7EC6">
        <w:rPr>
          <w:lang w:eastAsia="en-US"/>
        </w:rPr>
        <w:t> </w:t>
      </w:r>
      <w:r>
        <w:rPr>
          <w:lang w:eastAsia="en-US"/>
        </w:rPr>
        <w:t>per</w:t>
      </w:r>
      <w:r w:rsidR="006E7EC6">
        <w:rPr>
          <w:lang w:eastAsia="en-US"/>
        </w:rPr>
        <w:t> </w:t>
      </w:r>
      <w:r>
        <w:rPr>
          <w:lang w:eastAsia="en-US"/>
        </w:rPr>
        <w:t>cent of designations of the United</w:t>
      </w:r>
      <w:r w:rsidR="006E7EC6">
        <w:rPr>
          <w:lang w:eastAsia="en-US"/>
        </w:rPr>
        <w:t> </w:t>
      </w:r>
      <w:r>
        <w:rPr>
          <w:lang w:eastAsia="en-US"/>
        </w:rPr>
        <w:t>States of</w:t>
      </w:r>
      <w:r w:rsidR="006E7EC6">
        <w:rPr>
          <w:lang w:eastAsia="en-US"/>
        </w:rPr>
        <w:t> </w:t>
      </w:r>
      <w:r>
        <w:rPr>
          <w:lang w:eastAsia="en-US"/>
        </w:rPr>
        <w:t>America, and 3.4</w:t>
      </w:r>
      <w:r w:rsidR="006E7EC6">
        <w:rPr>
          <w:lang w:eastAsia="en-US"/>
        </w:rPr>
        <w:t> </w:t>
      </w:r>
      <w:r>
        <w:rPr>
          <w:lang w:eastAsia="en-US"/>
        </w:rPr>
        <w:t>per cent of designations of Japan were self-designations, whereas none of the designations of the Republic of Korea was a self-designation.</w:t>
      </w:r>
    </w:p>
    <w:p w:rsidR="006A6E43" w:rsidRDefault="004568C5" w:rsidP="00E474B5">
      <w:pPr>
        <w:pStyle w:val="ONUME"/>
      </w:pPr>
      <w:r>
        <w:rPr>
          <w:rFonts w:eastAsia="Times New Roman"/>
          <w:lang w:eastAsia="en-US"/>
        </w:rPr>
        <w:t>The decreasing share of self-designations of the European Union is largely explained by the increasing filing activity of the new Contracting Parties to the 1999</w:t>
      </w:r>
      <w:r w:rsidR="008211B8">
        <w:rPr>
          <w:rFonts w:eastAsia="Times New Roman"/>
          <w:lang w:eastAsia="en-US"/>
        </w:rPr>
        <w:t> </w:t>
      </w:r>
      <w:r>
        <w:rPr>
          <w:rFonts w:eastAsia="Times New Roman"/>
          <w:lang w:eastAsia="en-US"/>
        </w:rPr>
        <w:t>Act, which designate the European Union.</w:t>
      </w:r>
      <w:r>
        <w:t xml:space="preserve">  Thus, </w:t>
      </w:r>
      <w:r w:rsidRPr="000F215B">
        <w:t xml:space="preserve">the share of international registrations originating </w:t>
      </w:r>
      <w:r>
        <w:t>from within the E</w:t>
      </w:r>
      <w:r w:rsidR="008211B8">
        <w:t>uropean </w:t>
      </w:r>
      <w:r>
        <w:t>U</w:t>
      </w:r>
      <w:r w:rsidR="008211B8">
        <w:t>nion</w:t>
      </w:r>
      <w:r>
        <w:t xml:space="preserve"> </w:t>
      </w:r>
      <w:r w:rsidRPr="000F215B">
        <w:t>dropped</w:t>
      </w:r>
      <w:r>
        <w:t xml:space="preserve">, particularly in respect of Germany </w:t>
      </w:r>
      <w:r w:rsidRPr="000F215B">
        <w:t>(2014:</w:t>
      </w:r>
      <w:r w:rsidR="008211B8">
        <w:t xml:space="preserve"> </w:t>
      </w:r>
      <w:r w:rsidRPr="000F215B">
        <w:t xml:space="preserve"> 23.3</w:t>
      </w:r>
      <w:r w:rsidR="008211B8">
        <w:t> </w:t>
      </w:r>
      <w:r w:rsidRPr="000F215B">
        <w:t>per</w:t>
      </w:r>
      <w:r w:rsidR="008211B8">
        <w:t> </w:t>
      </w:r>
      <w:r w:rsidRPr="000F215B">
        <w:t>cent</w:t>
      </w:r>
      <w:proofErr w:type="gramStart"/>
      <w:r w:rsidRPr="000F215B">
        <w:t xml:space="preserve">; </w:t>
      </w:r>
      <w:r w:rsidR="008211B8">
        <w:t xml:space="preserve"> </w:t>
      </w:r>
      <w:r w:rsidRPr="000F215B">
        <w:t>2015</w:t>
      </w:r>
      <w:proofErr w:type="gramEnd"/>
      <w:r w:rsidRPr="000F215B">
        <w:t>:</w:t>
      </w:r>
      <w:r w:rsidR="008211B8">
        <w:t xml:space="preserve"> </w:t>
      </w:r>
      <w:r w:rsidRPr="000F215B">
        <w:t xml:space="preserve"> 16.3</w:t>
      </w:r>
      <w:r w:rsidR="008211B8">
        <w:t> </w:t>
      </w:r>
      <w:r w:rsidRPr="000F215B">
        <w:t>per</w:t>
      </w:r>
      <w:r w:rsidR="008211B8">
        <w:t> </w:t>
      </w:r>
      <w:r w:rsidRPr="000F215B">
        <w:t xml:space="preserve">cent; </w:t>
      </w:r>
      <w:r w:rsidR="008211B8">
        <w:t xml:space="preserve"> </w:t>
      </w:r>
      <w:r w:rsidRPr="000F215B">
        <w:t xml:space="preserve">2016: </w:t>
      </w:r>
      <w:r w:rsidR="008211B8">
        <w:t xml:space="preserve"> </w:t>
      </w:r>
      <w:r w:rsidRPr="000F215B">
        <w:t>12.6</w:t>
      </w:r>
      <w:r w:rsidR="008211B8">
        <w:t> </w:t>
      </w:r>
      <w:r w:rsidRPr="000F215B">
        <w:t>per</w:t>
      </w:r>
      <w:r w:rsidR="008211B8">
        <w:t> </w:t>
      </w:r>
      <w:r w:rsidRPr="000F215B">
        <w:t>cent</w:t>
      </w:r>
      <w:r>
        <w:t>), whilst</w:t>
      </w:r>
      <w:r w:rsidRPr="000F215B">
        <w:t xml:space="preserve"> </w:t>
      </w:r>
      <w:r>
        <w:t>the designation rate of the E</w:t>
      </w:r>
      <w:r w:rsidR="008211B8">
        <w:t xml:space="preserve">uropean </w:t>
      </w:r>
      <w:r>
        <w:t>U</w:t>
      </w:r>
      <w:r w:rsidR="008211B8">
        <w:t>nion</w:t>
      </w:r>
      <w:r>
        <w:t xml:space="preserve"> has remained stable (2014: </w:t>
      </w:r>
      <w:r w:rsidR="008211B8">
        <w:t xml:space="preserve"> </w:t>
      </w:r>
      <w:r>
        <w:t>75.7</w:t>
      </w:r>
      <w:r w:rsidR="008211B8">
        <w:t> </w:t>
      </w:r>
      <w:r>
        <w:t>per</w:t>
      </w:r>
      <w:r w:rsidR="008211B8">
        <w:t> </w:t>
      </w:r>
      <w:r>
        <w:t>cent;</w:t>
      </w:r>
      <w:r w:rsidR="008211B8">
        <w:t xml:space="preserve"> </w:t>
      </w:r>
      <w:r>
        <w:t xml:space="preserve"> 2015:</w:t>
      </w:r>
      <w:r w:rsidR="008211B8">
        <w:t xml:space="preserve"> </w:t>
      </w:r>
      <w:r>
        <w:t xml:space="preserve"> 74.8</w:t>
      </w:r>
      <w:r w:rsidR="008211B8">
        <w:t> per cent</w:t>
      </w:r>
      <w:r>
        <w:t xml:space="preserve">; </w:t>
      </w:r>
      <w:r w:rsidR="008211B8">
        <w:t xml:space="preserve"> </w:t>
      </w:r>
      <w:r>
        <w:t>2016:</w:t>
      </w:r>
      <w:r w:rsidR="008211B8">
        <w:t xml:space="preserve"> </w:t>
      </w:r>
      <w:r>
        <w:t xml:space="preserve"> 76.5</w:t>
      </w:r>
      <w:r w:rsidR="008211B8">
        <w:t> per cent</w:t>
      </w:r>
      <w:r>
        <w:t xml:space="preserve">; </w:t>
      </w:r>
      <w:r w:rsidR="008211B8">
        <w:t xml:space="preserve"> </w:t>
      </w:r>
      <w:r w:rsidRPr="000F215B">
        <w:t>refer to paragraphs</w:t>
      </w:r>
      <w:r w:rsidR="008211B8">
        <w:t> </w:t>
      </w:r>
      <w:r w:rsidRPr="000F215B">
        <w:t>7 to</w:t>
      </w:r>
      <w:r w:rsidR="008211B8">
        <w:t> </w:t>
      </w:r>
      <w:r w:rsidRPr="000F215B">
        <w:t>9</w:t>
      </w:r>
      <w:r w:rsidR="008211B8">
        <w:t xml:space="preserve"> and 13 to 15</w:t>
      </w:r>
      <w:r w:rsidRPr="000F215B">
        <w:t xml:space="preserve"> of the present document</w:t>
      </w:r>
      <w:r>
        <w:t>).</w:t>
      </w:r>
      <w:r w:rsidR="008211B8">
        <w:t xml:space="preserve"> </w:t>
      </w:r>
      <w:r>
        <w:t xml:space="preserve"> Conversely, the increasing share of self-designations of Switzerland may be partly explained by the increasing number of international registrations originating from Switzerland, which overtook Germany in 2015, combined to a gradual decline in its overall designation rate (2014: </w:t>
      </w:r>
      <w:r w:rsidR="008211B8">
        <w:t xml:space="preserve"> </w:t>
      </w:r>
      <w:r>
        <w:t>64.4</w:t>
      </w:r>
      <w:r w:rsidR="008211B8">
        <w:t> </w:t>
      </w:r>
      <w:r>
        <w:t>per</w:t>
      </w:r>
      <w:r w:rsidR="008211B8">
        <w:t> </w:t>
      </w:r>
      <w:r>
        <w:t>cent</w:t>
      </w:r>
      <w:proofErr w:type="gramStart"/>
      <w:r>
        <w:t xml:space="preserve">; </w:t>
      </w:r>
      <w:r w:rsidR="008211B8">
        <w:t xml:space="preserve"> </w:t>
      </w:r>
      <w:r>
        <w:t>2015</w:t>
      </w:r>
      <w:proofErr w:type="gramEnd"/>
      <w:r>
        <w:t xml:space="preserve">: </w:t>
      </w:r>
      <w:r w:rsidR="008211B8">
        <w:t xml:space="preserve"> </w:t>
      </w:r>
      <w:r>
        <w:t>46.9</w:t>
      </w:r>
      <w:r w:rsidR="008211B8">
        <w:t> per cent</w:t>
      </w:r>
      <w:r>
        <w:t xml:space="preserve">; </w:t>
      </w:r>
      <w:r w:rsidR="008211B8">
        <w:t xml:space="preserve"> </w:t>
      </w:r>
      <w:r>
        <w:t xml:space="preserve">2016: </w:t>
      </w:r>
      <w:r w:rsidR="008211B8">
        <w:t xml:space="preserve"> </w:t>
      </w:r>
      <w:r>
        <w:t>44.1</w:t>
      </w:r>
      <w:r w:rsidR="008211B8">
        <w:t> </w:t>
      </w:r>
      <w:r>
        <w:t>per</w:t>
      </w:r>
      <w:r w:rsidR="008211B8">
        <w:t> cent).</w:t>
      </w:r>
    </w:p>
    <w:p w:rsidR="003A1716" w:rsidRDefault="0030633C" w:rsidP="00E474B5">
      <w:pPr>
        <w:pStyle w:val="ONUME"/>
        <w:rPr>
          <w:noProof/>
        </w:rPr>
      </w:pPr>
      <w:r>
        <w:t>Furthermore, t</w:t>
      </w:r>
      <w:r w:rsidR="003A1716">
        <w:t>he low share of self-designations in international registrations designating the Republic of</w:t>
      </w:r>
      <w:r w:rsidR="001838F8">
        <w:t> </w:t>
      </w:r>
      <w:r w:rsidR="003A1716">
        <w:t>Korea may be explained by the high level of priority claims from an earlier filing at</w:t>
      </w:r>
      <w:r w:rsidR="001838F8">
        <w:t> </w:t>
      </w:r>
      <w:r w:rsidR="003A1716">
        <w:t>KIPO in those international registrations.</w:t>
      </w:r>
    </w:p>
    <w:p w:rsidR="007D549A" w:rsidRDefault="00316AD9" w:rsidP="001838F8">
      <w:pPr>
        <w:pStyle w:val="Heading2"/>
        <w:spacing w:before="480"/>
      </w:pPr>
      <w:r>
        <w:t>“</w:t>
      </w:r>
      <w:r w:rsidR="00324EDA">
        <w:t>DESIGNATION</w:t>
      </w:r>
      <w:r w:rsidR="005F75C9">
        <w:t xml:space="preserve"> </w:t>
      </w:r>
      <w:r>
        <w:t>-</w:t>
      </w:r>
      <w:r w:rsidR="00324EDA">
        <w:t>FAMILIES</w:t>
      </w:r>
      <w:r w:rsidR="005F75C9">
        <w:t>”</w:t>
      </w:r>
      <w:r w:rsidR="00AF173C">
        <w:t xml:space="preserve"> IN INTERNATIONAL REGISTRATIONS</w:t>
      </w:r>
    </w:p>
    <w:p w:rsidR="001838F8" w:rsidRPr="001838F8" w:rsidRDefault="001838F8" w:rsidP="001838F8"/>
    <w:p w:rsidR="00E11F61" w:rsidRPr="00E474B5" w:rsidRDefault="000C5D02" w:rsidP="00E474B5">
      <w:pPr>
        <w:pStyle w:val="ONUME"/>
      </w:pPr>
      <w:r w:rsidRPr="00E474B5">
        <w:t>Given the</w:t>
      </w:r>
      <w:r w:rsidR="00987FF9" w:rsidRPr="00E474B5">
        <w:t xml:space="preserve"> disappearance </w:t>
      </w:r>
      <w:r w:rsidRPr="00E474B5">
        <w:t xml:space="preserve">of </w:t>
      </w:r>
      <w:r w:rsidR="00C5426C" w:rsidRPr="00E474B5">
        <w:t>an</w:t>
      </w:r>
      <w:r w:rsidRPr="00E474B5">
        <w:t xml:space="preserve"> epicenter </w:t>
      </w:r>
      <w:r w:rsidR="00C5426C" w:rsidRPr="00E474B5">
        <w:t>in</w:t>
      </w:r>
      <w:r w:rsidRPr="00E474B5">
        <w:t xml:space="preserve"> the Hague System, which used to be </w:t>
      </w:r>
      <w:r w:rsidR="00987FF9" w:rsidRPr="00E474B5">
        <w:t xml:space="preserve">in </w:t>
      </w:r>
      <w:r w:rsidRPr="00E474B5">
        <w:t>Europe</w:t>
      </w:r>
      <w:r w:rsidR="00103505" w:rsidRPr="00E474B5">
        <w:t xml:space="preserve">, </w:t>
      </w:r>
      <w:r w:rsidR="00C5426C" w:rsidRPr="00E474B5">
        <w:t xml:space="preserve">in favor of a more spread-out coverage, </w:t>
      </w:r>
      <w:r w:rsidR="00103505" w:rsidRPr="00E474B5">
        <w:t>it may be worth taking a look at the recently formed “designation-families” in international registration</w:t>
      </w:r>
      <w:r w:rsidR="00AF173C" w:rsidRPr="00E474B5">
        <w:t>s</w:t>
      </w:r>
      <w:r w:rsidR="00103505" w:rsidRPr="00E474B5">
        <w:t>.</w:t>
      </w:r>
    </w:p>
    <w:p w:rsidR="003A4E8D" w:rsidRDefault="003A4E8D" w:rsidP="00CE2B39">
      <w:pPr>
        <w:pStyle w:val="ONUME"/>
        <w:numPr>
          <w:ilvl w:val="0"/>
          <w:numId w:val="0"/>
        </w:numPr>
      </w:pPr>
      <w:r>
        <w:rPr>
          <w:noProof/>
          <w:lang w:eastAsia="en-US"/>
        </w:rPr>
        <w:lastRenderedPageBreak/>
        <w:drawing>
          <wp:inline distT="0" distB="0" distL="0" distR="0" wp14:anchorId="7F257906" wp14:editId="5BA0E9B1">
            <wp:extent cx="2647785" cy="2957885"/>
            <wp:effectExtent l="0" t="0" r="19685" b="1397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E17DA">
        <w:tab/>
      </w:r>
      <w:r w:rsidR="00FE17DA">
        <w:rPr>
          <w:noProof/>
          <w:lang w:eastAsia="en-US"/>
        </w:rPr>
        <w:drawing>
          <wp:inline distT="0" distB="0" distL="0" distR="0" wp14:anchorId="47321792" wp14:editId="67BF27EF">
            <wp:extent cx="2743200" cy="2941982"/>
            <wp:effectExtent l="0" t="0" r="19050" b="1079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1F61" w:rsidRPr="00E474B5" w:rsidRDefault="00AF173C" w:rsidP="00E474B5">
      <w:pPr>
        <w:pStyle w:val="ONUME"/>
      </w:pPr>
      <w:r w:rsidRPr="00E474B5">
        <w:t>The first group of “designation-families”</w:t>
      </w:r>
      <w:r w:rsidR="00C519EC" w:rsidRPr="00E474B5">
        <w:t xml:space="preserve"> may be defined as the “Geo-European family</w:t>
      </w:r>
      <w:r w:rsidR="00663B29">
        <w:t>”</w:t>
      </w:r>
      <w:r w:rsidR="00C519EC" w:rsidRPr="00E474B5">
        <w:t>.  The most designated Contracting Parties in this group are the</w:t>
      </w:r>
      <w:r w:rsidR="002A4E15" w:rsidRPr="00E474B5">
        <w:t xml:space="preserve"> European Union</w:t>
      </w:r>
      <w:r w:rsidR="00C519EC" w:rsidRPr="00E474B5">
        <w:t>,</w:t>
      </w:r>
      <w:r w:rsidR="002A4E15" w:rsidRPr="00E474B5">
        <w:t xml:space="preserve"> Switzerland </w:t>
      </w:r>
      <w:r w:rsidR="00C519EC" w:rsidRPr="00E474B5">
        <w:t>and</w:t>
      </w:r>
      <w:r w:rsidR="002A4E15" w:rsidRPr="00E474B5">
        <w:t xml:space="preserve"> Turkey</w:t>
      </w:r>
      <w:r w:rsidR="00C519EC" w:rsidRPr="00E474B5">
        <w:t xml:space="preserve">.  In 2014, 2015 and during the first quarter of 2016, </w:t>
      </w:r>
      <w:r w:rsidR="00AC16B5" w:rsidRPr="00E474B5">
        <w:t xml:space="preserve">respectively, </w:t>
      </w:r>
      <w:r w:rsidR="00C519EC" w:rsidRPr="00E474B5">
        <w:t>663, 7</w:t>
      </w:r>
      <w:r w:rsidR="00B57BF3" w:rsidRPr="00E474B5">
        <w:t>32</w:t>
      </w:r>
      <w:r w:rsidR="00C519EC" w:rsidRPr="00E474B5">
        <w:t xml:space="preserve"> and 179</w:t>
      </w:r>
      <w:r w:rsidR="009B3876">
        <w:t> </w:t>
      </w:r>
      <w:r w:rsidR="00C519EC" w:rsidRPr="00E474B5">
        <w:t>international registrations contained designation</w:t>
      </w:r>
      <w:r w:rsidR="001C6977" w:rsidRPr="00E474B5">
        <w:t>s</w:t>
      </w:r>
      <w:r w:rsidR="00F85692" w:rsidRPr="00E474B5">
        <w:t>,</w:t>
      </w:r>
      <w:r w:rsidR="00C519EC" w:rsidRPr="00E474B5">
        <w:t xml:space="preserve"> </w:t>
      </w:r>
      <w:r w:rsidR="00F85692" w:rsidRPr="00E474B5">
        <w:t xml:space="preserve">at least, </w:t>
      </w:r>
      <w:r w:rsidR="00C519EC" w:rsidRPr="00E474B5">
        <w:t xml:space="preserve">of </w:t>
      </w:r>
      <w:r w:rsidR="001C6977" w:rsidRPr="00E474B5">
        <w:t xml:space="preserve">all </w:t>
      </w:r>
      <w:r w:rsidR="00C519EC" w:rsidRPr="00E474B5">
        <w:t>those three Contracting Parties.</w:t>
      </w:r>
      <w:r w:rsidR="00231B6F" w:rsidRPr="00E474B5">
        <w:t xml:space="preserve">  The average number of designs contained in such international registrations </w:t>
      </w:r>
      <w:r w:rsidR="00633069" w:rsidRPr="00E474B5">
        <w:t xml:space="preserve">by year, </w:t>
      </w:r>
      <w:r w:rsidR="00231B6F" w:rsidRPr="00E474B5">
        <w:t>w</w:t>
      </w:r>
      <w:r w:rsidR="001065EE" w:rsidRPr="00E474B5">
        <w:t>as</w:t>
      </w:r>
      <w:r w:rsidR="00231B6F" w:rsidRPr="00E474B5">
        <w:t xml:space="preserve"> 5.3, 5</w:t>
      </w:r>
      <w:r w:rsidR="00B57BF3" w:rsidRPr="00E474B5">
        <w:t>.1</w:t>
      </w:r>
      <w:r w:rsidR="00231B6F" w:rsidRPr="00E474B5">
        <w:t xml:space="preserve"> and 4.1, respectively.</w:t>
      </w:r>
    </w:p>
    <w:p w:rsidR="000E7A29" w:rsidRDefault="000E7A29" w:rsidP="00CE2B39">
      <w:pPr>
        <w:pStyle w:val="ONUME"/>
        <w:numPr>
          <w:ilvl w:val="0"/>
          <w:numId w:val="0"/>
        </w:numPr>
        <w:rPr>
          <w:lang w:eastAsia="en-US"/>
        </w:rPr>
      </w:pPr>
      <w:r>
        <w:rPr>
          <w:noProof/>
          <w:lang w:eastAsia="en-US"/>
        </w:rPr>
        <w:drawing>
          <wp:inline distT="0" distB="0" distL="0" distR="0" wp14:anchorId="554AF1DC" wp14:editId="372D7251">
            <wp:extent cx="3976968" cy="2857500"/>
            <wp:effectExtent l="0" t="0" r="2413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4186" w:rsidRPr="00E474B5" w:rsidRDefault="00435D97" w:rsidP="00E474B5">
      <w:pPr>
        <w:pStyle w:val="ONUME"/>
      </w:pPr>
      <w:r w:rsidRPr="00E474B5">
        <w:t xml:space="preserve">In </w:t>
      </w:r>
      <w:r w:rsidR="00793D0E" w:rsidRPr="00E474B5">
        <w:t xml:space="preserve">respect of </w:t>
      </w:r>
      <w:r w:rsidRPr="00E474B5">
        <w:t>the “Geo-European family”, the vast majority of international registrations w</w:t>
      </w:r>
      <w:r w:rsidR="00F255FA" w:rsidRPr="00E474B5">
        <w:t>ould seem to be</w:t>
      </w:r>
      <w:r w:rsidRPr="00E474B5">
        <w:t xml:space="preserve"> first filing</w:t>
      </w:r>
      <w:r w:rsidR="004E4238" w:rsidRPr="00E474B5">
        <w:t>s</w:t>
      </w:r>
      <w:r w:rsidRPr="00E474B5">
        <w:t>.  The share of priority claims in that family</w:t>
      </w:r>
      <w:r w:rsidR="00F255FA" w:rsidRPr="00E474B5">
        <w:t xml:space="preserve"> is low and stable</w:t>
      </w:r>
      <w:r w:rsidRPr="00E474B5">
        <w:t xml:space="preserve">, namely, </w:t>
      </w:r>
      <w:r w:rsidR="00357506" w:rsidRPr="00E474B5">
        <w:t>in 2014</w:t>
      </w:r>
      <w:r w:rsidR="00F255FA" w:rsidRPr="00E474B5">
        <w:t>,</w:t>
      </w:r>
      <w:r w:rsidR="00357506" w:rsidRPr="00E474B5">
        <w:t xml:space="preserve"> 13.3</w:t>
      </w:r>
      <w:r w:rsidR="00B51333">
        <w:t> </w:t>
      </w:r>
      <w:r w:rsidR="00357506" w:rsidRPr="00E474B5">
        <w:t>per</w:t>
      </w:r>
      <w:r w:rsidR="00B51333">
        <w:t> </w:t>
      </w:r>
      <w:r w:rsidR="00357506" w:rsidRPr="00E474B5">
        <w:t>cent</w:t>
      </w:r>
      <w:r w:rsidR="00B57BF3" w:rsidRPr="00E474B5">
        <w:t>, in 2015, 12.8</w:t>
      </w:r>
      <w:r w:rsidR="00B51333">
        <w:t> </w:t>
      </w:r>
      <w:r w:rsidR="00B57BF3" w:rsidRPr="00E474B5">
        <w:t>per</w:t>
      </w:r>
      <w:r w:rsidR="00B51333">
        <w:t> </w:t>
      </w:r>
      <w:r w:rsidR="00B57BF3" w:rsidRPr="00E474B5">
        <w:t xml:space="preserve">cent </w:t>
      </w:r>
      <w:r w:rsidRPr="00E474B5">
        <w:t>and</w:t>
      </w:r>
      <w:r w:rsidR="00357506" w:rsidRPr="00E474B5">
        <w:t>,</w:t>
      </w:r>
      <w:r w:rsidRPr="00E474B5">
        <w:t xml:space="preserve"> in the first quarter of 2016, 14.5</w:t>
      </w:r>
      <w:r w:rsidR="00B51333">
        <w:t> </w:t>
      </w:r>
      <w:r w:rsidRPr="00E474B5">
        <w:t>per</w:t>
      </w:r>
      <w:r w:rsidR="00B51333">
        <w:t> </w:t>
      </w:r>
      <w:r w:rsidRPr="00E474B5">
        <w:t xml:space="preserve">cent of </w:t>
      </w:r>
      <w:r w:rsidR="00633069" w:rsidRPr="00E474B5">
        <w:t xml:space="preserve">such </w:t>
      </w:r>
      <w:r w:rsidRPr="00E474B5">
        <w:t>international regis</w:t>
      </w:r>
      <w:r w:rsidR="004D1055" w:rsidRPr="00E474B5">
        <w:t>t</w:t>
      </w:r>
      <w:r w:rsidRPr="00E474B5">
        <w:t>rations</w:t>
      </w:r>
      <w:r w:rsidR="00357506" w:rsidRPr="00E474B5">
        <w:t xml:space="preserve"> </w:t>
      </w:r>
      <w:r w:rsidRPr="00E474B5">
        <w:t>contained a priority claim</w:t>
      </w:r>
      <w:r w:rsidR="00994186" w:rsidRPr="00E474B5">
        <w:t>.</w:t>
      </w:r>
    </w:p>
    <w:p w:rsidR="0091511A" w:rsidRDefault="00994186" w:rsidP="00CE2B39">
      <w:pPr>
        <w:pStyle w:val="ONUME"/>
        <w:numPr>
          <w:ilvl w:val="0"/>
          <w:numId w:val="0"/>
        </w:numPr>
        <w:rPr>
          <w:lang w:eastAsia="en-US"/>
        </w:rPr>
      </w:pPr>
      <w:r>
        <w:rPr>
          <w:noProof/>
          <w:lang w:eastAsia="en-US"/>
        </w:rPr>
        <w:lastRenderedPageBreak/>
        <w:drawing>
          <wp:inline distT="0" distB="0" distL="0" distR="0" wp14:anchorId="7FC01A1C" wp14:editId="07B6A19B">
            <wp:extent cx="2691442" cy="2907102"/>
            <wp:effectExtent l="0" t="0" r="13970" b="2667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A1546">
        <w:rPr>
          <w:lang w:eastAsia="en-US"/>
        </w:rPr>
        <w:tab/>
      </w:r>
      <w:r w:rsidR="009C70DB">
        <w:rPr>
          <w:noProof/>
          <w:lang w:eastAsia="en-US"/>
        </w:rPr>
        <w:drawing>
          <wp:inline distT="0" distB="0" distL="0" distR="0" wp14:anchorId="04626D56" wp14:editId="4F092E4B">
            <wp:extent cx="2786332" cy="2915728"/>
            <wp:effectExtent l="0" t="0" r="14605" b="18415"/>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E17DA">
        <w:rPr>
          <w:lang w:eastAsia="en-US"/>
        </w:rPr>
        <w:tab/>
      </w:r>
    </w:p>
    <w:p w:rsidR="002A0453" w:rsidRPr="00E474B5" w:rsidRDefault="001065EE" w:rsidP="00E474B5">
      <w:pPr>
        <w:pStyle w:val="ONUME"/>
      </w:pPr>
      <w:r w:rsidRPr="00E474B5">
        <w:t>The second group of “designation-families” may be defined as the “Asian-American family”</w:t>
      </w:r>
      <w:r w:rsidR="00E51807" w:rsidRPr="00E474B5">
        <w:t>, which could be construed to contain, in addition to Japan, the Republic of</w:t>
      </w:r>
      <w:r w:rsidR="00AD1BB9">
        <w:t> </w:t>
      </w:r>
      <w:r w:rsidR="00E51807" w:rsidRPr="00E474B5">
        <w:t>Korea and the United</w:t>
      </w:r>
      <w:r w:rsidR="00AD1BB9">
        <w:t> </w:t>
      </w:r>
      <w:r w:rsidR="00E51807" w:rsidRPr="00E474B5">
        <w:t>States of</w:t>
      </w:r>
      <w:r w:rsidR="00AD1BB9">
        <w:t> </w:t>
      </w:r>
      <w:r w:rsidR="00E51807" w:rsidRPr="00E474B5">
        <w:t>America, other Asian countries</w:t>
      </w:r>
      <w:r w:rsidR="005975BE" w:rsidRPr="00E474B5">
        <w:t xml:space="preserve"> frequently designated</w:t>
      </w:r>
      <w:r w:rsidR="00E51807" w:rsidRPr="00E474B5">
        <w:t>, such as Singapore</w:t>
      </w:r>
      <w:r w:rsidRPr="00E474B5">
        <w:t>.  The most designated Contracting Parties in this group are Japan, the Republic of</w:t>
      </w:r>
      <w:r w:rsidR="00AD1BB9">
        <w:t> </w:t>
      </w:r>
      <w:r w:rsidRPr="00E474B5">
        <w:t>Korea and the United</w:t>
      </w:r>
      <w:r w:rsidR="00AD1BB9">
        <w:t> </w:t>
      </w:r>
      <w:r w:rsidRPr="00E474B5">
        <w:t>States of</w:t>
      </w:r>
      <w:r w:rsidR="00AD1BB9">
        <w:t> </w:t>
      </w:r>
      <w:r w:rsidRPr="00E474B5">
        <w:t>America.</w:t>
      </w:r>
      <w:r w:rsidR="00AD1BB9">
        <w:t xml:space="preserve"> </w:t>
      </w:r>
      <w:r w:rsidR="001C6977" w:rsidRPr="00E474B5">
        <w:t xml:space="preserve"> In 2015 and in the first quarter of 2016, </w:t>
      </w:r>
      <w:r w:rsidR="00816F89" w:rsidRPr="00E474B5">
        <w:t xml:space="preserve">respectively, </w:t>
      </w:r>
      <w:r w:rsidR="001C6977" w:rsidRPr="00E474B5">
        <w:t>1</w:t>
      </w:r>
      <w:r w:rsidR="00B57BF3" w:rsidRPr="00E474B5">
        <w:t>81</w:t>
      </w:r>
      <w:r w:rsidR="001C6977" w:rsidRPr="00E474B5">
        <w:t xml:space="preserve"> and 44</w:t>
      </w:r>
      <w:r w:rsidR="00AD1BB9">
        <w:t> </w:t>
      </w:r>
      <w:r w:rsidR="001C6977" w:rsidRPr="00E474B5">
        <w:t>international registrations contained designations</w:t>
      </w:r>
      <w:r w:rsidR="00F85692" w:rsidRPr="00E474B5">
        <w:t>,</w:t>
      </w:r>
      <w:r w:rsidR="001C6977" w:rsidRPr="00E474B5">
        <w:t xml:space="preserve"> </w:t>
      </w:r>
      <w:r w:rsidR="00F85692" w:rsidRPr="00E474B5">
        <w:t xml:space="preserve">at least, </w:t>
      </w:r>
      <w:r w:rsidR="001C6977" w:rsidRPr="00E474B5">
        <w:t>of all those three Contracting Parties.</w:t>
      </w:r>
      <w:r w:rsidR="002B53AF" w:rsidRPr="00E474B5">
        <w:t xml:space="preserve"> </w:t>
      </w:r>
      <w:r w:rsidR="00AD1BB9">
        <w:t xml:space="preserve"> </w:t>
      </w:r>
      <w:r w:rsidR="002B53AF" w:rsidRPr="00E474B5">
        <w:t xml:space="preserve">The average number of designs contained in such international registrations </w:t>
      </w:r>
      <w:r w:rsidR="00F34522" w:rsidRPr="00E474B5">
        <w:t xml:space="preserve">by year, </w:t>
      </w:r>
      <w:r w:rsidR="002B53AF" w:rsidRPr="00E474B5">
        <w:t>was 1.8 and 1.5, respectively</w:t>
      </w:r>
      <w:r w:rsidR="00017A9F" w:rsidRPr="00E474B5">
        <w:t>.</w:t>
      </w:r>
    </w:p>
    <w:p w:rsidR="00017A9F" w:rsidRDefault="00017A9F" w:rsidP="00CE2B39">
      <w:pPr>
        <w:pStyle w:val="ONUME"/>
        <w:numPr>
          <w:ilvl w:val="0"/>
          <w:numId w:val="0"/>
        </w:numPr>
        <w:rPr>
          <w:lang w:eastAsia="en-US"/>
        </w:rPr>
      </w:pPr>
      <w:r>
        <w:rPr>
          <w:noProof/>
          <w:lang w:eastAsia="en-US"/>
        </w:rPr>
        <w:drawing>
          <wp:inline distT="0" distB="0" distL="0" distR="0" wp14:anchorId="44A0F657" wp14:editId="6E174FE7">
            <wp:extent cx="3992097" cy="2846293"/>
            <wp:effectExtent l="0" t="0" r="27940" b="1143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0453" w:rsidRPr="00E474B5" w:rsidRDefault="004E4238" w:rsidP="00E474B5">
      <w:pPr>
        <w:pStyle w:val="ONUME"/>
      </w:pPr>
      <w:r w:rsidRPr="00E474B5">
        <w:t xml:space="preserve">In 2015, in </w:t>
      </w:r>
      <w:r w:rsidR="00793D0E" w:rsidRPr="00E474B5">
        <w:t xml:space="preserve">respect of </w:t>
      </w:r>
      <w:r w:rsidRPr="00E474B5">
        <w:t xml:space="preserve">the “Asian-American family”, </w:t>
      </w:r>
      <w:r w:rsidR="00A13803" w:rsidRPr="00E474B5">
        <w:t>60</w:t>
      </w:r>
      <w:r w:rsidRPr="00E474B5">
        <w:t>.9</w:t>
      </w:r>
      <w:r w:rsidR="00AD1BB9">
        <w:t> </w:t>
      </w:r>
      <w:r w:rsidRPr="00E474B5">
        <w:t>per</w:t>
      </w:r>
      <w:r w:rsidR="00AD1BB9">
        <w:t> </w:t>
      </w:r>
      <w:r w:rsidRPr="00E474B5">
        <w:t>cent of international registrations contained a priority claim, and in the first quarter of 2016, that share was 45.5</w:t>
      </w:r>
      <w:r w:rsidR="00AD1BB9">
        <w:t> </w:t>
      </w:r>
      <w:r w:rsidRPr="00E474B5">
        <w:t>per</w:t>
      </w:r>
      <w:r w:rsidR="00AD1BB9">
        <w:t> </w:t>
      </w:r>
      <w:r w:rsidRPr="00E474B5">
        <w:t>cent.</w:t>
      </w:r>
    </w:p>
    <w:p w:rsidR="00A271CB" w:rsidRDefault="00A271CB">
      <w:pPr>
        <w:rPr>
          <w:bCs/>
          <w:iCs/>
          <w:caps/>
          <w:szCs w:val="28"/>
        </w:rPr>
      </w:pPr>
      <w:r>
        <w:br w:type="page"/>
      </w:r>
    </w:p>
    <w:p w:rsidR="00A1125A" w:rsidRDefault="00A1125A" w:rsidP="00AD1BB9">
      <w:pPr>
        <w:pStyle w:val="Heading2"/>
        <w:spacing w:before="480"/>
      </w:pPr>
      <w:r>
        <w:lastRenderedPageBreak/>
        <w:t>NEW “DESIGNATION-FAMILIES” FORMING</w:t>
      </w:r>
    </w:p>
    <w:p w:rsidR="00AD1BB9" w:rsidRPr="00AD1BB9" w:rsidRDefault="00AD1BB9" w:rsidP="00AD1BB9"/>
    <w:p w:rsidR="004D1055" w:rsidRPr="00A86AA2" w:rsidRDefault="008562CB" w:rsidP="00E474B5">
      <w:pPr>
        <w:pStyle w:val="ONUME"/>
        <w:rPr>
          <w:rFonts w:eastAsia="Times New Roman"/>
          <w:lang w:eastAsia="en-US"/>
        </w:rPr>
      </w:pPr>
      <w:r>
        <w:rPr>
          <w:lang w:eastAsia="en-US"/>
        </w:rPr>
        <w:t xml:space="preserve">Other “designation-families” may form in the future, for example, </w:t>
      </w:r>
      <w:r w:rsidR="006916FF">
        <w:rPr>
          <w:lang w:eastAsia="en-US"/>
        </w:rPr>
        <w:t xml:space="preserve">designations of, at least, </w:t>
      </w:r>
      <w:r>
        <w:rPr>
          <w:lang w:eastAsia="en-US"/>
        </w:rPr>
        <w:t>all</w:t>
      </w:r>
      <w:r w:rsidR="00AD1BB9">
        <w:rPr>
          <w:lang w:eastAsia="en-US"/>
        </w:rPr>
        <w:t xml:space="preserve"> of the</w:t>
      </w:r>
      <w:r>
        <w:rPr>
          <w:lang w:eastAsia="en-US"/>
        </w:rPr>
        <w:t xml:space="preserve"> </w:t>
      </w:r>
      <w:r w:rsidR="006916FF">
        <w:rPr>
          <w:lang w:eastAsia="en-US"/>
        </w:rPr>
        <w:t>above three Contracting Parties in the “</w:t>
      </w:r>
      <w:r w:rsidR="006916FF">
        <w:t>Asian-American family” and the European Union</w:t>
      </w:r>
      <w:r w:rsidR="000F4C45">
        <w:t>.</w:t>
      </w:r>
      <w:r w:rsidR="00D26246">
        <w:t xml:space="preserve">  </w:t>
      </w:r>
      <w:r w:rsidR="00E14367">
        <w:t xml:space="preserve">However, at present </w:t>
      </w:r>
      <w:r w:rsidR="003F22F8">
        <w:t xml:space="preserve">it </w:t>
      </w:r>
      <w:r w:rsidR="00E14367">
        <w:t xml:space="preserve">is too early to predict the filing strategies by users of </w:t>
      </w:r>
      <w:proofErr w:type="gramStart"/>
      <w:r w:rsidR="00E14367">
        <w:t>the</w:t>
      </w:r>
      <w:proofErr w:type="gramEnd"/>
      <w:r w:rsidR="00E14367">
        <w:t xml:space="preserve"> Hague System, which most likely will</w:t>
      </w:r>
      <w:r w:rsidR="00AD1BB9">
        <w:t xml:space="preserve"> only</w:t>
      </w:r>
      <w:r w:rsidR="00E14367">
        <w:t xml:space="preserve"> be </w:t>
      </w:r>
      <w:r w:rsidR="003F22F8">
        <w:t>visible</w:t>
      </w:r>
      <w:r w:rsidR="00E14367">
        <w:t xml:space="preserve"> in the coming years.</w:t>
      </w:r>
    </w:p>
    <w:p w:rsidR="00A86AA2" w:rsidRDefault="00A86AA2" w:rsidP="00AD1BB9">
      <w:pPr>
        <w:pStyle w:val="Heading1"/>
        <w:spacing w:before="480"/>
        <w:rPr>
          <w:lang w:eastAsia="en-US"/>
        </w:rPr>
      </w:pPr>
      <w:r w:rsidRPr="0011011B">
        <w:rPr>
          <w:lang w:eastAsia="en-US"/>
        </w:rPr>
        <w:t>V</w:t>
      </w:r>
      <w:r w:rsidR="00AD1BB9">
        <w:rPr>
          <w:lang w:eastAsia="en-US"/>
        </w:rPr>
        <w:t>.</w:t>
      </w:r>
      <w:r w:rsidR="00AD1BB9">
        <w:rPr>
          <w:lang w:eastAsia="en-US"/>
        </w:rPr>
        <w:tab/>
      </w:r>
      <w:r w:rsidR="00842770" w:rsidRPr="009877C4">
        <w:rPr>
          <w:lang w:eastAsia="en-US"/>
        </w:rPr>
        <w:t>FURTHER CONSIDERATIONS</w:t>
      </w:r>
    </w:p>
    <w:p w:rsidR="00AD1BB9" w:rsidRPr="00AD1BB9" w:rsidRDefault="00AD1BB9" w:rsidP="00AD1BB9">
      <w:pPr>
        <w:rPr>
          <w:lang w:eastAsia="en-US"/>
        </w:rPr>
      </w:pPr>
    </w:p>
    <w:p w:rsidR="00E802D0" w:rsidRPr="00E474B5" w:rsidRDefault="00E802D0" w:rsidP="00E474B5">
      <w:pPr>
        <w:pStyle w:val="ONUME"/>
      </w:pPr>
      <w:r w:rsidRPr="00E474B5">
        <w:t xml:space="preserve">Following the recent and forthcoming accessions </w:t>
      </w:r>
      <w:r w:rsidR="00793D0E" w:rsidRPr="00E474B5">
        <w:t xml:space="preserve">to </w:t>
      </w:r>
      <w:proofErr w:type="gramStart"/>
      <w:r w:rsidR="00793D0E" w:rsidRPr="00E474B5">
        <w:t>the</w:t>
      </w:r>
      <w:proofErr w:type="gramEnd"/>
      <w:r w:rsidR="00793D0E" w:rsidRPr="00E474B5">
        <w:t xml:space="preserve"> Hague System </w:t>
      </w:r>
      <w:r w:rsidRPr="00E474B5">
        <w:t>of some of the biggest trade areas in the world, more time will be needed to digest the growth and incr</w:t>
      </w:r>
      <w:r w:rsidR="00AD1BB9">
        <w:t>eased complexity of the system.</w:t>
      </w:r>
    </w:p>
    <w:p w:rsidR="00E14367" w:rsidRDefault="00E14367" w:rsidP="00E474B5">
      <w:pPr>
        <w:pStyle w:val="ONUME"/>
        <w:rPr>
          <w:lang w:eastAsia="en-US"/>
        </w:rPr>
      </w:pPr>
      <w:r>
        <w:rPr>
          <w:lang w:eastAsia="en-US"/>
        </w:rPr>
        <w:t xml:space="preserve">It seems that, in response to the geographical expansion of the Hague System, users are adopting </w:t>
      </w:r>
      <w:r w:rsidR="00793D0E">
        <w:rPr>
          <w:lang w:eastAsia="en-US"/>
        </w:rPr>
        <w:t>different</w:t>
      </w:r>
      <w:r>
        <w:rPr>
          <w:lang w:eastAsia="en-US"/>
        </w:rPr>
        <w:t xml:space="preserve"> filing strategies,</w:t>
      </w:r>
      <w:r w:rsidDel="00BD1355">
        <w:rPr>
          <w:lang w:eastAsia="en-US"/>
        </w:rPr>
        <w:t xml:space="preserve"> </w:t>
      </w:r>
      <w:r>
        <w:rPr>
          <w:lang w:eastAsia="en-US"/>
        </w:rPr>
        <w:t>such as using</w:t>
      </w:r>
      <w:r w:rsidR="00793D0E">
        <w:rPr>
          <w:lang w:eastAsia="en-US"/>
        </w:rPr>
        <w:t xml:space="preserve"> </w:t>
      </w:r>
      <w:r>
        <w:rPr>
          <w:lang w:eastAsia="en-US"/>
        </w:rPr>
        <w:t>the international application</w:t>
      </w:r>
      <w:r w:rsidR="00AD1BB9">
        <w:rPr>
          <w:lang w:eastAsia="en-US"/>
        </w:rPr>
        <w:t xml:space="preserve"> less</w:t>
      </w:r>
      <w:r>
        <w:rPr>
          <w:lang w:eastAsia="en-US"/>
        </w:rPr>
        <w:t xml:space="preserve"> as a first filing</w:t>
      </w:r>
      <w:r w:rsidR="00302E87">
        <w:rPr>
          <w:lang w:eastAsia="en-US"/>
        </w:rPr>
        <w:t>,</w:t>
      </w:r>
      <w:r>
        <w:rPr>
          <w:lang w:eastAsia="en-US"/>
        </w:rPr>
        <w:t xml:space="preserve"> including fewer designs in international registrations or forming designation-families.</w:t>
      </w:r>
      <w:r w:rsidR="00AD1BB9">
        <w:rPr>
          <w:lang w:eastAsia="en-US"/>
        </w:rPr>
        <w:t xml:space="preserve"> </w:t>
      </w:r>
      <w:r>
        <w:rPr>
          <w:lang w:eastAsia="en-US"/>
        </w:rPr>
        <w:t xml:space="preserve"> </w:t>
      </w:r>
      <w:r w:rsidR="00152030">
        <w:rPr>
          <w:lang w:eastAsia="en-US"/>
        </w:rPr>
        <w:t>It appears that users of the system take into account the declarations made by the Contracting Parties, such as the declaration under Article</w:t>
      </w:r>
      <w:r w:rsidR="00AD1BB9">
        <w:rPr>
          <w:lang w:eastAsia="en-US"/>
        </w:rPr>
        <w:t> </w:t>
      </w:r>
      <w:r w:rsidR="00152030">
        <w:rPr>
          <w:lang w:eastAsia="en-US"/>
        </w:rPr>
        <w:t>13(1) of the 1999</w:t>
      </w:r>
      <w:r w:rsidR="00AD1BB9">
        <w:rPr>
          <w:lang w:eastAsia="en-US"/>
        </w:rPr>
        <w:t> </w:t>
      </w:r>
      <w:r w:rsidR="00152030">
        <w:rPr>
          <w:lang w:eastAsia="en-US"/>
        </w:rPr>
        <w:t>Act concerning unity of design, when filing international applications.</w:t>
      </w:r>
    </w:p>
    <w:p w:rsidR="00152030" w:rsidRDefault="00E802D0" w:rsidP="00E474B5">
      <w:pPr>
        <w:pStyle w:val="ONUME"/>
        <w:rPr>
          <w:lang w:eastAsia="en-US"/>
        </w:rPr>
      </w:pPr>
      <w:r>
        <w:rPr>
          <w:lang w:eastAsia="en-US"/>
        </w:rPr>
        <w:t>It goes without saying that, in addition to the declarations, the possibility of a refusal in a Contracting Party will impact the filing strategies by the users of the system.</w:t>
      </w:r>
      <w:r w:rsidR="00E14367">
        <w:rPr>
          <w:lang w:eastAsia="en-US"/>
        </w:rPr>
        <w:t xml:space="preserve"> </w:t>
      </w:r>
      <w:r w:rsidR="00AD1BB9">
        <w:rPr>
          <w:lang w:eastAsia="en-US"/>
        </w:rPr>
        <w:t xml:space="preserve"> </w:t>
      </w:r>
      <w:r w:rsidR="00E14367">
        <w:rPr>
          <w:lang w:eastAsia="en-US"/>
        </w:rPr>
        <w:t xml:space="preserve">In particular, the </w:t>
      </w:r>
      <w:r w:rsidR="00152030">
        <w:rPr>
          <w:lang w:eastAsia="en-US"/>
        </w:rPr>
        <w:t>expected increas</w:t>
      </w:r>
      <w:r w:rsidR="00BC7FAC">
        <w:rPr>
          <w:lang w:eastAsia="en-US"/>
        </w:rPr>
        <w:t>e</w:t>
      </w:r>
      <w:r w:rsidR="00152030">
        <w:rPr>
          <w:lang w:eastAsia="en-US"/>
        </w:rPr>
        <w:t xml:space="preserve"> </w:t>
      </w:r>
      <w:r w:rsidR="00BC7FAC">
        <w:rPr>
          <w:lang w:eastAsia="en-US"/>
        </w:rPr>
        <w:t>in the</w:t>
      </w:r>
      <w:r w:rsidR="00152030">
        <w:rPr>
          <w:lang w:eastAsia="en-US"/>
        </w:rPr>
        <w:t xml:space="preserve"> refusals to be issued by the Examining Offices, </w:t>
      </w:r>
      <w:r w:rsidR="00E14367">
        <w:rPr>
          <w:lang w:eastAsia="en-US"/>
        </w:rPr>
        <w:t xml:space="preserve">and </w:t>
      </w:r>
      <w:r w:rsidR="00152030">
        <w:rPr>
          <w:lang w:eastAsia="en-US"/>
        </w:rPr>
        <w:t xml:space="preserve">their </w:t>
      </w:r>
      <w:r w:rsidR="00E14367">
        <w:rPr>
          <w:lang w:eastAsia="en-US"/>
        </w:rPr>
        <w:t>grounds</w:t>
      </w:r>
      <w:r w:rsidR="00152030">
        <w:rPr>
          <w:lang w:eastAsia="en-US"/>
        </w:rPr>
        <w:t>,</w:t>
      </w:r>
      <w:r w:rsidR="00E14367">
        <w:rPr>
          <w:lang w:eastAsia="en-US"/>
        </w:rPr>
        <w:t xml:space="preserve"> will be closely monitored by the International Bureau.  </w:t>
      </w:r>
      <w:r w:rsidR="00152030">
        <w:rPr>
          <w:lang w:eastAsia="en-US"/>
        </w:rPr>
        <w:t xml:space="preserve">At the time of preparing the present document, </w:t>
      </w:r>
      <w:r w:rsidR="00BC7FAC">
        <w:rPr>
          <w:lang w:eastAsia="en-US"/>
        </w:rPr>
        <w:t xml:space="preserve">the number of refusals received from Examining Offices, other than KIPO, is too low to constitute a significant basis for the </w:t>
      </w:r>
      <w:r w:rsidR="00152030">
        <w:rPr>
          <w:rFonts w:eastAsia="Times New Roman"/>
          <w:lang w:eastAsia="en-US"/>
        </w:rPr>
        <w:t xml:space="preserve">analysis on refusal grounds. </w:t>
      </w:r>
      <w:r w:rsidR="00AD1BB9">
        <w:rPr>
          <w:rFonts w:eastAsia="Times New Roman"/>
          <w:lang w:eastAsia="en-US"/>
        </w:rPr>
        <w:t xml:space="preserve"> </w:t>
      </w:r>
      <w:r w:rsidR="00152030">
        <w:t>Given the increasing number of international registrations designating Contracting Parties with an Examining Office, the number of refusals issued by these Offices may well cor</w:t>
      </w:r>
      <w:r w:rsidR="00AD1BB9">
        <w:t>relate with their designations.</w:t>
      </w:r>
    </w:p>
    <w:p w:rsidR="00E01F9A" w:rsidRDefault="00152030" w:rsidP="00E474B5">
      <w:pPr>
        <w:pStyle w:val="ONUME"/>
        <w:rPr>
          <w:rFonts w:eastAsia="Times New Roman"/>
          <w:lang w:eastAsia="en-US"/>
        </w:rPr>
      </w:pPr>
      <w:r>
        <w:rPr>
          <w:lang w:eastAsia="en-US"/>
        </w:rPr>
        <w:t xml:space="preserve">Finally, it may take some years before </w:t>
      </w:r>
      <w:r w:rsidR="00771E3A">
        <w:rPr>
          <w:lang w:eastAsia="en-US"/>
        </w:rPr>
        <w:t xml:space="preserve">visible trends in </w:t>
      </w:r>
      <w:r>
        <w:rPr>
          <w:lang w:eastAsia="en-US"/>
        </w:rPr>
        <w:t xml:space="preserve">filing strategies under </w:t>
      </w:r>
      <w:proofErr w:type="gramStart"/>
      <w:r>
        <w:rPr>
          <w:lang w:eastAsia="en-US"/>
        </w:rPr>
        <w:t>the</w:t>
      </w:r>
      <w:proofErr w:type="gramEnd"/>
      <w:r>
        <w:rPr>
          <w:lang w:eastAsia="en-US"/>
        </w:rPr>
        <w:t xml:space="preserve"> Hague System </w:t>
      </w:r>
      <w:r w:rsidR="00771E3A">
        <w:rPr>
          <w:lang w:eastAsia="en-US"/>
        </w:rPr>
        <w:t xml:space="preserve">may </w:t>
      </w:r>
      <w:r w:rsidR="00E14367">
        <w:rPr>
          <w:lang w:eastAsia="en-US"/>
        </w:rPr>
        <w:t>be</w:t>
      </w:r>
      <w:r>
        <w:rPr>
          <w:lang w:eastAsia="en-US"/>
        </w:rPr>
        <w:t xml:space="preserve"> detected</w:t>
      </w:r>
      <w:r w:rsidR="00E14367">
        <w:rPr>
          <w:lang w:eastAsia="en-US"/>
        </w:rPr>
        <w:t>.</w:t>
      </w:r>
      <w:r>
        <w:rPr>
          <w:rFonts w:eastAsia="Times New Roman"/>
          <w:lang w:eastAsia="en-US"/>
        </w:rPr>
        <w:t xml:space="preserve"> </w:t>
      </w:r>
      <w:r w:rsidR="00AD1BB9">
        <w:rPr>
          <w:rFonts w:eastAsia="Times New Roman"/>
          <w:lang w:eastAsia="en-US"/>
        </w:rPr>
        <w:t xml:space="preserve"> </w:t>
      </w:r>
      <w:r w:rsidR="00E01F9A">
        <w:rPr>
          <w:rFonts w:eastAsia="Times New Roman"/>
          <w:lang w:eastAsia="en-US"/>
        </w:rPr>
        <w:t>The International Bureau</w:t>
      </w:r>
      <w:r w:rsidR="00842770">
        <w:rPr>
          <w:rFonts w:eastAsia="Times New Roman"/>
          <w:lang w:eastAsia="en-US"/>
        </w:rPr>
        <w:t xml:space="preserve"> will</w:t>
      </w:r>
      <w:r w:rsidR="00E01F9A">
        <w:rPr>
          <w:rFonts w:eastAsia="Times New Roman"/>
          <w:lang w:eastAsia="en-US"/>
        </w:rPr>
        <w:t xml:space="preserve"> continue to follow</w:t>
      </w:r>
      <w:r w:rsidR="00842770">
        <w:rPr>
          <w:rFonts w:eastAsia="Times New Roman"/>
          <w:lang w:eastAsia="en-US"/>
        </w:rPr>
        <w:t xml:space="preserve"> the</w:t>
      </w:r>
      <w:r w:rsidR="00771E3A">
        <w:rPr>
          <w:rFonts w:eastAsia="Times New Roman"/>
          <w:lang w:eastAsia="en-US"/>
        </w:rPr>
        <w:t>m</w:t>
      </w:r>
      <w:r>
        <w:rPr>
          <w:rFonts w:eastAsia="Times New Roman"/>
          <w:lang w:eastAsia="en-US"/>
        </w:rPr>
        <w:t>, and share its findings with the Working Group in its future sessions</w:t>
      </w:r>
      <w:r w:rsidR="00D832A8">
        <w:rPr>
          <w:rFonts w:eastAsia="Times New Roman"/>
          <w:lang w:eastAsia="en-US"/>
        </w:rPr>
        <w:t xml:space="preserve">. </w:t>
      </w:r>
      <w:r w:rsidR="00AD1BB9">
        <w:rPr>
          <w:rFonts w:eastAsia="Times New Roman"/>
          <w:lang w:eastAsia="en-US"/>
        </w:rPr>
        <w:t xml:space="preserve"> </w:t>
      </w:r>
      <w:r w:rsidR="00D832A8">
        <w:rPr>
          <w:rFonts w:eastAsia="Times New Roman"/>
          <w:lang w:eastAsia="en-US"/>
        </w:rPr>
        <w:t>There is still some distance to travel to have an overall look at the transformed Hague System and</w:t>
      </w:r>
      <w:r w:rsidR="00061C1C">
        <w:rPr>
          <w:rFonts w:eastAsia="Times New Roman"/>
          <w:lang w:eastAsia="en-US"/>
        </w:rPr>
        <w:t>,</w:t>
      </w:r>
      <w:r w:rsidR="00AD1BB9">
        <w:rPr>
          <w:rFonts w:eastAsia="Times New Roman"/>
          <w:lang w:eastAsia="en-US"/>
        </w:rPr>
        <w:t xml:space="preserve"> at</w:t>
      </w:r>
      <w:r w:rsidR="009877C4">
        <w:rPr>
          <w:rFonts w:eastAsia="Times New Roman"/>
          <w:lang w:eastAsia="en-US"/>
        </w:rPr>
        <w:t xml:space="preserve"> the cross roads</w:t>
      </w:r>
      <w:r w:rsidR="00061C1C">
        <w:rPr>
          <w:rFonts w:eastAsia="Times New Roman"/>
          <w:lang w:eastAsia="en-US"/>
        </w:rPr>
        <w:t>,</w:t>
      </w:r>
      <w:r w:rsidR="00352F5F">
        <w:rPr>
          <w:rFonts w:eastAsia="Times New Roman"/>
          <w:lang w:eastAsia="en-US"/>
        </w:rPr>
        <w:t xml:space="preserve"> </w:t>
      </w:r>
      <w:r w:rsidR="00061C1C">
        <w:rPr>
          <w:rFonts w:eastAsia="Times New Roman"/>
          <w:lang w:eastAsia="en-US"/>
        </w:rPr>
        <w:t xml:space="preserve">decide the </w:t>
      </w:r>
      <w:r w:rsidR="00D44760">
        <w:rPr>
          <w:rFonts w:eastAsia="Times New Roman"/>
          <w:lang w:eastAsia="en-US"/>
        </w:rPr>
        <w:t xml:space="preserve">future </w:t>
      </w:r>
      <w:r w:rsidR="00061C1C">
        <w:rPr>
          <w:rFonts w:eastAsia="Times New Roman"/>
          <w:lang w:eastAsia="en-US"/>
        </w:rPr>
        <w:t>direction</w:t>
      </w:r>
      <w:r w:rsidR="00D44760">
        <w:rPr>
          <w:rFonts w:eastAsia="Times New Roman"/>
          <w:lang w:eastAsia="en-US"/>
        </w:rPr>
        <w:t xml:space="preserve"> of the</w:t>
      </w:r>
      <w:r w:rsidR="00352F5F">
        <w:rPr>
          <w:rFonts w:eastAsia="Times New Roman"/>
          <w:lang w:eastAsia="en-US"/>
        </w:rPr>
        <w:t xml:space="preserve"> </w:t>
      </w:r>
      <w:r w:rsidR="00061C1C">
        <w:rPr>
          <w:rFonts w:eastAsia="Times New Roman"/>
          <w:lang w:eastAsia="en-US"/>
        </w:rPr>
        <w:t xml:space="preserve">Hague </w:t>
      </w:r>
      <w:r w:rsidR="00352F5F">
        <w:rPr>
          <w:rFonts w:eastAsia="Times New Roman"/>
          <w:lang w:eastAsia="en-US"/>
        </w:rPr>
        <w:t>highway</w:t>
      </w:r>
      <w:r w:rsidR="00D832A8">
        <w:rPr>
          <w:rFonts w:eastAsia="Times New Roman"/>
          <w:lang w:eastAsia="en-US"/>
        </w:rPr>
        <w:t>.</w:t>
      </w:r>
    </w:p>
    <w:p w:rsidR="00F60EB6" w:rsidRPr="00E474B5" w:rsidRDefault="00414306" w:rsidP="00E474B5">
      <w:pPr>
        <w:pStyle w:val="ONUME"/>
        <w:ind w:left="5533"/>
        <w:rPr>
          <w:i/>
        </w:rPr>
      </w:pPr>
      <w:r w:rsidRPr="00E474B5">
        <w:rPr>
          <w:i/>
        </w:rPr>
        <w:t xml:space="preserve">The Working Group is invited to </w:t>
      </w:r>
      <w:r w:rsidR="00A70385" w:rsidRPr="00E474B5">
        <w:rPr>
          <w:rFonts w:ascii="Arial,Italic" w:eastAsia="MS Mincho" w:hAnsi="Arial,Italic" w:cs="Arial,Italic"/>
          <w:i/>
          <w:iCs/>
          <w:szCs w:val="22"/>
          <w:lang w:eastAsia="en-US"/>
        </w:rPr>
        <w:t>take note of the information contained</w:t>
      </w:r>
      <w:r w:rsidRPr="00E474B5">
        <w:rPr>
          <w:rFonts w:ascii="Arial,Italic" w:eastAsia="MS Mincho" w:hAnsi="Arial,Italic" w:cs="Arial,Italic"/>
          <w:i/>
          <w:iCs/>
          <w:szCs w:val="22"/>
          <w:lang w:eastAsia="en-US"/>
        </w:rPr>
        <w:t xml:space="preserve"> in this document and comment on it.</w:t>
      </w:r>
    </w:p>
    <w:p w:rsidR="00F60EB6" w:rsidRPr="00E474B5" w:rsidRDefault="00F60EB6" w:rsidP="00E474B5">
      <w:pPr>
        <w:rPr>
          <w:rFonts w:eastAsia="Times New Roman"/>
        </w:rPr>
      </w:pPr>
    </w:p>
    <w:p w:rsidR="00C11040" w:rsidRPr="00E474B5" w:rsidRDefault="00C11040" w:rsidP="00E474B5"/>
    <w:p w:rsidR="00C11040" w:rsidRPr="00C11040" w:rsidRDefault="00C11040" w:rsidP="00CE2B39">
      <w:pPr>
        <w:pStyle w:val="ONUME"/>
        <w:numPr>
          <w:ilvl w:val="0"/>
          <w:numId w:val="0"/>
        </w:numPr>
        <w:ind w:left="5533"/>
      </w:pPr>
      <w:r>
        <w:t>[End of document]</w:t>
      </w:r>
    </w:p>
    <w:sectPr w:rsidR="00C11040" w:rsidRPr="00C11040" w:rsidSect="007F52D8">
      <w:headerReference w:type="default" r:id="rId29"/>
      <w:endnotePr>
        <w:numFmt w:val="decimal"/>
      </w:endnotePr>
      <w:pgSz w:w="11907" w:h="16840" w:code="9"/>
      <w:pgMar w:top="567" w:right="1134" w:bottom="1135"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1DD" w:rsidRDefault="008B11DD">
      <w:r>
        <w:separator/>
      </w:r>
    </w:p>
  </w:endnote>
  <w:endnote w:type="continuationSeparator" w:id="0">
    <w:p w:rsidR="008B11DD" w:rsidRDefault="008B11DD" w:rsidP="003B38C1">
      <w:r>
        <w:separator/>
      </w:r>
    </w:p>
    <w:p w:rsidR="008B11DD" w:rsidRPr="003B38C1" w:rsidRDefault="008B11DD" w:rsidP="003B38C1">
      <w:pPr>
        <w:spacing w:after="60"/>
        <w:rPr>
          <w:sz w:val="17"/>
        </w:rPr>
      </w:pPr>
      <w:r>
        <w:rPr>
          <w:sz w:val="17"/>
        </w:rPr>
        <w:t>[Endnote continued from previous page]</w:t>
      </w:r>
    </w:p>
  </w:endnote>
  <w:endnote w:type="continuationNotice" w:id="1">
    <w:p w:rsidR="008B11DD" w:rsidRPr="003B38C1" w:rsidRDefault="008B11D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1DD" w:rsidRDefault="008B11DD">
      <w:r>
        <w:separator/>
      </w:r>
    </w:p>
  </w:footnote>
  <w:footnote w:type="continuationSeparator" w:id="0">
    <w:p w:rsidR="008B11DD" w:rsidRDefault="008B11DD" w:rsidP="008B60B2">
      <w:r>
        <w:separator/>
      </w:r>
    </w:p>
    <w:p w:rsidR="008B11DD" w:rsidRPr="00ED77FB" w:rsidRDefault="008B11DD" w:rsidP="008B60B2">
      <w:pPr>
        <w:spacing w:after="60"/>
        <w:rPr>
          <w:sz w:val="17"/>
          <w:szCs w:val="17"/>
        </w:rPr>
      </w:pPr>
      <w:r w:rsidRPr="00ED77FB">
        <w:rPr>
          <w:sz w:val="17"/>
          <w:szCs w:val="17"/>
        </w:rPr>
        <w:t>[Footnote continued from previous page]</w:t>
      </w:r>
    </w:p>
  </w:footnote>
  <w:footnote w:type="continuationNotice" w:id="1">
    <w:p w:rsidR="008B11DD" w:rsidRPr="00ED77FB" w:rsidRDefault="008B11DD" w:rsidP="008B60B2">
      <w:pPr>
        <w:spacing w:before="60"/>
        <w:jc w:val="right"/>
        <w:rPr>
          <w:sz w:val="17"/>
          <w:szCs w:val="17"/>
        </w:rPr>
      </w:pPr>
      <w:r w:rsidRPr="00ED77FB">
        <w:rPr>
          <w:sz w:val="17"/>
          <w:szCs w:val="17"/>
        </w:rPr>
        <w:t>[Footnote continued on next page]</w:t>
      </w:r>
    </w:p>
  </w:footnote>
  <w:footnote w:id="2">
    <w:p w:rsidR="008B11DD" w:rsidRPr="00A97599" w:rsidRDefault="008B11DD" w:rsidP="00D04ECD">
      <w:pPr>
        <w:pStyle w:val="FootnoteText"/>
      </w:pPr>
      <w:r>
        <w:rPr>
          <w:rStyle w:val="FootnoteReference"/>
        </w:rPr>
        <w:footnoteRef/>
      </w:r>
      <w:r>
        <w:tab/>
        <w:t>Refer to</w:t>
      </w:r>
      <w:r w:rsidR="005B44D6" w:rsidRPr="005B44D6">
        <w:t xml:space="preserve"> http://www.wipo.int/hague/en/statistics/index.jsp</w:t>
      </w:r>
      <w:r w:rsidRPr="00D6749E">
        <w:rPr>
          <w:rStyle w:val="Hyperlink"/>
          <w:color w:val="auto"/>
          <w:u w:val="none"/>
        </w:rPr>
        <w:t>.</w:t>
      </w:r>
    </w:p>
  </w:footnote>
  <w:footnote w:id="3">
    <w:p w:rsidR="008B11DD" w:rsidRPr="00CF6FB0" w:rsidRDefault="008B11DD" w:rsidP="00E8751D">
      <w:pPr>
        <w:pStyle w:val="FootnoteText"/>
      </w:pPr>
      <w:r>
        <w:rPr>
          <w:rStyle w:val="FootnoteReference"/>
        </w:rPr>
        <w:footnoteRef/>
      </w:r>
      <w:r>
        <w:tab/>
        <w:t>The data used in the present document was extracted early April 2016.  Therefore, the total final number of international registrations with an international registration date in the first quarter of 2016 will increase as more international applications filed during that period and still pending on March 31, 2016, mature into registrations.</w:t>
      </w:r>
    </w:p>
  </w:footnote>
  <w:footnote w:id="4">
    <w:p w:rsidR="008B11DD" w:rsidRPr="00D6749E" w:rsidRDefault="008B11DD">
      <w:pPr>
        <w:pStyle w:val="FootnoteText"/>
        <w:rPr>
          <w:lang w:val="fr-CH"/>
        </w:rPr>
      </w:pPr>
      <w:r>
        <w:rPr>
          <w:rStyle w:val="FootnoteReference"/>
        </w:rPr>
        <w:footnoteRef/>
      </w:r>
      <w:r>
        <w:rPr>
          <w:lang w:val="fr-CH"/>
        </w:rPr>
        <w:tab/>
      </w:r>
      <w:r>
        <w:t>As a marginal note, it is remarked that during the first quarter of 2016, 1,130 international registrations have already been inscribed in the International Register but 378 of them have their international registration date (i.e., in most cases, the same as the filing date) in 2015.</w:t>
      </w:r>
    </w:p>
  </w:footnote>
  <w:footnote w:id="5">
    <w:p w:rsidR="008B11DD" w:rsidRPr="00E33F11" w:rsidRDefault="008B11DD" w:rsidP="009A2DA7">
      <w:pPr>
        <w:pStyle w:val="FootnoteText"/>
      </w:pPr>
      <w:r>
        <w:rPr>
          <w:rStyle w:val="FootnoteReference"/>
        </w:rPr>
        <w:footnoteRef/>
      </w:r>
      <w:r>
        <w:tab/>
        <w:t>It is noted that in the first quarter of 2016, out of the total number of 1,451 international applications filed, the top origins were the Republic of Korea (299), Switzerland (200), Germany (177), United States of America (118), France (113), Japan (73), the Netherlands (65), Italy (64), the United Kingdom (39) and Turkey (36).</w:t>
      </w:r>
    </w:p>
  </w:footnote>
  <w:footnote w:id="6">
    <w:p w:rsidR="008B11DD" w:rsidRPr="0095444F" w:rsidRDefault="008B11DD">
      <w:pPr>
        <w:pStyle w:val="FootnoteText"/>
      </w:pPr>
      <w:r>
        <w:rPr>
          <w:rStyle w:val="FootnoteReference"/>
        </w:rPr>
        <w:footnoteRef/>
      </w:r>
      <w:r>
        <w:tab/>
        <w:t xml:space="preserve">In respect of international applications filed in the first quarter of 2016, for a total of </w:t>
      </w:r>
      <w:r w:rsidRPr="00075663">
        <w:t>5,141</w:t>
      </w:r>
      <w:r>
        <w:t xml:space="preserve"> designs in international applications filed, the top origins were Germany (914),</w:t>
      </w:r>
      <w:r w:rsidRPr="00B44FC3">
        <w:t xml:space="preserve"> </w:t>
      </w:r>
      <w:r>
        <w:t>Switzerland (822), the United States of America (453), the Netherlands (436),</w:t>
      </w:r>
      <w:r w:rsidRPr="00B44FC3">
        <w:t xml:space="preserve"> </w:t>
      </w:r>
      <w:r>
        <w:t>the Republic of Korea (393), France (341), Italy (255),</w:t>
      </w:r>
      <w:r w:rsidRPr="00B44FC3">
        <w:t xml:space="preserve"> </w:t>
      </w:r>
      <w:r>
        <w:t>Japan (176), Turkey (156) and Austria (143).</w:t>
      </w:r>
    </w:p>
  </w:footnote>
  <w:footnote w:id="7">
    <w:p w:rsidR="008B11DD" w:rsidRPr="0086527E" w:rsidRDefault="008B11DD" w:rsidP="00D674B0">
      <w:pPr>
        <w:pStyle w:val="FootnoteText"/>
      </w:pPr>
      <w:r>
        <w:rPr>
          <w:rStyle w:val="FootnoteReference"/>
        </w:rPr>
        <w:footnoteRef/>
      </w:r>
      <w:r>
        <w:tab/>
      </w:r>
      <w:r w:rsidRPr="00B7403C">
        <w:rPr>
          <w:noProof/>
        </w:rPr>
        <w:t xml:space="preserve">Among the new Contracting Parties to the Hague System, </w:t>
      </w:r>
      <w:r>
        <w:rPr>
          <w:noProof/>
        </w:rPr>
        <w:t xml:space="preserve">both </w:t>
      </w:r>
      <w:r w:rsidRPr="00B7403C">
        <w:rPr>
          <w:noProof/>
        </w:rPr>
        <w:t>Japan and the United</w:t>
      </w:r>
      <w:r>
        <w:rPr>
          <w:noProof/>
        </w:rPr>
        <w:t> </w:t>
      </w:r>
      <w:r w:rsidRPr="00B7403C">
        <w:rPr>
          <w:noProof/>
        </w:rPr>
        <w:t>States of</w:t>
      </w:r>
      <w:r>
        <w:rPr>
          <w:noProof/>
        </w:rPr>
        <w:t> </w:t>
      </w:r>
      <w:r w:rsidRPr="00B7403C">
        <w:rPr>
          <w:noProof/>
        </w:rPr>
        <w:t>America have made a declaration concerning “unity of design” under Article</w:t>
      </w:r>
      <w:r>
        <w:rPr>
          <w:noProof/>
        </w:rPr>
        <w:t> </w:t>
      </w:r>
      <w:r w:rsidRPr="00B7403C">
        <w:rPr>
          <w:noProof/>
        </w:rPr>
        <w:t>13(1) of the 1999</w:t>
      </w:r>
      <w:r>
        <w:rPr>
          <w:noProof/>
        </w:rPr>
        <w:t> </w:t>
      </w:r>
      <w:r w:rsidRPr="00B7403C">
        <w:rPr>
          <w:noProof/>
        </w:rPr>
        <w:t xml:space="preserve">Act.  </w:t>
      </w:r>
      <w:r>
        <w:rPr>
          <w:noProof/>
        </w:rPr>
        <w:t xml:space="preserve">However, </w:t>
      </w:r>
      <w:r w:rsidRPr="00B7403C">
        <w:rPr>
          <w:noProof/>
        </w:rPr>
        <w:t>Japan has indicated to the International Bureau that the Japan Patent Office (JPO) will not issue refusals in accordance with Article</w:t>
      </w:r>
      <w:r>
        <w:rPr>
          <w:noProof/>
        </w:rPr>
        <w:t> </w:t>
      </w:r>
      <w:r w:rsidRPr="00B7403C">
        <w:rPr>
          <w:noProof/>
        </w:rPr>
        <w:t>13(2) of the 1999</w:t>
      </w:r>
      <w:r>
        <w:rPr>
          <w:noProof/>
        </w:rPr>
        <w:t> </w:t>
      </w:r>
      <w:r w:rsidRPr="00B7403C">
        <w:rPr>
          <w:noProof/>
        </w:rPr>
        <w:t xml:space="preserve">Act but will perform the division of an international registration containing multiple designs only at the </w:t>
      </w:r>
      <w:r>
        <w:rPr>
          <w:noProof/>
        </w:rPr>
        <w:t>O</w:t>
      </w:r>
      <w:r w:rsidRPr="00B7403C">
        <w:rPr>
          <w:noProof/>
        </w:rPr>
        <w:t>ffice l</w:t>
      </w:r>
      <w:r>
        <w:rPr>
          <w:noProof/>
        </w:rPr>
        <w:t>evel, for examination purposes.</w:t>
      </w:r>
    </w:p>
  </w:footnote>
  <w:footnote w:id="8">
    <w:p w:rsidR="008B11DD" w:rsidRPr="00630EE7" w:rsidRDefault="008B11DD" w:rsidP="00F21BCD">
      <w:pPr>
        <w:pStyle w:val="FootnoteText"/>
      </w:pPr>
      <w:r>
        <w:rPr>
          <w:rStyle w:val="FootnoteReference"/>
        </w:rPr>
        <w:footnoteRef/>
      </w:r>
      <w:r>
        <w:tab/>
      </w:r>
      <w:r w:rsidRPr="00B7403C">
        <w:rPr>
          <w:noProof/>
        </w:rPr>
        <w:t>It is to be noted that pursuant to Article</w:t>
      </w:r>
      <w:r>
        <w:rPr>
          <w:noProof/>
        </w:rPr>
        <w:t> </w:t>
      </w:r>
      <w:r w:rsidRPr="00B7403C">
        <w:rPr>
          <w:noProof/>
        </w:rPr>
        <w:t>13(1) of the 1999</w:t>
      </w:r>
      <w:r>
        <w:rPr>
          <w:noProof/>
        </w:rPr>
        <w:t> </w:t>
      </w:r>
      <w:r w:rsidRPr="00B7403C">
        <w:rPr>
          <w:noProof/>
        </w:rPr>
        <w:t>Act “no such declaration shall affect the right of an applicant to include two or more industrial designs in an international application in accordance with Article</w:t>
      </w:r>
      <w:r>
        <w:rPr>
          <w:noProof/>
        </w:rPr>
        <w:t> </w:t>
      </w:r>
      <w:r w:rsidRPr="00B7403C">
        <w:rPr>
          <w:noProof/>
        </w:rPr>
        <w:t>5(4), even it the application designates the Contracting Party that has made the declaration”.</w:t>
      </w:r>
    </w:p>
  </w:footnote>
  <w:footnote w:id="9">
    <w:p w:rsidR="008B11DD" w:rsidRPr="00E12A5D" w:rsidRDefault="008B11DD" w:rsidP="00220A2D">
      <w:pPr>
        <w:pStyle w:val="FootnoteText"/>
      </w:pPr>
      <w:r>
        <w:rPr>
          <w:rStyle w:val="FootnoteReference"/>
        </w:rPr>
        <w:footnoteRef/>
      </w:r>
      <w:r w:rsidR="00C535DA">
        <w:tab/>
      </w:r>
      <w:r w:rsidRPr="00163310">
        <w:t>In 2014, only two international registrations originated from Japan, one containing 3 designs, and the other 17.</w:t>
      </w:r>
    </w:p>
  </w:footnote>
  <w:footnote w:id="10">
    <w:p w:rsidR="008B11DD" w:rsidRPr="00B36DD6" w:rsidRDefault="008B11DD" w:rsidP="00432C91">
      <w:pPr>
        <w:pStyle w:val="FootnoteText"/>
      </w:pPr>
      <w:r>
        <w:rPr>
          <w:rStyle w:val="FootnoteReference"/>
        </w:rPr>
        <w:footnoteRef/>
      </w:r>
      <w:r w:rsidR="00C535DA">
        <w:tab/>
      </w:r>
      <w:r>
        <w:t xml:space="preserve">Whilst in the large majority of cases the priority claim is based on a national or regional first filing, there </w:t>
      </w:r>
      <w:proofErr w:type="gramStart"/>
      <w:r>
        <w:t>is</w:t>
      </w:r>
      <w:proofErr w:type="gramEnd"/>
      <w:r>
        <w:t xml:space="preserve"> also a limited number of cases where the first filing is another international application under the Hague System. </w:t>
      </w:r>
    </w:p>
  </w:footnote>
  <w:footnote w:id="11">
    <w:p w:rsidR="008B11DD" w:rsidRPr="00AD23A2" w:rsidRDefault="008B11DD" w:rsidP="00BC5E27">
      <w:pPr>
        <w:pStyle w:val="FootnoteText"/>
      </w:pPr>
      <w:r>
        <w:rPr>
          <w:rStyle w:val="FootnoteReference"/>
        </w:rPr>
        <w:footnoteRef/>
      </w:r>
      <w:r w:rsidR="00BC5E27">
        <w:tab/>
      </w:r>
      <w:r w:rsidRPr="007A0026">
        <w:t xml:space="preserve">None of the </w:t>
      </w:r>
      <w:r>
        <w:rPr>
          <w:noProof/>
        </w:rPr>
        <w:t>Contracting Parties to the 1999</w:t>
      </w:r>
      <w:r w:rsidR="00BC5E27">
        <w:rPr>
          <w:noProof/>
        </w:rPr>
        <w:t> </w:t>
      </w:r>
      <w:r>
        <w:rPr>
          <w:noProof/>
        </w:rPr>
        <w:t>Act has made a declaration under Article</w:t>
      </w:r>
      <w:r w:rsidR="00BC5E27">
        <w:rPr>
          <w:noProof/>
        </w:rPr>
        <w:t> </w:t>
      </w:r>
      <w:r>
        <w:rPr>
          <w:noProof/>
        </w:rPr>
        <w:t>14(3) of the 1999</w:t>
      </w:r>
      <w:r w:rsidR="00BC5E27">
        <w:rPr>
          <w:noProof/>
        </w:rPr>
        <w:t> </w:t>
      </w:r>
      <w:r>
        <w:rPr>
          <w:noProof/>
        </w:rPr>
        <w:t>Act prohibiting “self-designation”.</w:t>
      </w:r>
    </w:p>
  </w:footnote>
  <w:footnote w:id="12">
    <w:p w:rsidR="008B11DD" w:rsidRPr="00D6181E" w:rsidRDefault="008B11DD" w:rsidP="00BC5E27">
      <w:pPr>
        <w:pStyle w:val="FootnoteText"/>
      </w:pPr>
      <w:r>
        <w:rPr>
          <w:rStyle w:val="FootnoteReference"/>
        </w:rPr>
        <w:footnoteRef/>
      </w:r>
      <w:r w:rsidR="00BC5E27">
        <w:tab/>
      </w:r>
      <w:r>
        <w:t>For the sake of this document, “Geo-European Family” refers to European and its neighboring countries.</w:t>
      </w:r>
    </w:p>
  </w:footnote>
  <w:footnote w:id="13">
    <w:p w:rsidR="008B11DD" w:rsidRPr="00C14D8E" w:rsidRDefault="008B11DD" w:rsidP="006B1C7D">
      <w:pPr>
        <w:pStyle w:val="FootnoteText"/>
      </w:pPr>
      <w:r>
        <w:rPr>
          <w:rStyle w:val="FootnoteReference"/>
        </w:rPr>
        <w:footnoteRef/>
      </w:r>
      <w:r w:rsidR="002C5ADD">
        <w:tab/>
      </w:r>
      <w:r>
        <w:t xml:space="preserve">In accordance with Article 14 of the 1999 Act, the designation of the European Union in an international registration has the same effect as </w:t>
      </w:r>
      <w:r w:rsidRPr="005E07B6">
        <w:t>Registered Community Design</w:t>
      </w:r>
      <w:r>
        <w:t xml:space="preserve"> (RCD) in the territory of the European Union.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1DD" w:rsidRDefault="008B11DD" w:rsidP="002272F9">
    <w:pPr>
      <w:jc w:val="right"/>
    </w:pPr>
    <w:r>
      <w:t>H/LD/WG/6/5</w:t>
    </w:r>
  </w:p>
  <w:p w:rsidR="008B11DD" w:rsidRDefault="008B11DD" w:rsidP="002272F9">
    <w:pPr>
      <w:jc w:val="right"/>
    </w:pPr>
    <w:proofErr w:type="gramStart"/>
    <w:r>
      <w:t>page</w:t>
    </w:r>
    <w:proofErr w:type="gramEnd"/>
    <w:r>
      <w:t xml:space="preserve"> </w:t>
    </w:r>
    <w:r>
      <w:fldChar w:fldCharType="begin"/>
    </w:r>
    <w:r>
      <w:instrText xml:space="preserve"> PAGE  \* MERGEFORMAT </w:instrText>
    </w:r>
    <w:r>
      <w:fldChar w:fldCharType="separate"/>
    </w:r>
    <w:r w:rsidR="008C2C58">
      <w:rPr>
        <w:noProof/>
      </w:rPr>
      <w:t>19</w:t>
    </w:r>
    <w:r>
      <w:fldChar w:fldCharType="end"/>
    </w:r>
  </w:p>
  <w:p w:rsidR="008B11DD" w:rsidRDefault="008B11DD" w:rsidP="002272F9">
    <w:pPr>
      <w:jc w:val="right"/>
    </w:pPr>
  </w:p>
  <w:p w:rsidR="008B11DD" w:rsidRPr="002272F9" w:rsidRDefault="008B11DD" w:rsidP="002272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28C5B1D"/>
    <w:multiLevelType w:val="hybridMultilevel"/>
    <w:tmpl w:val="591C0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CD29E3"/>
    <w:multiLevelType w:val="multilevel"/>
    <w:tmpl w:val="ED988854"/>
    <w:lvl w:ilvl="0">
      <w:start w:val="1"/>
      <w:numFmt w:val="decimal"/>
      <w:lvlRestart w:val="0"/>
      <w:pStyle w:val="ONUME"/>
      <w:lvlText w:val="%1."/>
      <w:lvlJc w:val="left"/>
      <w:pPr>
        <w:tabs>
          <w:tab w:val="num" w:pos="1134"/>
        </w:tabs>
        <w:ind w:left="567" w:firstLine="0"/>
      </w:pPr>
      <w:rPr>
        <w:rFonts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
    <w:nsid w:val="169F744E"/>
    <w:multiLevelType w:val="hybridMultilevel"/>
    <w:tmpl w:val="25BE4146"/>
    <w:lvl w:ilvl="0" w:tplc="B6F681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C0D5D55"/>
    <w:multiLevelType w:val="hybridMultilevel"/>
    <w:tmpl w:val="7E028DD2"/>
    <w:lvl w:ilvl="0" w:tplc="0409000F">
      <w:start w:val="1"/>
      <w:numFmt w:val="decimal"/>
      <w:lvlText w:val="%1."/>
      <w:lvlJc w:val="left"/>
      <w:pPr>
        <w:ind w:left="8299" w:hanging="360"/>
      </w:pPr>
    </w:lvl>
    <w:lvl w:ilvl="1" w:tplc="04090019" w:tentative="1">
      <w:start w:val="1"/>
      <w:numFmt w:val="lowerLetter"/>
      <w:lvlText w:val="%2."/>
      <w:lvlJc w:val="left"/>
      <w:pPr>
        <w:ind w:left="9019" w:hanging="360"/>
      </w:pPr>
    </w:lvl>
    <w:lvl w:ilvl="2" w:tplc="0409001B" w:tentative="1">
      <w:start w:val="1"/>
      <w:numFmt w:val="lowerRoman"/>
      <w:lvlText w:val="%3."/>
      <w:lvlJc w:val="right"/>
      <w:pPr>
        <w:ind w:left="9739" w:hanging="180"/>
      </w:pPr>
    </w:lvl>
    <w:lvl w:ilvl="3" w:tplc="0409000F" w:tentative="1">
      <w:start w:val="1"/>
      <w:numFmt w:val="decimal"/>
      <w:lvlText w:val="%4."/>
      <w:lvlJc w:val="left"/>
      <w:pPr>
        <w:ind w:left="10459" w:hanging="360"/>
      </w:pPr>
    </w:lvl>
    <w:lvl w:ilvl="4" w:tplc="04090019" w:tentative="1">
      <w:start w:val="1"/>
      <w:numFmt w:val="lowerLetter"/>
      <w:lvlText w:val="%5."/>
      <w:lvlJc w:val="left"/>
      <w:pPr>
        <w:ind w:left="11179" w:hanging="360"/>
      </w:pPr>
    </w:lvl>
    <w:lvl w:ilvl="5" w:tplc="0409001B" w:tentative="1">
      <w:start w:val="1"/>
      <w:numFmt w:val="lowerRoman"/>
      <w:lvlText w:val="%6."/>
      <w:lvlJc w:val="right"/>
      <w:pPr>
        <w:ind w:left="11899" w:hanging="180"/>
      </w:pPr>
    </w:lvl>
    <w:lvl w:ilvl="6" w:tplc="0409000F" w:tentative="1">
      <w:start w:val="1"/>
      <w:numFmt w:val="decimal"/>
      <w:lvlText w:val="%7."/>
      <w:lvlJc w:val="left"/>
      <w:pPr>
        <w:ind w:left="12619" w:hanging="360"/>
      </w:pPr>
    </w:lvl>
    <w:lvl w:ilvl="7" w:tplc="04090019" w:tentative="1">
      <w:start w:val="1"/>
      <w:numFmt w:val="lowerLetter"/>
      <w:lvlText w:val="%8."/>
      <w:lvlJc w:val="left"/>
      <w:pPr>
        <w:ind w:left="13339" w:hanging="360"/>
      </w:pPr>
    </w:lvl>
    <w:lvl w:ilvl="8" w:tplc="0409001B" w:tentative="1">
      <w:start w:val="1"/>
      <w:numFmt w:val="lowerRoman"/>
      <w:lvlText w:val="%9."/>
      <w:lvlJc w:val="right"/>
      <w:pPr>
        <w:ind w:left="14059" w:hanging="180"/>
      </w:pPr>
    </w:lvl>
  </w:abstractNum>
  <w:abstractNum w:abstractNumId="6">
    <w:nsid w:val="1FA82F9F"/>
    <w:multiLevelType w:val="hybridMultilevel"/>
    <w:tmpl w:val="72689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20D70231"/>
    <w:multiLevelType w:val="hybridMultilevel"/>
    <w:tmpl w:val="90CE9FCC"/>
    <w:lvl w:ilvl="0" w:tplc="6E08A1E6">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B456E"/>
    <w:multiLevelType w:val="hybridMultilevel"/>
    <w:tmpl w:val="1E7E3172"/>
    <w:lvl w:ilvl="0" w:tplc="4304508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11591"/>
    <w:multiLevelType w:val="multilevel"/>
    <w:tmpl w:val="2D20A25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5670E26"/>
    <w:multiLevelType w:val="hybridMultilevel"/>
    <w:tmpl w:val="D24ADB12"/>
    <w:lvl w:ilvl="0" w:tplc="22382A5E">
      <w:start w:val="1"/>
      <w:numFmt w:val="lowerRoman"/>
      <w:pStyle w:val="indenti"/>
      <w:lvlText w:val="(%1)"/>
      <w:lvlJc w:val="right"/>
      <w:pPr>
        <w:tabs>
          <w:tab w:val="num" w:pos="1985"/>
        </w:tabs>
        <w:ind w:left="0" w:firstLine="170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C22BAF"/>
    <w:multiLevelType w:val="hybridMultilevel"/>
    <w:tmpl w:val="CCAEE014"/>
    <w:lvl w:ilvl="0" w:tplc="0409000F">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B45055"/>
    <w:multiLevelType w:val="hybridMultilevel"/>
    <w:tmpl w:val="0FD4A55A"/>
    <w:lvl w:ilvl="0" w:tplc="6E08A1E6">
      <w:start w:val="1"/>
      <w:numFmt w:val="bullet"/>
      <w:lvlText w:val="-"/>
      <w:lvlJc w:val="left"/>
      <w:pPr>
        <w:ind w:left="1890" w:hanging="360"/>
      </w:pPr>
      <w:rPr>
        <w:rFonts w:ascii="Times New Roman" w:hAnsi="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nsid w:val="2B905BE3"/>
    <w:multiLevelType w:val="hybridMultilevel"/>
    <w:tmpl w:val="9D240A94"/>
    <w:lvl w:ilvl="0" w:tplc="0409000F">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467991"/>
    <w:multiLevelType w:val="hybridMultilevel"/>
    <w:tmpl w:val="E5B614CA"/>
    <w:lvl w:ilvl="0" w:tplc="6936CE46">
      <w:numFmt w:val="bullet"/>
      <w:lvlText w:val=""/>
      <w:lvlJc w:val="left"/>
      <w:pPr>
        <w:ind w:left="1080" w:hanging="360"/>
      </w:pPr>
      <w:rPr>
        <w:rFonts w:ascii="Symbol" w:eastAsia="SimSu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F370312"/>
    <w:multiLevelType w:val="multilevel"/>
    <w:tmpl w:val="F82443D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3463AA9"/>
    <w:multiLevelType w:val="multilevel"/>
    <w:tmpl w:val="5B7C24E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F71C6A"/>
    <w:multiLevelType w:val="hybridMultilevel"/>
    <w:tmpl w:val="13063400"/>
    <w:lvl w:ilvl="0" w:tplc="AD52B9C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9B85CC7"/>
    <w:multiLevelType w:val="hybridMultilevel"/>
    <w:tmpl w:val="9418C36C"/>
    <w:lvl w:ilvl="0" w:tplc="36A01B50">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C10073"/>
    <w:multiLevelType w:val="hybridMultilevel"/>
    <w:tmpl w:val="BDBEB4F6"/>
    <w:lvl w:ilvl="0" w:tplc="6E08A1E6">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4B12D1"/>
    <w:multiLevelType w:val="hybridMultilevel"/>
    <w:tmpl w:val="1A6A9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6023C1"/>
    <w:multiLevelType w:val="hybridMultilevel"/>
    <w:tmpl w:val="A9804402"/>
    <w:lvl w:ilvl="0" w:tplc="8C90130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000544"/>
    <w:multiLevelType w:val="multilevel"/>
    <w:tmpl w:val="8216E6C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E424BF3"/>
    <w:multiLevelType w:val="hybridMultilevel"/>
    <w:tmpl w:val="01F676C6"/>
    <w:lvl w:ilvl="0" w:tplc="6E08A1E6">
      <w:start w:val="1"/>
      <w:numFmt w:val="bullet"/>
      <w:lvlText w:val="-"/>
      <w:lvlJc w:val="left"/>
      <w:pPr>
        <w:ind w:left="720" w:hanging="360"/>
      </w:pPr>
      <w:rPr>
        <w:rFonts w:ascii="Times New Roman" w:hAnsi="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642BBD"/>
    <w:multiLevelType w:val="multilevel"/>
    <w:tmpl w:val="382690D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33E0597"/>
    <w:multiLevelType w:val="hybridMultilevel"/>
    <w:tmpl w:val="8BAA626E"/>
    <w:lvl w:ilvl="0" w:tplc="E1A04250">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BE6FF5"/>
    <w:multiLevelType w:val="hybridMultilevel"/>
    <w:tmpl w:val="AC42D31E"/>
    <w:lvl w:ilvl="0" w:tplc="4304508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225CD1"/>
    <w:multiLevelType w:val="hybridMultilevel"/>
    <w:tmpl w:val="2E98F7CE"/>
    <w:lvl w:ilvl="0" w:tplc="B6FEE0CA">
      <w:numFmt w:val="bullet"/>
      <w:lvlText w:val=""/>
      <w:lvlJc w:val="left"/>
      <w:pPr>
        <w:ind w:left="720" w:hanging="360"/>
      </w:pPr>
      <w:rPr>
        <w:rFonts w:ascii="Symbol" w:eastAsia="SimSu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C943FD"/>
    <w:multiLevelType w:val="hybridMultilevel"/>
    <w:tmpl w:val="E89C6BD2"/>
    <w:lvl w:ilvl="0" w:tplc="2426074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FE7E09"/>
    <w:multiLevelType w:val="hybridMultilevel"/>
    <w:tmpl w:val="D1565B8A"/>
    <w:lvl w:ilvl="0" w:tplc="27EE45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7A146B"/>
    <w:multiLevelType w:val="hybridMultilevel"/>
    <w:tmpl w:val="E952ACF6"/>
    <w:lvl w:ilvl="0" w:tplc="4FD864E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9A2C81"/>
    <w:multiLevelType w:val="hybridMultilevel"/>
    <w:tmpl w:val="0D666840"/>
    <w:lvl w:ilvl="0" w:tplc="6E08A1E6">
      <w:start w:val="1"/>
      <w:numFmt w:val="bullet"/>
      <w:lvlText w:val="-"/>
      <w:lvlJc w:val="left"/>
      <w:pPr>
        <w:ind w:left="1890" w:hanging="360"/>
      </w:pPr>
      <w:rPr>
        <w:rFonts w:ascii="Times New Roman" w:hAnsi="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nsid w:val="70B46F5E"/>
    <w:multiLevelType w:val="hybridMultilevel"/>
    <w:tmpl w:val="6BC02AB4"/>
    <w:lvl w:ilvl="0" w:tplc="6E08A1E6">
      <w:start w:val="1"/>
      <w:numFmt w:val="bullet"/>
      <w:lvlText w:val="-"/>
      <w:lvlJc w:val="left"/>
      <w:pPr>
        <w:ind w:left="720" w:hanging="360"/>
      </w:pPr>
      <w:rPr>
        <w:rFonts w:ascii="Times New Roman" w:hAnsi="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21"/>
  </w:num>
  <w:num w:numId="5">
    <w:abstractNumId w:val="2"/>
  </w:num>
  <w:num w:numId="6">
    <w:abstractNumId w:val="7"/>
  </w:num>
  <w:num w:numId="7">
    <w:abstractNumId w:val="31"/>
  </w:num>
  <w:num w:numId="8">
    <w:abstractNumId w:val="24"/>
  </w:num>
  <w:num w:numId="9">
    <w:abstractNumId w:val="11"/>
    <w:lvlOverride w:ilvl="0">
      <w:startOverride w:val="1"/>
    </w:lvlOverride>
  </w:num>
  <w:num w:numId="10">
    <w:abstractNumId w:val="11"/>
    <w:lvlOverride w:ilvl="0">
      <w:startOverride w:val="1"/>
    </w:lvlOverride>
  </w:num>
  <w:num w:numId="11">
    <w:abstractNumId w:val="11"/>
  </w:num>
  <w:num w:numId="12">
    <w:abstractNumId w:val="33"/>
  </w:num>
  <w:num w:numId="13">
    <w:abstractNumId w:val="5"/>
  </w:num>
  <w:num w:numId="14">
    <w:abstractNumId w:val="34"/>
  </w:num>
  <w:num w:numId="15">
    <w:abstractNumId w:val="28"/>
  </w:num>
  <w:num w:numId="16">
    <w:abstractNumId w:val="6"/>
  </w:num>
  <w:num w:numId="17">
    <w:abstractNumId w:val="26"/>
  </w:num>
  <w:num w:numId="18">
    <w:abstractNumId w:val="35"/>
  </w:num>
  <w:num w:numId="19">
    <w:abstractNumId w:val="22"/>
  </w:num>
  <w:num w:numId="20">
    <w:abstractNumId w:val="13"/>
  </w:num>
  <w:num w:numId="21">
    <w:abstractNumId w:val="8"/>
  </w:num>
  <w:num w:numId="22">
    <w:abstractNumId w:val="27"/>
  </w:num>
  <w:num w:numId="23">
    <w:abstractNumId w:val="17"/>
  </w:num>
  <w:num w:numId="24">
    <w:abstractNumId w:val="18"/>
  </w:num>
  <w:num w:numId="25">
    <w:abstractNumId w:val="16"/>
  </w:num>
  <w:num w:numId="26">
    <w:abstractNumId w:val="25"/>
  </w:num>
  <w:num w:numId="27">
    <w:abstractNumId w:val="10"/>
  </w:num>
  <w:num w:numId="28">
    <w:abstractNumId w:val="30"/>
  </w:num>
  <w:num w:numId="29">
    <w:abstractNumId w:val="15"/>
  </w:num>
  <w:num w:numId="30">
    <w:abstractNumId w:val="20"/>
  </w:num>
  <w:num w:numId="31">
    <w:abstractNumId w:val="32"/>
  </w:num>
  <w:num w:numId="32">
    <w:abstractNumId w:val="3"/>
  </w:num>
  <w:num w:numId="33">
    <w:abstractNumId w:val="23"/>
  </w:num>
  <w:num w:numId="34">
    <w:abstractNumId w:val="9"/>
  </w:num>
  <w:num w:numId="35">
    <w:abstractNumId w:val="29"/>
  </w:num>
  <w:num w:numId="36">
    <w:abstractNumId w:val="14"/>
  </w:num>
  <w:num w:numId="37">
    <w:abstractNumId w:val="12"/>
  </w:num>
  <w:num w:numId="38">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abstractNumId w:val="1"/>
  </w:num>
  <w:num w:numId="40">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1">
    <w:abstractNumId w:val="1"/>
  </w:num>
  <w:num w:numId="42">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D53"/>
    <w:rsid w:val="00003E8C"/>
    <w:rsid w:val="00004020"/>
    <w:rsid w:val="00005CAA"/>
    <w:rsid w:val="000069F6"/>
    <w:rsid w:val="00006BC4"/>
    <w:rsid w:val="00006C0E"/>
    <w:rsid w:val="000070F3"/>
    <w:rsid w:val="00007C00"/>
    <w:rsid w:val="00007DD6"/>
    <w:rsid w:val="00012D78"/>
    <w:rsid w:val="00014C81"/>
    <w:rsid w:val="00016560"/>
    <w:rsid w:val="000173EA"/>
    <w:rsid w:val="00017A9F"/>
    <w:rsid w:val="000204FD"/>
    <w:rsid w:val="00021339"/>
    <w:rsid w:val="00022D2F"/>
    <w:rsid w:val="0002652C"/>
    <w:rsid w:val="000266E4"/>
    <w:rsid w:val="00026970"/>
    <w:rsid w:val="00027A73"/>
    <w:rsid w:val="000303CE"/>
    <w:rsid w:val="000307C9"/>
    <w:rsid w:val="000307CA"/>
    <w:rsid w:val="0003081E"/>
    <w:rsid w:val="0003295B"/>
    <w:rsid w:val="000340C2"/>
    <w:rsid w:val="00034CC4"/>
    <w:rsid w:val="00036B1A"/>
    <w:rsid w:val="000373CA"/>
    <w:rsid w:val="000403B2"/>
    <w:rsid w:val="000408DC"/>
    <w:rsid w:val="00042139"/>
    <w:rsid w:val="000426BE"/>
    <w:rsid w:val="000428A2"/>
    <w:rsid w:val="00042CC0"/>
    <w:rsid w:val="00043CAA"/>
    <w:rsid w:val="000454D3"/>
    <w:rsid w:val="00045AB6"/>
    <w:rsid w:val="0004617C"/>
    <w:rsid w:val="00046A16"/>
    <w:rsid w:val="00046FDA"/>
    <w:rsid w:val="00047EAC"/>
    <w:rsid w:val="000515CD"/>
    <w:rsid w:val="00051DC6"/>
    <w:rsid w:val="00052BF8"/>
    <w:rsid w:val="00057209"/>
    <w:rsid w:val="00057C7A"/>
    <w:rsid w:val="00060A92"/>
    <w:rsid w:val="00061C1C"/>
    <w:rsid w:val="00062652"/>
    <w:rsid w:val="00063B37"/>
    <w:rsid w:val="00064329"/>
    <w:rsid w:val="00066396"/>
    <w:rsid w:val="00067512"/>
    <w:rsid w:val="00070948"/>
    <w:rsid w:val="00070C9A"/>
    <w:rsid w:val="00070F2E"/>
    <w:rsid w:val="00071663"/>
    <w:rsid w:val="00072B95"/>
    <w:rsid w:val="00072F9A"/>
    <w:rsid w:val="0007307E"/>
    <w:rsid w:val="000736F5"/>
    <w:rsid w:val="00073B6A"/>
    <w:rsid w:val="00073E44"/>
    <w:rsid w:val="00074918"/>
    <w:rsid w:val="0007508A"/>
    <w:rsid w:val="00075432"/>
    <w:rsid w:val="00075663"/>
    <w:rsid w:val="00077109"/>
    <w:rsid w:val="0007733A"/>
    <w:rsid w:val="000808A3"/>
    <w:rsid w:val="00080F4C"/>
    <w:rsid w:val="00083849"/>
    <w:rsid w:val="00083AC0"/>
    <w:rsid w:val="00083B63"/>
    <w:rsid w:val="00084D95"/>
    <w:rsid w:val="00085EAD"/>
    <w:rsid w:val="000866CF"/>
    <w:rsid w:val="00087F11"/>
    <w:rsid w:val="0009017D"/>
    <w:rsid w:val="00090391"/>
    <w:rsid w:val="00090398"/>
    <w:rsid w:val="00090481"/>
    <w:rsid w:val="00092985"/>
    <w:rsid w:val="00093C51"/>
    <w:rsid w:val="0009428B"/>
    <w:rsid w:val="00095CAF"/>
    <w:rsid w:val="000968ED"/>
    <w:rsid w:val="00097FBA"/>
    <w:rsid w:val="000A0AEB"/>
    <w:rsid w:val="000A0CAE"/>
    <w:rsid w:val="000A2A49"/>
    <w:rsid w:val="000A3A1A"/>
    <w:rsid w:val="000A4074"/>
    <w:rsid w:val="000A41A9"/>
    <w:rsid w:val="000A45C4"/>
    <w:rsid w:val="000A45F2"/>
    <w:rsid w:val="000A6A02"/>
    <w:rsid w:val="000A7394"/>
    <w:rsid w:val="000A767C"/>
    <w:rsid w:val="000B0090"/>
    <w:rsid w:val="000B2E81"/>
    <w:rsid w:val="000B3E67"/>
    <w:rsid w:val="000B595E"/>
    <w:rsid w:val="000B5F43"/>
    <w:rsid w:val="000B6387"/>
    <w:rsid w:val="000B63F6"/>
    <w:rsid w:val="000B74C8"/>
    <w:rsid w:val="000B7A61"/>
    <w:rsid w:val="000C0CB8"/>
    <w:rsid w:val="000C2429"/>
    <w:rsid w:val="000C2929"/>
    <w:rsid w:val="000C29F5"/>
    <w:rsid w:val="000C2F50"/>
    <w:rsid w:val="000C31A8"/>
    <w:rsid w:val="000C34BF"/>
    <w:rsid w:val="000C38DA"/>
    <w:rsid w:val="000C41B6"/>
    <w:rsid w:val="000C4981"/>
    <w:rsid w:val="000C5D02"/>
    <w:rsid w:val="000C6017"/>
    <w:rsid w:val="000C78D7"/>
    <w:rsid w:val="000D0320"/>
    <w:rsid w:val="000D0576"/>
    <w:rsid w:val="000D0677"/>
    <w:rsid w:val="000D1E08"/>
    <w:rsid w:val="000D233F"/>
    <w:rsid w:val="000D3E2B"/>
    <w:rsid w:val="000D429C"/>
    <w:rsid w:val="000D4F3C"/>
    <w:rsid w:val="000D5529"/>
    <w:rsid w:val="000D628C"/>
    <w:rsid w:val="000D788E"/>
    <w:rsid w:val="000E0AF7"/>
    <w:rsid w:val="000E0FE2"/>
    <w:rsid w:val="000E3C03"/>
    <w:rsid w:val="000E3E12"/>
    <w:rsid w:val="000E74E6"/>
    <w:rsid w:val="000E7A29"/>
    <w:rsid w:val="000E7E8D"/>
    <w:rsid w:val="000E7EF0"/>
    <w:rsid w:val="000F1AE3"/>
    <w:rsid w:val="000F2C2E"/>
    <w:rsid w:val="000F379C"/>
    <w:rsid w:val="000F431A"/>
    <w:rsid w:val="000F456E"/>
    <w:rsid w:val="000F4C45"/>
    <w:rsid w:val="000F4E91"/>
    <w:rsid w:val="000F5E56"/>
    <w:rsid w:val="000F744F"/>
    <w:rsid w:val="001011C7"/>
    <w:rsid w:val="00101531"/>
    <w:rsid w:val="00102290"/>
    <w:rsid w:val="001030DE"/>
    <w:rsid w:val="00103505"/>
    <w:rsid w:val="0010355D"/>
    <w:rsid w:val="001046A6"/>
    <w:rsid w:val="001065EE"/>
    <w:rsid w:val="001100D8"/>
    <w:rsid w:val="0011011B"/>
    <w:rsid w:val="00114FE1"/>
    <w:rsid w:val="0011504D"/>
    <w:rsid w:val="00115BA2"/>
    <w:rsid w:val="00117A3D"/>
    <w:rsid w:val="00120303"/>
    <w:rsid w:val="00120533"/>
    <w:rsid w:val="001206A2"/>
    <w:rsid w:val="001207F8"/>
    <w:rsid w:val="00121236"/>
    <w:rsid w:val="001212E6"/>
    <w:rsid w:val="00122243"/>
    <w:rsid w:val="00122B8C"/>
    <w:rsid w:val="00123A4D"/>
    <w:rsid w:val="00124F15"/>
    <w:rsid w:val="00126150"/>
    <w:rsid w:val="00126BDE"/>
    <w:rsid w:val="00127386"/>
    <w:rsid w:val="001273B0"/>
    <w:rsid w:val="00130239"/>
    <w:rsid w:val="001304E5"/>
    <w:rsid w:val="00130712"/>
    <w:rsid w:val="00130F2A"/>
    <w:rsid w:val="0013477B"/>
    <w:rsid w:val="001348D4"/>
    <w:rsid w:val="00134A68"/>
    <w:rsid w:val="00135290"/>
    <w:rsid w:val="001362EE"/>
    <w:rsid w:val="001376C2"/>
    <w:rsid w:val="00140566"/>
    <w:rsid w:val="00140C73"/>
    <w:rsid w:val="001457F8"/>
    <w:rsid w:val="00145CF6"/>
    <w:rsid w:val="00145DCA"/>
    <w:rsid w:val="001464C5"/>
    <w:rsid w:val="00147F6A"/>
    <w:rsid w:val="00150630"/>
    <w:rsid w:val="00151E65"/>
    <w:rsid w:val="00152030"/>
    <w:rsid w:val="00152D39"/>
    <w:rsid w:val="00154BA9"/>
    <w:rsid w:val="00156449"/>
    <w:rsid w:val="00157209"/>
    <w:rsid w:val="00161FEE"/>
    <w:rsid w:val="00162E55"/>
    <w:rsid w:val="00163310"/>
    <w:rsid w:val="0016464F"/>
    <w:rsid w:val="00164D66"/>
    <w:rsid w:val="001657CC"/>
    <w:rsid w:val="001663CB"/>
    <w:rsid w:val="001664BF"/>
    <w:rsid w:val="00166600"/>
    <w:rsid w:val="00170BB7"/>
    <w:rsid w:val="00171997"/>
    <w:rsid w:val="001723DC"/>
    <w:rsid w:val="0017335C"/>
    <w:rsid w:val="00173F9E"/>
    <w:rsid w:val="00175B1D"/>
    <w:rsid w:val="00176587"/>
    <w:rsid w:val="00177537"/>
    <w:rsid w:val="001823C9"/>
    <w:rsid w:val="00182EB2"/>
    <w:rsid w:val="001832A6"/>
    <w:rsid w:val="001838F8"/>
    <w:rsid w:val="00184628"/>
    <w:rsid w:val="00185A0E"/>
    <w:rsid w:val="00187DE3"/>
    <w:rsid w:val="00190575"/>
    <w:rsid w:val="001917D0"/>
    <w:rsid w:val="00191946"/>
    <w:rsid w:val="001921A9"/>
    <w:rsid w:val="00193247"/>
    <w:rsid w:val="001960F1"/>
    <w:rsid w:val="00196804"/>
    <w:rsid w:val="001968D7"/>
    <w:rsid w:val="001969AB"/>
    <w:rsid w:val="00197B09"/>
    <w:rsid w:val="001A05FC"/>
    <w:rsid w:val="001A0A0E"/>
    <w:rsid w:val="001A15E2"/>
    <w:rsid w:val="001A181A"/>
    <w:rsid w:val="001A3451"/>
    <w:rsid w:val="001A50D8"/>
    <w:rsid w:val="001A6534"/>
    <w:rsid w:val="001B0C6A"/>
    <w:rsid w:val="001B11C3"/>
    <w:rsid w:val="001B1497"/>
    <w:rsid w:val="001B20F9"/>
    <w:rsid w:val="001B3BCC"/>
    <w:rsid w:val="001B4E16"/>
    <w:rsid w:val="001B601C"/>
    <w:rsid w:val="001C0478"/>
    <w:rsid w:val="001C0B1F"/>
    <w:rsid w:val="001C1A27"/>
    <w:rsid w:val="001C2B1A"/>
    <w:rsid w:val="001C3A3B"/>
    <w:rsid w:val="001C3CFB"/>
    <w:rsid w:val="001C444F"/>
    <w:rsid w:val="001C449C"/>
    <w:rsid w:val="001C5E35"/>
    <w:rsid w:val="001C6977"/>
    <w:rsid w:val="001D021D"/>
    <w:rsid w:val="001D02D9"/>
    <w:rsid w:val="001D0789"/>
    <w:rsid w:val="001D208A"/>
    <w:rsid w:val="001D2962"/>
    <w:rsid w:val="001D2F78"/>
    <w:rsid w:val="001D40C3"/>
    <w:rsid w:val="001D50A7"/>
    <w:rsid w:val="001D6603"/>
    <w:rsid w:val="001D74DD"/>
    <w:rsid w:val="001D7E70"/>
    <w:rsid w:val="001E2613"/>
    <w:rsid w:val="001E28FA"/>
    <w:rsid w:val="001E38F6"/>
    <w:rsid w:val="001E5A70"/>
    <w:rsid w:val="001E7B84"/>
    <w:rsid w:val="001F1EF7"/>
    <w:rsid w:val="001F37F5"/>
    <w:rsid w:val="001F55F6"/>
    <w:rsid w:val="001F5C38"/>
    <w:rsid w:val="001F5FD0"/>
    <w:rsid w:val="001F71AD"/>
    <w:rsid w:val="001F71C4"/>
    <w:rsid w:val="00200046"/>
    <w:rsid w:val="00202288"/>
    <w:rsid w:val="002023C0"/>
    <w:rsid w:val="002033C3"/>
    <w:rsid w:val="00204174"/>
    <w:rsid w:val="00204E82"/>
    <w:rsid w:val="00204F40"/>
    <w:rsid w:val="00206266"/>
    <w:rsid w:val="002065BA"/>
    <w:rsid w:val="00206768"/>
    <w:rsid w:val="00206A7F"/>
    <w:rsid w:val="002104F6"/>
    <w:rsid w:val="002106CC"/>
    <w:rsid w:val="00211A84"/>
    <w:rsid w:val="00212CE4"/>
    <w:rsid w:val="00213425"/>
    <w:rsid w:val="0021626A"/>
    <w:rsid w:val="002169E3"/>
    <w:rsid w:val="002171B1"/>
    <w:rsid w:val="00217B7C"/>
    <w:rsid w:val="002200ED"/>
    <w:rsid w:val="00220618"/>
    <w:rsid w:val="00220A2D"/>
    <w:rsid w:val="002212D3"/>
    <w:rsid w:val="00221B02"/>
    <w:rsid w:val="00221BAA"/>
    <w:rsid w:val="00222D75"/>
    <w:rsid w:val="0022316C"/>
    <w:rsid w:val="002236D0"/>
    <w:rsid w:val="002253C0"/>
    <w:rsid w:val="00225886"/>
    <w:rsid w:val="00225891"/>
    <w:rsid w:val="002272F9"/>
    <w:rsid w:val="0022762E"/>
    <w:rsid w:val="00231B6F"/>
    <w:rsid w:val="00232649"/>
    <w:rsid w:val="00233349"/>
    <w:rsid w:val="00233508"/>
    <w:rsid w:val="00234102"/>
    <w:rsid w:val="00234B46"/>
    <w:rsid w:val="00234DD2"/>
    <w:rsid w:val="002350D8"/>
    <w:rsid w:val="002361C9"/>
    <w:rsid w:val="00236E84"/>
    <w:rsid w:val="002375A8"/>
    <w:rsid w:val="00237F8D"/>
    <w:rsid w:val="0024019A"/>
    <w:rsid w:val="002403EB"/>
    <w:rsid w:val="0024152D"/>
    <w:rsid w:val="00241BE6"/>
    <w:rsid w:val="0024268A"/>
    <w:rsid w:val="002439DA"/>
    <w:rsid w:val="00243B79"/>
    <w:rsid w:val="00244FE1"/>
    <w:rsid w:val="00245AC0"/>
    <w:rsid w:val="00245FAC"/>
    <w:rsid w:val="00247A8E"/>
    <w:rsid w:val="00247C48"/>
    <w:rsid w:val="00250556"/>
    <w:rsid w:val="002518D4"/>
    <w:rsid w:val="002545B7"/>
    <w:rsid w:val="00254FC2"/>
    <w:rsid w:val="0025759D"/>
    <w:rsid w:val="00257F44"/>
    <w:rsid w:val="00260F30"/>
    <w:rsid w:val="0026226C"/>
    <w:rsid w:val="002634C4"/>
    <w:rsid w:val="00263523"/>
    <w:rsid w:val="00264448"/>
    <w:rsid w:val="00264A98"/>
    <w:rsid w:val="00266B33"/>
    <w:rsid w:val="0026747D"/>
    <w:rsid w:val="00270863"/>
    <w:rsid w:val="00271EB7"/>
    <w:rsid w:val="002725F5"/>
    <w:rsid w:val="00272D02"/>
    <w:rsid w:val="00273349"/>
    <w:rsid w:val="00273B65"/>
    <w:rsid w:val="00273D41"/>
    <w:rsid w:val="002745E8"/>
    <w:rsid w:val="00275B47"/>
    <w:rsid w:val="00277E02"/>
    <w:rsid w:val="002802C2"/>
    <w:rsid w:val="00282C01"/>
    <w:rsid w:val="002830BB"/>
    <w:rsid w:val="00283259"/>
    <w:rsid w:val="00285AC3"/>
    <w:rsid w:val="00285B64"/>
    <w:rsid w:val="00285C78"/>
    <w:rsid w:val="00285E1B"/>
    <w:rsid w:val="002873E6"/>
    <w:rsid w:val="00290900"/>
    <w:rsid w:val="002918E6"/>
    <w:rsid w:val="002928D3"/>
    <w:rsid w:val="00292C63"/>
    <w:rsid w:val="002967A1"/>
    <w:rsid w:val="002A0453"/>
    <w:rsid w:val="002A0C8D"/>
    <w:rsid w:val="002A336E"/>
    <w:rsid w:val="002A3655"/>
    <w:rsid w:val="002A4E15"/>
    <w:rsid w:val="002A57D8"/>
    <w:rsid w:val="002A6430"/>
    <w:rsid w:val="002A6F28"/>
    <w:rsid w:val="002B08C5"/>
    <w:rsid w:val="002B0AF9"/>
    <w:rsid w:val="002B17F4"/>
    <w:rsid w:val="002B1CDB"/>
    <w:rsid w:val="002B289D"/>
    <w:rsid w:val="002B3AEB"/>
    <w:rsid w:val="002B4224"/>
    <w:rsid w:val="002B44FE"/>
    <w:rsid w:val="002B53AF"/>
    <w:rsid w:val="002B54CE"/>
    <w:rsid w:val="002B6395"/>
    <w:rsid w:val="002B72C3"/>
    <w:rsid w:val="002C0242"/>
    <w:rsid w:val="002C0348"/>
    <w:rsid w:val="002C29D2"/>
    <w:rsid w:val="002C3131"/>
    <w:rsid w:val="002C36D7"/>
    <w:rsid w:val="002C4755"/>
    <w:rsid w:val="002C5075"/>
    <w:rsid w:val="002C5702"/>
    <w:rsid w:val="002C5ADD"/>
    <w:rsid w:val="002C6107"/>
    <w:rsid w:val="002C6722"/>
    <w:rsid w:val="002C6DC3"/>
    <w:rsid w:val="002D00B1"/>
    <w:rsid w:val="002D0EEC"/>
    <w:rsid w:val="002D1606"/>
    <w:rsid w:val="002D2E3F"/>
    <w:rsid w:val="002D33AE"/>
    <w:rsid w:val="002D3C86"/>
    <w:rsid w:val="002D4D2D"/>
    <w:rsid w:val="002D4F55"/>
    <w:rsid w:val="002D6177"/>
    <w:rsid w:val="002D6906"/>
    <w:rsid w:val="002D69AC"/>
    <w:rsid w:val="002D6E5F"/>
    <w:rsid w:val="002D79A1"/>
    <w:rsid w:val="002D7DE4"/>
    <w:rsid w:val="002E01A8"/>
    <w:rsid w:val="002E1BAB"/>
    <w:rsid w:val="002E332E"/>
    <w:rsid w:val="002E3407"/>
    <w:rsid w:val="002E3D27"/>
    <w:rsid w:val="002E5C95"/>
    <w:rsid w:val="002E5CFE"/>
    <w:rsid w:val="002F0313"/>
    <w:rsid w:val="002F0ACA"/>
    <w:rsid w:val="002F1020"/>
    <w:rsid w:val="002F1109"/>
    <w:rsid w:val="002F1999"/>
    <w:rsid w:val="002F1F64"/>
    <w:rsid w:val="002F1FE6"/>
    <w:rsid w:val="002F2046"/>
    <w:rsid w:val="002F227F"/>
    <w:rsid w:val="002F2353"/>
    <w:rsid w:val="002F30C8"/>
    <w:rsid w:val="002F334E"/>
    <w:rsid w:val="002F4515"/>
    <w:rsid w:val="002F4E68"/>
    <w:rsid w:val="002F62A9"/>
    <w:rsid w:val="002F72BC"/>
    <w:rsid w:val="002F7546"/>
    <w:rsid w:val="002F7F8D"/>
    <w:rsid w:val="00302E87"/>
    <w:rsid w:val="003044B6"/>
    <w:rsid w:val="003045AD"/>
    <w:rsid w:val="003046F0"/>
    <w:rsid w:val="00304D32"/>
    <w:rsid w:val="00305ACB"/>
    <w:rsid w:val="0030633C"/>
    <w:rsid w:val="00312F7F"/>
    <w:rsid w:val="00314F37"/>
    <w:rsid w:val="00315417"/>
    <w:rsid w:val="00316AD9"/>
    <w:rsid w:val="00316F94"/>
    <w:rsid w:val="0032013A"/>
    <w:rsid w:val="00321D97"/>
    <w:rsid w:val="003220AC"/>
    <w:rsid w:val="00323440"/>
    <w:rsid w:val="00324EDA"/>
    <w:rsid w:val="00326435"/>
    <w:rsid w:val="00326819"/>
    <w:rsid w:val="00327D81"/>
    <w:rsid w:val="00331912"/>
    <w:rsid w:val="003325F0"/>
    <w:rsid w:val="00332761"/>
    <w:rsid w:val="00332BC2"/>
    <w:rsid w:val="00336977"/>
    <w:rsid w:val="00337D2A"/>
    <w:rsid w:val="00340118"/>
    <w:rsid w:val="00340574"/>
    <w:rsid w:val="00341751"/>
    <w:rsid w:val="003426D6"/>
    <w:rsid w:val="0034351F"/>
    <w:rsid w:val="003446F8"/>
    <w:rsid w:val="00350A28"/>
    <w:rsid w:val="00350F88"/>
    <w:rsid w:val="00352775"/>
    <w:rsid w:val="00352B65"/>
    <w:rsid w:val="00352F5F"/>
    <w:rsid w:val="003546BE"/>
    <w:rsid w:val="003568BC"/>
    <w:rsid w:val="00357506"/>
    <w:rsid w:val="003578B7"/>
    <w:rsid w:val="0035792A"/>
    <w:rsid w:val="00360D4D"/>
    <w:rsid w:val="00361450"/>
    <w:rsid w:val="00361A7D"/>
    <w:rsid w:val="0036318A"/>
    <w:rsid w:val="0036463C"/>
    <w:rsid w:val="00364B61"/>
    <w:rsid w:val="00365494"/>
    <w:rsid w:val="003661F8"/>
    <w:rsid w:val="003663FE"/>
    <w:rsid w:val="00366BFE"/>
    <w:rsid w:val="003673CF"/>
    <w:rsid w:val="003679A8"/>
    <w:rsid w:val="003705EC"/>
    <w:rsid w:val="00370A1D"/>
    <w:rsid w:val="00370E14"/>
    <w:rsid w:val="00371718"/>
    <w:rsid w:val="0037345C"/>
    <w:rsid w:val="003742AB"/>
    <w:rsid w:val="00374AE1"/>
    <w:rsid w:val="00374DDB"/>
    <w:rsid w:val="00375282"/>
    <w:rsid w:val="00375F55"/>
    <w:rsid w:val="00376785"/>
    <w:rsid w:val="003771D4"/>
    <w:rsid w:val="003779F6"/>
    <w:rsid w:val="00381D17"/>
    <w:rsid w:val="003832C1"/>
    <w:rsid w:val="00384531"/>
    <w:rsid w:val="003845C1"/>
    <w:rsid w:val="00385242"/>
    <w:rsid w:val="0038590F"/>
    <w:rsid w:val="003922D3"/>
    <w:rsid w:val="00392DCB"/>
    <w:rsid w:val="00395F53"/>
    <w:rsid w:val="003974C2"/>
    <w:rsid w:val="003A04A0"/>
    <w:rsid w:val="003A07A2"/>
    <w:rsid w:val="003A1716"/>
    <w:rsid w:val="003A1CFF"/>
    <w:rsid w:val="003A21FE"/>
    <w:rsid w:val="003A3759"/>
    <w:rsid w:val="003A394E"/>
    <w:rsid w:val="003A3DFC"/>
    <w:rsid w:val="003A4E8D"/>
    <w:rsid w:val="003A5267"/>
    <w:rsid w:val="003A6D36"/>
    <w:rsid w:val="003A6F89"/>
    <w:rsid w:val="003A7103"/>
    <w:rsid w:val="003B38C1"/>
    <w:rsid w:val="003B42E9"/>
    <w:rsid w:val="003B4AD0"/>
    <w:rsid w:val="003B4AE4"/>
    <w:rsid w:val="003B54B1"/>
    <w:rsid w:val="003B568F"/>
    <w:rsid w:val="003B7036"/>
    <w:rsid w:val="003C1BBF"/>
    <w:rsid w:val="003C28E0"/>
    <w:rsid w:val="003C51FD"/>
    <w:rsid w:val="003C6503"/>
    <w:rsid w:val="003C688D"/>
    <w:rsid w:val="003D2BF8"/>
    <w:rsid w:val="003D4298"/>
    <w:rsid w:val="003D5C10"/>
    <w:rsid w:val="003D608A"/>
    <w:rsid w:val="003D6687"/>
    <w:rsid w:val="003D71F5"/>
    <w:rsid w:val="003E0062"/>
    <w:rsid w:val="003E02CA"/>
    <w:rsid w:val="003E0AFD"/>
    <w:rsid w:val="003E1503"/>
    <w:rsid w:val="003E1C56"/>
    <w:rsid w:val="003E264C"/>
    <w:rsid w:val="003E2DB4"/>
    <w:rsid w:val="003E3E1B"/>
    <w:rsid w:val="003E41C2"/>
    <w:rsid w:val="003E498A"/>
    <w:rsid w:val="003E62E6"/>
    <w:rsid w:val="003E6B1E"/>
    <w:rsid w:val="003F09ED"/>
    <w:rsid w:val="003F0DBC"/>
    <w:rsid w:val="003F1C5E"/>
    <w:rsid w:val="003F22F8"/>
    <w:rsid w:val="003F322D"/>
    <w:rsid w:val="003F3373"/>
    <w:rsid w:val="003F4079"/>
    <w:rsid w:val="003F6118"/>
    <w:rsid w:val="003F64F6"/>
    <w:rsid w:val="00401212"/>
    <w:rsid w:val="004013AD"/>
    <w:rsid w:val="004023BF"/>
    <w:rsid w:val="00402D55"/>
    <w:rsid w:val="00403104"/>
    <w:rsid w:val="00403772"/>
    <w:rsid w:val="00403EFC"/>
    <w:rsid w:val="004052FE"/>
    <w:rsid w:val="004064C6"/>
    <w:rsid w:val="004066BA"/>
    <w:rsid w:val="00411736"/>
    <w:rsid w:val="0041314D"/>
    <w:rsid w:val="00414306"/>
    <w:rsid w:val="00414C69"/>
    <w:rsid w:val="00415940"/>
    <w:rsid w:val="004168A9"/>
    <w:rsid w:val="00417EEE"/>
    <w:rsid w:val="00420370"/>
    <w:rsid w:val="00422C5C"/>
    <w:rsid w:val="00422E08"/>
    <w:rsid w:val="00423B2F"/>
    <w:rsid w:val="00423E3E"/>
    <w:rsid w:val="004260A0"/>
    <w:rsid w:val="00427AF4"/>
    <w:rsid w:val="00430473"/>
    <w:rsid w:val="00432BA3"/>
    <w:rsid w:val="00432C8C"/>
    <w:rsid w:val="00432C91"/>
    <w:rsid w:val="00432F96"/>
    <w:rsid w:val="00433BF9"/>
    <w:rsid w:val="004343D1"/>
    <w:rsid w:val="00434A70"/>
    <w:rsid w:val="00434DFB"/>
    <w:rsid w:val="00435B74"/>
    <w:rsid w:val="00435D97"/>
    <w:rsid w:val="004360F5"/>
    <w:rsid w:val="004364AC"/>
    <w:rsid w:val="004366D4"/>
    <w:rsid w:val="00437D17"/>
    <w:rsid w:val="00437F80"/>
    <w:rsid w:val="0044036B"/>
    <w:rsid w:val="00440F9C"/>
    <w:rsid w:val="0044285A"/>
    <w:rsid w:val="004431CF"/>
    <w:rsid w:val="00444DBD"/>
    <w:rsid w:val="00445019"/>
    <w:rsid w:val="00445748"/>
    <w:rsid w:val="0044637A"/>
    <w:rsid w:val="0044666F"/>
    <w:rsid w:val="00447CE0"/>
    <w:rsid w:val="00447F1A"/>
    <w:rsid w:val="00447F1F"/>
    <w:rsid w:val="00450DF7"/>
    <w:rsid w:val="00452608"/>
    <w:rsid w:val="004529BC"/>
    <w:rsid w:val="00452AEE"/>
    <w:rsid w:val="00453E9A"/>
    <w:rsid w:val="00454032"/>
    <w:rsid w:val="0045645B"/>
    <w:rsid w:val="004568BC"/>
    <w:rsid w:val="004568C5"/>
    <w:rsid w:val="00457521"/>
    <w:rsid w:val="00460DFE"/>
    <w:rsid w:val="0046190B"/>
    <w:rsid w:val="0046294F"/>
    <w:rsid w:val="00462B2E"/>
    <w:rsid w:val="004647DA"/>
    <w:rsid w:val="00464D5E"/>
    <w:rsid w:val="00464FEE"/>
    <w:rsid w:val="004652C8"/>
    <w:rsid w:val="00467201"/>
    <w:rsid w:val="00467B3E"/>
    <w:rsid w:val="00471BBE"/>
    <w:rsid w:val="0047209A"/>
    <w:rsid w:val="00472BD6"/>
    <w:rsid w:val="004730AC"/>
    <w:rsid w:val="00474062"/>
    <w:rsid w:val="0047407B"/>
    <w:rsid w:val="00475482"/>
    <w:rsid w:val="0047621C"/>
    <w:rsid w:val="00476385"/>
    <w:rsid w:val="004769C6"/>
    <w:rsid w:val="0047791E"/>
    <w:rsid w:val="00477D53"/>
    <w:rsid w:val="00477D6B"/>
    <w:rsid w:val="00477DA5"/>
    <w:rsid w:val="00481925"/>
    <w:rsid w:val="00481D97"/>
    <w:rsid w:val="00485DB6"/>
    <w:rsid w:val="00486453"/>
    <w:rsid w:val="00491553"/>
    <w:rsid w:val="00491EBC"/>
    <w:rsid w:val="004938A3"/>
    <w:rsid w:val="00494729"/>
    <w:rsid w:val="00494A94"/>
    <w:rsid w:val="00495ED7"/>
    <w:rsid w:val="00497276"/>
    <w:rsid w:val="00497369"/>
    <w:rsid w:val="00497B21"/>
    <w:rsid w:val="004A1093"/>
    <w:rsid w:val="004A2CC0"/>
    <w:rsid w:val="004A476C"/>
    <w:rsid w:val="004A6D02"/>
    <w:rsid w:val="004A74A2"/>
    <w:rsid w:val="004B0BE6"/>
    <w:rsid w:val="004B1A07"/>
    <w:rsid w:val="004B21ED"/>
    <w:rsid w:val="004B23F8"/>
    <w:rsid w:val="004B38A6"/>
    <w:rsid w:val="004B67C6"/>
    <w:rsid w:val="004C0060"/>
    <w:rsid w:val="004C21DF"/>
    <w:rsid w:val="004C260D"/>
    <w:rsid w:val="004C32F0"/>
    <w:rsid w:val="004C5D38"/>
    <w:rsid w:val="004C6524"/>
    <w:rsid w:val="004C7A56"/>
    <w:rsid w:val="004C7CC0"/>
    <w:rsid w:val="004D1055"/>
    <w:rsid w:val="004D12A0"/>
    <w:rsid w:val="004D1DD3"/>
    <w:rsid w:val="004D1E55"/>
    <w:rsid w:val="004D3D19"/>
    <w:rsid w:val="004D4844"/>
    <w:rsid w:val="004D5401"/>
    <w:rsid w:val="004D63B7"/>
    <w:rsid w:val="004D64B3"/>
    <w:rsid w:val="004D6D69"/>
    <w:rsid w:val="004E0119"/>
    <w:rsid w:val="004E0F8C"/>
    <w:rsid w:val="004E1AB0"/>
    <w:rsid w:val="004E3CA7"/>
    <w:rsid w:val="004E3D86"/>
    <w:rsid w:val="004E4238"/>
    <w:rsid w:val="004E4ECF"/>
    <w:rsid w:val="004E607A"/>
    <w:rsid w:val="004E6E82"/>
    <w:rsid w:val="004E7235"/>
    <w:rsid w:val="004E75F1"/>
    <w:rsid w:val="004F052C"/>
    <w:rsid w:val="004F14E5"/>
    <w:rsid w:val="004F16CE"/>
    <w:rsid w:val="004F1B26"/>
    <w:rsid w:val="004F1C04"/>
    <w:rsid w:val="004F2C89"/>
    <w:rsid w:val="004F2DAD"/>
    <w:rsid w:val="004F4E70"/>
    <w:rsid w:val="004F57E5"/>
    <w:rsid w:val="004F7B34"/>
    <w:rsid w:val="0050031D"/>
    <w:rsid w:val="005008F8"/>
    <w:rsid w:val="005019FF"/>
    <w:rsid w:val="00502467"/>
    <w:rsid w:val="00502D65"/>
    <w:rsid w:val="005044FA"/>
    <w:rsid w:val="00505D58"/>
    <w:rsid w:val="00506121"/>
    <w:rsid w:val="0050640D"/>
    <w:rsid w:val="005069B5"/>
    <w:rsid w:val="005073A2"/>
    <w:rsid w:val="00510182"/>
    <w:rsid w:val="0051075A"/>
    <w:rsid w:val="00510E2B"/>
    <w:rsid w:val="005121D7"/>
    <w:rsid w:val="0051497C"/>
    <w:rsid w:val="00515A66"/>
    <w:rsid w:val="005160A7"/>
    <w:rsid w:val="00517C8F"/>
    <w:rsid w:val="00520AAB"/>
    <w:rsid w:val="00520EBE"/>
    <w:rsid w:val="00522199"/>
    <w:rsid w:val="00524095"/>
    <w:rsid w:val="005250C2"/>
    <w:rsid w:val="00526356"/>
    <w:rsid w:val="00526B7E"/>
    <w:rsid w:val="00527F7F"/>
    <w:rsid w:val="0053057A"/>
    <w:rsid w:val="005309CB"/>
    <w:rsid w:val="00532327"/>
    <w:rsid w:val="005333AC"/>
    <w:rsid w:val="005338E7"/>
    <w:rsid w:val="00533A35"/>
    <w:rsid w:val="00533D1D"/>
    <w:rsid w:val="00534E22"/>
    <w:rsid w:val="00536C85"/>
    <w:rsid w:val="005373B8"/>
    <w:rsid w:val="00537795"/>
    <w:rsid w:val="00537FC6"/>
    <w:rsid w:val="00541080"/>
    <w:rsid w:val="00541905"/>
    <w:rsid w:val="0054406E"/>
    <w:rsid w:val="00544C2D"/>
    <w:rsid w:val="005459FB"/>
    <w:rsid w:val="00547068"/>
    <w:rsid w:val="00551E16"/>
    <w:rsid w:val="00552C2C"/>
    <w:rsid w:val="00552D05"/>
    <w:rsid w:val="00555CC7"/>
    <w:rsid w:val="00560A29"/>
    <w:rsid w:val="00564188"/>
    <w:rsid w:val="00564D87"/>
    <w:rsid w:val="00566E57"/>
    <w:rsid w:val="005702FF"/>
    <w:rsid w:val="00571AE7"/>
    <w:rsid w:val="00571B63"/>
    <w:rsid w:val="0057259D"/>
    <w:rsid w:val="00575ABC"/>
    <w:rsid w:val="005765C8"/>
    <w:rsid w:val="00576A69"/>
    <w:rsid w:val="00576AA2"/>
    <w:rsid w:val="00577AF6"/>
    <w:rsid w:val="00582173"/>
    <w:rsid w:val="00582A98"/>
    <w:rsid w:val="0058385C"/>
    <w:rsid w:val="00583CB9"/>
    <w:rsid w:val="00584098"/>
    <w:rsid w:val="00585057"/>
    <w:rsid w:val="00585938"/>
    <w:rsid w:val="00586AA2"/>
    <w:rsid w:val="005874FE"/>
    <w:rsid w:val="00587631"/>
    <w:rsid w:val="00591F00"/>
    <w:rsid w:val="00593DF0"/>
    <w:rsid w:val="0059722A"/>
    <w:rsid w:val="005975BE"/>
    <w:rsid w:val="00597893"/>
    <w:rsid w:val="005A0D2C"/>
    <w:rsid w:val="005A1C8B"/>
    <w:rsid w:val="005A26A3"/>
    <w:rsid w:val="005A2B5C"/>
    <w:rsid w:val="005A3493"/>
    <w:rsid w:val="005A4849"/>
    <w:rsid w:val="005A4E64"/>
    <w:rsid w:val="005A5FC6"/>
    <w:rsid w:val="005A6FC8"/>
    <w:rsid w:val="005B0A5A"/>
    <w:rsid w:val="005B44D6"/>
    <w:rsid w:val="005B4947"/>
    <w:rsid w:val="005B5A65"/>
    <w:rsid w:val="005B7742"/>
    <w:rsid w:val="005C0A81"/>
    <w:rsid w:val="005C1BCC"/>
    <w:rsid w:val="005C2113"/>
    <w:rsid w:val="005C4704"/>
    <w:rsid w:val="005C5083"/>
    <w:rsid w:val="005C61BC"/>
    <w:rsid w:val="005C65AD"/>
    <w:rsid w:val="005C6649"/>
    <w:rsid w:val="005C7970"/>
    <w:rsid w:val="005D4371"/>
    <w:rsid w:val="005D4856"/>
    <w:rsid w:val="005D505E"/>
    <w:rsid w:val="005E20B2"/>
    <w:rsid w:val="005E24B8"/>
    <w:rsid w:val="005E3AA0"/>
    <w:rsid w:val="005E50E6"/>
    <w:rsid w:val="005E6DFC"/>
    <w:rsid w:val="005E7EEE"/>
    <w:rsid w:val="005F0470"/>
    <w:rsid w:val="005F0B76"/>
    <w:rsid w:val="005F299B"/>
    <w:rsid w:val="005F4346"/>
    <w:rsid w:val="005F6AFC"/>
    <w:rsid w:val="005F72D1"/>
    <w:rsid w:val="005F7410"/>
    <w:rsid w:val="005F746A"/>
    <w:rsid w:val="005F75C9"/>
    <w:rsid w:val="006008E0"/>
    <w:rsid w:val="00600BE3"/>
    <w:rsid w:val="00601923"/>
    <w:rsid w:val="00601E2E"/>
    <w:rsid w:val="00602E94"/>
    <w:rsid w:val="006035B0"/>
    <w:rsid w:val="00603BF2"/>
    <w:rsid w:val="00604886"/>
    <w:rsid w:val="0060511A"/>
    <w:rsid w:val="00605827"/>
    <w:rsid w:val="006071CC"/>
    <w:rsid w:val="006076FE"/>
    <w:rsid w:val="00611734"/>
    <w:rsid w:val="006124BB"/>
    <w:rsid w:val="006148F3"/>
    <w:rsid w:val="00614A6B"/>
    <w:rsid w:val="00615DD4"/>
    <w:rsid w:val="00617374"/>
    <w:rsid w:val="00622691"/>
    <w:rsid w:val="00625BC8"/>
    <w:rsid w:val="006261C5"/>
    <w:rsid w:val="00626578"/>
    <w:rsid w:val="00630EE7"/>
    <w:rsid w:val="00633069"/>
    <w:rsid w:val="00633C69"/>
    <w:rsid w:val="00633E2C"/>
    <w:rsid w:val="006354FC"/>
    <w:rsid w:val="00635519"/>
    <w:rsid w:val="0063613C"/>
    <w:rsid w:val="006362F1"/>
    <w:rsid w:val="006367E6"/>
    <w:rsid w:val="00636C7B"/>
    <w:rsid w:val="00637AFC"/>
    <w:rsid w:val="00637BC6"/>
    <w:rsid w:val="00640B4F"/>
    <w:rsid w:val="00641929"/>
    <w:rsid w:val="00643DAA"/>
    <w:rsid w:val="00644764"/>
    <w:rsid w:val="00644D04"/>
    <w:rsid w:val="00645AFA"/>
    <w:rsid w:val="00646050"/>
    <w:rsid w:val="00646466"/>
    <w:rsid w:val="00647EC6"/>
    <w:rsid w:val="006504B4"/>
    <w:rsid w:val="006514F0"/>
    <w:rsid w:val="006519AB"/>
    <w:rsid w:val="00652934"/>
    <w:rsid w:val="00653621"/>
    <w:rsid w:val="00654D84"/>
    <w:rsid w:val="00656E63"/>
    <w:rsid w:val="0065769E"/>
    <w:rsid w:val="00660398"/>
    <w:rsid w:val="006607BB"/>
    <w:rsid w:val="00662F2D"/>
    <w:rsid w:val="00663799"/>
    <w:rsid w:val="00663B29"/>
    <w:rsid w:val="006650A4"/>
    <w:rsid w:val="0066566F"/>
    <w:rsid w:val="006677A1"/>
    <w:rsid w:val="006678B6"/>
    <w:rsid w:val="00667EB6"/>
    <w:rsid w:val="006713CA"/>
    <w:rsid w:val="00672AC7"/>
    <w:rsid w:val="006748EE"/>
    <w:rsid w:val="00674A21"/>
    <w:rsid w:val="006755BD"/>
    <w:rsid w:val="006764A3"/>
    <w:rsid w:val="006769B9"/>
    <w:rsid w:val="00676C5C"/>
    <w:rsid w:val="00677224"/>
    <w:rsid w:val="006772C4"/>
    <w:rsid w:val="00677F6F"/>
    <w:rsid w:val="00680399"/>
    <w:rsid w:val="00680DF1"/>
    <w:rsid w:val="00682B36"/>
    <w:rsid w:val="0068329F"/>
    <w:rsid w:val="0068353C"/>
    <w:rsid w:val="00683785"/>
    <w:rsid w:val="00683909"/>
    <w:rsid w:val="00686B80"/>
    <w:rsid w:val="006916FF"/>
    <w:rsid w:val="006935DD"/>
    <w:rsid w:val="0069415B"/>
    <w:rsid w:val="00697C68"/>
    <w:rsid w:val="006A09E6"/>
    <w:rsid w:val="006A0A0B"/>
    <w:rsid w:val="006A2CD8"/>
    <w:rsid w:val="006A34F5"/>
    <w:rsid w:val="006A4455"/>
    <w:rsid w:val="006A4F98"/>
    <w:rsid w:val="006A6A83"/>
    <w:rsid w:val="006A6E43"/>
    <w:rsid w:val="006A6E4F"/>
    <w:rsid w:val="006A764B"/>
    <w:rsid w:val="006B0752"/>
    <w:rsid w:val="006B0B7E"/>
    <w:rsid w:val="006B1C7D"/>
    <w:rsid w:val="006B3860"/>
    <w:rsid w:val="006B42AC"/>
    <w:rsid w:val="006B7CDF"/>
    <w:rsid w:val="006C2C3B"/>
    <w:rsid w:val="006C47E0"/>
    <w:rsid w:val="006C64FC"/>
    <w:rsid w:val="006D1C45"/>
    <w:rsid w:val="006D51CB"/>
    <w:rsid w:val="006D53E7"/>
    <w:rsid w:val="006D61B6"/>
    <w:rsid w:val="006D72C5"/>
    <w:rsid w:val="006D77CD"/>
    <w:rsid w:val="006E0EFC"/>
    <w:rsid w:val="006E14EC"/>
    <w:rsid w:val="006E2616"/>
    <w:rsid w:val="006E2FB5"/>
    <w:rsid w:val="006E3EED"/>
    <w:rsid w:val="006E5408"/>
    <w:rsid w:val="006E62D9"/>
    <w:rsid w:val="006E7DCF"/>
    <w:rsid w:val="006E7EC6"/>
    <w:rsid w:val="006F0516"/>
    <w:rsid w:val="006F1556"/>
    <w:rsid w:val="006F1A74"/>
    <w:rsid w:val="006F1B4D"/>
    <w:rsid w:val="006F3460"/>
    <w:rsid w:val="006F380F"/>
    <w:rsid w:val="006F3AA6"/>
    <w:rsid w:val="006F60A0"/>
    <w:rsid w:val="006F7628"/>
    <w:rsid w:val="0070059B"/>
    <w:rsid w:val="0070083E"/>
    <w:rsid w:val="00700FF4"/>
    <w:rsid w:val="00701B18"/>
    <w:rsid w:val="00701BE5"/>
    <w:rsid w:val="00704EF8"/>
    <w:rsid w:val="00707C1D"/>
    <w:rsid w:val="007102C2"/>
    <w:rsid w:val="007112BB"/>
    <w:rsid w:val="00712225"/>
    <w:rsid w:val="0071523C"/>
    <w:rsid w:val="00715BD1"/>
    <w:rsid w:val="0071605E"/>
    <w:rsid w:val="00716FCB"/>
    <w:rsid w:val="00717944"/>
    <w:rsid w:val="007210B4"/>
    <w:rsid w:val="00723B78"/>
    <w:rsid w:val="007259DC"/>
    <w:rsid w:val="00726115"/>
    <w:rsid w:val="00726EDA"/>
    <w:rsid w:val="00727829"/>
    <w:rsid w:val="00730832"/>
    <w:rsid w:val="00732B60"/>
    <w:rsid w:val="00732F36"/>
    <w:rsid w:val="00734238"/>
    <w:rsid w:val="0073518F"/>
    <w:rsid w:val="0073778C"/>
    <w:rsid w:val="00737FF7"/>
    <w:rsid w:val="0074022D"/>
    <w:rsid w:val="00740452"/>
    <w:rsid w:val="0074057B"/>
    <w:rsid w:val="00740E1C"/>
    <w:rsid w:val="00741234"/>
    <w:rsid w:val="00744040"/>
    <w:rsid w:val="00744CE2"/>
    <w:rsid w:val="00744D41"/>
    <w:rsid w:val="00745B6C"/>
    <w:rsid w:val="00746947"/>
    <w:rsid w:val="007500B1"/>
    <w:rsid w:val="00750870"/>
    <w:rsid w:val="00751B17"/>
    <w:rsid w:val="00752433"/>
    <w:rsid w:val="00752AB6"/>
    <w:rsid w:val="00752FBB"/>
    <w:rsid w:val="007530E3"/>
    <w:rsid w:val="0075361C"/>
    <w:rsid w:val="00754C98"/>
    <w:rsid w:val="00755293"/>
    <w:rsid w:val="00756573"/>
    <w:rsid w:val="00760257"/>
    <w:rsid w:val="00760A1D"/>
    <w:rsid w:val="00761DBC"/>
    <w:rsid w:val="007626AB"/>
    <w:rsid w:val="007627D7"/>
    <w:rsid w:val="00762E0F"/>
    <w:rsid w:val="00763CA1"/>
    <w:rsid w:val="00763F67"/>
    <w:rsid w:val="00763F7F"/>
    <w:rsid w:val="00764EF8"/>
    <w:rsid w:val="00766A90"/>
    <w:rsid w:val="00771E3A"/>
    <w:rsid w:val="00772551"/>
    <w:rsid w:val="00773001"/>
    <w:rsid w:val="007733D5"/>
    <w:rsid w:val="00775C46"/>
    <w:rsid w:val="007762CC"/>
    <w:rsid w:val="00777131"/>
    <w:rsid w:val="007800B2"/>
    <w:rsid w:val="00781F1B"/>
    <w:rsid w:val="00782144"/>
    <w:rsid w:val="00782FCA"/>
    <w:rsid w:val="00784506"/>
    <w:rsid w:val="00784ED6"/>
    <w:rsid w:val="00787403"/>
    <w:rsid w:val="00791F28"/>
    <w:rsid w:val="00793150"/>
    <w:rsid w:val="00793C91"/>
    <w:rsid w:val="00793D0E"/>
    <w:rsid w:val="0079436D"/>
    <w:rsid w:val="007944AA"/>
    <w:rsid w:val="00794B0D"/>
    <w:rsid w:val="007A0026"/>
    <w:rsid w:val="007A1513"/>
    <w:rsid w:val="007A1912"/>
    <w:rsid w:val="007A1B89"/>
    <w:rsid w:val="007A2575"/>
    <w:rsid w:val="007A3E5F"/>
    <w:rsid w:val="007A4681"/>
    <w:rsid w:val="007A6794"/>
    <w:rsid w:val="007A7457"/>
    <w:rsid w:val="007B05C4"/>
    <w:rsid w:val="007B1C55"/>
    <w:rsid w:val="007B450E"/>
    <w:rsid w:val="007B69E9"/>
    <w:rsid w:val="007B6E63"/>
    <w:rsid w:val="007B6E91"/>
    <w:rsid w:val="007B72F4"/>
    <w:rsid w:val="007B7C4D"/>
    <w:rsid w:val="007C0A8D"/>
    <w:rsid w:val="007C14D7"/>
    <w:rsid w:val="007C3EF3"/>
    <w:rsid w:val="007C4172"/>
    <w:rsid w:val="007C5A77"/>
    <w:rsid w:val="007C7727"/>
    <w:rsid w:val="007C7883"/>
    <w:rsid w:val="007D0EE9"/>
    <w:rsid w:val="007D11D9"/>
    <w:rsid w:val="007D1613"/>
    <w:rsid w:val="007D2CE9"/>
    <w:rsid w:val="007D355B"/>
    <w:rsid w:val="007D3863"/>
    <w:rsid w:val="007D3E98"/>
    <w:rsid w:val="007D4F40"/>
    <w:rsid w:val="007D4FA9"/>
    <w:rsid w:val="007D5255"/>
    <w:rsid w:val="007D549A"/>
    <w:rsid w:val="007D680C"/>
    <w:rsid w:val="007D730F"/>
    <w:rsid w:val="007E0849"/>
    <w:rsid w:val="007E18E1"/>
    <w:rsid w:val="007E302F"/>
    <w:rsid w:val="007E6DA2"/>
    <w:rsid w:val="007E76A2"/>
    <w:rsid w:val="007F0555"/>
    <w:rsid w:val="007F1224"/>
    <w:rsid w:val="007F28E8"/>
    <w:rsid w:val="007F2B31"/>
    <w:rsid w:val="007F2FB5"/>
    <w:rsid w:val="007F37E9"/>
    <w:rsid w:val="007F43A3"/>
    <w:rsid w:val="007F4A14"/>
    <w:rsid w:val="007F52D8"/>
    <w:rsid w:val="007F55EB"/>
    <w:rsid w:val="007F5B4A"/>
    <w:rsid w:val="007F5C87"/>
    <w:rsid w:val="007F691E"/>
    <w:rsid w:val="007F76E6"/>
    <w:rsid w:val="00800332"/>
    <w:rsid w:val="00800564"/>
    <w:rsid w:val="008010C0"/>
    <w:rsid w:val="00801CAA"/>
    <w:rsid w:val="008034B2"/>
    <w:rsid w:val="00804B1E"/>
    <w:rsid w:val="008053A7"/>
    <w:rsid w:val="00805A8B"/>
    <w:rsid w:val="00805E5C"/>
    <w:rsid w:val="00807606"/>
    <w:rsid w:val="00811372"/>
    <w:rsid w:val="008148EB"/>
    <w:rsid w:val="00814EE0"/>
    <w:rsid w:val="008154ED"/>
    <w:rsid w:val="00816F89"/>
    <w:rsid w:val="00820EB9"/>
    <w:rsid w:val="008211B8"/>
    <w:rsid w:val="00822375"/>
    <w:rsid w:val="00822CE5"/>
    <w:rsid w:val="00822FDD"/>
    <w:rsid w:val="0082324B"/>
    <w:rsid w:val="0082408D"/>
    <w:rsid w:val="00825956"/>
    <w:rsid w:val="008277C6"/>
    <w:rsid w:val="00831213"/>
    <w:rsid w:val="008323A1"/>
    <w:rsid w:val="00832729"/>
    <w:rsid w:val="008331A6"/>
    <w:rsid w:val="00836520"/>
    <w:rsid w:val="008377FC"/>
    <w:rsid w:val="00842770"/>
    <w:rsid w:val="0084298B"/>
    <w:rsid w:val="00843F01"/>
    <w:rsid w:val="0084654F"/>
    <w:rsid w:val="00846BFA"/>
    <w:rsid w:val="00850C51"/>
    <w:rsid w:val="008520CB"/>
    <w:rsid w:val="0085275E"/>
    <w:rsid w:val="0085297C"/>
    <w:rsid w:val="00853B72"/>
    <w:rsid w:val="008550CB"/>
    <w:rsid w:val="008562CB"/>
    <w:rsid w:val="008604AA"/>
    <w:rsid w:val="008604CA"/>
    <w:rsid w:val="008605B9"/>
    <w:rsid w:val="008616FD"/>
    <w:rsid w:val="00862957"/>
    <w:rsid w:val="00863E0B"/>
    <w:rsid w:val="0086444C"/>
    <w:rsid w:val="0086492F"/>
    <w:rsid w:val="0086527E"/>
    <w:rsid w:val="008658A5"/>
    <w:rsid w:val="00865FA4"/>
    <w:rsid w:val="00866A14"/>
    <w:rsid w:val="00866FC9"/>
    <w:rsid w:val="008671AC"/>
    <w:rsid w:val="0087043A"/>
    <w:rsid w:val="00870E28"/>
    <w:rsid w:val="00873E8C"/>
    <w:rsid w:val="00873F89"/>
    <w:rsid w:val="008745A7"/>
    <w:rsid w:val="00874E11"/>
    <w:rsid w:val="00876133"/>
    <w:rsid w:val="0087662B"/>
    <w:rsid w:val="00876E0D"/>
    <w:rsid w:val="008812CF"/>
    <w:rsid w:val="00881FD9"/>
    <w:rsid w:val="00882829"/>
    <w:rsid w:val="00882AAF"/>
    <w:rsid w:val="0088309A"/>
    <w:rsid w:val="00883256"/>
    <w:rsid w:val="0088491A"/>
    <w:rsid w:val="00884DAF"/>
    <w:rsid w:val="008852F4"/>
    <w:rsid w:val="00885497"/>
    <w:rsid w:val="00885F45"/>
    <w:rsid w:val="0089182A"/>
    <w:rsid w:val="0089231F"/>
    <w:rsid w:val="008932E9"/>
    <w:rsid w:val="008935D5"/>
    <w:rsid w:val="00893735"/>
    <w:rsid w:val="00893D66"/>
    <w:rsid w:val="00894AFE"/>
    <w:rsid w:val="00895C65"/>
    <w:rsid w:val="00897994"/>
    <w:rsid w:val="008A0461"/>
    <w:rsid w:val="008A04CD"/>
    <w:rsid w:val="008A0776"/>
    <w:rsid w:val="008A0834"/>
    <w:rsid w:val="008A0A3C"/>
    <w:rsid w:val="008A1965"/>
    <w:rsid w:val="008A5A15"/>
    <w:rsid w:val="008A5EB3"/>
    <w:rsid w:val="008A645E"/>
    <w:rsid w:val="008A7255"/>
    <w:rsid w:val="008B11DD"/>
    <w:rsid w:val="008B148A"/>
    <w:rsid w:val="008B2CC1"/>
    <w:rsid w:val="008B3A6E"/>
    <w:rsid w:val="008B5067"/>
    <w:rsid w:val="008B51B3"/>
    <w:rsid w:val="008B60B2"/>
    <w:rsid w:val="008B73D5"/>
    <w:rsid w:val="008B76D5"/>
    <w:rsid w:val="008B7C70"/>
    <w:rsid w:val="008B7FAE"/>
    <w:rsid w:val="008C15B8"/>
    <w:rsid w:val="008C22AE"/>
    <w:rsid w:val="008C2C58"/>
    <w:rsid w:val="008C2F57"/>
    <w:rsid w:val="008C4C2C"/>
    <w:rsid w:val="008C5266"/>
    <w:rsid w:val="008C53E8"/>
    <w:rsid w:val="008C57EE"/>
    <w:rsid w:val="008C5D52"/>
    <w:rsid w:val="008C75C1"/>
    <w:rsid w:val="008D0AFB"/>
    <w:rsid w:val="008D2A4A"/>
    <w:rsid w:val="008D2BA9"/>
    <w:rsid w:val="008D41C7"/>
    <w:rsid w:val="008D5C5D"/>
    <w:rsid w:val="008D74ED"/>
    <w:rsid w:val="008D7ABE"/>
    <w:rsid w:val="008D7F6C"/>
    <w:rsid w:val="008E02CF"/>
    <w:rsid w:val="008E08C4"/>
    <w:rsid w:val="008E15F8"/>
    <w:rsid w:val="008E1D7B"/>
    <w:rsid w:val="008E2125"/>
    <w:rsid w:val="008E224B"/>
    <w:rsid w:val="008E2E17"/>
    <w:rsid w:val="008E34B4"/>
    <w:rsid w:val="008E3BFB"/>
    <w:rsid w:val="008E3FF9"/>
    <w:rsid w:val="008E43B8"/>
    <w:rsid w:val="008E4843"/>
    <w:rsid w:val="008E4978"/>
    <w:rsid w:val="008E7000"/>
    <w:rsid w:val="008F0625"/>
    <w:rsid w:val="008F24B9"/>
    <w:rsid w:val="008F34D6"/>
    <w:rsid w:val="008F68C9"/>
    <w:rsid w:val="008F7308"/>
    <w:rsid w:val="008F7E4F"/>
    <w:rsid w:val="008F7FB0"/>
    <w:rsid w:val="00900FFF"/>
    <w:rsid w:val="00901FD9"/>
    <w:rsid w:val="00902FF6"/>
    <w:rsid w:val="00903776"/>
    <w:rsid w:val="009037A8"/>
    <w:rsid w:val="00904F13"/>
    <w:rsid w:val="00905690"/>
    <w:rsid w:val="009057F9"/>
    <w:rsid w:val="009059E0"/>
    <w:rsid w:val="00905BFB"/>
    <w:rsid w:val="0090731E"/>
    <w:rsid w:val="00907422"/>
    <w:rsid w:val="009079DF"/>
    <w:rsid w:val="00910138"/>
    <w:rsid w:val="00911920"/>
    <w:rsid w:val="00911E1B"/>
    <w:rsid w:val="009134BA"/>
    <w:rsid w:val="00914031"/>
    <w:rsid w:val="0091511A"/>
    <w:rsid w:val="00916347"/>
    <w:rsid w:val="00916EE2"/>
    <w:rsid w:val="009203DE"/>
    <w:rsid w:val="00922680"/>
    <w:rsid w:val="00922776"/>
    <w:rsid w:val="009239D2"/>
    <w:rsid w:val="00924CBB"/>
    <w:rsid w:val="00925388"/>
    <w:rsid w:val="0092660D"/>
    <w:rsid w:val="00927BDF"/>
    <w:rsid w:val="00930B41"/>
    <w:rsid w:val="00930CD2"/>
    <w:rsid w:val="00931103"/>
    <w:rsid w:val="00932700"/>
    <w:rsid w:val="009330E2"/>
    <w:rsid w:val="00934541"/>
    <w:rsid w:val="00934542"/>
    <w:rsid w:val="00935038"/>
    <w:rsid w:val="00935233"/>
    <w:rsid w:val="009362D4"/>
    <w:rsid w:val="009376C5"/>
    <w:rsid w:val="00942821"/>
    <w:rsid w:val="00942FA9"/>
    <w:rsid w:val="00944B07"/>
    <w:rsid w:val="00945D08"/>
    <w:rsid w:val="00946A9C"/>
    <w:rsid w:val="00947AA7"/>
    <w:rsid w:val="009504A6"/>
    <w:rsid w:val="00950A40"/>
    <w:rsid w:val="00951C49"/>
    <w:rsid w:val="00953188"/>
    <w:rsid w:val="0095444F"/>
    <w:rsid w:val="00955111"/>
    <w:rsid w:val="00955559"/>
    <w:rsid w:val="00955828"/>
    <w:rsid w:val="00956030"/>
    <w:rsid w:val="00956069"/>
    <w:rsid w:val="00956B24"/>
    <w:rsid w:val="0096231F"/>
    <w:rsid w:val="00962BA0"/>
    <w:rsid w:val="00963536"/>
    <w:rsid w:val="00963EF8"/>
    <w:rsid w:val="00964BCE"/>
    <w:rsid w:val="00964BEB"/>
    <w:rsid w:val="00965267"/>
    <w:rsid w:val="00966774"/>
    <w:rsid w:val="00966A22"/>
    <w:rsid w:val="0096722F"/>
    <w:rsid w:val="00970253"/>
    <w:rsid w:val="00971D07"/>
    <w:rsid w:val="0097314D"/>
    <w:rsid w:val="0097321D"/>
    <w:rsid w:val="00974802"/>
    <w:rsid w:val="00975EBB"/>
    <w:rsid w:val="00977A30"/>
    <w:rsid w:val="00980843"/>
    <w:rsid w:val="00980F39"/>
    <w:rsid w:val="00982412"/>
    <w:rsid w:val="00982969"/>
    <w:rsid w:val="00982CB9"/>
    <w:rsid w:val="00983735"/>
    <w:rsid w:val="009841B8"/>
    <w:rsid w:val="00984D3A"/>
    <w:rsid w:val="0098541D"/>
    <w:rsid w:val="00986131"/>
    <w:rsid w:val="009877C4"/>
    <w:rsid w:val="00987B89"/>
    <w:rsid w:val="00987FF9"/>
    <w:rsid w:val="00990AC0"/>
    <w:rsid w:val="00991379"/>
    <w:rsid w:val="00991CBA"/>
    <w:rsid w:val="0099336E"/>
    <w:rsid w:val="00993672"/>
    <w:rsid w:val="00994186"/>
    <w:rsid w:val="00994EA7"/>
    <w:rsid w:val="00994FC1"/>
    <w:rsid w:val="00995417"/>
    <w:rsid w:val="00995BFB"/>
    <w:rsid w:val="00996D5B"/>
    <w:rsid w:val="009A0AC9"/>
    <w:rsid w:val="009A1337"/>
    <w:rsid w:val="009A174D"/>
    <w:rsid w:val="009A1C02"/>
    <w:rsid w:val="009A2DA7"/>
    <w:rsid w:val="009A3562"/>
    <w:rsid w:val="009A3894"/>
    <w:rsid w:val="009A6C74"/>
    <w:rsid w:val="009A6F67"/>
    <w:rsid w:val="009A79BA"/>
    <w:rsid w:val="009B05E5"/>
    <w:rsid w:val="009B1321"/>
    <w:rsid w:val="009B3876"/>
    <w:rsid w:val="009B4A4D"/>
    <w:rsid w:val="009B4A5D"/>
    <w:rsid w:val="009B5291"/>
    <w:rsid w:val="009B70AD"/>
    <w:rsid w:val="009B7EDA"/>
    <w:rsid w:val="009C03BA"/>
    <w:rsid w:val="009C2EDA"/>
    <w:rsid w:val="009C3025"/>
    <w:rsid w:val="009C3552"/>
    <w:rsid w:val="009C4383"/>
    <w:rsid w:val="009C494F"/>
    <w:rsid w:val="009C53ED"/>
    <w:rsid w:val="009C5E6B"/>
    <w:rsid w:val="009C6CC1"/>
    <w:rsid w:val="009C70DB"/>
    <w:rsid w:val="009C7477"/>
    <w:rsid w:val="009D1804"/>
    <w:rsid w:val="009D24A5"/>
    <w:rsid w:val="009D600D"/>
    <w:rsid w:val="009D6828"/>
    <w:rsid w:val="009D6F3A"/>
    <w:rsid w:val="009E21F7"/>
    <w:rsid w:val="009E2722"/>
    <w:rsid w:val="009E2791"/>
    <w:rsid w:val="009E3CEB"/>
    <w:rsid w:val="009E3F6F"/>
    <w:rsid w:val="009E5B70"/>
    <w:rsid w:val="009E6D3B"/>
    <w:rsid w:val="009E7653"/>
    <w:rsid w:val="009F18C0"/>
    <w:rsid w:val="009F22B8"/>
    <w:rsid w:val="009F297E"/>
    <w:rsid w:val="009F48D7"/>
    <w:rsid w:val="009F499F"/>
    <w:rsid w:val="009F4D71"/>
    <w:rsid w:val="009F7802"/>
    <w:rsid w:val="00A0063A"/>
    <w:rsid w:val="00A04FF9"/>
    <w:rsid w:val="00A05422"/>
    <w:rsid w:val="00A05DB5"/>
    <w:rsid w:val="00A06518"/>
    <w:rsid w:val="00A065C0"/>
    <w:rsid w:val="00A06A0A"/>
    <w:rsid w:val="00A0739B"/>
    <w:rsid w:val="00A10101"/>
    <w:rsid w:val="00A1125A"/>
    <w:rsid w:val="00A13803"/>
    <w:rsid w:val="00A1622D"/>
    <w:rsid w:val="00A2029C"/>
    <w:rsid w:val="00A22008"/>
    <w:rsid w:val="00A22112"/>
    <w:rsid w:val="00A23B42"/>
    <w:rsid w:val="00A25912"/>
    <w:rsid w:val="00A26008"/>
    <w:rsid w:val="00A26087"/>
    <w:rsid w:val="00A26772"/>
    <w:rsid w:val="00A271CB"/>
    <w:rsid w:val="00A3040C"/>
    <w:rsid w:val="00A30A6B"/>
    <w:rsid w:val="00A30B95"/>
    <w:rsid w:val="00A32061"/>
    <w:rsid w:val="00A3540C"/>
    <w:rsid w:val="00A36EE2"/>
    <w:rsid w:val="00A42DAF"/>
    <w:rsid w:val="00A450DD"/>
    <w:rsid w:val="00A45BD8"/>
    <w:rsid w:val="00A47838"/>
    <w:rsid w:val="00A47897"/>
    <w:rsid w:val="00A47A58"/>
    <w:rsid w:val="00A47FBB"/>
    <w:rsid w:val="00A5085E"/>
    <w:rsid w:val="00A513B9"/>
    <w:rsid w:val="00A518B5"/>
    <w:rsid w:val="00A51CBA"/>
    <w:rsid w:val="00A521D0"/>
    <w:rsid w:val="00A53217"/>
    <w:rsid w:val="00A5363B"/>
    <w:rsid w:val="00A536FD"/>
    <w:rsid w:val="00A543F9"/>
    <w:rsid w:val="00A552D7"/>
    <w:rsid w:val="00A56BEC"/>
    <w:rsid w:val="00A6084B"/>
    <w:rsid w:val="00A62EBD"/>
    <w:rsid w:val="00A6398C"/>
    <w:rsid w:val="00A63DEA"/>
    <w:rsid w:val="00A66505"/>
    <w:rsid w:val="00A67446"/>
    <w:rsid w:val="00A67B38"/>
    <w:rsid w:val="00A70193"/>
    <w:rsid w:val="00A70385"/>
    <w:rsid w:val="00A70EC4"/>
    <w:rsid w:val="00A72021"/>
    <w:rsid w:val="00A729B8"/>
    <w:rsid w:val="00A741AE"/>
    <w:rsid w:val="00A74D83"/>
    <w:rsid w:val="00A75277"/>
    <w:rsid w:val="00A76423"/>
    <w:rsid w:val="00A820A7"/>
    <w:rsid w:val="00A8341F"/>
    <w:rsid w:val="00A83F81"/>
    <w:rsid w:val="00A869B7"/>
    <w:rsid w:val="00A86A30"/>
    <w:rsid w:val="00A86AA2"/>
    <w:rsid w:val="00A878BB"/>
    <w:rsid w:val="00A91712"/>
    <w:rsid w:val="00A9281E"/>
    <w:rsid w:val="00A93664"/>
    <w:rsid w:val="00A97599"/>
    <w:rsid w:val="00A978D9"/>
    <w:rsid w:val="00AA063B"/>
    <w:rsid w:val="00AA0F18"/>
    <w:rsid w:val="00AA1546"/>
    <w:rsid w:val="00AA30E3"/>
    <w:rsid w:val="00AA3696"/>
    <w:rsid w:val="00AA3B58"/>
    <w:rsid w:val="00AA4AF7"/>
    <w:rsid w:val="00AA712C"/>
    <w:rsid w:val="00AB0305"/>
    <w:rsid w:val="00AB0CA4"/>
    <w:rsid w:val="00AB1559"/>
    <w:rsid w:val="00AB158D"/>
    <w:rsid w:val="00AB2C6C"/>
    <w:rsid w:val="00AB3E14"/>
    <w:rsid w:val="00AB4794"/>
    <w:rsid w:val="00AB509B"/>
    <w:rsid w:val="00AB512B"/>
    <w:rsid w:val="00AB59D3"/>
    <w:rsid w:val="00AB738D"/>
    <w:rsid w:val="00AC117E"/>
    <w:rsid w:val="00AC13A0"/>
    <w:rsid w:val="00AC16B5"/>
    <w:rsid w:val="00AC205C"/>
    <w:rsid w:val="00AC2528"/>
    <w:rsid w:val="00AC324F"/>
    <w:rsid w:val="00AC33EE"/>
    <w:rsid w:val="00AC3FF9"/>
    <w:rsid w:val="00AC4569"/>
    <w:rsid w:val="00AC4AAF"/>
    <w:rsid w:val="00AC4E1D"/>
    <w:rsid w:val="00AC5833"/>
    <w:rsid w:val="00AC6477"/>
    <w:rsid w:val="00AD1361"/>
    <w:rsid w:val="00AD1AD3"/>
    <w:rsid w:val="00AD1BB9"/>
    <w:rsid w:val="00AD1EA2"/>
    <w:rsid w:val="00AD1EDC"/>
    <w:rsid w:val="00AD23A2"/>
    <w:rsid w:val="00AD2E67"/>
    <w:rsid w:val="00AD32BF"/>
    <w:rsid w:val="00AD4019"/>
    <w:rsid w:val="00AD4240"/>
    <w:rsid w:val="00AD5E61"/>
    <w:rsid w:val="00AD75DC"/>
    <w:rsid w:val="00AD7AC0"/>
    <w:rsid w:val="00AE02F6"/>
    <w:rsid w:val="00AE0904"/>
    <w:rsid w:val="00AE257D"/>
    <w:rsid w:val="00AE297F"/>
    <w:rsid w:val="00AE29A4"/>
    <w:rsid w:val="00AE33AC"/>
    <w:rsid w:val="00AE4C41"/>
    <w:rsid w:val="00AE54EB"/>
    <w:rsid w:val="00AE5515"/>
    <w:rsid w:val="00AE6DA0"/>
    <w:rsid w:val="00AE727C"/>
    <w:rsid w:val="00AE730C"/>
    <w:rsid w:val="00AE7D7A"/>
    <w:rsid w:val="00AF0A6B"/>
    <w:rsid w:val="00AF173C"/>
    <w:rsid w:val="00AF1BF5"/>
    <w:rsid w:val="00AF1E84"/>
    <w:rsid w:val="00AF220E"/>
    <w:rsid w:val="00AF3EEE"/>
    <w:rsid w:val="00AF4ADA"/>
    <w:rsid w:val="00AF67EE"/>
    <w:rsid w:val="00AF7753"/>
    <w:rsid w:val="00B004E3"/>
    <w:rsid w:val="00B012EC"/>
    <w:rsid w:val="00B01804"/>
    <w:rsid w:val="00B023E3"/>
    <w:rsid w:val="00B058EB"/>
    <w:rsid w:val="00B05A69"/>
    <w:rsid w:val="00B06415"/>
    <w:rsid w:val="00B06453"/>
    <w:rsid w:val="00B06B8E"/>
    <w:rsid w:val="00B078F1"/>
    <w:rsid w:val="00B07924"/>
    <w:rsid w:val="00B07928"/>
    <w:rsid w:val="00B10861"/>
    <w:rsid w:val="00B118FF"/>
    <w:rsid w:val="00B12685"/>
    <w:rsid w:val="00B13AEA"/>
    <w:rsid w:val="00B14685"/>
    <w:rsid w:val="00B14B75"/>
    <w:rsid w:val="00B15058"/>
    <w:rsid w:val="00B15907"/>
    <w:rsid w:val="00B175BA"/>
    <w:rsid w:val="00B175BF"/>
    <w:rsid w:val="00B17D08"/>
    <w:rsid w:val="00B17FA7"/>
    <w:rsid w:val="00B20D5C"/>
    <w:rsid w:val="00B217BB"/>
    <w:rsid w:val="00B22A19"/>
    <w:rsid w:val="00B22EB9"/>
    <w:rsid w:val="00B23E48"/>
    <w:rsid w:val="00B24EE4"/>
    <w:rsid w:val="00B25B30"/>
    <w:rsid w:val="00B27125"/>
    <w:rsid w:val="00B2721C"/>
    <w:rsid w:val="00B308FC"/>
    <w:rsid w:val="00B30BA3"/>
    <w:rsid w:val="00B315C5"/>
    <w:rsid w:val="00B318CA"/>
    <w:rsid w:val="00B31E15"/>
    <w:rsid w:val="00B33CC6"/>
    <w:rsid w:val="00B3624E"/>
    <w:rsid w:val="00B36DD6"/>
    <w:rsid w:val="00B37EB5"/>
    <w:rsid w:val="00B4157F"/>
    <w:rsid w:val="00B415C6"/>
    <w:rsid w:val="00B43793"/>
    <w:rsid w:val="00B44FC3"/>
    <w:rsid w:val="00B47D46"/>
    <w:rsid w:val="00B51333"/>
    <w:rsid w:val="00B54D0C"/>
    <w:rsid w:val="00B54FDD"/>
    <w:rsid w:val="00B569F2"/>
    <w:rsid w:val="00B57BF3"/>
    <w:rsid w:val="00B65F43"/>
    <w:rsid w:val="00B70881"/>
    <w:rsid w:val="00B70D56"/>
    <w:rsid w:val="00B72946"/>
    <w:rsid w:val="00B72BC8"/>
    <w:rsid w:val="00B72BDA"/>
    <w:rsid w:val="00B73253"/>
    <w:rsid w:val="00B736F2"/>
    <w:rsid w:val="00B7403C"/>
    <w:rsid w:val="00B75BF6"/>
    <w:rsid w:val="00B75D9A"/>
    <w:rsid w:val="00B75F80"/>
    <w:rsid w:val="00B772E7"/>
    <w:rsid w:val="00B7744F"/>
    <w:rsid w:val="00B802AE"/>
    <w:rsid w:val="00B81620"/>
    <w:rsid w:val="00B826B7"/>
    <w:rsid w:val="00B82764"/>
    <w:rsid w:val="00B84B0C"/>
    <w:rsid w:val="00B8561F"/>
    <w:rsid w:val="00B907C0"/>
    <w:rsid w:val="00B90B48"/>
    <w:rsid w:val="00B917C7"/>
    <w:rsid w:val="00B9333C"/>
    <w:rsid w:val="00B936F1"/>
    <w:rsid w:val="00B93BC6"/>
    <w:rsid w:val="00B9670A"/>
    <w:rsid w:val="00B9734B"/>
    <w:rsid w:val="00B973E6"/>
    <w:rsid w:val="00B978F3"/>
    <w:rsid w:val="00B97F87"/>
    <w:rsid w:val="00BA0063"/>
    <w:rsid w:val="00BA010F"/>
    <w:rsid w:val="00BA0621"/>
    <w:rsid w:val="00BA2923"/>
    <w:rsid w:val="00BA37CD"/>
    <w:rsid w:val="00BA437D"/>
    <w:rsid w:val="00BA5498"/>
    <w:rsid w:val="00BA606D"/>
    <w:rsid w:val="00BA655C"/>
    <w:rsid w:val="00BA65A1"/>
    <w:rsid w:val="00BA7EF2"/>
    <w:rsid w:val="00BB0B90"/>
    <w:rsid w:val="00BB0FF4"/>
    <w:rsid w:val="00BB1AE6"/>
    <w:rsid w:val="00BB2122"/>
    <w:rsid w:val="00BB237F"/>
    <w:rsid w:val="00BB3918"/>
    <w:rsid w:val="00BB40EF"/>
    <w:rsid w:val="00BB6BB2"/>
    <w:rsid w:val="00BB7D90"/>
    <w:rsid w:val="00BC09A2"/>
    <w:rsid w:val="00BC15E5"/>
    <w:rsid w:val="00BC2DB6"/>
    <w:rsid w:val="00BC4600"/>
    <w:rsid w:val="00BC4738"/>
    <w:rsid w:val="00BC5118"/>
    <w:rsid w:val="00BC5B8B"/>
    <w:rsid w:val="00BC5E27"/>
    <w:rsid w:val="00BC6C4D"/>
    <w:rsid w:val="00BC7FAC"/>
    <w:rsid w:val="00BD0C65"/>
    <w:rsid w:val="00BD1355"/>
    <w:rsid w:val="00BD180D"/>
    <w:rsid w:val="00BD3481"/>
    <w:rsid w:val="00BD3FD3"/>
    <w:rsid w:val="00BE0159"/>
    <w:rsid w:val="00BE0177"/>
    <w:rsid w:val="00BE189F"/>
    <w:rsid w:val="00BE2C2E"/>
    <w:rsid w:val="00BE2D4E"/>
    <w:rsid w:val="00BE2E54"/>
    <w:rsid w:val="00BE438A"/>
    <w:rsid w:val="00BE4598"/>
    <w:rsid w:val="00BE4634"/>
    <w:rsid w:val="00BE53DE"/>
    <w:rsid w:val="00BE6080"/>
    <w:rsid w:val="00BE60FA"/>
    <w:rsid w:val="00BE6DF9"/>
    <w:rsid w:val="00BF080E"/>
    <w:rsid w:val="00BF307B"/>
    <w:rsid w:val="00BF3260"/>
    <w:rsid w:val="00BF33C6"/>
    <w:rsid w:val="00BF3B47"/>
    <w:rsid w:val="00BF4707"/>
    <w:rsid w:val="00BF4D96"/>
    <w:rsid w:val="00BF5A94"/>
    <w:rsid w:val="00BF6BBF"/>
    <w:rsid w:val="00BF6FF0"/>
    <w:rsid w:val="00BF712A"/>
    <w:rsid w:val="00C0080A"/>
    <w:rsid w:val="00C00CCB"/>
    <w:rsid w:val="00C011A2"/>
    <w:rsid w:val="00C02023"/>
    <w:rsid w:val="00C02455"/>
    <w:rsid w:val="00C03B0A"/>
    <w:rsid w:val="00C03EA7"/>
    <w:rsid w:val="00C04595"/>
    <w:rsid w:val="00C0505F"/>
    <w:rsid w:val="00C05141"/>
    <w:rsid w:val="00C05C84"/>
    <w:rsid w:val="00C07C16"/>
    <w:rsid w:val="00C1058D"/>
    <w:rsid w:val="00C11040"/>
    <w:rsid w:val="00C11BFE"/>
    <w:rsid w:val="00C12218"/>
    <w:rsid w:val="00C12FAB"/>
    <w:rsid w:val="00C14489"/>
    <w:rsid w:val="00C16A2D"/>
    <w:rsid w:val="00C204AB"/>
    <w:rsid w:val="00C21D71"/>
    <w:rsid w:val="00C22A6A"/>
    <w:rsid w:val="00C238E0"/>
    <w:rsid w:val="00C23C48"/>
    <w:rsid w:val="00C24FCD"/>
    <w:rsid w:val="00C2649C"/>
    <w:rsid w:val="00C2734B"/>
    <w:rsid w:val="00C32A41"/>
    <w:rsid w:val="00C32D7A"/>
    <w:rsid w:val="00C33CEC"/>
    <w:rsid w:val="00C3545F"/>
    <w:rsid w:val="00C35791"/>
    <w:rsid w:val="00C35A87"/>
    <w:rsid w:val="00C35EE6"/>
    <w:rsid w:val="00C365D6"/>
    <w:rsid w:val="00C36E31"/>
    <w:rsid w:val="00C42813"/>
    <w:rsid w:val="00C44AD1"/>
    <w:rsid w:val="00C4544F"/>
    <w:rsid w:val="00C45987"/>
    <w:rsid w:val="00C46B06"/>
    <w:rsid w:val="00C47CF4"/>
    <w:rsid w:val="00C50B88"/>
    <w:rsid w:val="00C5151C"/>
    <w:rsid w:val="00C519EC"/>
    <w:rsid w:val="00C51FDD"/>
    <w:rsid w:val="00C535DA"/>
    <w:rsid w:val="00C53B9C"/>
    <w:rsid w:val="00C5426C"/>
    <w:rsid w:val="00C542C0"/>
    <w:rsid w:val="00C56A2E"/>
    <w:rsid w:val="00C56F5C"/>
    <w:rsid w:val="00C6000C"/>
    <w:rsid w:val="00C60330"/>
    <w:rsid w:val="00C60683"/>
    <w:rsid w:val="00C626FF"/>
    <w:rsid w:val="00C652A7"/>
    <w:rsid w:val="00C65636"/>
    <w:rsid w:val="00C66940"/>
    <w:rsid w:val="00C67545"/>
    <w:rsid w:val="00C70320"/>
    <w:rsid w:val="00C71B62"/>
    <w:rsid w:val="00C75314"/>
    <w:rsid w:val="00C75540"/>
    <w:rsid w:val="00C7644C"/>
    <w:rsid w:val="00C77CA9"/>
    <w:rsid w:val="00C84376"/>
    <w:rsid w:val="00C86839"/>
    <w:rsid w:val="00C86921"/>
    <w:rsid w:val="00C86C9D"/>
    <w:rsid w:val="00C86D97"/>
    <w:rsid w:val="00C906C5"/>
    <w:rsid w:val="00C90819"/>
    <w:rsid w:val="00C90DF0"/>
    <w:rsid w:val="00C90E55"/>
    <w:rsid w:val="00C9105E"/>
    <w:rsid w:val="00C92192"/>
    <w:rsid w:val="00C92D74"/>
    <w:rsid w:val="00C93FDD"/>
    <w:rsid w:val="00C94CFB"/>
    <w:rsid w:val="00C94FC6"/>
    <w:rsid w:val="00CA04C3"/>
    <w:rsid w:val="00CA12B5"/>
    <w:rsid w:val="00CA23D0"/>
    <w:rsid w:val="00CA2B05"/>
    <w:rsid w:val="00CA3262"/>
    <w:rsid w:val="00CA3B7C"/>
    <w:rsid w:val="00CA3CEA"/>
    <w:rsid w:val="00CA451E"/>
    <w:rsid w:val="00CA4E75"/>
    <w:rsid w:val="00CA4EF0"/>
    <w:rsid w:val="00CA730B"/>
    <w:rsid w:val="00CB03B8"/>
    <w:rsid w:val="00CB170A"/>
    <w:rsid w:val="00CB2769"/>
    <w:rsid w:val="00CB51E6"/>
    <w:rsid w:val="00CB61AF"/>
    <w:rsid w:val="00CB7A19"/>
    <w:rsid w:val="00CB7B59"/>
    <w:rsid w:val="00CB7CF8"/>
    <w:rsid w:val="00CC2756"/>
    <w:rsid w:val="00CC3B31"/>
    <w:rsid w:val="00CC4AA7"/>
    <w:rsid w:val="00CC4B57"/>
    <w:rsid w:val="00CC64ED"/>
    <w:rsid w:val="00CC65C8"/>
    <w:rsid w:val="00CC6FF0"/>
    <w:rsid w:val="00CC7C87"/>
    <w:rsid w:val="00CD08D8"/>
    <w:rsid w:val="00CD0CE6"/>
    <w:rsid w:val="00CD2FC5"/>
    <w:rsid w:val="00CD320A"/>
    <w:rsid w:val="00CD4636"/>
    <w:rsid w:val="00CD5323"/>
    <w:rsid w:val="00CE0CEC"/>
    <w:rsid w:val="00CE160F"/>
    <w:rsid w:val="00CE26E1"/>
    <w:rsid w:val="00CE29BB"/>
    <w:rsid w:val="00CE2B39"/>
    <w:rsid w:val="00CE57DA"/>
    <w:rsid w:val="00CE63B5"/>
    <w:rsid w:val="00CE689A"/>
    <w:rsid w:val="00CF1B33"/>
    <w:rsid w:val="00CF2F8A"/>
    <w:rsid w:val="00CF3FDB"/>
    <w:rsid w:val="00CF5B1A"/>
    <w:rsid w:val="00CF5CE2"/>
    <w:rsid w:val="00CF6FB0"/>
    <w:rsid w:val="00D00996"/>
    <w:rsid w:val="00D00B95"/>
    <w:rsid w:val="00D0208E"/>
    <w:rsid w:val="00D03417"/>
    <w:rsid w:val="00D04ECD"/>
    <w:rsid w:val="00D05379"/>
    <w:rsid w:val="00D0601D"/>
    <w:rsid w:val="00D125D1"/>
    <w:rsid w:val="00D13F55"/>
    <w:rsid w:val="00D143DF"/>
    <w:rsid w:val="00D14776"/>
    <w:rsid w:val="00D1518A"/>
    <w:rsid w:val="00D154EF"/>
    <w:rsid w:val="00D15751"/>
    <w:rsid w:val="00D157CE"/>
    <w:rsid w:val="00D1751D"/>
    <w:rsid w:val="00D20191"/>
    <w:rsid w:val="00D20563"/>
    <w:rsid w:val="00D211FA"/>
    <w:rsid w:val="00D21441"/>
    <w:rsid w:val="00D224D4"/>
    <w:rsid w:val="00D2278E"/>
    <w:rsid w:val="00D22AEC"/>
    <w:rsid w:val="00D24664"/>
    <w:rsid w:val="00D24FF7"/>
    <w:rsid w:val="00D252E0"/>
    <w:rsid w:val="00D2592D"/>
    <w:rsid w:val="00D25A8C"/>
    <w:rsid w:val="00D26246"/>
    <w:rsid w:val="00D2672A"/>
    <w:rsid w:val="00D26A81"/>
    <w:rsid w:val="00D306AC"/>
    <w:rsid w:val="00D31786"/>
    <w:rsid w:val="00D32321"/>
    <w:rsid w:val="00D35094"/>
    <w:rsid w:val="00D35FCE"/>
    <w:rsid w:val="00D3751A"/>
    <w:rsid w:val="00D4023B"/>
    <w:rsid w:val="00D4305D"/>
    <w:rsid w:val="00D43582"/>
    <w:rsid w:val="00D43853"/>
    <w:rsid w:val="00D439BA"/>
    <w:rsid w:val="00D44760"/>
    <w:rsid w:val="00D44FE3"/>
    <w:rsid w:val="00D45223"/>
    <w:rsid w:val="00D45252"/>
    <w:rsid w:val="00D454D9"/>
    <w:rsid w:val="00D45615"/>
    <w:rsid w:val="00D45A34"/>
    <w:rsid w:val="00D51461"/>
    <w:rsid w:val="00D534C3"/>
    <w:rsid w:val="00D53D1C"/>
    <w:rsid w:val="00D53F14"/>
    <w:rsid w:val="00D53F18"/>
    <w:rsid w:val="00D55254"/>
    <w:rsid w:val="00D55A2D"/>
    <w:rsid w:val="00D5738F"/>
    <w:rsid w:val="00D60D60"/>
    <w:rsid w:val="00D6181E"/>
    <w:rsid w:val="00D62BD2"/>
    <w:rsid w:val="00D63094"/>
    <w:rsid w:val="00D6369F"/>
    <w:rsid w:val="00D641D6"/>
    <w:rsid w:val="00D64E7E"/>
    <w:rsid w:val="00D65BB7"/>
    <w:rsid w:val="00D65FA0"/>
    <w:rsid w:val="00D66578"/>
    <w:rsid w:val="00D665F2"/>
    <w:rsid w:val="00D669FA"/>
    <w:rsid w:val="00D6749E"/>
    <w:rsid w:val="00D674B0"/>
    <w:rsid w:val="00D676D4"/>
    <w:rsid w:val="00D67ACC"/>
    <w:rsid w:val="00D71B4D"/>
    <w:rsid w:val="00D7264A"/>
    <w:rsid w:val="00D72A0D"/>
    <w:rsid w:val="00D72CDB"/>
    <w:rsid w:val="00D732F3"/>
    <w:rsid w:val="00D73B6B"/>
    <w:rsid w:val="00D73C6F"/>
    <w:rsid w:val="00D755F3"/>
    <w:rsid w:val="00D770AF"/>
    <w:rsid w:val="00D7772F"/>
    <w:rsid w:val="00D77A3E"/>
    <w:rsid w:val="00D81141"/>
    <w:rsid w:val="00D822B2"/>
    <w:rsid w:val="00D832A8"/>
    <w:rsid w:val="00D850BF"/>
    <w:rsid w:val="00D8725C"/>
    <w:rsid w:val="00D874C5"/>
    <w:rsid w:val="00D87717"/>
    <w:rsid w:val="00D87E41"/>
    <w:rsid w:val="00D907D0"/>
    <w:rsid w:val="00D91208"/>
    <w:rsid w:val="00D93D55"/>
    <w:rsid w:val="00D94FD2"/>
    <w:rsid w:val="00D95C56"/>
    <w:rsid w:val="00D96415"/>
    <w:rsid w:val="00D9708A"/>
    <w:rsid w:val="00D979A8"/>
    <w:rsid w:val="00D97E3B"/>
    <w:rsid w:val="00DA0710"/>
    <w:rsid w:val="00DA1978"/>
    <w:rsid w:val="00DA204F"/>
    <w:rsid w:val="00DA2D6A"/>
    <w:rsid w:val="00DA2E13"/>
    <w:rsid w:val="00DA506E"/>
    <w:rsid w:val="00DA5277"/>
    <w:rsid w:val="00DA60A3"/>
    <w:rsid w:val="00DA6182"/>
    <w:rsid w:val="00DA64F6"/>
    <w:rsid w:val="00DB0EF7"/>
    <w:rsid w:val="00DB13D2"/>
    <w:rsid w:val="00DB1466"/>
    <w:rsid w:val="00DB1C2E"/>
    <w:rsid w:val="00DB3343"/>
    <w:rsid w:val="00DB46B9"/>
    <w:rsid w:val="00DB490D"/>
    <w:rsid w:val="00DB5229"/>
    <w:rsid w:val="00DB6EC7"/>
    <w:rsid w:val="00DB7D32"/>
    <w:rsid w:val="00DC2488"/>
    <w:rsid w:val="00DC2978"/>
    <w:rsid w:val="00DC448B"/>
    <w:rsid w:val="00DC5779"/>
    <w:rsid w:val="00DC59F0"/>
    <w:rsid w:val="00DC5E95"/>
    <w:rsid w:val="00DC712B"/>
    <w:rsid w:val="00DD095E"/>
    <w:rsid w:val="00DD0AB1"/>
    <w:rsid w:val="00DD12DE"/>
    <w:rsid w:val="00DD1B06"/>
    <w:rsid w:val="00DD2DB5"/>
    <w:rsid w:val="00DD36F9"/>
    <w:rsid w:val="00DD4231"/>
    <w:rsid w:val="00DD59B9"/>
    <w:rsid w:val="00DD5BBD"/>
    <w:rsid w:val="00DD652F"/>
    <w:rsid w:val="00DE0119"/>
    <w:rsid w:val="00DE0699"/>
    <w:rsid w:val="00DE1E62"/>
    <w:rsid w:val="00DE2835"/>
    <w:rsid w:val="00DE669D"/>
    <w:rsid w:val="00DE66BC"/>
    <w:rsid w:val="00DE6CD2"/>
    <w:rsid w:val="00DF0BF9"/>
    <w:rsid w:val="00DF1375"/>
    <w:rsid w:val="00DF16AF"/>
    <w:rsid w:val="00DF26BF"/>
    <w:rsid w:val="00DF26D9"/>
    <w:rsid w:val="00DF28F0"/>
    <w:rsid w:val="00DF48A6"/>
    <w:rsid w:val="00DF6CA7"/>
    <w:rsid w:val="00DF6CBE"/>
    <w:rsid w:val="00E00F63"/>
    <w:rsid w:val="00E017B5"/>
    <w:rsid w:val="00E01DD5"/>
    <w:rsid w:val="00E01F9A"/>
    <w:rsid w:val="00E02DD4"/>
    <w:rsid w:val="00E031FF"/>
    <w:rsid w:val="00E034AE"/>
    <w:rsid w:val="00E03CD5"/>
    <w:rsid w:val="00E04657"/>
    <w:rsid w:val="00E05968"/>
    <w:rsid w:val="00E05D0E"/>
    <w:rsid w:val="00E0613F"/>
    <w:rsid w:val="00E10F2C"/>
    <w:rsid w:val="00E110D1"/>
    <w:rsid w:val="00E11761"/>
    <w:rsid w:val="00E11F61"/>
    <w:rsid w:val="00E1282A"/>
    <w:rsid w:val="00E12A5D"/>
    <w:rsid w:val="00E133BD"/>
    <w:rsid w:val="00E13777"/>
    <w:rsid w:val="00E141ED"/>
    <w:rsid w:val="00E14367"/>
    <w:rsid w:val="00E144A6"/>
    <w:rsid w:val="00E14924"/>
    <w:rsid w:val="00E14F23"/>
    <w:rsid w:val="00E170C7"/>
    <w:rsid w:val="00E1767A"/>
    <w:rsid w:val="00E17ABB"/>
    <w:rsid w:val="00E17CC0"/>
    <w:rsid w:val="00E222C0"/>
    <w:rsid w:val="00E23801"/>
    <w:rsid w:val="00E23E99"/>
    <w:rsid w:val="00E24C68"/>
    <w:rsid w:val="00E25E7C"/>
    <w:rsid w:val="00E300A7"/>
    <w:rsid w:val="00E322AB"/>
    <w:rsid w:val="00E335FE"/>
    <w:rsid w:val="00E33F11"/>
    <w:rsid w:val="00E3458C"/>
    <w:rsid w:val="00E348A1"/>
    <w:rsid w:val="00E34CB3"/>
    <w:rsid w:val="00E36070"/>
    <w:rsid w:val="00E366FD"/>
    <w:rsid w:val="00E36D72"/>
    <w:rsid w:val="00E36E80"/>
    <w:rsid w:val="00E40008"/>
    <w:rsid w:val="00E4035A"/>
    <w:rsid w:val="00E43A8E"/>
    <w:rsid w:val="00E4455C"/>
    <w:rsid w:val="00E45470"/>
    <w:rsid w:val="00E456C7"/>
    <w:rsid w:val="00E4613F"/>
    <w:rsid w:val="00E46976"/>
    <w:rsid w:val="00E4727A"/>
    <w:rsid w:val="00E474B5"/>
    <w:rsid w:val="00E47FCD"/>
    <w:rsid w:val="00E50C2B"/>
    <w:rsid w:val="00E50F61"/>
    <w:rsid w:val="00E51807"/>
    <w:rsid w:val="00E51F5B"/>
    <w:rsid w:val="00E52408"/>
    <w:rsid w:val="00E52641"/>
    <w:rsid w:val="00E52BDE"/>
    <w:rsid w:val="00E54375"/>
    <w:rsid w:val="00E54E0A"/>
    <w:rsid w:val="00E552DF"/>
    <w:rsid w:val="00E55824"/>
    <w:rsid w:val="00E56533"/>
    <w:rsid w:val="00E57960"/>
    <w:rsid w:val="00E57A8F"/>
    <w:rsid w:val="00E6022B"/>
    <w:rsid w:val="00E60761"/>
    <w:rsid w:val="00E613E7"/>
    <w:rsid w:val="00E62851"/>
    <w:rsid w:val="00E6311E"/>
    <w:rsid w:val="00E6492F"/>
    <w:rsid w:val="00E65D22"/>
    <w:rsid w:val="00E7514B"/>
    <w:rsid w:val="00E77F8B"/>
    <w:rsid w:val="00E802D0"/>
    <w:rsid w:val="00E80787"/>
    <w:rsid w:val="00E81234"/>
    <w:rsid w:val="00E836FE"/>
    <w:rsid w:val="00E8464A"/>
    <w:rsid w:val="00E84F36"/>
    <w:rsid w:val="00E86590"/>
    <w:rsid w:val="00E8751D"/>
    <w:rsid w:val="00E92EDC"/>
    <w:rsid w:val="00E9317E"/>
    <w:rsid w:val="00E95501"/>
    <w:rsid w:val="00E95524"/>
    <w:rsid w:val="00E959BD"/>
    <w:rsid w:val="00E9680A"/>
    <w:rsid w:val="00E96A47"/>
    <w:rsid w:val="00E96C02"/>
    <w:rsid w:val="00E9740E"/>
    <w:rsid w:val="00EA0463"/>
    <w:rsid w:val="00EA0F49"/>
    <w:rsid w:val="00EA28B3"/>
    <w:rsid w:val="00EA2973"/>
    <w:rsid w:val="00EA33DD"/>
    <w:rsid w:val="00EA44E8"/>
    <w:rsid w:val="00EA4786"/>
    <w:rsid w:val="00EA496E"/>
    <w:rsid w:val="00EA4AD0"/>
    <w:rsid w:val="00EA5114"/>
    <w:rsid w:val="00EA77A2"/>
    <w:rsid w:val="00EA7C2E"/>
    <w:rsid w:val="00EB2D21"/>
    <w:rsid w:val="00EB2DA6"/>
    <w:rsid w:val="00EB4501"/>
    <w:rsid w:val="00EB477A"/>
    <w:rsid w:val="00EB4939"/>
    <w:rsid w:val="00EB57DA"/>
    <w:rsid w:val="00EB61D7"/>
    <w:rsid w:val="00EB7F52"/>
    <w:rsid w:val="00EC0148"/>
    <w:rsid w:val="00EC0C53"/>
    <w:rsid w:val="00EC1316"/>
    <w:rsid w:val="00EC16DE"/>
    <w:rsid w:val="00EC29E0"/>
    <w:rsid w:val="00EC3D61"/>
    <w:rsid w:val="00EC4E49"/>
    <w:rsid w:val="00EC779E"/>
    <w:rsid w:val="00ED2B14"/>
    <w:rsid w:val="00ED42A0"/>
    <w:rsid w:val="00ED65EF"/>
    <w:rsid w:val="00ED6B77"/>
    <w:rsid w:val="00ED77FB"/>
    <w:rsid w:val="00EE1AA9"/>
    <w:rsid w:val="00EE1C4F"/>
    <w:rsid w:val="00EE2111"/>
    <w:rsid w:val="00EE2719"/>
    <w:rsid w:val="00EE45FA"/>
    <w:rsid w:val="00EE4D71"/>
    <w:rsid w:val="00EE681C"/>
    <w:rsid w:val="00EE7377"/>
    <w:rsid w:val="00EE7BCC"/>
    <w:rsid w:val="00EF03EE"/>
    <w:rsid w:val="00EF104B"/>
    <w:rsid w:val="00EF12DD"/>
    <w:rsid w:val="00EF2B2E"/>
    <w:rsid w:val="00EF4804"/>
    <w:rsid w:val="00EF6070"/>
    <w:rsid w:val="00EF6A7C"/>
    <w:rsid w:val="00EF74E9"/>
    <w:rsid w:val="00EF7792"/>
    <w:rsid w:val="00EF7B0C"/>
    <w:rsid w:val="00F008B3"/>
    <w:rsid w:val="00F01814"/>
    <w:rsid w:val="00F01C9F"/>
    <w:rsid w:val="00F02DF0"/>
    <w:rsid w:val="00F05932"/>
    <w:rsid w:val="00F075F1"/>
    <w:rsid w:val="00F0787F"/>
    <w:rsid w:val="00F07F00"/>
    <w:rsid w:val="00F11492"/>
    <w:rsid w:val="00F157E8"/>
    <w:rsid w:val="00F16E54"/>
    <w:rsid w:val="00F2048C"/>
    <w:rsid w:val="00F21074"/>
    <w:rsid w:val="00F21BCD"/>
    <w:rsid w:val="00F22776"/>
    <w:rsid w:val="00F23673"/>
    <w:rsid w:val="00F23D1B"/>
    <w:rsid w:val="00F24BA4"/>
    <w:rsid w:val="00F25558"/>
    <w:rsid w:val="00F255FA"/>
    <w:rsid w:val="00F25A02"/>
    <w:rsid w:val="00F26633"/>
    <w:rsid w:val="00F27BA6"/>
    <w:rsid w:val="00F309A1"/>
    <w:rsid w:val="00F30C50"/>
    <w:rsid w:val="00F30CD0"/>
    <w:rsid w:val="00F30D54"/>
    <w:rsid w:val="00F30F1D"/>
    <w:rsid w:val="00F3200C"/>
    <w:rsid w:val="00F3256F"/>
    <w:rsid w:val="00F33FD8"/>
    <w:rsid w:val="00F34522"/>
    <w:rsid w:val="00F36696"/>
    <w:rsid w:val="00F3705B"/>
    <w:rsid w:val="00F3731A"/>
    <w:rsid w:val="00F37C88"/>
    <w:rsid w:val="00F40257"/>
    <w:rsid w:val="00F40918"/>
    <w:rsid w:val="00F41E88"/>
    <w:rsid w:val="00F4434B"/>
    <w:rsid w:val="00F44C0D"/>
    <w:rsid w:val="00F45DA9"/>
    <w:rsid w:val="00F45ED5"/>
    <w:rsid w:val="00F47072"/>
    <w:rsid w:val="00F5084C"/>
    <w:rsid w:val="00F51391"/>
    <w:rsid w:val="00F519E7"/>
    <w:rsid w:val="00F53B23"/>
    <w:rsid w:val="00F544E2"/>
    <w:rsid w:val="00F54DFF"/>
    <w:rsid w:val="00F5740B"/>
    <w:rsid w:val="00F606B4"/>
    <w:rsid w:val="00F60DFE"/>
    <w:rsid w:val="00F60EB6"/>
    <w:rsid w:val="00F618C0"/>
    <w:rsid w:val="00F624E9"/>
    <w:rsid w:val="00F63733"/>
    <w:rsid w:val="00F63821"/>
    <w:rsid w:val="00F63B0A"/>
    <w:rsid w:val="00F651D9"/>
    <w:rsid w:val="00F65819"/>
    <w:rsid w:val="00F65B1C"/>
    <w:rsid w:val="00F66152"/>
    <w:rsid w:val="00F710E8"/>
    <w:rsid w:val="00F72192"/>
    <w:rsid w:val="00F72E18"/>
    <w:rsid w:val="00F76063"/>
    <w:rsid w:val="00F76E22"/>
    <w:rsid w:val="00F81E5A"/>
    <w:rsid w:val="00F82972"/>
    <w:rsid w:val="00F84960"/>
    <w:rsid w:val="00F85692"/>
    <w:rsid w:val="00F901D7"/>
    <w:rsid w:val="00F92173"/>
    <w:rsid w:val="00F921AB"/>
    <w:rsid w:val="00F92827"/>
    <w:rsid w:val="00F940A7"/>
    <w:rsid w:val="00F94CF8"/>
    <w:rsid w:val="00F97AF7"/>
    <w:rsid w:val="00FA043B"/>
    <w:rsid w:val="00FA2284"/>
    <w:rsid w:val="00FA3926"/>
    <w:rsid w:val="00FA419E"/>
    <w:rsid w:val="00FA54B4"/>
    <w:rsid w:val="00FA7391"/>
    <w:rsid w:val="00FB02F4"/>
    <w:rsid w:val="00FB1575"/>
    <w:rsid w:val="00FB1A99"/>
    <w:rsid w:val="00FB1EF7"/>
    <w:rsid w:val="00FB1F8B"/>
    <w:rsid w:val="00FB4558"/>
    <w:rsid w:val="00FB5237"/>
    <w:rsid w:val="00FB5C14"/>
    <w:rsid w:val="00FB5FF0"/>
    <w:rsid w:val="00FB6E07"/>
    <w:rsid w:val="00FB7029"/>
    <w:rsid w:val="00FB7242"/>
    <w:rsid w:val="00FB7655"/>
    <w:rsid w:val="00FB77C4"/>
    <w:rsid w:val="00FC2E79"/>
    <w:rsid w:val="00FC4C3E"/>
    <w:rsid w:val="00FC69C2"/>
    <w:rsid w:val="00FC6C0C"/>
    <w:rsid w:val="00FC6D23"/>
    <w:rsid w:val="00FC7D35"/>
    <w:rsid w:val="00FD06CC"/>
    <w:rsid w:val="00FD16DF"/>
    <w:rsid w:val="00FD1953"/>
    <w:rsid w:val="00FD1C76"/>
    <w:rsid w:val="00FD39E0"/>
    <w:rsid w:val="00FD3B6E"/>
    <w:rsid w:val="00FD4124"/>
    <w:rsid w:val="00FD4BB3"/>
    <w:rsid w:val="00FD62BB"/>
    <w:rsid w:val="00FD6D62"/>
    <w:rsid w:val="00FD71D8"/>
    <w:rsid w:val="00FE04FB"/>
    <w:rsid w:val="00FE1013"/>
    <w:rsid w:val="00FE17DA"/>
    <w:rsid w:val="00FE1BE8"/>
    <w:rsid w:val="00FE237E"/>
    <w:rsid w:val="00FE2E99"/>
    <w:rsid w:val="00FE317F"/>
    <w:rsid w:val="00FE3A60"/>
    <w:rsid w:val="00FE424B"/>
    <w:rsid w:val="00FE51D0"/>
    <w:rsid w:val="00FE5B1E"/>
    <w:rsid w:val="00FE7201"/>
    <w:rsid w:val="00FF0FBC"/>
    <w:rsid w:val="00FF1625"/>
    <w:rsid w:val="00FF1748"/>
    <w:rsid w:val="00FF3322"/>
    <w:rsid w:val="00FF451A"/>
    <w:rsid w:val="00FF5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semiHidden/>
    <w:unhideWhenUsed/>
    <w:qFormat/>
    <w:rsid w:val="009362D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uiPriority w:val="99"/>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uiPriority w:val="99"/>
    <w:rsid w:val="00CE2B39"/>
    <w:pPr>
      <w:numPr>
        <w:numId w:val="5"/>
      </w:numPr>
      <w:tabs>
        <w:tab w:val="clear" w:pos="1134"/>
        <w:tab w:val="num" w:pos="567"/>
      </w:tabs>
      <w:ind w:left="0"/>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0408DC"/>
    <w:rPr>
      <w:rFonts w:ascii="Tahoma" w:hAnsi="Tahoma" w:cs="Tahoma"/>
      <w:sz w:val="16"/>
      <w:szCs w:val="16"/>
    </w:rPr>
  </w:style>
  <w:style w:type="character" w:customStyle="1" w:styleId="BalloonTextChar">
    <w:name w:val="Balloon Text Char"/>
    <w:basedOn w:val="DefaultParagraphFont"/>
    <w:link w:val="BalloonText"/>
    <w:rsid w:val="000408DC"/>
    <w:rPr>
      <w:rFonts w:ascii="Tahoma" w:eastAsia="SimSun" w:hAnsi="Tahoma" w:cs="Tahoma"/>
      <w:sz w:val="16"/>
      <w:szCs w:val="16"/>
      <w:lang w:eastAsia="zh-CN"/>
    </w:rPr>
  </w:style>
  <w:style w:type="paragraph" w:styleId="ListParagraph">
    <w:name w:val="List Paragraph"/>
    <w:basedOn w:val="Normal"/>
    <w:uiPriority w:val="34"/>
    <w:qFormat/>
    <w:rsid w:val="007D730F"/>
    <w:pPr>
      <w:ind w:left="720"/>
      <w:contextualSpacing/>
    </w:pPr>
  </w:style>
  <w:style w:type="character" w:styleId="FootnoteReference">
    <w:name w:val="footnote reference"/>
    <w:basedOn w:val="DefaultParagraphFont"/>
    <w:rsid w:val="00911E1B"/>
    <w:rPr>
      <w:vertAlign w:val="superscript"/>
    </w:rPr>
  </w:style>
  <w:style w:type="paragraph" w:customStyle="1" w:styleId="Default">
    <w:name w:val="Default"/>
    <w:rsid w:val="008C4C2C"/>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uiPriority w:val="99"/>
    <w:rsid w:val="00AE02F6"/>
    <w:rPr>
      <w:rFonts w:ascii="Arial" w:eastAsia="SimSun" w:hAnsi="Arial" w:cs="Arial"/>
      <w:sz w:val="18"/>
      <w:lang w:eastAsia="zh-CN"/>
    </w:rPr>
  </w:style>
  <w:style w:type="paragraph" w:customStyle="1" w:styleId="indent1">
    <w:name w:val="indent_1"/>
    <w:basedOn w:val="Normal"/>
    <w:rsid w:val="000307C9"/>
    <w:pPr>
      <w:ind w:firstLine="567"/>
      <w:jc w:val="both"/>
    </w:pPr>
    <w:rPr>
      <w:rFonts w:ascii="Times New Roman" w:eastAsia="Times New Roman" w:hAnsi="Times New Roman" w:cs="Times New Roman"/>
      <w:sz w:val="28"/>
      <w:szCs w:val="28"/>
      <w:lang w:val="en-GB" w:eastAsia="ja-JP"/>
    </w:rPr>
  </w:style>
  <w:style w:type="paragraph" w:customStyle="1" w:styleId="indenti">
    <w:name w:val="indent_i"/>
    <w:basedOn w:val="Normal"/>
    <w:rsid w:val="000307C9"/>
    <w:pPr>
      <w:numPr>
        <w:numId w:val="9"/>
      </w:numPr>
      <w:tabs>
        <w:tab w:val="left" w:pos="2268"/>
      </w:tabs>
      <w:jc w:val="both"/>
    </w:pPr>
    <w:rPr>
      <w:rFonts w:ascii="Times New Roman" w:eastAsia="Times New Roman" w:hAnsi="Times New Roman" w:cs="Times New Roman"/>
      <w:sz w:val="28"/>
      <w:szCs w:val="28"/>
      <w:lang w:val="en-GB" w:eastAsia="ja-JP"/>
    </w:rPr>
  </w:style>
  <w:style w:type="character" w:styleId="CommentReference">
    <w:name w:val="annotation reference"/>
    <w:basedOn w:val="DefaultParagraphFont"/>
    <w:uiPriority w:val="99"/>
    <w:rsid w:val="005F4346"/>
    <w:rPr>
      <w:sz w:val="16"/>
      <w:szCs w:val="16"/>
    </w:rPr>
  </w:style>
  <w:style w:type="paragraph" w:styleId="CommentSubject">
    <w:name w:val="annotation subject"/>
    <w:basedOn w:val="CommentText"/>
    <w:next w:val="CommentText"/>
    <w:link w:val="CommentSubjectChar"/>
    <w:rsid w:val="005F4346"/>
    <w:rPr>
      <w:b/>
      <w:bCs/>
      <w:sz w:val="20"/>
    </w:rPr>
  </w:style>
  <w:style w:type="character" w:customStyle="1" w:styleId="CommentTextChar">
    <w:name w:val="Comment Text Char"/>
    <w:basedOn w:val="DefaultParagraphFont"/>
    <w:link w:val="CommentText"/>
    <w:uiPriority w:val="99"/>
    <w:semiHidden/>
    <w:rsid w:val="005F4346"/>
    <w:rPr>
      <w:rFonts w:ascii="Arial" w:eastAsia="SimSun" w:hAnsi="Arial" w:cs="Arial"/>
      <w:sz w:val="18"/>
      <w:lang w:eastAsia="zh-CN"/>
    </w:rPr>
  </w:style>
  <w:style w:type="character" w:customStyle="1" w:styleId="CommentSubjectChar">
    <w:name w:val="Comment Subject Char"/>
    <w:basedOn w:val="CommentTextChar"/>
    <w:link w:val="CommentSubject"/>
    <w:rsid w:val="005F4346"/>
    <w:rPr>
      <w:rFonts w:ascii="Arial" w:eastAsia="SimSun" w:hAnsi="Arial" w:cs="Arial"/>
      <w:b/>
      <w:bCs/>
      <w:sz w:val="18"/>
      <w:lang w:eastAsia="zh-CN"/>
    </w:rPr>
  </w:style>
  <w:style w:type="paragraph" w:styleId="NormalWeb">
    <w:name w:val="Normal (Web)"/>
    <w:basedOn w:val="Normal"/>
    <w:uiPriority w:val="99"/>
    <w:unhideWhenUsed/>
    <w:rsid w:val="00644764"/>
    <w:rPr>
      <w:rFonts w:ascii="Times New Roman" w:eastAsiaTheme="minorHAnsi" w:hAnsi="Times New Roman" w:cs="Times New Roman"/>
      <w:sz w:val="24"/>
      <w:szCs w:val="24"/>
      <w:lang w:eastAsia="en-US"/>
    </w:rPr>
  </w:style>
  <w:style w:type="character" w:styleId="Emphasis">
    <w:name w:val="Emphasis"/>
    <w:basedOn w:val="DefaultParagraphFont"/>
    <w:uiPriority w:val="20"/>
    <w:qFormat/>
    <w:rsid w:val="00644764"/>
    <w:rPr>
      <w:i/>
      <w:iCs/>
    </w:rPr>
  </w:style>
  <w:style w:type="character" w:styleId="Hyperlink">
    <w:name w:val="Hyperlink"/>
    <w:basedOn w:val="DefaultParagraphFont"/>
    <w:uiPriority w:val="99"/>
    <w:unhideWhenUsed/>
    <w:rsid w:val="00644764"/>
    <w:rPr>
      <w:color w:val="0000FF"/>
      <w:u w:val="single"/>
    </w:rPr>
  </w:style>
  <w:style w:type="character" w:customStyle="1" w:styleId="HeaderChar">
    <w:name w:val="Header Char"/>
    <w:basedOn w:val="DefaultParagraphFont"/>
    <w:link w:val="Header"/>
    <w:uiPriority w:val="99"/>
    <w:rsid w:val="002272F9"/>
    <w:rPr>
      <w:rFonts w:ascii="Arial" w:eastAsia="SimSun" w:hAnsi="Arial" w:cs="Arial"/>
      <w:sz w:val="22"/>
      <w:lang w:eastAsia="zh-CN"/>
    </w:rPr>
  </w:style>
  <w:style w:type="character" w:customStyle="1" w:styleId="apple-converted-space">
    <w:name w:val="apple-converted-space"/>
    <w:basedOn w:val="DefaultParagraphFont"/>
    <w:rsid w:val="002272F9"/>
  </w:style>
  <w:style w:type="table" w:styleId="TableGrid">
    <w:name w:val="Table Grid"/>
    <w:basedOn w:val="TableNormal"/>
    <w:rsid w:val="00227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9362D4"/>
    <w:rPr>
      <w:rFonts w:asciiTheme="majorHAnsi" w:eastAsiaTheme="majorEastAsia" w:hAnsiTheme="majorHAnsi" w:cstheme="majorBidi"/>
      <w:color w:val="243F60" w:themeColor="accent1" w:themeShade="7F"/>
      <w:sz w:val="22"/>
      <w:lang w:eastAsia="zh-CN"/>
    </w:rPr>
  </w:style>
  <w:style w:type="paragraph" w:customStyle="1" w:styleId="indenta">
    <w:name w:val="indent_a"/>
    <w:basedOn w:val="Normal"/>
    <w:link w:val="indentaChar"/>
    <w:rsid w:val="009362D4"/>
    <w:pPr>
      <w:ind w:firstLine="1134"/>
      <w:jc w:val="both"/>
    </w:pPr>
    <w:rPr>
      <w:rFonts w:ascii="Times New Roman" w:eastAsia="Times New Roman" w:hAnsi="Times New Roman" w:cs="Times New Roman"/>
      <w:sz w:val="28"/>
      <w:szCs w:val="28"/>
      <w:lang w:val="en-GB" w:eastAsia="ja-JP"/>
    </w:rPr>
  </w:style>
  <w:style w:type="character" w:customStyle="1" w:styleId="indentaChar">
    <w:name w:val="indent_a Char"/>
    <w:link w:val="indenta"/>
    <w:rsid w:val="009362D4"/>
    <w:rPr>
      <w:rFonts w:eastAsia="Times New Roman"/>
      <w:sz w:val="28"/>
      <w:szCs w:val="28"/>
      <w:lang w:val="en-GB" w:eastAsia="ja-JP"/>
    </w:rPr>
  </w:style>
  <w:style w:type="paragraph" w:styleId="Title">
    <w:name w:val="Title"/>
    <w:basedOn w:val="Normal"/>
    <w:link w:val="TitleChar"/>
    <w:qFormat/>
    <w:rsid w:val="009362D4"/>
    <w:pPr>
      <w:jc w:val="center"/>
    </w:pPr>
    <w:rPr>
      <w:rFonts w:ascii="Times New Roman" w:eastAsia="Times New Roman" w:hAnsi="Times New Roman" w:cs="Times New Roman"/>
      <w:b/>
      <w:sz w:val="40"/>
      <w:szCs w:val="40"/>
      <w:lang w:val="en-GB" w:eastAsia="ja-JP"/>
    </w:rPr>
  </w:style>
  <w:style w:type="character" w:customStyle="1" w:styleId="TitleChar">
    <w:name w:val="Title Char"/>
    <w:basedOn w:val="DefaultParagraphFont"/>
    <w:link w:val="Title"/>
    <w:rsid w:val="009362D4"/>
    <w:rPr>
      <w:rFonts w:eastAsia="Times New Roman"/>
      <w:b/>
      <w:sz w:val="40"/>
      <w:szCs w:val="40"/>
      <w:lang w:val="en-GB" w:eastAsia="ja-JP"/>
    </w:rPr>
  </w:style>
  <w:style w:type="paragraph" w:styleId="BodyText3">
    <w:name w:val="Body Text 3"/>
    <w:basedOn w:val="Normal"/>
    <w:link w:val="BodyText3Char"/>
    <w:rsid w:val="009362D4"/>
    <w:pPr>
      <w:tabs>
        <w:tab w:val="left" w:pos="567"/>
        <w:tab w:val="left" w:pos="1276"/>
        <w:tab w:val="right" w:pos="8364"/>
      </w:tabs>
      <w:ind w:left="1276" w:right="1985" w:hanging="709"/>
      <w:jc w:val="both"/>
    </w:pPr>
    <w:rPr>
      <w:rFonts w:ascii="Times New Roman" w:eastAsia="Times New Roman" w:hAnsi="Times New Roman" w:cs="Times New Roman"/>
      <w:sz w:val="28"/>
      <w:szCs w:val="28"/>
      <w:lang w:val="en-GB" w:eastAsia="ja-JP"/>
    </w:rPr>
  </w:style>
  <w:style w:type="character" w:customStyle="1" w:styleId="BodyText3Char">
    <w:name w:val="Body Text 3 Char"/>
    <w:basedOn w:val="DefaultParagraphFont"/>
    <w:link w:val="BodyText3"/>
    <w:rsid w:val="009362D4"/>
    <w:rPr>
      <w:rFonts w:eastAsia="Times New Roman"/>
      <w:sz w:val="28"/>
      <w:szCs w:val="28"/>
      <w:lang w:val="en-GB" w:eastAsia="ja-JP"/>
    </w:rPr>
  </w:style>
  <w:style w:type="paragraph" w:styleId="BodyText2">
    <w:name w:val="Body Text 2"/>
    <w:basedOn w:val="Normal"/>
    <w:link w:val="BodyText2Char"/>
    <w:autoRedefine/>
    <w:rsid w:val="009362D4"/>
    <w:pPr>
      <w:tabs>
        <w:tab w:val="right" w:pos="8363"/>
      </w:tabs>
      <w:ind w:left="567" w:right="1985" w:hanging="567"/>
      <w:jc w:val="both"/>
    </w:pPr>
    <w:rPr>
      <w:rFonts w:ascii="Times New Roman" w:eastAsia="Times New Roman" w:hAnsi="Times New Roman" w:cs="Times New Roman"/>
      <w:sz w:val="28"/>
      <w:szCs w:val="24"/>
      <w:lang w:eastAsia="ja-JP"/>
    </w:rPr>
  </w:style>
  <w:style w:type="character" w:customStyle="1" w:styleId="BodyText2Char">
    <w:name w:val="Body Text 2 Char"/>
    <w:basedOn w:val="DefaultParagraphFont"/>
    <w:link w:val="BodyText2"/>
    <w:rsid w:val="009362D4"/>
    <w:rPr>
      <w:rFonts w:eastAsia="Times New Roman"/>
      <w:sz w:val="28"/>
      <w:szCs w:val="24"/>
      <w:lang w:eastAsia="ja-JP"/>
    </w:rPr>
  </w:style>
  <w:style w:type="paragraph" w:styleId="HTMLPreformatted">
    <w:name w:val="HTML Preformatted"/>
    <w:basedOn w:val="Normal"/>
    <w:link w:val="HTMLPreformattedChar"/>
    <w:uiPriority w:val="99"/>
    <w:unhideWhenUsed/>
    <w:rsid w:val="0093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ja-JP"/>
    </w:rPr>
  </w:style>
  <w:style w:type="character" w:customStyle="1" w:styleId="HTMLPreformattedChar">
    <w:name w:val="HTML Preformatted Char"/>
    <w:basedOn w:val="DefaultParagraphFont"/>
    <w:link w:val="HTMLPreformatted"/>
    <w:uiPriority w:val="99"/>
    <w:rsid w:val="009362D4"/>
    <w:rPr>
      <w:rFonts w:ascii="Courier New" w:eastAsia="Times New Roman" w:hAnsi="Courier New" w:cs="Courier New"/>
      <w:lang w:eastAsia="ja-JP"/>
    </w:rPr>
  </w:style>
  <w:style w:type="character" w:styleId="FollowedHyperlink">
    <w:name w:val="FollowedHyperlink"/>
    <w:basedOn w:val="DefaultParagraphFont"/>
    <w:rsid w:val="009362D4"/>
    <w:rPr>
      <w:color w:val="800080" w:themeColor="followedHyperlink"/>
      <w:u w:val="single"/>
    </w:rPr>
  </w:style>
  <w:style w:type="character" w:customStyle="1" w:styleId="originallanguage">
    <w:name w:val="originallanguage"/>
    <w:basedOn w:val="DefaultParagraphFont"/>
    <w:rsid w:val="009362D4"/>
  </w:style>
  <w:style w:type="character" w:customStyle="1" w:styleId="translatedlanguage">
    <w:name w:val="translatedlanguage"/>
    <w:basedOn w:val="DefaultParagraphFont"/>
    <w:rsid w:val="009362D4"/>
  </w:style>
  <w:style w:type="paragraph" w:styleId="Revision">
    <w:name w:val="Revision"/>
    <w:hidden/>
    <w:uiPriority w:val="99"/>
    <w:semiHidden/>
    <w:rsid w:val="004A74A2"/>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semiHidden/>
    <w:unhideWhenUsed/>
    <w:qFormat/>
    <w:rsid w:val="009362D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uiPriority w:val="99"/>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uiPriority w:val="99"/>
    <w:rsid w:val="00CE2B39"/>
    <w:pPr>
      <w:numPr>
        <w:numId w:val="5"/>
      </w:numPr>
      <w:tabs>
        <w:tab w:val="clear" w:pos="1134"/>
        <w:tab w:val="num" w:pos="567"/>
      </w:tabs>
      <w:ind w:left="0"/>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0408DC"/>
    <w:rPr>
      <w:rFonts w:ascii="Tahoma" w:hAnsi="Tahoma" w:cs="Tahoma"/>
      <w:sz w:val="16"/>
      <w:szCs w:val="16"/>
    </w:rPr>
  </w:style>
  <w:style w:type="character" w:customStyle="1" w:styleId="BalloonTextChar">
    <w:name w:val="Balloon Text Char"/>
    <w:basedOn w:val="DefaultParagraphFont"/>
    <w:link w:val="BalloonText"/>
    <w:rsid w:val="000408DC"/>
    <w:rPr>
      <w:rFonts w:ascii="Tahoma" w:eastAsia="SimSun" w:hAnsi="Tahoma" w:cs="Tahoma"/>
      <w:sz w:val="16"/>
      <w:szCs w:val="16"/>
      <w:lang w:eastAsia="zh-CN"/>
    </w:rPr>
  </w:style>
  <w:style w:type="paragraph" w:styleId="ListParagraph">
    <w:name w:val="List Paragraph"/>
    <w:basedOn w:val="Normal"/>
    <w:uiPriority w:val="34"/>
    <w:qFormat/>
    <w:rsid w:val="007D730F"/>
    <w:pPr>
      <w:ind w:left="720"/>
      <w:contextualSpacing/>
    </w:pPr>
  </w:style>
  <w:style w:type="character" w:styleId="FootnoteReference">
    <w:name w:val="footnote reference"/>
    <w:basedOn w:val="DefaultParagraphFont"/>
    <w:rsid w:val="00911E1B"/>
    <w:rPr>
      <w:vertAlign w:val="superscript"/>
    </w:rPr>
  </w:style>
  <w:style w:type="paragraph" w:customStyle="1" w:styleId="Default">
    <w:name w:val="Default"/>
    <w:rsid w:val="008C4C2C"/>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uiPriority w:val="99"/>
    <w:rsid w:val="00AE02F6"/>
    <w:rPr>
      <w:rFonts w:ascii="Arial" w:eastAsia="SimSun" w:hAnsi="Arial" w:cs="Arial"/>
      <w:sz w:val="18"/>
      <w:lang w:eastAsia="zh-CN"/>
    </w:rPr>
  </w:style>
  <w:style w:type="paragraph" w:customStyle="1" w:styleId="indent1">
    <w:name w:val="indent_1"/>
    <w:basedOn w:val="Normal"/>
    <w:rsid w:val="000307C9"/>
    <w:pPr>
      <w:ind w:firstLine="567"/>
      <w:jc w:val="both"/>
    </w:pPr>
    <w:rPr>
      <w:rFonts w:ascii="Times New Roman" w:eastAsia="Times New Roman" w:hAnsi="Times New Roman" w:cs="Times New Roman"/>
      <w:sz w:val="28"/>
      <w:szCs w:val="28"/>
      <w:lang w:val="en-GB" w:eastAsia="ja-JP"/>
    </w:rPr>
  </w:style>
  <w:style w:type="paragraph" w:customStyle="1" w:styleId="indenti">
    <w:name w:val="indent_i"/>
    <w:basedOn w:val="Normal"/>
    <w:rsid w:val="000307C9"/>
    <w:pPr>
      <w:numPr>
        <w:numId w:val="9"/>
      </w:numPr>
      <w:tabs>
        <w:tab w:val="left" w:pos="2268"/>
      </w:tabs>
      <w:jc w:val="both"/>
    </w:pPr>
    <w:rPr>
      <w:rFonts w:ascii="Times New Roman" w:eastAsia="Times New Roman" w:hAnsi="Times New Roman" w:cs="Times New Roman"/>
      <w:sz w:val="28"/>
      <w:szCs w:val="28"/>
      <w:lang w:val="en-GB" w:eastAsia="ja-JP"/>
    </w:rPr>
  </w:style>
  <w:style w:type="character" w:styleId="CommentReference">
    <w:name w:val="annotation reference"/>
    <w:basedOn w:val="DefaultParagraphFont"/>
    <w:uiPriority w:val="99"/>
    <w:rsid w:val="005F4346"/>
    <w:rPr>
      <w:sz w:val="16"/>
      <w:szCs w:val="16"/>
    </w:rPr>
  </w:style>
  <w:style w:type="paragraph" w:styleId="CommentSubject">
    <w:name w:val="annotation subject"/>
    <w:basedOn w:val="CommentText"/>
    <w:next w:val="CommentText"/>
    <w:link w:val="CommentSubjectChar"/>
    <w:rsid w:val="005F4346"/>
    <w:rPr>
      <w:b/>
      <w:bCs/>
      <w:sz w:val="20"/>
    </w:rPr>
  </w:style>
  <w:style w:type="character" w:customStyle="1" w:styleId="CommentTextChar">
    <w:name w:val="Comment Text Char"/>
    <w:basedOn w:val="DefaultParagraphFont"/>
    <w:link w:val="CommentText"/>
    <w:uiPriority w:val="99"/>
    <w:semiHidden/>
    <w:rsid w:val="005F4346"/>
    <w:rPr>
      <w:rFonts w:ascii="Arial" w:eastAsia="SimSun" w:hAnsi="Arial" w:cs="Arial"/>
      <w:sz w:val="18"/>
      <w:lang w:eastAsia="zh-CN"/>
    </w:rPr>
  </w:style>
  <w:style w:type="character" w:customStyle="1" w:styleId="CommentSubjectChar">
    <w:name w:val="Comment Subject Char"/>
    <w:basedOn w:val="CommentTextChar"/>
    <w:link w:val="CommentSubject"/>
    <w:rsid w:val="005F4346"/>
    <w:rPr>
      <w:rFonts w:ascii="Arial" w:eastAsia="SimSun" w:hAnsi="Arial" w:cs="Arial"/>
      <w:b/>
      <w:bCs/>
      <w:sz w:val="18"/>
      <w:lang w:eastAsia="zh-CN"/>
    </w:rPr>
  </w:style>
  <w:style w:type="paragraph" w:styleId="NormalWeb">
    <w:name w:val="Normal (Web)"/>
    <w:basedOn w:val="Normal"/>
    <w:uiPriority w:val="99"/>
    <w:unhideWhenUsed/>
    <w:rsid w:val="00644764"/>
    <w:rPr>
      <w:rFonts w:ascii="Times New Roman" w:eastAsiaTheme="minorHAnsi" w:hAnsi="Times New Roman" w:cs="Times New Roman"/>
      <w:sz w:val="24"/>
      <w:szCs w:val="24"/>
      <w:lang w:eastAsia="en-US"/>
    </w:rPr>
  </w:style>
  <w:style w:type="character" w:styleId="Emphasis">
    <w:name w:val="Emphasis"/>
    <w:basedOn w:val="DefaultParagraphFont"/>
    <w:uiPriority w:val="20"/>
    <w:qFormat/>
    <w:rsid w:val="00644764"/>
    <w:rPr>
      <w:i/>
      <w:iCs/>
    </w:rPr>
  </w:style>
  <w:style w:type="character" w:styleId="Hyperlink">
    <w:name w:val="Hyperlink"/>
    <w:basedOn w:val="DefaultParagraphFont"/>
    <w:uiPriority w:val="99"/>
    <w:unhideWhenUsed/>
    <w:rsid w:val="00644764"/>
    <w:rPr>
      <w:color w:val="0000FF"/>
      <w:u w:val="single"/>
    </w:rPr>
  </w:style>
  <w:style w:type="character" w:customStyle="1" w:styleId="HeaderChar">
    <w:name w:val="Header Char"/>
    <w:basedOn w:val="DefaultParagraphFont"/>
    <w:link w:val="Header"/>
    <w:uiPriority w:val="99"/>
    <w:rsid w:val="002272F9"/>
    <w:rPr>
      <w:rFonts w:ascii="Arial" w:eastAsia="SimSun" w:hAnsi="Arial" w:cs="Arial"/>
      <w:sz w:val="22"/>
      <w:lang w:eastAsia="zh-CN"/>
    </w:rPr>
  </w:style>
  <w:style w:type="character" w:customStyle="1" w:styleId="apple-converted-space">
    <w:name w:val="apple-converted-space"/>
    <w:basedOn w:val="DefaultParagraphFont"/>
    <w:rsid w:val="002272F9"/>
  </w:style>
  <w:style w:type="table" w:styleId="TableGrid">
    <w:name w:val="Table Grid"/>
    <w:basedOn w:val="TableNormal"/>
    <w:rsid w:val="00227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9362D4"/>
    <w:rPr>
      <w:rFonts w:asciiTheme="majorHAnsi" w:eastAsiaTheme="majorEastAsia" w:hAnsiTheme="majorHAnsi" w:cstheme="majorBidi"/>
      <w:color w:val="243F60" w:themeColor="accent1" w:themeShade="7F"/>
      <w:sz w:val="22"/>
      <w:lang w:eastAsia="zh-CN"/>
    </w:rPr>
  </w:style>
  <w:style w:type="paragraph" w:customStyle="1" w:styleId="indenta">
    <w:name w:val="indent_a"/>
    <w:basedOn w:val="Normal"/>
    <w:link w:val="indentaChar"/>
    <w:rsid w:val="009362D4"/>
    <w:pPr>
      <w:ind w:firstLine="1134"/>
      <w:jc w:val="both"/>
    </w:pPr>
    <w:rPr>
      <w:rFonts w:ascii="Times New Roman" w:eastAsia="Times New Roman" w:hAnsi="Times New Roman" w:cs="Times New Roman"/>
      <w:sz w:val="28"/>
      <w:szCs w:val="28"/>
      <w:lang w:val="en-GB" w:eastAsia="ja-JP"/>
    </w:rPr>
  </w:style>
  <w:style w:type="character" w:customStyle="1" w:styleId="indentaChar">
    <w:name w:val="indent_a Char"/>
    <w:link w:val="indenta"/>
    <w:rsid w:val="009362D4"/>
    <w:rPr>
      <w:rFonts w:eastAsia="Times New Roman"/>
      <w:sz w:val="28"/>
      <w:szCs w:val="28"/>
      <w:lang w:val="en-GB" w:eastAsia="ja-JP"/>
    </w:rPr>
  </w:style>
  <w:style w:type="paragraph" w:styleId="Title">
    <w:name w:val="Title"/>
    <w:basedOn w:val="Normal"/>
    <w:link w:val="TitleChar"/>
    <w:qFormat/>
    <w:rsid w:val="009362D4"/>
    <w:pPr>
      <w:jc w:val="center"/>
    </w:pPr>
    <w:rPr>
      <w:rFonts w:ascii="Times New Roman" w:eastAsia="Times New Roman" w:hAnsi="Times New Roman" w:cs="Times New Roman"/>
      <w:b/>
      <w:sz w:val="40"/>
      <w:szCs w:val="40"/>
      <w:lang w:val="en-GB" w:eastAsia="ja-JP"/>
    </w:rPr>
  </w:style>
  <w:style w:type="character" w:customStyle="1" w:styleId="TitleChar">
    <w:name w:val="Title Char"/>
    <w:basedOn w:val="DefaultParagraphFont"/>
    <w:link w:val="Title"/>
    <w:rsid w:val="009362D4"/>
    <w:rPr>
      <w:rFonts w:eastAsia="Times New Roman"/>
      <w:b/>
      <w:sz w:val="40"/>
      <w:szCs w:val="40"/>
      <w:lang w:val="en-GB" w:eastAsia="ja-JP"/>
    </w:rPr>
  </w:style>
  <w:style w:type="paragraph" w:styleId="BodyText3">
    <w:name w:val="Body Text 3"/>
    <w:basedOn w:val="Normal"/>
    <w:link w:val="BodyText3Char"/>
    <w:rsid w:val="009362D4"/>
    <w:pPr>
      <w:tabs>
        <w:tab w:val="left" w:pos="567"/>
        <w:tab w:val="left" w:pos="1276"/>
        <w:tab w:val="right" w:pos="8364"/>
      </w:tabs>
      <w:ind w:left="1276" w:right="1985" w:hanging="709"/>
      <w:jc w:val="both"/>
    </w:pPr>
    <w:rPr>
      <w:rFonts w:ascii="Times New Roman" w:eastAsia="Times New Roman" w:hAnsi="Times New Roman" w:cs="Times New Roman"/>
      <w:sz w:val="28"/>
      <w:szCs w:val="28"/>
      <w:lang w:val="en-GB" w:eastAsia="ja-JP"/>
    </w:rPr>
  </w:style>
  <w:style w:type="character" w:customStyle="1" w:styleId="BodyText3Char">
    <w:name w:val="Body Text 3 Char"/>
    <w:basedOn w:val="DefaultParagraphFont"/>
    <w:link w:val="BodyText3"/>
    <w:rsid w:val="009362D4"/>
    <w:rPr>
      <w:rFonts w:eastAsia="Times New Roman"/>
      <w:sz w:val="28"/>
      <w:szCs w:val="28"/>
      <w:lang w:val="en-GB" w:eastAsia="ja-JP"/>
    </w:rPr>
  </w:style>
  <w:style w:type="paragraph" w:styleId="BodyText2">
    <w:name w:val="Body Text 2"/>
    <w:basedOn w:val="Normal"/>
    <w:link w:val="BodyText2Char"/>
    <w:autoRedefine/>
    <w:rsid w:val="009362D4"/>
    <w:pPr>
      <w:tabs>
        <w:tab w:val="right" w:pos="8363"/>
      </w:tabs>
      <w:ind w:left="567" w:right="1985" w:hanging="567"/>
      <w:jc w:val="both"/>
    </w:pPr>
    <w:rPr>
      <w:rFonts w:ascii="Times New Roman" w:eastAsia="Times New Roman" w:hAnsi="Times New Roman" w:cs="Times New Roman"/>
      <w:sz w:val="28"/>
      <w:szCs w:val="24"/>
      <w:lang w:eastAsia="ja-JP"/>
    </w:rPr>
  </w:style>
  <w:style w:type="character" w:customStyle="1" w:styleId="BodyText2Char">
    <w:name w:val="Body Text 2 Char"/>
    <w:basedOn w:val="DefaultParagraphFont"/>
    <w:link w:val="BodyText2"/>
    <w:rsid w:val="009362D4"/>
    <w:rPr>
      <w:rFonts w:eastAsia="Times New Roman"/>
      <w:sz w:val="28"/>
      <w:szCs w:val="24"/>
      <w:lang w:eastAsia="ja-JP"/>
    </w:rPr>
  </w:style>
  <w:style w:type="paragraph" w:styleId="HTMLPreformatted">
    <w:name w:val="HTML Preformatted"/>
    <w:basedOn w:val="Normal"/>
    <w:link w:val="HTMLPreformattedChar"/>
    <w:uiPriority w:val="99"/>
    <w:unhideWhenUsed/>
    <w:rsid w:val="0093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ja-JP"/>
    </w:rPr>
  </w:style>
  <w:style w:type="character" w:customStyle="1" w:styleId="HTMLPreformattedChar">
    <w:name w:val="HTML Preformatted Char"/>
    <w:basedOn w:val="DefaultParagraphFont"/>
    <w:link w:val="HTMLPreformatted"/>
    <w:uiPriority w:val="99"/>
    <w:rsid w:val="009362D4"/>
    <w:rPr>
      <w:rFonts w:ascii="Courier New" w:eastAsia="Times New Roman" w:hAnsi="Courier New" w:cs="Courier New"/>
      <w:lang w:eastAsia="ja-JP"/>
    </w:rPr>
  </w:style>
  <w:style w:type="character" w:styleId="FollowedHyperlink">
    <w:name w:val="FollowedHyperlink"/>
    <w:basedOn w:val="DefaultParagraphFont"/>
    <w:rsid w:val="009362D4"/>
    <w:rPr>
      <w:color w:val="800080" w:themeColor="followedHyperlink"/>
      <w:u w:val="single"/>
    </w:rPr>
  </w:style>
  <w:style w:type="character" w:customStyle="1" w:styleId="originallanguage">
    <w:name w:val="originallanguage"/>
    <w:basedOn w:val="DefaultParagraphFont"/>
    <w:rsid w:val="009362D4"/>
  </w:style>
  <w:style w:type="character" w:customStyle="1" w:styleId="translatedlanguage">
    <w:name w:val="translatedlanguage"/>
    <w:basedOn w:val="DefaultParagraphFont"/>
    <w:rsid w:val="009362D4"/>
  </w:style>
  <w:style w:type="paragraph" w:styleId="Revision">
    <w:name w:val="Revision"/>
    <w:hidden/>
    <w:uiPriority w:val="99"/>
    <w:semiHidden/>
    <w:rsid w:val="004A74A2"/>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7006">
      <w:bodyDiv w:val="1"/>
      <w:marLeft w:val="0"/>
      <w:marRight w:val="0"/>
      <w:marTop w:val="0"/>
      <w:marBottom w:val="0"/>
      <w:divBdr>
        <w:top w:val="none" w:sz="0" w:space="0" w:color="auto"/>
        <w:left w:val="none" w:sz="0" w:space="0" w:color="auto"/>
        <w:bottom w:val="none" w:sz="0" w:space="0" w:color="auto"/>
        <w:right w:val="none" w:sz="0" w:space="0" w:color="auto"/>
      </w:divBdr>
    </w:div>
    <w:div w:id="543372473">
      <w:bodyDiv w:val="1"/>
      <w:marLeft w:val="0"/>
      <w:marRight w:val="0"/>
      <w:marTop w:val="0"/>
      <w:marBottom w:val="0"/>
      <w:divBdr>
        <w:top w:val="none" w:sz="0" w:space="0" w:color="auto"/>
        <w:left w:val="none" w:sz="0" w:space="0" w:color="auto"/>
        <w:bottom w:val="none" w:sz="0" w:space="0" w:color="auto"/>
        <w:right w:val="none" w:sz="0" w:space="0" w:color="auto"/>
      </w:divBdr>
    </w:div>
    <w:div w:id="591083461">
      <w:bodyDiv w:val="1"/>
      <w:marLeft w:val="0"/>
      <w:marRight w:val="0"/>
      <w:marTop w:val="0"/>
      <w:marBottom w:val="0"/>
      <w:divBdr>
        <w:top w:val="none" w:sz="0" w:space="0" w:color="auto"/>
        <w:left w:val="none" w:sz="0" w:space="0" w:color="auto"/>
        <w:bottom w:val="none" w:sz="0" w:space="0" w:color="auto"/>
        <w:right w:val="none" w:sz="0" w:space="0" w:color="auto"/>
      </w:divBdr>
      <w:divsChild>
        <w:div w:id="273055369">
          <w:marLeft w:val="0"/>
          <w:marRight w:val="0"/>
          <w:marTop w:val="0"/>
          <w:marBottom w:val="0"/>
          <w:divBdr>
            <w:top w:val="none" w:sz="0" w:space="0" w:color="auto"/>
            <w:left w:val="none" w:sz="0" w:space="0" w:color="auto"/>
            <w:bottom w:val="none" w:sz="0" w:space="0" w:color="auto"/>
            <w:right w:val="none" w:sz="0" w:space="0" w:color="auto"/>
          </w:divBdr>
        </w:div>
        <w:div w:id="320429777">
          <w:marLeft w:val="0"/>
          <w:marRight w:val="0"/>
          <w:marTop w:val="0"/>
          <w:marBottom w:val="0"/>
          <w:divBdr>
            <w:top w:val="none" w:sz="0" w:space="0" w:color="auto"/>
            <w:left w:val="none" w:sz="0" w:space="0" w:color="auto"/>
            <w:bottom w:val="none" w:sz="0" w:space="0" w:color="auto"/>
            <w:right w:val="none" w:sz="0" w:space="0" w:color="auto"/>
          </w:divBdr>
        </w:div>
        <w:div w:id="584265225">
          <w:marLeft w:val="0"/>
          <w:marRight w:val="0"/>
          <w:marTop w:val="0"/>
          <w:marBottom w:val="0"/>
          <w:divBdr>
            <w:top w:val="none" w:sz="0" w:space="0" w:color="auto"/>
            <w:left w:val="none" w:sz="0" w:space="0" w:color="auto"/>
            <w:bottom w:val="none" w:sz="0" w:space="0" w:color="auto"/>
            <w:right w:val="none" w:sz="0" w:space="0" w:color="auto"/>
          </w:divBdr>
        </w:div>
        <w:div w:id="1142112367">
          <w:marLeft w:val="0"/>
          <w:marRight w:val="0"/>
          <w:marTop w:val="0"/>
          <w:marBottom w:val="0"/>
          <w:divBdr>
            <w:top w:val="none" w:sz="0" w:space="0" w:color="auto"/>
            <w:left w:val="none" w:sz="0" w:space="0" w:color="auto"/>
            <w:bottom w:val="none" w:sz="0" w:space="0" w:color="auto"/>
            <w:right w:val="none" w:sz="0" w:space="0" w:color="auto"/>
          </w:divBdr>
        </w:div>
        <w:div w:id="1248803160">
          <w:marLeft w:val="0"/>
          <w:marRight w:val="0"/>
          <w:marTop w:val="0"/>
          <w:marBottom w:val="0"/>
          <w:divBdr>
            <w:top w:val="none" w:sz="0" w:space="0" w:color="auto"/>
            <w:left w:val="none" w:sz="0" w:space="0" w:color="auto"/>
            <w:bottom w:val="none" w:sz="0" w:space="0" w:color="auto"/>
            <w:right w:val="none" w:sz="0" w:space="0" w:color="auto"/>
          </w:divBdr>
        </w:div>
        <w:div w:id="1761945238">
          <w:marLeft w:val="0"/>
          <w:marRight w:val="0"/>
          <w:marTop w:val="0"/>
          <w:marBottom w:val="0"/>
          <w:divBdr>
            <w:top w:val="none" w:sz="0" w:space="0" w:color="auto"/>
            <w:left w:val="none" w:sz="0" w:space="0" w:color="auto"/>
            <w:bottom w:val="none" w:sz="0" w:space="0" w:color="auto"/>
            <w:right w:val="none" w:sz="0" w:space="0" w:color="auto"/>
          </w:divBdr>
        </w:div>
        <w:div w:id="1824078981">
          <w:marLeft w:val="0"/>
          <w:marRight w:val="0"/>
          <w:marTop w:val="0"/>
          <w:marBottom w:val="0"/>
          <w:divBdr>
            <w:top w:val="none" w:sz="0" w:space="0" w:color="auto"/>
            <w:left w:val="none" w:sz="0" w:space="0" w:color="auto"/>
            <w:bottom w:val="none" w:sz="0" w:space="0" w:color="auto"/>
            <w:right w:val="none" w:sz="0" w:space="0" w:color="auto"/>
          </w:divBdr>
        </w:div>
        <w:div w:id="1998070390">
          <w:marLeft w:val="0"/>
          <w:marRight w:val="0"/>
          <w:marTop w:val="0"/>
          <w:marBottom w:val="0"/>
          <w:divBdr>
            <w:top w:val="none" w:sz="0" w:space="0" w:color="auto"/>
            <w:left w:val="none" w:sz="0" w:space="0" w:color="auto"/>
            <w:bottom w:val="none" w:sz="0" w:space="0" w:color="auto"/>
            <w:right w:val="none" w:sz="0" w:space="0" w:color="auto"/>
          </w:divBdr>
        </w:div>
      </w:divsChild>
    </w:div>
    <w:div w:id="592588945">
      <w:bodyDiv w:val="1"/>
      <w:marLeft w:val="0"/>
      <w:marRight w:val="0"/>
      <w:marTop w:val="0"/>
      <w:marBottom w:val="0"/>
      <w:divBdr>
        <w:top w:val="none" w:sz="0" w:space="0" w:color="auto"/>
        <w:left w:val="none" w:sz="0" w:space="0" w:color="auto"/>
        <w:bottom w:val="none" w:sz="0" w:space="0" w:color="auto"/>
        <w:right w:val="none" w:sz="0" w:space="0" w:color="auto"/>
      </w:divBdr>
    </w:div>
    <w:div w:id="626476810">
      <w:bodyDiv w:val="1"/>
      <w:marLeft w:val="0"/>
      <w:marRight w:val="0"/>
      <w:marTop w:val="0"/>
      <w:marBottom w:val="0"/>
      <w:divBdr>
        <w:top w:val="none" w:sz="0" w:space="0" w:color="auto"/>
        <w:left w:val="none" w:sz="0" w:space="0" w:color="auto"/>
        <w:bottom w:val="none" w:sz="0" w:space="0" w:color="auto"/>
        <w:right w:val="none" w:sz="0" w:space="0" w:color="auto"/>
      </w:divBdr>
    </w:div>
    <w:div w:id="856701438">
      <w:bodyDiv w:val="1"/>
      <w:marLeft w:val="0"/>
      <w:marRight w:val="0"/>
      <w:marTop w:val="0"/>
      <w:marBottom w:val="0"/>
      <w:divBdr>
        <w:top w:val="none" w:sz="0" w:space="0" w:color="auto"/>
        <w:left w:val="none" w:sz="0" w:space="0" w:color="auto"/>
        <w:bottom w:val="none" w:sz="0" w:space="0" w:color="auto"/>
        <w:right w:val="none" w:sz="0" w:space="0" w:color="auto"/>
      </w:divBdr>
    </w:div>
    <w:div w:id="1046637330">
      <w:bodyDiv w:val="1"/>
      <w:marLeft w:val="0"/>
      <w:marRight w:val="0"/>
      <w:marTop w:val="0"/>
      <w:marBottom w:val="0"/>
      <w:divBdr>
        <w:top w:val="none" w:sz="0" w:space="0" w:color="auto"/>
        <w:left w:val="none" w:sz="0" w:space="0" w:color="auto"/>
        <w:bottom w:val="none" w:sz="0" w:space="0" w:color="auto"/>
        <w:right w:val="none" w:sz="0" w:space="0" w:color="auto"/>
      </w:divBdr>
    </w:div>
    <w:div w:id="1251351383">
      <w:bodyDiv w:val="1"/>
      <w:marLeft w:val="0"/>
      <w:marRight w:val="0"/>
      <w:marTop w:val="0"/>
      <w:marBottom w:val="0"/>
      <w:divBdr>
        <w:top w:val="none" w:sz="0" w:space="0" w:color="auto"/>
        <w:left w:val="none" w:sz="0" w:space="0" w:color="auto"/>
        <w:bottom w:val="none" w:sz="0" w:space="0" w:color="auto"/>
        <w:right w:val="none" w:sz="0" w:space="0" w:color="auto"/>
      </w:divBdr>
    </w:div>
    <w:div w:id="1294557187">
      <w:bodyDiv w:val="1"/>
      <w:marLeft w:val="0"/>
      <w:marRight w:val="0"/>
      <w:marTop w:val="0"/>
      <w:marBottom w:val="0"/>
      <w:divBdr>
        <w:top w:val="none" w:sz="0" w:space="0" w:color="auto"/>
        <w:left w:val="none" w:sz="0" w:space="0" w:color="auto"/>
        <w:bottom w:val="none" w:sz="0" w:space="0" w:color="auto"/>
        <w:right w:val="none" w:sz="0" w:space="0" w:color="auto"/>
      </w:divBdr>
    </w:div>
    <w:div w:id="1663073789">
      <w:bodyDiv w:val="1"/>
      <w:marLeft w:val="0"/>
      <w:marRight w:val="0"/>
      <w:marTop w:val="0"/>
      <w:marBottom w:val="0"/>
      <w:divBdr>
        <w:top w:val="none" w:sz="0" w:space="0" w:color="auto"/>
        <w:left w:val="none" w:sz="0" w:space="0" w:color="auto"/>
        <w:bottom w:val="none" w:sz="0" w:space="0" w:color="auto"/>
        <w:right w:val="none" w:sz="0" w:space="0" w:color="auto"/>
      </w:divBdr>
    </w:div>
    <w:div w:id="1830362633">
      <w:bodyDiv w:val="1"/>
      <w:marLeft w:val="0"/>
      <w:marRight w:val="0"/>
      <w:marTop w:val="0"/>
      <w:marBottom w:val="0"/>
      <w:divBdr>
        <w:top w:val="none" w:sz="0" w:space="0" w:color="auto"/>
        <w:left w:val="none" w:sz="0" w:space="0" w:color="auto"/>
        <w:bottom w:val="none" w:sz="0" w:space="0" w:color="auto"/>
        <w:right w:val="none" w:sz="0" w:space="0" w:color="auto"/>
      </w:divBdr>
      <w:divsChild>
        <w:div w:id="145780089">
          <w:marLeft w:val="0"/>
          <w:marRight w:val="0"/>
          <w:marTop w:val="0"/>
          <w:marBottom w:val="0"/>
          <w:divBdr>
            <w:top w:val="none" w:sz="0" w:space="0" w:color="auto"/>
            <w:left w:val="none" w:sz="0" w:space="0" w:color="auto"/>
            <w:bottom w:val="none" w:sz="0" w:space="0" w:color="auto"/>
            <w:right w:val="none" w:sz="0" w:space="0" w:color="auto"/>
          </w:divBdr>
        </w:div>
        <w:div w:id="240724382">
          <w:marLeft w:val="0"/>
          <w:marRight w:val="0"/>
          <w:marTop w:val="0"/>
          <w:marBottom w:val="0"/>
          <w:divBdr>
            <w:top w:val="none" w:sz="0" w:space="0" w:color="auto"/>
            <w:left w:val="none" w:sz="0" w:space="0" w:color="auto"/>
            <w:bottom w:val="none" w:sz="0" w:space="0" w:color="auto"/>
            <w:right w:val="none" w:sz="0" w:space="0" w:color="auto"/>
          </w:divBdr>
        </w:div>
        <w:div w:id="514030301">
          <w:marLeft w:val="0"/>
          <w:marRight w:val="0"/>
          <w:marTop w:val="0"/>
          <w:marBottom w:val="0"/>
          <w:divBdr>
            <w:top w:val="none" w:sz="0" w:space="0" w:color="auto"/>
            <w:left w:val="none" w:sz="0" w:space="0" w:color="auto"/>
            <w:bottom w:val="none" w:sz="0" w:space="0" w:color="auto"/>
            <w:right w:val="none" w:sz="0" w:space="0" w:color="auto"/>
          </w:divBdr>
        </w:div>
        <w:div w:id="572784752">
          <w:marLeft w:val="0"/>
          <w:marRight w:val="0"/>
          <w:marTop w:val="0"/>
          <w:marBottom w:val="0"/>
          <w:divBdr>
            <w:top w:val="none" w:sz="0" w:space="0" w:color="auto"/>
            <w:left w:val="none" w:sz="0" w:space="0" w:color="auto"/>
            <w:bottom w:val="none" w:sz="0" w:space="0" w:color="auto"/>
            <w:right w:val="none" w:sz="0" w:space="0" w:color="auto"/>
          </w:divBdr>
        </w:div>
        <w:div w:id="707411056">
          <w:marLeft w:val="0"/>
          <w:marRight w:val="0"/>
          <w:marTop w:val="0"/>
          <w:marBottom w:val="0"/>
          <w:divBdr>
            <w:top w:val="none" w:sz="0" w:space="0" w:color="auto"/>
            <w:left w:val="none" w:sz="0" w:space="0" w:color="auto"/>
            <w:bottom w:val="none" w:sz="0" w:space="0" w:color="auto"/>
            <w:right w:val="none" w:sz="0" w:space="0" w:color="auto"/>
          </w:divBdr>
        </w:div>
        <w:div w:id="1525752107">
          <w:marLeft w:val="0"/>
          <w:marRight w:val="0"/>
          <w:marTop w:val="0"/>
          <w:marBottom w:val="0"/>
          <w:divBdr>
            <w:top w:val="none" w:sz="0" w:space="0" w:color="auto"/>
            <w:left w:val="none" w:sz="0" w:space="0" w:color="auto"/>
            <w:bottom w:val="none" w:sz="0" w:space="0" w:color="auto"/>
            <w:right w:val="none" w:sz="0" w:space="0" w:color="auto"/>
          </w:divBdr>
        </w:div>
        <w:div w:id="1823885590">
          <w:marLeft w:val="0"/>
          <w:marRight w:val="0"/>
          <w:marTop w:val="0"/>
          <w:marBottom w:val="0"/>
          <w:divBdr>
            <w:top w:val="none" w:sz="0" w:space="0" w:color="auto"/>
            <w:left w:val="none" w:sz="0" w:space="0" w:color="auto"/>
            <w:bottom w:val="none" w:sz="0" w:space="0" w:color="auto"/>
            <w:right w:val="none" w:sz="0" w:space="0" w:color="auto"/>
          </w:divBdr>
        </w:div>
        <w:div w:id="2071610462">
          <w:marLeft w:val="0"/>
          <w:marRight w:val="0"/>
          <w:marTop w:val="0"/>
          <w:marBottom w:val="0"/>
          <w:divBdr>
            <w:top w:val="none" w:sz="0" w:space="0" w:color="auto"/>
            <w:left w:val="none" w:sz="0" w:space="0" w:color="auto"/>
            <w:bottom w:val="none" w:sz="0" w:space="0" w:color="auto"/>
            <w:right w:val="none" w:sz="0" w:space="0" w:color="auto"/>
          </w:divBdr>
        </w:div>
      </w:divsChild>
    </w:div>
    <w:div w:id="183252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Chart%20in%20Microsoft%20Word"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msi\Downloads\Graphs%20(apparent%20percentages)%20-%20Copy.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si\Downloads\Graphs%20(apparent%20percentages)%20-%20Cop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msi\Downloads\Graphs%20(apparent%20percentages)%20-%20Copy.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Average number of designs per IR among</a:t>
            </a:r>
            <a:r>
              <a:rPr lang="en-US" sz="1200" baseline="0"/>
              <a:t> most designated Contracting Parties</a:t>
            </a:r>
          </a:p>
        </c:rich>
      </c:tx>
      <c:layout>
        <c:manualLayout>
          <c:xMode val="edge"/>
          <c:yMode val="edge"/>
          <c:x val="0.13226642228680066"/>
          <c:y val="6.6980627369827003E-2"/>
        </c:manualLayout>
      </c:layout>
      <c:overlay val="0"/>
    </c:title>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2.4153287846805579E-2"/>
          <c:y val="0.22209319075337713"/>
          <c:w val="0.92216542272388857"/>
          <c:h val="0.67721963152084586"/>
        </c:manualLayout>
      </c:layout>
      <c:bar3DChart>
        <c:barDir val="col"/>
        <c:grouping val="clustered"/>
        <c:varyColors val="0"/>
        <c:ser>
          <c:idx val="0"/>
          <c:order val="0"/>
          <c:tx>
            <c:v>Average number of designs</c:v>
          </c:tx>
          <c:spPr>
            <a:solidFill>
              <a:srgbClr val="FF0000"/>
            </a:solidFill>
            <a:ln>
              <a:solidFill>
                <a:schemeClr val="bg1"/>
              </a:solidFill>
            </a:ln>
          </c:spPr>
          <c:invertIfNegative val="0"/>
          <c:dPt>
            <c:idx val="0"/>
            <c:invertIfNegative val="0"/>
            <c:bubble3D val="0"/>
            <c:spPr>
              <a:solidFill>
                <a:srgbClr val="00B050"/>
              </a:solidFill>
              <a:ln>
                <a:solidFill>
                  <a:schemeClr val="bg1"/>
                </a:solidFill>
              </a:ln>
            </c:spPr>
          </c:dPt>
          <c:dPt>
            <c:idx val="1"/>
            <c:invertIfNegative val="0"/>
            <c:bubble3D val="0"/>
            <c:spPr>
              <a:solidFill>
                <a:schemeClr val="accent5"/>
              </a:solidFill>
              <a:ln>
                <a:solidFill>
                  <a:schemeClr val="bg1"/>
                </a:solidFill>
              </a:ln>
            </c:spPr>
          </c:dPt>
          <c:dPt>
            <c:idx val="2"/>
            <c:invertIfNegative val="0"/>
            <c:bubble3D val="0"/>
          </c:dPt>
          <c:dPt>
            <c:idx val="3"/>
            <c:invertIfNegative val="0"/>
            <c:bubble3D val="0"/>
            <c:spPr>
              <a:solidFill>
                <a:srgbClr val="00B0F0"/>
              </a:solidFill>
              <a:ln>
                <a:solidFill>
                  <a:schemeClr val="bg1"/>
                </a:solidFill>
              </a:ln>
            </c:spPr>
          </c:dPt>
          <c:dPt>
            <c:idx val="4"/>
            <c:invertIfNegative val="0"/>
            <c:bubble3D val="0"/>
            <c:spPr>
              <a:solidFill>
                <a:srgbClr val="00B050"/>
              </a:solidFill>
              <a:ln>
                <a:solidFill>
                  <a:schemeClr val="bg1"/>
                </a:solidFill>
              </a:ln>
            </c:spPr>
          </c:dPt>
          <c:dPt>
            <c:idx val="5"/>
            <c:invertIfNegative val="0"/>
            <c:bubble3D val="0"/>
            <c:spPr>
              <a:solidFill>
                <a:schemeClr val="accent5"/>
              </a:solidFill>
              <a:ln>
                <a:solidFill>
                  <a:schemeClr val="bg1"/>
                </a:solidFill>
              </a:ln>
            </c:spPr>
          </c:dPt>
          <c:dPt>
            <c:idx val="6"/>
            <c:invertIfNegative val="0"/>
            <c:bubble3D val="0"/>
          </c:dPt>
          <c:dPt>
            <c:idx val="7"/>
            <c:invertIfNegative val="0"/>
            <c:bubble3D val="0"/>
            <c:spPr>
              <a:solidFill>
                <a:srgbClr val="009999"/>
              </a:solidFill>
              <a:ln>
                <a:solidFill>
                  <a:schemeClr val="bg1"/>
                </a:solidFill>
              </a:ln>
            </c:spPr>
          </c:dPt>
          <c:dPt>
            <c:idx val="8"/>
            <c:invertIfNegative val="0"/>
            <c:bubble3D val="0"/>
            <c:spPr>
              <a:solidFill>
                <a:srgbClr val="00B050"/>
              </a:solidFill>
              <a:ln>
                <a:solidFill>
                  <a:schemeClr val="bg1"/>
                </a:solidFill>
              </a:ln>
            </c:spPr>
          </c:dPt>
          <c:dPt>
            <c:idx val="9"/>
            <c:invertIfNegative val="0"/>
            <c:bubble3D val="0"/>
            <c:spPr>
              <a:solidFill>
                <a:schemeClr val="accent5"/>
              </a:solidFill>
              <a:ln>
                <a:solidFill>
                  <a:schemeClr val="bg1"/>
                </a:solidFill>
              </a:ln>
            </c:spPr>
          </c:dPt>
          <c:dPt>
            <c:idx val="10"/>
            <c:invertIfNegative val="0"/>
            <c:bubble3D val="0"/>
          </c:dPt>
          <c:dPt>
            <c:idx val="12"/>
            <c:invertIfNegative val="0"/>
            <c:bubble3D val="0"/>
            <c:spPr>
              <a:solidFill>
                <a:srgbClr val="00B050"/>
              </a:solidFill>
              <a:ln>
                <a:solidFill>
                  <a:schemeClr val="bg1"/>
                </a:solidFill>
              </a:ln>
            </c:spPr>
          </c:dPt>
          <c:dPt>
            <c:idx val="13"/>
            <c:invertIfNegative val="0"/>
            <c:bubble3D val="0"/>
            <c:spPr>
              <a:solidFill>
                <a:schemeClr val="accent5"/>
              </a:solidFill>
              <a:ln>
                <a:solidFill>
                  <a:schemeClr val="bg1"/>
                </a:solidFill>
              </a:ln>
            </c:spPr>
          </c:dPt>
          <c:dPt>
            <c:idx val="16"/>
            <c:invertIfNegative val="0"/>
            <c:bubble3D val="0"/>
            <c:spPr>
              <a:solidFill>
                <a:srgbClr val="00B050"/>
              </a:solidFill>
              <a:ln>
                <a:solidFill>
                  <a:schemeClr val="bg1"/>
                </a:solidFill>
              </a:ln>
            </c:spPr>
          </c:dPt>
          <c:dPt>
            <c:idx val="17"/>
            <c:invertIfNegative val="0"/>
            <c:bubble3D val="0"/>
            <c:spPr>
              <a:solidFill>
                <a:schemeClr val="accent5"/>
              </a:solidFill>
              <a:ln>
                <a:solidFill>
                  <a:schemeClr val="bg1"/>
                </a:solidFill>
              </a:ln>
            </c:spPr>
          </c:dPt>
          <c:dPt>
            <c:idx val="20"/>
            <c:invertIfNegative val="0"/>
            <c:bubble3D val="0"/>
            <c:spPr>
              <a:solidFill>
                <a:srgbClr val="00B050"/>
              </a:solidFill>
              <a:ln>
                <a:solidFill>
                  <a:schemeClr val="bg1"/>
                </a:solidFill>
              </a:ln>
            </c:spPr>
          </c:dPt>
          <c:dPt>
            <c:idx val="21"/>
            <c:invertIfNegative val="0"/>
            <c:bubble3D val="0"/>
            <c:spPr>
              <a:solidFill>
                <a:schemeClr val="accent5"/>
              </a:solidFill>
              <a:ln>
                <a:solidFill>
                  <a:schemeClr val="bg1"/>
                </a:solidFill>
              </a:ln>
            </c:spPr>
          </c:dPt>
          <c:dPt>
            <c:idx val="24"/>
            <c:invertIfNegative val="0"/>
            <c:bubble3D val="0"/>
            <c:spPr>
              <a:solidFill>
                <a:srgbClr val="00B050"/>
              </a:solidFill>
              <a:ln>
                <a:solidFill>
                  <a:schemeClr val="bg1"/>
                </a:solidFill>
              </a:ln>
            </c:spPr>
          </c:dPt>
          <c:dPt>
            <c:idx val="25"/>
            <c:invertIfNegative val="0"/>
            <c:bubble3D val="0"/>
            <c:spPr>
              <a:solidFill>
                <a:schemeClr val="accent5"/>
              </a:solidFill>
              <a:ln>
                <a:solidFill>
                  <a:schemeClr val="bg1"/>
                </a:solidFill>
              </a:ln>
            </c:spPr>
          </c:dPt>
          <c:dPt>
            <c:idx val="28"/>
            <c:invertIfNegative val="0"/>
            <c:bubble3D val="0"/>
            <c:spPr>
              <a:solidFill>
                <a:srgbClr val="00B050"/>
              </a:solidFill>
              <a:ln>
                <a:solidFill>
                  <a:schemeClr val="bg1"/>
                </a:solidFill>
              </a:ln>
            </c:spPr>
          </c:dPt>
          <c:dPt>
            <c:idx val="29"/>
            <c:invertIfNegative val="0"/>
            <c:bubble3D val="0"/>
            <c:spPr>
              <a:solidFill>
                <a:schemeClr val="accent5"/>
              </a:solidFill>
              <a:ln>
                <a:solidFill>
                  <a:schemeClr val="bg1"/>
                </a:solidFill>
              </a:ln>
            </c:spPr>
          </c:dPt>
          <c:dPt>
            <c:idx val="32"/>
            <c:invertIfNegative val="0"/>
            <c:bubble3D val="0"/>
            <c:spPr>
              <a:solidFill>
                <a:srgbClr val="00B050"/>
              </a:solidFill>
              <a:ln>
                <a:solidFill>
                  <a:schemeClr val="bg1"/>
                </a:solidFill>
              </a:ln>
            </c:spPr>
          </c:dPt>
          <c:dPt>
            <c:idx val="33"/>
            <c:invertIfNegative val="0"/>
            <c:bubble3D val="0"/>
            <c:spPr>
              <a:solidFill>
                <a:schemeClr val="accent5"/>
              </a:solidFill>
              <a:ln>
                <a:solidFill>
                  <a:schemeClr val="bg1"/>
                </a:solidFill>
              </a:ln>
            </c:spPr>
          </c:dPt>
          <c:dPt>
            <c:idx val="36"/>
            <c:invertIfNegative val="0"/>
            <c:bubble3D val="0"/>
            <c:spPr>
              <a:solidFill>
                <a:srgbClr val="00B050"/>
              </a:solidFill>
              <a:ln>
                <a:solidFill>
                  <a:schemeClr val="bg1"/>
                </a:solidFill>
              </a:ln>
            </c:spPr>
          </c:dPt>
          <c:dPt>
            <c:idx val="37"/>
            <c:invertIfNegative val="0"/>
            <c:bubble3D val="0"/>
            <c:spPr>
              <a:solidFill>
                <a:schemeClr val="accent5"/>
              </a:solidFill>
              <a:ln>
                <a:solidFill>
                  <a:schemeClr val="bg1"/>
                </a:solidFill>
              </a:ln>
            </c:spPr>
          </c:dPt>
          <c:dPt>
            <c:idx val="40"/>
            <c:invertIfNegative val="0"/>
            <c:bubble3D val="0"/>
            <c:spPr>
              <a:solidFill>
                <a:srgbClr val="00B050"/>
              </a:solidFill>
              <a:ln>
                <a:solidFill>
                  <a:schemeClr val="bg1"/>
                </a:solidFill>
              </a:ln>
            </c:spPr>
          </c:dPt>
          <c:dPt>
            <c:idx val="41"/>
            <c:invertIfNegative val="0"/>
            <c:bubble3D val="0"/>
            <c:spPr>
              <a:solidFill>
                <a:schemeClr val="accent5"/>
              </a:solidFill>
              <a:ln>
                <a:solidFill>
                  <a:schemeClr val="bg1"/>
                </a:solidFill>
              </a:ln>
            </c:spPr>
          </c:dPt>
          <c:dPt>
            <c:idx val="44"/>
            <c:invertIfNegative val="0"/>
            <c:bubble3D val="0"/>
            <c:spPr>
              <a:solidFill>
                <a:srgbClr val="FFFF00"/>
              </a:solidFill>
              <a:ln>
                <a:solidFill>
                  <a:schemeClr val="bg1"/>
                </a:solidFill>
              </a:ln>
            </c:spPr>
          </c:dPt>
          <c:dPt>
            <c:idx val="45"/>
            <c:invertIfNegative val="0"/>
            <c:bubble3D val="0"/>
            <c:spPr>
              <a:solidFill>
                <a:schemeClr val="accent5"/>
              </a:solidFill>
              <a:ln>
                <a:solidFill>
                  <a:schemeClr val="bg1"/>
                </a:solidFill>
              </a:ln>
            </c:spPr>
          </c:dPt>
          <c:dPt>
            <c:idx val="48"/>
            <c:invertIfNegative val="0"/>
            <c:bubble3D val="0"/>
            <c:spPr>
              <a:solidFill>
                <a:srgbClr val="FFFF00"/>
              </a:solidFill>
              <a:ln>
                <a:solidFill>
                  <a:schemeClr val="bg1"/>
                </a:solidFill>
              </a:ln>
            </c:spPr>
          </c:dPt>
          <c:dPt>
            <c:idx val="49"/>
            <c:invertIfNegative val="0"/>
            <c:bubble3D val="0"/>
            <c:spPr>
              <a:solidFill>
                <a:schemeClr val="accent5"/>
              </a:solidFill>
              <a:ln>
                <a:solidFill>
                  <a:schemeClr val="bg1"/>
                </a:solidFill>
              </a:ln>
            </c:spPr>
          </c:dPt>
          <c:dPt>
            <c:idx val="52"/>
            <c:invertIfNegative val="0"/>
            <c:bubble3D val="0"/>
            <c:spPr>
              <a:solidFill>
                <a:srgbClr val="FFFF00"/>
              </a:solidFill>
              <a:ln>
                <a:solidFill>
                  <a:schemeClr val="bg1"/>
                </a:solidFill>
              </a:ln>
            </c:spPr>
          </c:dPt>
          <c:dPt>
            <c:idx val="53"/>
            <c:invertIfNegative val="0"/>
            <c:bubble3D val="0"/>
            <c:spPr>
              <a:solidFill>
                <a:srgbClr val="F95D07"/>
              </a:solidFill>
              <a:ln>
                <a:solidFill>
                  <a:schemeClr val="bg1"/>
                </a:solidFill>
              </a:ln>
            </c:spPr>
          </c:dPt>
          <c:dPt>
            <c:idx val="54"/>
            <c:invertIfNegative val="0"/>
            <c:bubble3D val="0"/>
            <c:spPr>
              <a:solidFill>
                <a:srgbClr val="00B050"/>
              </a:solidFill>
              <a:ln>
                <a:solidFill>
                  <a:schemeClr val="bg1"/>
                </a:solidFill>
              </a:ln>
            </c:spPr>
          </c:dPt>
          <c:dPt>
            <c:idx val="55"/>
            <c:invertIfNegative val="0"/>
            <c:bubble3D val="0"/>
            <c:spPr>
              <a:solidFill>
                <a:schemeClr val="accent5"/>
              </a:solidFill>
              <a:ln>
                <a:solidFill>
                  <a:schemeClr val="bg1"/>
                </a:solidFill>
              </a:ln>
            </c:spPr>
          </c:dPt>
          <c:cat>
            <c:strLit>
              <c:ptCount val="1"/>
              <c:pt idx="0">
                <c:v> CH   TR   UA   EM   MA   NO   SG   KR   US   JP   MC   LI   MK   Total</c:v>
              </c:pt>
            </c:strLit>
          </c:cat>
          <c:val>
            <c:numLit>
              <c:formatCode>General</c:formatCode>
              <c:ptCount val="57"/>
              <c:pt idx="0">
                <c:v>5.5</c:v>
              </c:pt>
              <c:pt idx="1">
                <c:v>5</c:v>
              </c:pt>
              <c:pt idx="2">
                <c:v>4</c:v>
              </c:pt>
              <c:pt idx="3">
                <c:v>0</c:v>
              </c:pt>
              <c:pt idx="4">
                <c:v>4.9000000000000004</c:v>
              </c:pt>
              <c:pt idx="5">
                <c:v>4.5</c:v>
              </c:pt>
              <c:pt idx="6">
                <c:v>3.9</c:v>
              </c:pt>
              <c:pt idx="7">
                <c:v>0</c:v>
              </c:pt>
              <c:pt idx="8">
                <c:v>4.4000000000000004</c:v>
              </c:pt>
              <c:pt idx="9">
                <c:v>4.0999999999999899</c:v>
              </c:pt>
              <c:pt idx="10">
                <c:v>4.8</c:v>
              </c:pt>
              <c:pt idx="11">
                <c:v>0</c:v>
              </c:pt>
              <c:pt idx="12">
                <c:v>5.3</c:v>
              </c:pt>
              <c:pt idx="13">
                <c:v>4.3</c:v>
              </c:pt>
              <c:pt idx="14">
                <c:v>3.5</c:v>
              </c:pt>
              <c:pt idx="15">
                <c:v>0</c:v>
              </c:pt>
              <c:pt idx="16">
                <c:v>4.2</c:v>
              </c:pt>
              <c:pt idx="17">
                <c:v>4.4000000000000004</c:v>
              </c:pt>
              <c:pt idx="18">
                <c:v>4</c:v>
              </c:pt>
              <c:pt idx="19">
                <c:v>0</c:v>
              </c:pt>
              <c:pt idx="20">
                <c:v>4.4000000000000004</c:v>
              </c:pt>
              <c:pt idx="21">
                <c:v>3.8</c:v>
              </c:pt>
              <c:pt idx="22">
                <c:v>4</c:v>
              </c:pt>
              <c:pt idx="23">
                <c:v>0</c:v>
              </c:pt>
              <c:pt idx="24">
                <c:v>4.3</c:v>
              </c:pt>
              <c:pt idx="25">
                <c:v>3.8</c:v>
              </c:pt>
              <c:pt idx="26">
                <c:v>3.4</c:v>
              </c:pt>
              <c:pt idx="27">
                <c:v>0</c:v>
              </c:pt>
              <c:pt idx="28">
                <c:v>4</c:v>
              </c:pt>
              <c:pt idx="29">
                <c:v>3.6</c:v>
              </c:pt>
              <c:pt idx="30">
                <c:v>3.7</c:v>
              </c:pt>
              <c:pt idx="31">
                <c:v>0</c:v>
              </c:pt>
              <c:pt idx="32">
                <c:v>3.9</c:v>
              </c:pt>
              <c:pt idx="33">
                <c:v>3.9</c:v>
              </c:pt>
              <c:pt idx="34">
                <c:v>3.3</c:v>
              </c:pt>
              <c:pt idx="35">
                <c:v>0</c:v>
              </c:pt>
              <c:pt idx="36">
                <c:v>3.8</c:v>
              </c:pt>
              <c:pt idx="37">
                <c:v>3.7</c:v>
              </c:pt>
              <c:pt idx="38">
                <c:v>3</c:v>
              </c:pt>
              <c:pt idx="39">
                <c:v>0</c:v>
              </c:pt>
              <c:pt idx="40">
                <c:v>3.7</c:v>
              </c:pt>
              <c:pt idx="41">
                <c:v>2.9</c:v>
              </c:pt>
              <c:pt idx="42">
                <c:v>2.7</c:v>
              </c:pt>
              <c:pt idx="43">
                <c:v>0</c:v>
              </c:pt>
              <c:pt idx="44">
                <c:v>0</c:v>
              </c:pt>
              <c:pt idx="45">
                <c:v>2.1</c:v>
              </c:pt>
              <c:pt idx="46">
                <c:v>2.4</c:v>
              </c:pt>
              <c:pt idx="47">
                <c:v>0</c:v>
              </c:pt>
              <c:pt idx="48">
                <c:v>0</c:v>
              </c:pt>
              <c:pt idx="49">
                <c:v>2.5</c:v>
              </c:pt>
              <c:pt idx="50">
                <c:v>1.5</c:v>
              </c:pt>
              <c:pt idx="51">
                <c:v>0</c:v>
              </c:pt>
              <c:pt idx="52">
                <c:v>0</c:v>
              </c:pt>
              <c:pt idx="53">
                <c:v>0</c:v>
              </c:pt>
              <c:pt idx="54">
                <c:v>5</c:v>
              </c:pt>
              <c:pt idx="55">
                <c:v>4</c:v>
              </c:pt>
              <c:pt idx="56">
                <c:v>3.2</c:v>
              </c:pt>
            </c:numLit>
          </c:val>
        </c:ser>
        <c:dLbls>
          <c:showLegendKey val="0"/>
          <c:showVal val="0"/>
          <c:showCatName val="0"/>
          <c:showSerName val="0"/>
          <c:showPercent val="0"/>
          <c:showBubbleSize val="0"/>
        </c:dLbls>
        <c:gapWidth val="150"/>
        <c:shape val="box"/>
        <c:axId val="40051072"/>
        <c:axId val="40052608"/>
        <c:axId val="0"/>
      </c:bar3DChart>
      <c:catAx>
        <c:axId val="40051072"/>
        <c:scaling>
          <c:orientation val="minMax"/>
        </c:scaling>
        <c:delete val="1"/>
        <c:axPos val="b"/>
        <c:majorTickMark val="out"/>
        <c:minorTickMark val="none"/>
        <c:tickLblPos val="nextTo"/>
        <c:crossAx val="40052608"/>
        <c:crosses val="autoZero"/>
        <c:auto val="1"/>
        <c:lblAlgn val="ctr"/>
        <c:lblOffset val="100"/>
        <c:noMultiLvlLbl val="0"/>
      </c:catAx>
      <c:valAx>
        <c:axId val="40052608"/>
        <c:scaling>
          <c:orientation val="minMax"/>
          <c:max val="6"/>
          <c:min val="0"/>
        </c:scaling>
        <c:delete val="0"/>
        <c:axPos val="l"/>
        <c:majorGridlines>
          <c:spPr>
            <a:ln>
              <a:noFill/>
            </a:ln>
          </c:spPr>
        </c:majorGridlines>
        <c:numFmt formatCode="General" sourceLinked="1"/>
        <c:majorTickMark val="out"/>
        <c:minorTickMark val="none"/>
        <c:tickLblPos val="nextTo"/>
        <c:crossAx val="40051072"/>
        <c:crosses val="autoZero"/>
        <c:crossBetween val="between"/>
      </c:valAx>
      <c:spPr>
        <a:noFill/>
      </c:spPr>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19036103459203824"/>
          <c:w val="0.95439235518125598"/>
          <c:h val="0.62649744731275681"/>
        </c:manualLayout>
      </c:layout>
      <c:bar3DChart>
        <c:barDir val="col"/>
        <c:grouping val="clustered"/>
        <c:varyColors val="0"/>
        <c:ser>
          <c:idx val="12"/>
          <c:order val="0"/>
          <c:tx>
            <c:v>DE</c:v>
          </c:tx>
          <c:spPr>
            <a:solidFill>
              <a:srgbClr val="FFC000"/>
            </a:solidFill>
            <a:ln>
              <a:solidFill>
                <a:schemeClr val="bg1"/>
              </a:solidFill>
            </a:ln>
          </c:spPr>
          <c:invertIfNegative val="0"/>
          <c:dLbls>
            <c:dLbl>
              <c:idx val="0"/>
              <c:layout>
                <c:manualLayout>
                  <c:x val="0"/>
                  <c:y val="2.2503516174402251E-2"/>
                </c:manualLayout>
              </c:layout>
              <c:tx>
                <c:rich>
                  <a:bodyPr/>
                  <a:lstStyle/>
                  <a:p>
                    <a:r>
                      <a:rPr lang="en-US"/>
                      <a:t>13.1%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13.1</c:v>
              </c:pt>
            </c:numLit>
          </c:val>
        </c:ser>
        <c:ser>
          <c:idx val="9"/>
          <c:order val="1"/>
          <c:tx>
            <c:v>DE</c:v>
          </c:tx>
          <c:spPr>
            <a:solidFill>
              <a:srgbClr val="00B0F0"/>
            </a:solidFill>
            <a:ln>
              <a:solidFill>
                <a:schemeClr val="bg1"/>
              </a:solidFill>
            </a:ln>
          </c:spPr>
          <c:invertIfNegative val="0"/>
          <c:dLbls>
            <c:dLbl>
              <c:idx val="0"/>
              <c:layout>
                <c:manualLayout>
                  <c:x val="-4.2798351690568693E-3"/>
                  <c:y val="1.6666666666666666E-2"/>
                </c:manualLayout>
              </c:layout>
              <c:tx>
                <c:rich>
                  <a:bodyPr/>
                  <a:lstStyle/>
                  <a:p>
                    <a:r>
                      <a:rPr lang="en-US"/>
                      <a:t>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64</c:v>
              </c:pt>
            </c:numLit>
          </c:val>
        </c:ser>
        <c:ser>
          <c:idx val="13"/>
          <c:order val="2"/>
          <c:tx>
            <c:v>espace</c:v>
          </c:tx>
          <c:spPr>
            <a:noFill/>
          </c:spPr>
          <c:invertIfNegative val="0"/>
          <c:val>
            <c:numLit>
              <c:formatCode>General</c:formatCode>
              <c:ptCount val="1"/>
              <c:pt idx="0">
                <c:v>0</c:v>
              </c:pt>
            </c:numLit>
          </c:val>
        </c:ser>
        <c:ser>
          <c:idx val="2"/>
          <c:order val="3"/>
          <c:tx>
            <c:v>DE</c:v>
          </c:tx>
          <c:spPr>
            <a:ln>
              <a:solidFill>
                <a:schemeClr val="bg1"/>
              </a:solidFill>
            </a:ln>
          </c:spPr>
          <c:invertIfNegative val="0"/>
          <c:dPt>
            <c:idx val="0"/>
            <c:invertIfNegative val="0"/>
            <c:bubble3D val="0"/>
            <c:spPr>
              <a:solidFill>
                <a:srgbClr val="FFC000"/>
              </a:solidFill>
              <a:ln>
                <a:solidFill>
                  <a:schemeClr val="bg1"/>
                </a:solidFill>
              </a:ln>
            </c:spPr>
          </c:dPt>
          <c:dLbls>
            <c:dLbl>
              <c:idx val="0"/>
              <c:tx>
                <c:rich>
                  <a:bodyPr/>
                  <a:lstStyle/>
                  <a:p>
                    <a:r>
                      <a:rPr lang="en-US"/>
                      <a:t>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8.5</c:v>
              </c:pt>
            </c:numLit>
          </c:val>
        </c:ser>
        <c:ser>
          <c:idx val="6"/>
          <c:order val="4"/>
          <c:tx>
            <c:v>DE</c:v>
          </c:tx>
          <c:spPr>
            <a:solidFill>
              <a:srgbClr val="00B0F0"/>
            </a:solidFill>
            <a:ln>
              <a:solidFill>
                <a:schemeClr val="bg1"/>
              </a:solidFill>
            </a:ln>
          </c:spPr>
          <c:invertIfNegative val="0"/>
          <c:dLbls>
            <c:dLbl>
              <c:idx val="0"/>
              <c:layout>
                <c:manualLayout>
                  <c:x val="2.1399175845284294E-3"/>
                  <c:y val="1.1111111111111112E-2"/>
                </c:manualLayout>
              </c:layout>
              <c:tx>
                <c:rich>
                  <a:bodyPr/>
                  <a:lstStyle/>
                  <a:p>
                    <a:r>
                      <a:rPr lang="en-US"/>
                      <a:t>63.9%</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63.9</c:v>
              </c:pt>
            </c:numLit>
          </c:val>
        </c:ser>
        <c:ser>
          <c:idx val="14"/>
          <c:order val="5"/>
          <c:tx>
            <c:v>espace</c:v>
          </c:tx>
          <c:spPr>
            <a:noFill/>
          </c:spPr>
          <c:invertIfNegative val="0"/>
          <c:val>
            <c:numLit>
              <c:formatCode>General</c:formatCode>
              <c:ptCount val="1"/>
              <c:pt idx="0">
                <c:v>0</c:v>
              </c:pt>
            </c:numLit>
          </c:val>
        </c:ser>
        <c:ser>
          <c:idx val="10"/>
          <c:order val="6"/>
          <c:tx>
            <c:v>DE</c:v>
          </c:tx>
          <c:spPr>
            <a:solidFill>
              <a:srgbClr val="FFC000"/>
            </a:solidFill>
            <a:ln>
              <a:solidFill>
                <a:schemeClr val="bg1"/>
              </a:solidFill>
            </a:ln>
          </c:spPr>
          <c:invertIfNegative val="0"/>
          <c:dLbls>
            <c:dLbl>
              <c:idx val="0"/>
              <c:tx>
                <c:rich>
                  <a:bodyPr/>
                  <a:lstStyle/>
                  <a:p>
                    <a:r>
                      <a:rPr lang="en-US"/>
                      <a:t>2.1%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2.1</c:v>
              </c:pt>
            </c:numLit>
          </c:val>
        </c:ser>
        <c:ser>
          <c:idx val="11"/>
          <c:order val="7"/>
          <c:tx>
            <c:v>DE</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84.2%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84.2</c:v>
              </c:pt>
            </c:numLit>
          </c:val>
        </c:ser>
        <c:ser>
          <c:idx val="1"/>
          <c:order val="8"/>
          <c:tx>
            <c:v>espace</c:v>
          </c:tx>
          <c:spPr>
            <a:noFill/>
            <a:ln>
              <a:noFill/>
            </a:ln>
          </c:spPr>
          <c:invertIfNegative val="0"/>
          <c:val>
            <c:numLit>
              <c:formatCode>General</c:formatCode>
              <c:ptCount val="1"/>
              <c:pt idx="0">
                <c:v>1</c:v>
              </c:pt>
            </c:numLit>
          </c:val>
        </c:ser>
        <c:ser>
          <c:idx val="22"/>
          <c:order val="9"/>
          <c:tx>
            <c:v>espace</c:v>
          </c:tx>
          <c:spPr>
            <a:noFill/>
          </c:spPr>
          <c:invertIfNegative val="0"/>
          <c:val>
            <c:numLit>
              <c:formatCode>General</c:formatCode>
              <c:ptCount val="1"/>
              <c:pt idx="0">
                <c:v>0</c:v>
              </c:pt>
            </c:numLit>
          </c:val>
        </c:ser>
        <c:ser>
          <c:idx val="54"/>
          <c:order val="10"/>
          <c:tx>
            <c:v>espace</c:v>
          </c:tx>
          <c:spPr>
            <a:noFill/>
          </c:spPr>
          <c:invertIfNegative val="0"/>
          <c:val>
            <c:numLit>
              <c:formatCode>General</c:formatCode>
              <c:ptCount val="1"/>
              <c:pt idx="0">
                <c:v>0</c:v>
              </c:pt>
            </c:numLit>
          </c:val>
        </c:ser>
        <c:ser>
          <c:idx val="15"/>
          <c:order val="11"/>
          <c:tx>
            <c:v>FR</c:v>
          </c:tx>
          <c:spPr>
            <a:solidFill>
              <a:srgbClr val="0070C0"/>
            </a:solidFill>
            <a:ln>
              <a:solidFill>
                <a:schemeClr val="bg1"/>
              </a:solidFill>
            </a:ln>
          </c:spPr>
          <c:invertIfNegative val="0"/>
          <c:dLbls>
            <c:dLbl>
              <c:idx val="0"/>
              <c:layout>
                <c:manualLayout>
                  <c:x val="-4.2798351690568589E-3"/>
                  <c:y val="2.2222222222222223E-2"/>
                </c:manualLayout>
              </c:layout>
              <c:tx>
                <c:rich>
                  <a:bodyPr/>
                  <a:lstStyle/>
                  <a:p>
                    <a:r>
                      <a:rPr lang="en-US"/>
                      <a:t>14.5%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14.5</c:v>
              </c:pt>
            </c:numLit>
          </c:val>
        </c:ser>
        <c:ser>
          <c:idx val="19"/>
          <c:order val="12"/>
          <c:tx>
            <c:v>FR</c:v>
          </c:tx>
          <c:spPr>
            <a:solidFill>
              <a:srgbClr val="00B0F0"/>
            </a:solidFill>
            <a:ln>
              <a:solidFill>
                <a:schemeClr val="bg1"/>
              </a:solidFill>
            </a:ln>
          </c:spPr>
          <c:invertIfNegative val="0"/>
          <c:dLbls>
            <c:dLbl>
              <c:idx val="0"/>
              <c:layout>
                <c:manualLayout>
                  <c:x val="4.2798351690568589E-3"/>
                  <c:y val="1.6666666666666666E-2"/>
                </c:manualLayout>
              </c:layout>
              <c:tx>
                <c:rich>
                  <a:bodyPr/>
                  <a:lstStyle/>
                  <a:p>
                    <a:r>
                      <a:rPr lang="en-US"/>
                      <a:t>72.3%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72.3</c:v>
              </c:pt>
            </c:numLit>
          </c:val>
        </c:ser>
        <c:ser>
          <c:idx val="20"/>
          <c:order val="13"/>
          <c:tx>
            <c:v>espace</c:v>
          </c:tx>
          <c:spPr>
            <a:noFill/>
          </c:spPr>
          <c:invertIfNegative val="0"/>
          <c:val>
            <c:numLit>
              <c:formatCode>General</c:formatCode>
              <c:ptCount val="1"/>
              <c:pt idx="0">
                <c:v>0</c:v>
              </c:pt>
            </c:numLit>
          </c:val>
        </c:ser>
        <c:ser>
          <c:idx val="3"/>
          <c:order val="14"/>
          <c:tx>
            <c:v>FR</c:v>
          </c:tx>
          <c:spPr>
            <a:solidFill>
              <a:srgbClr val="0070C0"/>
            </a:solidFill>
            <a:ln>
              <a:solidFill>
                <a:schemeClr val="bg1"/>
              </a:solidFill>
            </a:ln>
          </c:spPr>
          <c:invertIfNegative val="0"/>
          <c:dLbls>
            <c:dLbl>
              <c:idx val="0"/>
              <c:layout>
                <c:manualLayout>
                  <c:x val="3.7512586759336163E-3"/>
                  <c:y val="1.6666666666666666E-2"/>
                </c:manualLayout>
              </c:layout>
              <c:tx>
                <c:rich>
                  <a:bodyPr/>
                  <a:lstStyle/>
                  <a:p>
                    <a:r>
                      <a:rPr lang="en-US"/>
                      <a:t>12.9%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12.9</c:v>
              </c:pt>
            </c:numLit>
          </c:val>
        </c:ser>
        <c:ser>
          <c:idx val="0"/>
          <c:order val="15"/>
          <c:tx>
            <c:v>FR</c:v>
          </c:tx>
          <c:spPr>
            <a:solidFill>
              <a:srgbClr val="00B0F0"/>
            </a:solidFill>
            <a:ln>
              <a:solidFill>
                <a:schemeClr val="bg1"/>
              </a:solidFill>
            </a:ln>
          </c:spPr>
          <c:invertIfNegative val="0"/>
          <c:dLbls>
            <c:dLbl>
              <c:idx val="0"/>
              <c:layout>
                <c:manualLayout>
                  <c:x val="1.2839505507170577E-2"/>
                  <c:y val="1.6666666666666666E-2"/>
                </c:manualLayout>
              </c:layout>
              <c:tx>
                <c:rich>
                  <a:bodyPr/>
                  <a:lstStyle/>
                  <a:p>
                    <a:r>
                      <a:rPr lang="en-US"/>
                      <a:t>70.2%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70.2</c:v>
              </c:pt>
            </c:numLit>
          </c:val>
        </c:ser>
        <c:ser>
          <c:idx val="17"/>
          <c:order val="16"/>
          <c:tx>
            <c:v>espace</c:v>
          </c:tx>
          <c:spPr>
            <a:noFill/>
          </c:spPr>
          <c:invertIfNegative val="0"/>
          <c:val>
            <c:numLit>
              <c:formatCode>General</c:formatCode>
              <c:ptCount val="1"/>
              <c:pt idx="0">
                <c:v>0</c:v>
              </c:pt>
            </c:numLit>
          </c:val>
        </c:ser>
        <c:ser>
          <c:idx val="18"/>
          <c:order val="17"/>
          <c:tx>
            <c:v>FR</c:v>
          </c:tx>
          <c:spPr>
            <a:solidFill>
              <a:srgbClr val="0070C0"/>
            </a:solidFill>
            <a:ln>
              <a:solidFill>
                <a:schemeClr val="bg1"/>
              </a:solidFill>
            </a:ln>
          </c:spPr>
          <c:invertIfNegative val="0"/>
          <c:dLbls>
            <c:dLbl>
              <c:idx val="0"/>
              <c:layout>
                <c:manualLayout>
                  <c:x val="3.2226821828102948E-3"/>
                  <c:y val="1.6666666666666666E-2"/>
                </c:manualLayout>
              </c:layout>
              <c:tx>
                <c:rich>
                  <a:bodyPr/>
                  <a:lstStyle/>
                  <a:p>
                    <a:r>
                      <a:rPr lang="en-US"/>
                      <a:t>37.3%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37.299999999999997</c:v>
              </c:pt>
            </c:numLit>
          </c:val>
        </c:ser>
        <c:ser>
          <c:idx val="16"/>
          <c:order val="18"/>
          <c:tx>
            <c:v>FR</c:v>
          </c:tx>
          <c:spPr>
            <a:solidFill>
              <a:srgbClr val="00B0F0"/>
            </a:solidFill>
            <a:ln>
              <a:solidFill>
                <a:schemeClr val="bg1"/>
              </a:solidFill>
            </a:ln>
          </c:spPr>
          <c:invertIfNegative val="0"/>
          <c:dLbls>
            <c:dLbl>
              <c:idx val="0"/>
              <c:layout>
                <c:manualLayout>
                  <c:x val="1.0699587922642148E-2"/>
                  <c:y val="1.1111111111111059E-2"/>
                </c:manualLayout>
              </c:layout>
              <c:tx>
                <c:rich>
                  <a:bodyPr/>
                  <a:lstStyle/>
                  <a:p>
                    <a:r>
                      <a:rPr lang="en-US"/>
                      <a:t>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48</c:v>
              </c:pt>
            </c:numLit>
          </c:val>
        </c:ser>
        <c:ser>
          <c:idx val="21"/>
          <c:order val="19"/>
          <c:tx>
            <c:v>espace</c:v>
          </c:tx>
          <c:spPr>
            <a:noFill/>
          </c:spPr>
          <c:invertIfNegative val="0"/>
          <c:val>
            <c:numLit>
              <c:formatCode>General</c:formatCode>
              <c:ptCount val="1"/>
              <c:pt idx="0">
                <c:v>0</c:v>
              </c:pt>
            </c:numLit>
          </c:val>
        </c:ser>
        <c:ser>
          <c:idx val="4"/>
          <c:order val="20"/>
          <c:tx>
            <c:v>espace</c:v>
          </c:tx>
          <c:spPr>
            <a:noFill/>
          </c:spPr>
          <c:invertIfNegative val="0"/>
          <c:val>
            <c:numLit>
              <c:formatCode>General</c:formatCode>
              <c:ptCount val="1"/>
              <c:pt idx="0">
                <c:v>1</c:v>
              </c:pt>
            </c:numLit>
          </c:val>
        </c:ser>
        <c:ser>
          <c:idx val="53"/>
          <c:order val="21"/>
          <c:tx>
            <c:v>espace</c:v>
          </c:tx>
          <c:spPr>
            <a:noFill/>
          </c:spPr>
          <c:invertIfNegative val="0"/>
          <c:val>
            <c:numLit>
              <c:formatCode>General</c:formatCode>
              <c:ptCount val="1"/>
              <c:pt idx="0">
                <c:v>0</c:v>
              </c:pt>
            </c:numLit>
          </c:val>
        </c:ser>
        <c:ser>
          <c:idx val="5"/>
          <c:order val="22"/>
          <c:tx>
            <c:v>IT</c:v>
          </c:tx>
          <c:spPr>
            <a:solidFill>
              <a:srgbClr val="92D050"/>
            </a:solidFill>
            <a:ln>
              <a:noFill/>
            </a:ln>
          </c:spPr>
          <c:invertIfNegative val="0"/>
          <c:dLbls>
            <c:dLbl>
              <c:idx val="0"/>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c:v>
              </c:pt>
            </c:numLit>
          </c:val>
        </c:ser>
        <c:ser>
          <c:idx val="23"/>
          <c:order val="23"/>
          <c:tx>
            <c:v>IT</c:v>
          </c:tx>
          <c:spPr>
            <a:solidFill>
              <a:srgbClr val="00B0F0"/>
            </a:solidFill>
            <a:ln>
              <a:solidFill>
                <a:schemeClr val="bg1"/>
              </a:solidFill>
            </a:ln>
          </c:spPr>
          <c:invertIfNegative val="0"/>
          <c:dLbls>
            <c:dLbl>
              <c:idx val="0"/>
              <c:layout>
                <c:manualLayout>
                  <c:x val="0"/>
                  <c:y val="2.2222222222222223E-2"/>
                </c:manualLayout>
              </c:layout>
              <c:tx>
                <c:rich>
                  <a:bodyPr/>
                  <a:lstStyle/>
                  <a:p>
                    <a:r>
                      <a:rPr lang="en-US"/>
                      <a:t>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c:v>
              </c:pt>
            </c:numLit>
          </c:val>
        </c:ser>
        <c:ser>
          <c:idx val="7"/>
          <c:order val="24"/>
          <c:tx>
            <c:v>espace</c:v>
          </c:tx>
          <c:spPr>
            <a:noFill/>
          </c:spPr>
          <c:invertIfNegative val="0"/>
          <c:val>
            <c:numLit>
              <c:formatCode>General</c:formatCode>
              <c:ptCount val="1"/>
              <c:pt idx="0">
                <c:v>1</c:v>
              </c:pt>
            </c:numLit>
          </c:val>
        </c:ser>
        <c:ser>
          <c:idx val="8"/>
          <c:order val="25"/>
          <c:tx>
            <c:v>IT</c:v>
          </c:tx>
          <c:spPr>
            <a:solidFill>
              <a:srgbClr val="92D050"/>
            </a:solidFill>
            <a:ln>
              <a:noFill/>
            </a:ln>
          </c:spPr>
          <c:invertIfNegative val="0"/>
          <c:dLbls>
            <c:dLbl>
              <c:idx val="0"/>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25"/>
          <c:order val="26"/>
          <c:tx>
            <c:v>IT</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24"/>
          <c:order val="27"/>
          <c:tx>
            <c:v>espace</c:v>
          </c:tx>
          <c:spPr>
            <a:noFill/>
          </c:spPr>
          <c:invertIfNegative val="0"/>
          <c:val>
            <c:numLit>
              <c:formatCode>General</c:formatCode>
              <c:ptCount val="1"/>
              <c:pt idx="0">
                <c:v>0</c:v>
              </c:pt>
            </c:numLit>
          </c:val>
        </c:ser>
        <c:ser>
          <c:idx val="26"/>
          <c:order val="28"/>
          <c:tx>
            <c:v>IT</c:v>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27"/>
          <c:order val="29"/>
          <c:tx>
            <c:v>IT</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28"/>
          <c:order val="30"/>
          <c:tx>
            <c:v>espace</c:v>
          </c:tx>
          <c:spPr>
            <a:noFill/>
          </c:spPr>
          <c:invertIfNegative val="0"/>
          <c:val>
            <c:numLit>
              <c:formatCode>General</c:formatCode>
              <c:ptCount val="1"/>
              <c:pt idx="0">
                <c:v>0</c:v>
              </c:pt>
            </c:numLit>
          </c:val>
        </c:ser>
        <c:ser>
          <c:idx val="52"/>
          <c:order val="31"/>
          <c:tx>
            <c:v>espace</c:v>
          </c:tx>
          <c:spPr>
            <a:noFill/>
          </c:spPr>
          <c:invertIfNegative val="0"/>
          <c:val>
            <c:numLit>
              <c:formatCode>General</c:formatCode>
              <c:ptCount val="1"/>
              <c:pt idx="0">
                <c:v>0</c:v>
              </c:pt>
            </c:numLit>
          </c:val>
        </c:ser>
        <c:ser>
          <c:idx val="29"/>
          <c:order val="32"/>
          <c:tx>
            <c:v>espace</c:v>
          </c:tx>
          <c:spPr>
            <a:noFill/>
          </c:spPr>
          <c:invertIfNegative val="0"/>
          <c:val>
            <c:numLit>
              <c:formatCode>General</c:formatCode>
              <c:ptCount val="1"/>
              <c:pt idx="0">
                <c:v>0</c:v>
              </c:pt>
            </c:numLit>
          </c:val>
        </c:ser>
        <c:ser>
          <c:idx val="31"/>
          <c:order val="33"/>
          <c:tx>
            <c:v>NL</c:v>
          </c:tx>
          <c:spPr>
            <a:solidFill>
              <a:srgbClr val="FFFFB3"/>
            </a:solidFill>
          </c:spPr>
          <c:invertIfNegative val="0"/>
          <c:dLbls>
            <c:dLbl>
              <c:idx val="0"/>
              <c:layout>
                <c:manualLayout>
                  <c:x val="-9.6860376402981875E-3"/>
                  <c:y val="1.3200020871184654E-2"/>
                </c:manualLayout>
              </c:layout>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32"/>
          <c:order val="34"/>
          <c:tx>
            <c:v>NL</c:v>
          </c:tx>
          <c:spPr>
            <a:solidFill>
              <a:srgbClr val="00B0F0"/>
            </a:solidFill>
            <a:ln>
              <a:solidFill>
                <a:schemeClr val="bg1"/>
              </a:solidFill>
            </a:ln>
          </c:spPr>
          <c:invertIfNegative val="0"/>
          <c:dLbls>
            <c:dLbl>
              <c:idx val="0"/>
              <c:layout>
                <c:manualLayout>
                  <c:x val="0"/>
                  <c:y val="2.2222222222222223E-2"/>
                </c:manualLayout>
              </c:layout>
              <c:tx>
                <c:rich>
                  <a:bodyPr/>
                  <a:lstStyle/>
                  <a:p>
                    <a:r>
                      <a:rPr lang="en-US"/>
                      <a:t>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33</c:v>
              </c:pt>
            </c:numLit>
          </c:val>
        </c:ser>
        <c:ser>
          <c:idx val="33"/>
          <c:order val="35"/>
          <c:tx>
            <c:v>espace</c:v>
          </c:tx>
          <c:spPr>
            <a:noFill/>
          </c:spPr>
          <c:invertIfNegative val="0"/>
          <c:val>
            <c:numLit>
              <c:formatCode>General</c:formatCode>
              <c:ptCount val="1"/>
              <c:pt idx="0">
                <c:v>0</c:v>
              </c:pt>
            </c:numLit>
          </c:val>
        </c:ser>
        <c:ser>
          <c:idx val="35"/>
          <c:order val="36"/>
          <c:tx>
            <c:v>NL</c:v>
          </c:tx>
          <c:spPr>
            <a:solidFill>
              <a:srgbClr val="FFFFB3"/>
            </a:solidFill>
          </c:spPr>
          <c:invertIfNegative val="0"/>
          <c:dLbls>
            <c:dLbl>
              <c:idx val="0"/>
              <c:layout>
                <c:manualLayout>
                  <c:x val="-4.8430188201490938E-3"/>
                  <c:y val="8.8217547314708034E-3"/>
                </c:manualLayout>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36"/>
          <c:order val="37"/>
          <c:tx>
            <c:v>NL</c:v>
          </c:tx>
          <c:spPr>
            <a:solidFill>
              <a:srgbClr val="00B0F0"/>
            </a:solidFill>
            <a:ln>
              <a:solidFill>
                <a:schemeClr val="bg1"/>
              </a:solidFill>
            </a:ln>
          </c:spPr>
          <c:invertIfNegative val="0"/>
          <c:dLbls>
            <c:dLbl>
              <c:idx val="0"/>
              <c:tx>
                <c:rich>
                  <a:bodyPr/>
                  <a:lstStyle/>
                  <a:p>
                    <a:r>
                      <a:rPr lang="en-US"/>
                      <a:t>36.7%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36.700000000000003</c:v>
              </c:pt>
            </c:numLit>
          </c:val>
        </c:ser>
        <c:ser>
          <c:idx val="37"/>
          <c:order val="38"/>
          <c:tx>
            <c:v>espace</c:v>
          </c:tx>
          <c:spPr>
            <a:noFill/>
          </c:spPr>
          <c:invertIfNegative val="0"/>
          <c:val>
            <c:numLit>
              <c:formatCode>General</c:formatCode>
              <c:ptCount val="1"/>
              <c:pt idx="0">
                <c:v>0</c:v>
              </c:pt>
            </c:numLit>
          </c:val>
        </c:ser>
        <c:ser>
          <c:idx val="39"/>
          <c:order val="39"/>
          <c:tx>
            <c:v>NL</c:v>
          </c:tx>
          <c:spPr>
            <a:solidFill>
              <a:srgbClr val="FFFFB3"/>
            </a:solidFill>
          </c:spPr>
          <c:invertIfNegative val="0"/>
          <c:dLbls>
            <c:dLbl>
              <c:idx val="0"/>
              <c:layout>
                <c:manualLayout>
                  <c:x val="-4.8430188201490938E-3"/>
                  <c:y val="4.8348233040155621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40"/>
          <c:order val="40"/>
          <c:tx>
            <c:v>NL</c:v>
          </c:tx>
          <c:spPr>
            <a:solidFill>
              <a:srgbClr val="00B0F0"/>
            </a:solidFill>
            <a:ln>
              <a:solidFill>
                <a:schemeClr val="bg1"/>
              </a:solidFill>
            </a:ln>
          </c:spPr>
          <c:invertIfNegative val="0"/>
          <c:dLbls>
            <c:dLbl>
              <c:idx val="0"/>
              <c:layout>
                <c:manualLayout>
                  <c:x val="8.5596703381137177E-3"/>
                  <c:y val="1.6666666666666666E-2"/>
                </c:manualLayout>
              </c:layout>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38.5</c:v>
              </c:pt>
            </c:numLit>
          </c:val>
        </c:ser>
        <c:ser>
          <c:idx val="41"/>
          <c:order val="41"/>
          <c:tx>
            <c:v>espace</c:v>
          </c:tx>
          <c:spPr>
            <a:noFill/>
          </c:spPr>
          <c:invertIfNegative val="0"/>
          <c:val>
            <c:numLit>
              <c:formatCode>General</c:formatCode>
              <c:ptCount val="1"/>
              <c:pt idx="0">
                <c:v>0</c:v>
              </c:pt>
            </c:numLit>
          </c:val>
        </c:ser>
        <c:ser>
          <c:idx val="42"/>
          <c:order val="42"/>
          <c:tx>
            <c:v>espace</c:v>
          </c:tx>
          <c:spPr>
            <a:noFill/>
          </c:spPr>
          <c:invertIfNegative val="0"/>
          <c:val>
            <c:numLit>
              <c:formatCode>General</c:formatCode>
              <c:ptCount val="1"/>
              <c:pt idx="0">
                <c:v>0</c:v>
              </c:pt>
            </c:numLit>
          </c:val>
        </c:ser>
        <c:ser>
          <c:idx val="51"/>
          <c:order val="43"/>
          <c:tx>
            <c:v>espace</c:v>
          </c:tx>
          <c:spPr>
            <a:noFill/>
          </c:spPr>
          <c:invertIfNegative val="0"/>
          <c:val>
            <c:numLit>
              <c:formatCode>General</c:formatCode>
              <c:ptCount val="1"/>
              <c:pt idx="0">
                <c:v>0</c:v>
              </c:pt>
            </c:numLit>
          </c:val>
        </c:ser>
        <c:ser>
          <c:idx val="43"/>
          <c:order val="44"/>
          <c:tx>
            <c:v>ES</c:v>
          </c:tx>
          <c:spPr>
            <a:solidFill>
              <a:srgbClr val="F55592"/>
            </a:solidFill>
            <a:ln>
              <a:solidFill>
                <a:schemeClr val="bg1"/>
              </a:solidFill>
            </a:ln>
          </c:spPr>
          <c:invertIfNegative val="0"/>
          <c:dLbls>
            <c:dLbl>
              <c:idx val="0"/>
              <c:layout>
                <c:manualLayout>
                  <c:x val="-1.7194490537857331E-2"/>
                  <c:y val="8.49562554680665E-3"/>
                </c:manualLayout>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44"/>
          <c:order val="45"/>
          <c:tx>
            <c:v>ES</c:v>
          </c:tx>
          <c:spPr>
            <a:solidFill>
              <a:srgbClr val="00B0F0"/>
            </a:solidFill>
            <a:ln>
              <a:solidFill>
                <a:schemeClr val="bg1"/>
              </a:solidFill>
            </a:ln>
          </c:spPr>
          <c:invertIfNegative val="0"/>
          <c:dLbls>
            <c:dLbl>
              <c:idx val="0"/>
              <c:layout>
                <c:manualLayout>
                  <c:x val="0"/>
                  <c:y val="1.6666666666666666E-2"/>
                </c:manualLayout>
              </c:layout>
              <c:tx>
                <c:rich>
                  <a:bodyPr/>
                  <a:lstStyle/>
                  <a:p>
                    <a:r>
                      <a:rPr lang="en-US"/>
                      <a:t>79.4%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79.400000000000006</c:v>
              </c:pt>
            </c:numLit>
          </c:val>
        </c:ser>
        <c:ser>
          <c:idx val="45"/>
          <c:order val="46"/>
          <c:tx>
            <c:v>espace</c:v>
          </c:tx>
          <c:spPr>
            <a:noFill/>
          </c:spPr>
          <c:invertIfNegative val="0"/>
          <c:val>
            <c:numLit>
              <c:formatCode>General</c:formatCode>
              <c:ptCount val="1"/>
              <c:pt idx="0">
                <c:v>0</c:v>
              </c:pt>
            </c:numLit>
          </c:val>
        </c:ser>
        <c:ser>
          <c:idx val="46"/>
          <c:order val="47"/>
          <c:tx>
            <c:v>ES</c:v>
          </c:tx>
          <c:spPr>
            <a:solidFill>
              <a:srgbClr val="F55592"/>
            </a:solidFill>
            <a:ln>
              <a:solidFill>
                <a:schemeClr val="bg1"/>
              </a:solidFill>
            </a:ln>
          </c:spPr>
          <c:invertIfNegative val="0"/>
          <c:dLbls>
            <c:dLbl>
              <c:idx val="0"/>
              <c:layout>
                <c:manualLayout>
                  <c:x val="-9.6860376402981875E-3"/>
                  <c:y val="8.4956424712552946E-3"/>
                </c:manualLayout>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47"/>
          <c:order val="48"/>
          <c:tx>
            <c:v>ES</c:v>
          </c:tx>
          <c:spPr>
            <a:solidFill>
              <a:srgbClr val="00B0F0"/>
            </a:solidFill>
            <a:ln>
              <a:solidFill>
                <a:schemeClr val="bg1"/>
              </a:solidFill>
            </a:ln>
          </c:spPr>
          <c:invertIfNegative val="0"/>
          <c:dLbls>
            <c:dLbl>
              <c:idx val="0"/>
              <c:layout>
                <c:manualLayout>
                  <c:x val="0"/>
                  <c:y val="1.6666666666666666E-2"/>
                </c:manualLayout>
              </c:layout>
              <c:tx>
                <c:rich>
                  <a:bodyPr/>
                  <a:lstStyle/>
                  <a:p>
                    <a:r>
                      <a:rPr lang="en-US"/>
                      <a:t>58.8%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58.8</c:v>
              </c:pt>
            </c:numLit>
          </c:val>
        </c:ser>
        <c:ser>
          <c:idx val="48"/>
          <c:order val="49"/>
          <c:tx>
            <c:v>espace</c:v>
          </c:tx>
          <c:spPr>
            <a:noFill/>
          </c:spPr>
          <c:invertIfNegative val="0"/>
          <c:val>
            <c:numLit>
              <c:formatCode>General</c:formatCode>
              <c:ptCount val="1"/>
              <c:pt idx="0">
                <c:v>0</c:v>
              </c:pt>
            </c:numLit>
          </c:val>
        </c:ser>
        <c:ser>
          <c:idx val="49"/>
          <c:order val="50"/>
          <c:tx>
            <c:v>ES</c:v>
          </c:tx>
          <c:spPr>
            <a:solidFill>
              <a:srgbClr val="F55592"/>
            </a:solidFill>
          </c:spPr>
          <c:invertIfNegative val="0"/>
          <c:dLbls>
            <c:dLbl>
              <c:idx val="0"/>
              <c:layout>
                <c:manualLayout>
                  <c:x val="-8.0716980335818235E-3"/>
                  <c:y val="8.4956424712552946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50"/>
          <c:order val="51"/>
          <c:tx>
            <c:v>ES</c:v>
          </c:tx>
          <c:spPr>
            <a:solidFill>
              <a:srgbClr val="00B0F0"/>
            </a:solidFill>
            <a:ln>
              <a:solidFill>
                <a:schemeClr val="bg1"/>
              </a:solidFill>
            </a:ln>
          </c:spPr>
          <c:invertIfNegative val="0"/>
          <c:dLbls>
            <c:dLbl>
              <c:idx val="0"/>
              <c:layout>
                <c:manualLayout>
                  <c:x val="6.4197527535852887E-3"/>
                  <c:y val="1.6666666666666691E-2"/>
                </c:manualLayout>
              </c:layout>
              <c:tx>
                <c:rich>
                  <a:bodyPr/>
                  <a:lstStyle/>
                  <a:p>
                    <a:r>
                      <a:rPr lang="en-US"/>
                      <a:t>83.3%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83.3</c:v>
              </c:pt>
            </c:numLit>
          </c:val>
        </c:ser>
        <c:dLbls>
          <c:showLegendKey val="0"/>
          <c:showVal val="0"/>
          <c:showCatName val="0"/>
          <c:showSerName val="0"/>
          <c:showPercent val="0"/>
          <c:showBubbleSize val="0"/>
        </c:dLbls>
        <c:gapWidth val="150"/>
        <c:shape val="box"/>
        <c:axId val="85938944"/>
        <c:axId val="85940480"/>
        <c:axId val="0"/>
      </c:bar3DChart>
      <c:catAx>
        <c:axId val="85938944"/>
        <c:scaling>
          <c:orientation val="minMax"/>
        </c:scaling>
        <c:delete val="1"/>
        <c:axPos val="b"/>
        <c:numFmt formatCode="General" sourceLinked="1"/>
        <c:majorTickMark val="out"/>
        <c:minorTickMark val="none"/>
        <c:tickLblPos val="nextTo"/>
        <c:crossAx val="85940480"/>
        <c:crosses val="autoZero"/>
        <c:auto val="1"/>
        <c:lblAlgn val="ctr"/>
        <c:lblOffset val="100"/>
        <c:noMultiLvlLbl val="0"/>
      </c:catAx>
      <c:valAx>
        <c:axId val="85940480"/>
        <c:scaling>
          <c:orientation val="minMax"/>
          <c:max val="100"/>
        </c:scaling>
        <c:delete val="0"/>
        <c:axPos val="l"/>
        <c:majorGridlines>
          <c:spPr>
            <a:ln>
              <a:noFill/>
            </a:ln>
          </c:spPr>
        </c:majorGridlines>
        <c:numFmt formatCode="General" sourceLinked="0"/>
        <c:majorTickMark val="out"/>
        <c:minorTickMark val="none"/>
        <c:tickLblPos val="nextTo"/>
        <c:crossAx val="85938944"/>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30031167077177473"/>
          <c:w val="0.95439235518125598"/>
          <c:h val="0.51828771540995533"/>
        </c:manualLayout>
      </c:layout>
      <c:bar3DChart>
        <c:barDir val="col"/>
        <c:grouping val="clustered"/>
        <c:varyColors val="0"/>
        <c:ser>
          <c:idx val="12"/>
          <c:order val="0"/>
          <c:tx>
            <c:v>GB</c:v>
          </c:tx>
          <c:spPr>
            <a:solidFill>
              <a:srgbClr val="00B0F0"/>
            </a:solidFill>
            <a:ln>
              <a:solidFill>
                <a:schemeClr val="bg1"/>
              </a:solidFill>
            </a:ln>
          </c:spPr>
          <c:invertIfNegative val="0"/>
          <c:dLbls>
            <c:dLbl>
              <c:idx val="0"/>
              <c:layout>
                <c:manualLayout>
                  <c:x val="1.2834224598930482E-2"/>
                  <c:y val="5.4945054945054949E-3"/>
                </c:manualLayout>
              </c:layout>
              <c:tx>
                <c:rich>
                  <a:bodyPr/>
                  <a:lstStyle/>
                  <a:p>
                    <a:r>
                      <a:rPr lang="en-US"/>
                      <a:t>86.4%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86.4</c:v>
              </c:pt>
            </c:numLit>
          </c:val>
        </c:ser>
        <c:ser>
          <c:idx val="13"/>
          <c:order val="1"/>
          <c:tx>
            <c:v>espace</c:v>
          </c:tx>
          <c:spPr>
            <a:noFill/>
          </c:spPr>
          <c:invertIfNegative val="0"/>
          <c:val>
            <c:numLit>
              <c:formatCode>General</c:formatCode>
              <c:ptCount val="1"/>
              <c:pt idx="0">
                <c:v>0</c:v>
              </c:pt>
            </c:numLit>
          </c:val>
        </c:ser>
        <c:ser>
          <c:idx val="2"/>
          <c:order val="2"/>
          <c:tx>
            <c:v>GB</c:v>
          </c:tx>
          <c:spPr>
            <a:solidFill>
              <a:srgbClr val="00B0F0"/>
            </a:solidFill>
            <a:ln>
              <a:solidFill>
                <a:schemeClr val="bg1"/>
              </a:solidFill>
            </a:ln>
          </c:spPr>
          <c:invertIfNegative val="0"/>
          <c:dPt>
            <c:idx val="0"/>
            <c:invertIfNegative val="0"/>
            <c:bubble3D val="0"/>
          </c:dPt>
          <c:dLbls>
            <c:dLbl>
              <c:idx val="0"/>
              <c:layout>
                <c:manualLayout>
                  <c:x val="1.0689470871191877E-2"/>
                  <c:y val="0"/>
                </c:manualLayout>
              </c:layout>
              <c:tx>
                <c:rich>
                  <a:bodyPr/>
                  <a:lstStyle/>
                  <a:p>
                    <a:r>
                      <a:rPr lang="en-US"/>
                      <a:t>60.4%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60.4</c:v>
              </c:pt>
            </c:numLit>
          </c:val>
        </c:ser>
        <c:ser>
          <c:idx val="14"/>
          <c:order val="3"/>
          <c:tx>
            <c:v>espace</c:v>
          </c:tx>
          <c:spPr>
            <a:noFill/>
          </c:spPr>
          <c:invertIfNegative val="0"/>
          <c:val>
            <c:numLit>
              <c:formatCode>General</c:formatCode>
              <c:ptCount val="1"/>
              <c:pt idx="0">
                <c:v>0</c:v>
              </c:pt>
            </c:numLit>
          </c:val>
        </c:ser>
        <c:ser>
          <c:idx val="10"/>
          <c:order val="4"/>
          <c:tx>
            <c:v>GB</c:v>
          </c:tx>
          <c:spPr>
            <a:solidFill>
              <a:srgbClr val="00B0F0"/>
            </a:solidFill>
            <a:ln>
              <a:solidFill>
                <a:schemeClr val="bg1"/>
              </a:solidFill>
            </a:ln>
          </c:spPr>
          <c:invertIfNegative val="0"/>
          <c:dLbls>
            <c:dLbl>
              <c:idx val="0"/>
              <c:layout>
                <c:manualLayout>
                  <c:x val="6.4171122994652408E-3"/>
                  <c:y val="5.4945054945054949E-3"/>
                </c:manualLayout>
              </c:layout>
              <c:tx>
                <c:rich>
                  <a:bodyPr/>
                  <a:lstStyle/>
                  <a:p>
                    <a:r>
                      <a:rPr lang="en-US"/>
                      <a:t>46.2%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46.2</c:v>
              </c:pt>
            </c:numLit>
          </c:val>
        </c:ser>
        <c:ser>
          <c:idx val="1"/>
          <c:order val="5"/>
          <c:tx>
            <c:v>espace</c:v>
          </c:tx>
          <c:spPr>
            <a:noFill/>
            <a:ln>
              <a:noFill/>
            </a:ln>
          </c:spPr>
          <c:invertIfNegative val="0"/>
          <c:val>
            <c:numLit>
              <c:formatCode>General</c:formatCode>
              <c:ptCount val="1"/>
              <c:pt idx="0">
                <c:v>1</c:v>
              </c:pt>
            </c:numLit>
          </c:val>
        </c:ser>
        <c:ser>
          <c:idx val="22"/>
          <c:order val="6"/>
          <c:tx>
            <c:v>espace</c:v>
          </c:tx>
          <c:spPr>
            <a:noFill/>
          </c:spPr>
          <c:invertIfNegative val="0"/>
          <c:val>
            <c:numLit>
              <c:formatCode>General</c:formatCode>
              <c:ptCount val="1"/>
              <c:pt idx="0">
                <c:v>0</c:v>
              </c:pt>
            </c:numLit>
          </c:val>
        </c:ser>
        <c:ser>
          <c:idx val="54"/>
          <c:order val="7"/>
          <c:tx>
            <c:v>espace</c:v>
          </c:tx>
          <c:spPr>
            <a:noFill/>
          </c:spPr>
          <c:invertIfNegative val="0"/>
          <c:val>
            <c:numLit>
              <c:formatCode>General</c:formatCode>
              <c:ptCount val="1"/>
              <c:pt idx="0">
                <c:v>0</c:v>
              </c:pt>
            </c:numLit>
          </c:val>
        </c:ser>
        <c:ser>
          <c:idx val="15"/>
          <c:order val="8"/>
          <c:tx>
            <c:v>SE</c:v>
          </c:tx>
          <c:spPr>
            <a:solidFill>
              <a:srgbClr val="00B0F0"/>
            </a:solidFill>
            <a:ln>
              <a:solidFill>
                <a:schemeClr val="bg1"/>
              </a:solidFill>
            </a:ln>
          </c:spPr>
          <c:invertIfNegative val="0"/>
          <c:dLbls>
            <c:dLbl>
              <c:idx val="0"/>
              <c:tx>
                <c:rich>
                  <a:bodyPr/>
                  <a:lstStyle/>
                  <a:p>
                    <a:r>
                      <a:rPr lang="en-US"/>
                      <a:t>60.5%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60.5</c:v>
              </c:pt>
            </c:numLit>
          </c:val>
        </c:ser>
        <c:ser>
          <c:idx val="20"/>
          <c:order val="9"/>
          <c:tx>
            <c:v>espace</c:v>
          </c:tx>
          <c:spPr>
            <a:noFill/>
          </c:spPr>
          <c:invertIfNegative val="0"/>
          <c:val>
            <c:numLit>
              <c:formatCode>General</c:formatCode>
              <c:ptCount val="1"/>
              <c:pt idx="0">
                <c:v>0</c:v>
              </c:pt>
            </c:numLit>
          </c:val>
        </c:ser>
        <c:ser>
          <c:idx val="3"/>
          <c:order val="10"/>
          <c:tx>
            <c:v>SE</c:v>
          </c:tx>
          <c:spPr>
            <a:solidFill>
              <a:srgbClr val="00B0F0"/>
            </a:solidFill>
            <a:ln>
              <a:solidFill>
                <a:schemeClr val="bg1"/>
              </a:solidFill>
            </a:ln>
          </c:spPr>
          <c:invertIfNegative val="0"/>
          <c:dLbls>
            <c:dLbl>
              <c:idx val="0"/>
              <c:layout>
                <c:manualLayout>
                  <c:x val="0"/>
                  <c:y val="5.4945054945054949E-3"/>
                </c:manualLayout>
              </c:layout>
              <c:tx>
                <c:rich>
                  <a:bodyPr/>
                  <a:lstStyle/>
                  <a:p>
                    <a:r>
                      <a:rPr lang="en-US"/>
                      <a:t>50.5%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50.5</c:v>
              </c:pt>
            </c:numLit>
          </c:val>
        </c:ser>
        <c:ser>
          <c:idx val="17"/>
          <c:order val="11"/>
          <c:tx>
            <c:v>espace</c:v>
          </c:tx>
          <c:spPr>
            <a:noFill/>
          </c:spPr>
          <c:invertIfNegative val="0"/>
          <c:val>
            <c:numLit>
              <c:formatCode>General</c:formatCode>
              <c:ptCount val="1"/>
              <c:pt idx="0">
                <c:v>0</c:v>
              </c:pt>
            </c:numLit>
          </c:val>
        </c:ser>
        <c:ser>
          <c:idx val="18"/>
          <c:order val="12"/>
          <c:tx>
            <c:v>SE</c:v>
          </c:tx>
          <c:spPr>
            <a:solidFill>
              <a:srgbClr val="00B0F0"/>
            </a:solidFill>
            <a:ln>
              <a:solidFill>
                <a:schemeClr val="bg1"/>
              </a:solidFill>
            </a:ln>
          </c:spPr>
          <c:invertIfNegative val="0"/>
          <c:dLbls>
            <c:dLbl>
              <c:idx val="0"/>
              <c:tx>
                <c:rich>
                  <a:bodyPr/>
                  <a:lstStyle/>
                  <a:p>
                    <a:r>
                      <a:rPr lang="en-US"/>
                      <a:t>69.2%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69.2</c:v>
              </c:pt>
            </c:numLit>
          </c:val>
        </c:ser>
        <c:ser>
          <c:idx val="21"/>
          <c:order val="13"/>
          <c:tx>
            <c:v>espace</c:v>
          </c:tx>
          <c:spPr>
            <a:noFill/>
          </c:spPr>
          <c:invertIfNegative val="0"/>
          <c:val>
            <c:numLit>
              <c:formatCode>General</c:formatCode>
              <c:ptCount val="1"/>
              <c:pt idx="0">
                <c:v>0</c:v>
              </c:pt>
            </c:numLit>
          </c:val>
        </c:ser>
        <c:ser>
          <c:idx val="4"/>
          <c:order val="14"/>
          <c:tx>
            <c:v>espace</c:v>
          </c:tx>
          <c:spPr>
            <a:noFill/>
          </c:spPr>
          <c:invertIfNegative val="0"/>
          <c:val>
            <c:numLit>
              <c:formatCode>General</c:formatCode>
              <c:ptCount val="1"/>
              <c:pt idx="0">
                <c:v>1</c:v>
              </c:pt>
            </c:numLit>
          </c:val>
        </c:ser>
        <c:ser>
          <c:idx val="53"/>
          <c:order val="15"/>
          <c:tx>
            <c:v>espace</c:v>
          </c:tx>
          <c:spPr>
            <a:noFill/>
          </c:spPr>
          <c:invertIfNegative val="0"/>
          <c:val>
            <c:numLit>
              <c:formatCode>General</c:formatCode>
              <c:ptCount val="1"/>
              <c:pt idx="0">
                <c:v>0</c:v>
              </c:pt>
            </c:numLit>
          </c:val>
        </c:ser>
        <c:ser>
          <c:idx val="23"/>
          <c:order val="16"/>
          <c:tx>
            <c:v>AT</c:v>
          </c:tx>
          <c:spPr>
            <a:solidFill>
              <a:srgbClr val="00B0F0"/>
            </a:solidFill>
            <a:ln>
              <a:solidFill>
                <a:schemeClr val="bg1"/>
              </a:solidFill>
            </a:ln>
          </c:spPr>
          <c:invertIfNegative val="0"/>
          <c:dLbls>
            <c:dLbl>
              <c:idx val="0"/>
              <c:tx>
                <c:rich>
                  <a:bodyPr/>
                  <a:lstStyle/>
                  <a:p>
                    <a:r>
                      <a:rPr lang="en-US"/>
                      <a:t>68.6%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68.599999999999994</c:v>
              </c:pt>
            </c:numLit>
          </c:val>
        </c:ser>
        <c:ser>
          <c:idx val="7"/>
          <c:order val="17"/>
          <c:tx>
            <c:v>espace</c:v>
          </c:tx>
          <c:spPr>
            <a:noFill/>
          </c:spPr>
          <c:invertIfNegative val="0"/>
          <c:val>
            <c:numLit>
              <c:formatCode>General</c:formatCode>
              <c:ptCount val="1"/>
              <c:pt idx="0">
                <c:v>1</c:v>
              </c:pt>
            </c:numLit>
          </c:val>
        </c:ser>
        <c:ser>
          <c:idx val="8"/>
          <c:order val="18"/>
          <c:tx>
            <c:v>AT</c:v>
          </c:tx>
          <c:spPr>
            <a:solidFill>
              <a:srgbClr val="00B0F0"/>
            </a:solidFill>
            <a:ln>
              <a:solidFill>
                <a:schemeClr val="bg1"/>
              </a:solidFill>
            </a:ln>
          </c:spPr>
          <c:invertIfNegative val="0"/>
          <c:dLbls>
            <c:dLbl>
              <c:idx val="0"/>
              <c:layout>
                <c:manualLayout>
                  <c:x val="0"/>
                  <c:y val="1.098901098901099E-2"/>
                </c:manualLayout>
              </c:layout>
              <c:tx>
                <c:rich>
                  <a:bodyPr/>
                  <a:lstStyle/>
                  <a:p>
                    <a:r>
                      <a:rPr lang="en-US"/>
                      <a:t>59.5%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59.5</c:v>
              </c:pt>
            </c:numLit>
          </c:val>
        </c:ser>
        <c:ser>
          <c:idx val="24"/>
          <c:order val="19"/>
          <c:tx>
            <c:v>espace</c:v>
          </c:tx>
          <c:spPr>
            <a:noFill/>
          </c:spPr>
          <c:invertIfNegative val="0"/>
          <c:val>
            <c:numLit>
              <c:formatCode>General</c:formatCode>
              <c:ptCount val="1"/>
              <c:pt idx="0">
                <c:v>0</c:v>
              </c:pt>
            </c:numLit>
          </c:val>
        </c:ser>
        <c:ser>
          <c:idx val="26"/>
          <c:order val="20"/>
          <c:tx>
            <c:v>AT</c:v>
          </c:tx>
          <c:spPr>
            <a:solidFill>
              <a:srgbClr val="00B0F0"/>
            </a:solidFill>
            <a:ln>
              <a:solidFill>
                <a:schemeClr val="bg1"/>
              </a:solidFill>
            </a:ln>
          </c:spPr>
          <c:invertIfNegative val="0"/>
          <c:dLbls>
            <c:dLbl>
              <c:idx val="0"/>
              <c:tx>
                <c:rich>
                  <a:bodyPr/>
                  <a:lstStyle/>
                  <a:p>
                    <a:r>
                      <a:rPr lang="en-US"/>
                      <a:t>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75</c:v>
              </c:pt>
            </c:numLit>
          </c:val>
        </c:ser>
        <c:ser>
          <c:idx val="28"/>
          <c:order val="21"/>
          <c:tx>
            <c:v>espace</c:v>
          </c:tx>
          <c:spPr>
            <a:noFill/>
          </c:spPr>
          <c:invertIfNegative val="0"/>
          <c:val>
            <c:numLit>
              <c:formatCode>General</c:formatCode>
              <c:ptCount val="1"/>
              <c:pt idx="0">
                <c:v>0</c:v>
              </c:pt>
            </c:numLit>
          </c:val>
        </c:ser>
        <c:ser>
          <c:idx val="52"/>
          <c:order val="22"/>
          <c:tx>
            <c:v>espace</c:v>
          </c:tx>
          <c:spPr>
            <a:noFill/>
          </c:spPr>
          <c:invertIfNegative val="0"/>
          <c:val>
            <c:numLit>
              <c:formatCode>General</c:formatCode>
              <c:ptCount val="1"/>
              <c:pt idx="0">
                <c:v>0</c:v>
              </c:pt>
            </c:numLit>
          </c:val>
        </c:ser>
        <c:ser>
          <c:idx val="29"/>
          <c:order val="23"/>
          <c:tx>
            <c:v>espace</c:v>
          </c:tx>
          <c:spPr>
            <a:noFill/>
          </c:spPr>
          <c:invertIfNegative val="0"/>
          <c:val>
            <c:numLit>
              <c:formatCode>General</c:formatCode>
              <c:ptCount val="1"/>
              <c:pt idx="0">
                <c:v>0</c:v>
              </c:pt>
            </c:numLit>
          </c:val>
        </c:ser>
        <c:ser>
          <c:idx val="30"/>
          <c:order val="24"/>
          <c:tx>
            <c:v>CZ</c:v>
          </c:tx>
          <c:spPr>
            <a:solidFill>
              <a:srgbClr val="00B0F0"/>
            </a:solidFill>
          </c:spPr>
          <c:invertIfNegative val="0"/>
          <c:dLbls>
            <c:dLbl>
              <c:idx val="0"/>
              <c:tx>
                <c:rich>
                  <a:bodyPr/>
                  <a:lstStyle/>
                  <a:p>
                    <a:r>
                      <a:rPr lang="en-US"/>
                      <a:t>66.7%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66.7</c:v>
              </c:pt>
            </c:numLit>
          </c:val>
        </c:ser>
        <c:ser>
          <c:idx val="33"/>
          <c:order val="25"/>
          <c:tx>
            <c:v>espace</c:v>
          </c:tx>
          <c:spPr>
            <a:noFill/>
          </c:spPr>
          <c:invertIfNegative val="0"/>
          <c:val>
            <c:numLit>
              <c:formatCode>General</c:formatCode>
              <c:ptCount val="1"/>
              <c:pt idx="0">
                <c:v>0</c:v>
              </c:pt>
            </c:numLit>
          </c:val>
        </c:ser>
        <c:ser>
          <c:idx val="36"/>
          <c:order val="26"/>
          <c:tx>
            <c:v>CZ</c:v>
          </c:tx>
          <c:spPr>
            <a:solidFill>
              <a:srgbClr val="00B0F0"/>
            </a:solidFill>
            <a:ln>
              <a:solidFill>
                <a:schemeClr val="bg1"/>
              </a:solidFill>
            </a:ln>
          </c:spPr>
          <c:invertIfNegative val="0"/>
          <c:dLbls>
            <c:dLbl>
              <c:idx val="0"/>
              <c:layout>
                <c:manualLayout>
                  <c:x val="-7.8430466513577708E-17"/>
                  <c:y val="1.6483516483516533E-2"/>
                </c:manualLayout>
              </c:layout>
              <c:tx>
                <c:rich>
                  <a:bodyPr/>
                  <a:lstStyle/>
                  <a:p>
                    <a:r>
                      <a:rPr lang="en-US"/>
                      <a:t>61.1%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61.1</c:v>
              </c:pt>
            </c:numLit>
          </c:val>
        </c:ser>
        <c:ser>
          <c:idx val="37"/>
          <c:order val="27"/>
          <c:tx>
            <c:v>espace</c:v>
          </c:tx>
          <c:spPr>
            <a:noFill/>
          </c:spPr>
          <c:invertIfNegative val="0"/>
          <c:val>
            <c:numLit>
              <c:formatCode>General</c:formatCode>
              <c:ptCount val="1"/>
              <c:pt idx="0">
                <c:v>0</c:v>
              </c:pt>
            </c:numLit>
          </c:val>
        </c:ser>
        <c:ser>
          <c:idx val="40"/>
          <c:order val="28"/>
          <c:tx>
            <c:v>CZ</c:v>
          </c:tx>
          <c:spPr>
            <a:solidFill>
              <a:srgbClr val="00B0F0"/>
            </a:solidFill>
            <a:ln>
              <a:solidFill>
                <a:schemeClr val="bg1"/>
              </a:solidFill>
            </a:ln>
          </c:spPr>
          <c:invertIfNegative val="0"/>
          <c:dLbls>
            <c:dLbl>
              <c:idx val="0"/>
              <c:layout>
                <c:manualLayout>
                  <c:x val="2.1390374331550803E-3"/>
                  <c:y val="1.6483083845288571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ser>
          <c:idx val="41"/>
          <c:order val="29"/>
          <c:tx>
            <c:v>espace</c:v>
          </c:tx>
          <c:spPr>
            <a:noFill/>
          </c:spPr>
          <c:invertIfNegative val="0"/>
          <c:val>
            <c:numLit>
              <c:formatCode>General</c:formatCode>
              <c:ptCount val="1"/>
              <c:pt idx="0">
                <c:v>0</c:v>
              </c:pt>
            </c:numLit>
          </c:val>
        </c:ser>
        <c:ser>
          <c:idx val="42"/>
          <c:order val="30"/>
          <c:tx>
            <c:v>espace</c:v>
          </c:tx>
          <c:spPr>
            <a:noFill/>
          </c:spPr>
          <c:invertIfNegative val="0"/>
          <c:val>
            <c:numLit>
              <c:formatCode>General</c:formatCode>
              <c:ptCount val="1"/>
              <c:pt idx="0">
                <c:v>0</c:v>
              </c:pt>
            </c:numLit>
          </c:val>
        </c:ser>
        <c:ser>
          <c:idx val="51"/>
          <c:order val="31"/>
          <c:tx>
            <c:v>espace</c:v>
          </c:tx>
          <c:spPr>
            <a:noFill/>
          </c:spPr>
          <c:invertIfNegative val="0"/>
          <c:val>
            <c:numLit>
              <c:formatCode>General</c:formatCode>
              <c:ptCount val="1"/>
              <c:pt idx="0">
                <c:v>0</c:v>
              </c:pt>
            </c:numLit>
          </c:val>
        </c:ser>
        <c:ser>
          <c:idx val="43"/>
          <c:order val="32"/>
          <c:tx>
            <c:v>PT</c:v>
          </c:tx>
          <c:spPr>
            <a:solidFill>
              <a:srgbClr val="00B0F0"/>
            </a:solidFill>
            <a:ln>
              <a:solidFill>
                <a:schemeClr val="bg1"/>
              </a:solidFill>
            </a:ln>
          </c:spPr>
          <c:invertIfNegative val="0"/>
          <c:dLbls>
            <c:dLbl>
              <c:idx val="0"/>
              <c:layout>
                <c:manualLayout>
                  <c:x val="-4.8219293443934478E-3"/>
                  <c:y val="1.6483516483516484E-2"/>
                </c:manualLayout>
              </c:layout>
              <c:tx>
                <c:rich>
                  <a:bodyPr/>
                  <a:lstStyle/>
                  <a:p>
                    <a:r>
                      <a:rPr lang="en-US"/>
                      <a:t>90%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90</c:v>
              </c:pt>
            </c:numLit>
          </c:val>
        </c:ser>
        <c:ser>
          <c:idx val="45"/>
          <c:order val="33"/>
          <c:tx>
            <c:v>espace</c:v>
          </c:tx>
          <c:spPr>
            <a:noFill/>
          </c:spPr>
          <c:invertIfNegative val="0"/>
          <c:val>
            <c:numLit>
              <c:formatCode>General</c:formatCode>
              <c:ptCount val="1"/>
              <c:pt idx="0">
                <c:v>0</c:v>
              </c:pt>
            </c:numLit>
          </c:val>
        </c:ser>
        <c:ser>
          <c:idx val="47"/>
          <c:order val="34"/>
          <c:tx>
            <c:v>PT</c:v>
          </c:tx>
          <c:spPr>
            <a:solidFill>
              <a:srgbClr val="00B0F0"/>
            </a:solidFill>
            <a:ln>
              <a:solidFill>
                <a:schemeClr val="bg1"/>
              </a:solidFill>
            </a:ln>
          </c:spPr>
          <c:invertIfNegative val="0"/>
          <c:dLbls>
            <c:dLbl>
              <c:idx val="0"/>
              <c:layout>
                <c:manualLayout>
                  <c:x val="0"/>
                  <c:y val="1.6483516483516484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ser>
          <c:idx val="48"/>
          <c:order val="35"/>
          <c:tx>
            <c:v>espace</c:v>
          </c:tx>
          <c:spPr>
            <a:noFill/>
          </c:spPr>
          <c:invertIfNegative val="0"/>
          <c:val>
            <c:numLit>
              <c:formatCode>General</c:formatCode>
              <c:ptCount val="1"/>
              <c:pt idx="0">
                <c:v>0</c:v>
              </c:pt>
            </c:numLit>
          </c:val>
        </c:ser>
        <c:ser>
          <c:idx val="50"/>
          <c:order val="36"/>
          <c:tx>
            <c:v>PT</c:v>
          </c:tx>
          <c:spPr>
            <a:solidFill>
              <a:srgbClr val="00B0F0"/>
            </a:solidFill>
            <a:ln>
              <a:solidFill>
                <a:schemeClr val="bg1"/>
              </a:solidFill>
            </a:ln>
          </c:spPr>
          <c:invertIfNegative val="0"/>
          <c:dLbls>
            <c:dLbl>
              <c:idx val="0"/>
              <c:layout>
                <c:manualLayout>
                  <c:x val="0"/>
                  <c:y val="1.6483516483516484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dLbls>
          <c:showLegendKey val="0"/>
          <c:showVal val="0"/>
          <c:showCatName val="0"/>
          <c:showSerName val="0"/>
          <c:showPercent val="0"/>
          <c:showBubbleSize val="0"/>
        </c:dLbls>
        <c:gapWidth val="150"/>
        <c:shape val="box"/>
        <c:axId val="86076032"/>
        <c:axId val="86081920"/>
        <c:axId val="0"/>
      </c:bar3DChart>
      <c:catAx>
        <c:axId val="86076032"/>
        <c:scaling>
          <c:orientation val="minMax"/>
        </c:scaling>
        <c:delete val="1"/>
        <c:axPos val="b"/>
        <c:numFmt formatCode="General" sourceLinked="1"/>
        <c:majorTickMark val="out"/>
        <c:minorTickMark val="none"/>
        <c:tickLblPos val="nextTo"/>
        <c:crossAx val="86081920"/>
        <c:crosses val="autoZero"/>
        <c:auto val="1"/>
        <c:lblAlgn val="ctr"/>
        <c:lblOffset val="100"/>
        <c:noMultiLvlLbl val="0"/>
      </c:catAx>
      <c:valAx>
        <c:axId val="86081920"/>
        <c:scaling>
          <c:orientation val="minMax"/>
          <c:max val="100"/>
        </c:scaling>
        <c:delete val="0"/>
        <c:axPos val="l"/>
        <c:majorGridlines>
          <c:spPr>
            <a:ln>
              <a:noFill/>
            </a:ln>
          </c:spPr>
        </c:majorGridlines>
        <c:numFmt formatCode="General" sourceLinked="0"/>
        <c:majorTickMark val="out"/>
        <c:minorTickMark val="none"/>
        <c:tickLblPos val="nextTo"/>
        <c:crossAx val="86076032"/>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3568505895715735"/>
          <c:y val="0.25283690619967791"/>
          <c:w val="0.70627066218134593"/>
          <c:h val="0.65967719722010343"/>
        </c:manualLayout>
      </c:layout>
      <c:bar3DChart>
        <c:barDir val="col"/>
        <c:grouping val="clustered"/>
        <c:varyColors val="0"/>
        <c:ser>
          <c:idx val="8"/>
          <c:order val="0"/>
          <c:tx>
            <c:v>JP</c:v>
          </c:tx>
          <c:spPr>
            <a:solidFill>
              <a:schemeClr val="bg1">
                <a:lumMod val="50000"/>
              </a:schemeClr>
            </a:solidFill>
            <a:ln>
              <a:solidFill>
                <a:schemeClr val="bg1"/>
              </a:solidFill>
            </a:ln>
          </c:spPr>
          <c:invertIfNegative val="0"/>
          <c:val>
            <c:numLit>
              <c:formatCode>General</c:formatCode>
              <c:ptCount val="1"/>
              <c:pt idx="0">
                <c:v>0</c:v>
              </c:pt>
            </c:numLit>
          </c:val>
        </c:ser>
        <c:ser>
          <c:idx val="10"/>
          <c:order val="1"/>
          <c:tx>
            <c:v>US</c:v>
          </c:tx>
          <c:spPr>
            <a:solidFill>
              <a:schemeClr val="bg1">
                <a:lumMod val="50000"/>
              </a:schemeClr>
            </a:solidFill>
            <a:ln>
              <a:solidFill>
                <a:schemeClr val="bg1"/>
              </a:solidFill>
            </a:ln>
          </c:spPr>
          <c:invertIfNegative val="0"/>
          <c:val>
            <c:numLit>
              <c:formatCode>General</c:formatCode>
              <c:ptCount val="1"/>
              <c:pt idx="0">
                <c:v>0</c:v>
              </c:pt>
            </c:numLit>
          </c:val>
        </c:ser>
        <c:ser>
          <c:idx val="9"/>
          <c:order val="2"/>
          <c:tx>
            <c:v>KR</c:v>
          </c:tx>
          <c:spPr>
            <a:solidFill>
              <a:srgbClr val="31859C"/>
            </a:solidFill>
          </c:spPr>
          <c:invertIfNegative val="0"/>
          <c:val>
            <c:numLit>
              <c:formatCode>General</c:formatCode>
              <c:ptCount val="1"/>
              <c:pt idx="0">
                <c:v>0.8</c:v>
              </c:pt>
            </c:numLit>
          </c:val>
        </c:ser>
        <c:ser>
          <c:idx val="3"/>
          <c:order val="3"/>
          <c:tx>
            <c:v>espace</c:v>
          </c:tx>
          <c:spPr>
            <a:noFill/>
            <a:ln>
              <a:noFill/>
            </a:ln>
          </c:spPr>
          <c:invertIfNegative val="0"/>
          <c:val>
            <c:numLit>
              <c:formatCode>General</c:formatCode>
              <c:ptCount val="1"/>
              <c:pt idx="0">
                <c:v>0</c:v>
              </c:pt>
            </c:numLit>
          </c:val>
        </c:ser>
        <c:ser>
          <c:idx val="7"/>
          <c:order val="4"/>
          <c:tx>
            <c:v>JP</c:v>
          </c:tx>
          <c:spPr>
            <a:solidFill>
              <a:schemeClr val="accent5">
                <a:lumMod val="40000"/>
                <a:lumOff val="60000"/>
              </a:schemeClr>
            </a:solidFill>
            <a:ln>
              <a:solidFill>
                <a:schemeClr val="bg1"/>
              </a:solidFill>
            </a:ln>
          </c:spPr>
          <c:invertIfNegative val="0"/>
          <c:val>
            <c:numLit>
              <c:formatCode>General</c:formatCode>
              <c:ptCount val="1"/>
              <c:pt idx="0">
                <c:v>13.7</c:v>
              </c:pt>
            </c:numLit>
          </c:val>
        </c:ser>
        <c:ser>
          <c:idx val="0"/>
          <c:order val="5"/>
          <c:tx>
            <c:v>US</c:v>
          </c:tx>
          <c:spPr>
            <a:solidFill>
              <a:srgbClr val="800080"/>
            </a:solidFill>
            <a:ln>
              <a:solidFill>
                <a:schemeClr val="bg1"/>
              </a:solidFill>
            </a:ln>
          </c:spPr>
          <c:invertIfNegative val="0"/>
          <c:cat>
            <c:numLit>
              <c:formatCode>General</c:formatCode>
              <c:ptCount val="1"/>
              <c:pt idx="0">
                <c:v>2014</c:v>
              </c:pt>
            </c:numLit>
          </c:cat>
          <c:val>
            <c:numLit>
              <c:formatCode>General</c:formatCode>
              <c:ptCount val="1"/>
              <c:pt idx="0">
                <c:v>10.4</c:v>
              </c:pt>
            </c:numLit>
          </c:val>
        </c:ser>
        <c:ser>
          <c:idx val="1"/>
          <c:order val="6"/>
          <c:tx>
            <c:v>KR</c:v>
          </c:tx>
          <c:spPr>
            <a:solidFill>
              <a:srgbClr val="009999"/>
            </a:solidFill>
            <a:ln>
              <a:solidFill>
                <a:schemeClr val="bg1"/>
              </a:solidFill>
            </a:ln>
          </c:spPr>
          <c:invertIfNegative val="0"/>
          <c:cat>
            <c:numLit>
              <c:formatCode>General</c:formatCode>
              <c:ptCount val="1"/>
              <c:pt idx="0">
                <c:v>2014</c:v>
              </c:pt>
            </c:numLit>
          </c:cat>
          <c:val>
            <c:numLit>
              <c:formatCode>General</c:formatCode>
              <c:ptCount val="1"/>
              <c:pt idx="0">
                <c:v>1.3</c:v>
              </c:pt>
            </c:numLit>
          </c:val>
        </c:ser>
        <c:ser>
          <c:idx val="6"/>
          <c:order val="7"/>
          <c:tx>
            <c:v>espace</c:v>
          </c:tx>
          <c:spPr>
            <a:noFill/>
          </c:spPr>
          <c:invertIfNegative val="0"/>
          <c:val>
            <c:numLit>
              <c:formatCode>General</c:formatCode>
              <c:ptCount val="1"/>
              <c:pt idx="0">
                <c:v>1</c:v>
              </c:pt>
            </c:numLit>
          </c:val>
        </c:ser>
        <c:ser>
          <c:idx val="5"/>
          <c:order val="8"/>
          <c:tx>
            <c:v>JP</c:v>
          </c:tx>
          <c:spPr>
            <a:solidFill>
              <a:schemeClr val="accent5">
                <a:lumMod val="40000"/>
                <a:lumOff val="60000"/>
              </a:schemeClr>
            </a:solidFill>
            <a:ln>
              <a:solidFill>
                <a:schemeClr val="bg1"/>
              </a:solidFill>
            </a:ln>
          </c:spPr>
          <c:invertIfNegative val="0"/>
          <c:cat>
            <c:numLit>
              <c:formatCode>General</c:formatCode>
              <c:ptCount val="1"/>
              <c:pt idx="0">
                <c:v>2014</c:v>
              </c:pt>
            </c:numLit>
          </c:cat>
          <c:val>
            <c:numLit>
              <c:formatCode>General</c:formatCode>
              <c:ptCount val="1"/>
              <c:pt idx="0">
                <c:v>17.2</c:v>
              </c:pt>
            </c:numLit>
          </c:val>
        </c:ser>
        <c:ser>
          <c:idx val="2"/>
          <c:order val="9"/>
          <c:tx>
            <c:v>US</c:v>
          </c:tx>
          <c:spPr>
            <a:solidFill>
              <a:srgbClr val="800080"/>
            </a:solidFill>
          </c:spPr>
          <c:invertIfNegative val="0"/>
          <c:val>
            <c:numLit>
              <c:formatCode>General</c:formatCode>
              <c:ptCount val="1"/>
              <c:pt idx="0">
                <c:v>6.9</c:v>
              </c:pt>
            </c:numLit>
          </c:val>
        </c:ser>
        <c:ser>
          <c:idx val="4"/>
          <c:order val="10"/>
          <c:tx>
            <c:v>KR</c:v>
          </c:tx>
          <c:spPr>
            <a:solidFill>
              <a:srgbClr val="009999"/>
            </a:solidFill>
            <a:ln>
              <a:noFill/>
            </a:ln>
          </c:spPr>
          <c:invertIfNegative val="0"/>
          <c:cat>
            <c:numLit>
              <c:formatCode>General</c:formatCode>
              <c:ptCount val="1"/>
              <c:pt idx="0">
                <c:v>2014</c:v>
              </c:pt>
            </c:numLit>
          </c:cat>
          <c:val>
            <c:numLit>
              <c:formatCode>General</c:formatCode>
              <c:ptCount val="1"/>
              <c:pt idx="0">
                <c:v>0</c:v>
              </c:pt>
            </c:numLit>
          </c:val>
        </c:ser>
        <c:dLbls>
          <c:showLegendKey val="0"/>
          <c:showVal val="0"/>
          <c:showCatName val="0"/>
          <c:showSerName val="0"/>
          <c:showPercent val="0"/>
          <c:showBubbleSize val="0"/>
        </c:dLbls>
        <c:gapWidth val="150"/>
        <c:shape val="box"/>
        <c:axId val="86380544"/>
        <c:axId val="86382080"/>
        <c:axId val="0"/>
      </c:bar3DChart>
      <c:catAx>
        <c:axId val="86380544"/>
        <c:scaling>
          <c:orientation val="minMax"/>
        </c:scaling>
        <c:delete val="1"/>
        <c:axPos val="b"/>
        <c:numFmt formatCode="General" sourceLinked="1"/>
        <c:majorTickMark val="out"/>
        <c:minorTickMark val="none"/>
        <c:tickLblPos val="nextTo"/>
        <c:crossAx val="86382080"/>
        <c:crosses val="autoZero"/>
        <c:auto val="1"/>
        <c:lblAlgn val="ctr"/>
        <c:lblOffset val="100"/>
        <c:noMultiLvlLbl val="0"/>
      </c:catAx>
      <c:valAx>
        <c:axId val="86382080"/>
        <c:scaling>
          <c:orientation val="minMax"/>
          <c:max val="100"/>
        </c:scaling>
        <c:delete val="0"/>
        <c:axPos val="l"/>
        <c:majorGridlines>
          <c:spPr>
            <a:ln>
              <a:noFill/>
            </a:ln>
          </c:spPr>
        </c:majorGridlines>
        <c:numFmt formatCode="General" sourceLinked="1"/>
        <c:majorTickMark val="out"/>
        <c:minorTickMark val="none"/>
        <c:tickLblPos val="nextTo"/>
        <c:crossAx val="86380544"/>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19036103459203824"/>
          <c:w val="0.92884673742350243"/>
          <c:h val="0.55966480026427923"/>
        </c:manualLayout>
      </c:layout>
      <c:bar3DChart>
        <c:barDir val="col"/>
        <c:grouping val="clustered"/>
        <c:varyColors val="0"/>
        <c:ser>
          <c:idx val="12"/>
          <c:order val="0"/>
          <c:tx>
            <c:v>EM</c:v>
          </c:tx>
          <c:spPr>
            <a:solidFill>
              <a:srgbClr val="00B0F0"/>
            </a:solidFill>
            <a:ln>
              <a:solidFill>
                <a:schemeClr val="bg1"/>
              </a:solidFill>
            </a:ln>
          </c:spPr>
          <c:invertIfNegative val="0"/>
          <c:dLbls>
            <c:dLbl>
              <c:idx val="0"/>
              <c:tx>
                <c:rich>
                  <a:bodyPr/>
                  <a:lstStyle/>
                  <a:p>
                    <a:r>
                      <a:rPr lang="en-US"/>
                      <a:t>52.4%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52.4</c:v>
              </c:pt>
            </c:numLit>
          </c:val>
        </c:ser>
        <c:ser>
          <c:idx val="13"/>
          <c:order val="1"/>
          <c:tx>
            <c:v>espace</c:v>
          </c:tx>
          <c:spPr>
            <a:noFill/>
          </c:spPr>
          <c:invertIfNegative val="0"/>
          <c:val>
            <c:numLit>
              <c:formatCode>General</c:formatCode>
              <c:ptCount val="1"/>
              <c:pt idx="0">
                <c:v>0</c:v>
              </c:pt>
            </c:numLit>
          </c:val>
        </c:ser>
        <c:ser>
          <c:idx val="2"/>
          <c:order val="2"/>
          <c:tx>
            <c:v>EM</c:v>
          </c:tx>
          <c:spPr>
            <a:solidFill>
              <a:srgbClr val="00B0F0"/>
            </a:solidFill>
            <a:ln>
              <a:solidFill>
                <a:schemeClr val="bg1"/>
              </a:solidFill>
            </a:ln>
          </c:spPr>
          <c:invertIfNegative val="0"/>
          <c:dPt>
            <c:idx val="0"/>
            <c:invertIfNegative val="0"/>
            <c:bubble3D val="0"/>
          </c:dPt>
          <c:dLbls>
            <c:dLbl>
              <c:idx val="0"/>
              <c:layout>
                <c:manualLayout>
                  <c:x val="6.2801925200434566E-3"/>
                  <c:y val="4.8678625297065626E-17"/>
                </c:manualLayout>
              </c:layout>
              <c:tx>
                <c:rich>
                  <a:bodyPr/>
                  <a:lstStyle/>
                  <a:p>
                    <a:r>
                      <a:rPr lang="en-US"/>
                      <a:t>42.8%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42.8</c:v>
              </c:pt>
            </c:numLit>
          </c:val>
        </c:ser>
        <c:ser>
          <c:idx val="14"/>
          <c:order val="3"/>
          <c:tx>
            <c:v>espace</c:v>
          </c:tx>
          <c:spPr>
            <a:noFill/>
          </c:spPr>
          <c:invertIfNegative val="0"/>
          <c:val>
            <c:numLit>
              <c:formatCode>General</c:formatCode>
              <c:ptCount val="1"/>
              <c:pt idx="0">
                <c:v>0</c:v>
              </c:pt>
            </c:numLit>
          </c:val>
        </c:ser>
        <c:ser>
          <c:idx val="10"/>
          <c:order val="4"/>
          <c:tx>
            <c:v>EM</c:v>
          </c:tx>
          <c:spPr>
            <a:solidFill>
              <a:srgbClr val="00B0F0"/>
            </a:solidFill>
            <a:ln>
              <a:solidFill>
                <a:schemeClr val="bg1"/>
              </a:solidFill>
            </a:ln>
          </c:spPr>
          <c:invertIfNegative val="0"/>
          <c:dLbls>
            <c:dLbl>
              <c:idx val="0"/>
              <c:layout>
                <c:manualLayout>
                  <c:x val="8.3743326703653309E-3"/>
                  <c:y val="1.0621348911311737E-2"/>
                </c:manualLayout>
              </c:layout>
              <c:tx>
                <c:rich>
                  <a:bodyPr/>
                  <a:lstStyle/>
                  <a:p>
                    <a:r>
                      <a:rPr lang="en-US"/>
                      <a:t>36.3%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36.299999999999997</c:v>
              </c:pt>
            </c:numLit>
          </c:val>
        </c:ser>
        <c:ser>
          <c:idx val="1"/>
          <c:order val="5"/>
          <c:tx>
            <c:v>espace</c:v>
          </c:tx>
          <c:spPr>
            <a:noFill/>
            <a:ln>
              <a:noFill/>
            </a:ln>
          </c:spPr>
          <c:invertIfNegative val="0"/>
          <c:val>
            <c:numLit>
              <c:formatCode>General</c:formatCode>
              <c:ptCount val="1"/>
              <c:pt idx="0">
                <c:v>1</c:v>
              </c:pt>
            </c:numLit>
          </c:val>
        </c:ser>
        <c:ser>
          <c:idx val="22"/>
          <c:order val="6"/>
          <c:tx>
            <c:v>espace</c:v>
          </c:tx>
          <c:spPr>
            <a:noFill/>
          </c:spPr>
          <c:invertIfNegative val="0"/>
          <c:val>
            <c:numLit>
              <c:formatCode>General</c:formatCode>
              <c:ptCount val="1"/>
              <c:pt idx="0">
                <c:v>0</c:v>
              </c:pt>
            </c:numLit>
          </c:val>
        </c:ser>
        <c:ser>
          <c:idx val="54"/>
          <c:order val="7"/>
          <c:tx>
            <c:v>espace</c:v>
          </c:tx>
          <c:spPr>
            <a:noFill/>
          </c:spPr>
          <c:invertIfNegative val="0"/>
          <c:val>
            <c:numLit>
              <c:formatCode>General</c:formatCode>
              <c:ptCount val="1"/>
              <c:pt idx="0">
                <c:v>0</c:v>
              </c:pt>
            </c:numLit>
          </c:val>
        </c:ser>
        <c:ser>
          <c:idx val="15"/>
          <c:order val="8"/>
          <c:tx>
            <c:v>CH</c:v>
          </c:tx>
          <c:spPr>
            <a:solidFill>
              <a:srgbClr val="FF0000"/>
            </a:solidFill>
            <a:ln>
              <a:solidFill>
                <a:schemeClr val="bg1"/>
              </a:solidFill>
            </a:ln>
          </c:spPr>
          <c:invertIfNegative val="0"/>
          <c:dLbls>
            <c:dLbl>
              <c:idx val="0"/>
              <c:layout>
                <c:manualLayout>
                  <c:x val="0"/>
                  <c:y val="1.5931370499283299E-2"/>
                </c:manualLayout>
              </c:layout>
              <c:tx>
                <c:rich>
                  <a:bodyPr/>
                  <a:lstStyle/>
                  <a:p>
                    <a:r>
                      <a:rPr lang="en-US"/>
                      <a:t>30.2%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30.2</c:v>
              </c:pt>
            </c:numLit>
          </c:val>
        </c:ser>
        <c:ser>
          <c:idx val="20"/>
          <c:order val="9"/>
          <c:tx>
            <c:v>espace</c:v>
          </c:tx>
          <c:spPr>
            <a:noFill/>
          </c:spPr>
          <c:invertIfNegative val="0"/>
          <c:val>
            <c:numLit>
              <c:formatCode>General</c:formatCode>
              <c:ptCount val="1"/>
              <c:pt idx="0">
                <c:v>0</c:v>
              </c:pt>
            </c:numLit>
          </c:val>
        </c:ser>
        <c:ser>
          <c:idx val="3"/>
          <c:order val="10"/>
          <c:tx>
            <c:v>CH</c:v>
          </c:tx>
          <c:spPr>
            <a:solidFill>
              <a:srgbClr val="FF0000"/>
            </a:solidFill>
            <a:ln>
              <a:solidFill>
                <a:schemeClr val="bg1"/>
              </a:solidFill>
            </a:ln>
          </c:spPr>
          <c:invertIfNegative val="0"/>
          <c:dLbls>
            <c:dLbl>
              <c:idx val="0"/>
              <c:layout>
                <c:manualLayout>
                  <c:x val="4.2797154629489534E-3"/>
                  <c:y val="-1.0825162963452289E-2"/>
                </c:manualLayout>
              </c:layout>
              <c:tx>
                <c:rich>
                  <a:bodyPr/>
                  <a:lstStyle/>
                  <a:p>
                    <a:r>
                      <a:rPr lang="en-US"/>
                      <a:t>34.7%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34.700000000000003</c:v>
              </c:pt>
            </c:numLit>
          </c:val>
        </c:ser>
        <c:ser>
          <c:idx val="17"/>
          <c:order val="11"/>
          <c:tx>
            <c:v>espace</c:v>
          </c:tx>
          <c:spPr>
            <a:noFill/>
          </c:spPr>
          <c:invertIfNegative val="0"/>
          <c:val>
            <c:numLit>
              <c:formatCode>General</c:formatCode>
              <c:ptCount val="1"/>
              <c:pt idx="0">
                <c:v>0</c:v>
              </c:pt>
            </c:numLit>
          </c:val>
        </c:ser>
        <c:ser>
          <c:idx val="18"/>
          <c:order val="12"/>
          <c:tx>
            <c:v>CH</c:v>
          </c:tx>
          <c:spPr>
            <a:solidFill>
              <a:srgbClr val="FF0000"/>
            </a:solidFill>
            <a:ln>
              <a:solidFill>
                <a:schemeClr val="bg1"/>
              </a:solidFill>
            </a:ln>
          </c:spPr>
          <c:invertIfNegative val="0"/>
          <c:dLbls>
            <c:dLbl>
              <c:idx val="0"/>
              <c:layout>
                <c:manualLayout>
                  <c:x val="1.4653813142231121E-2"/>
                  <c:y val="-2.0414382123990735E-4"/>
                </c:manualLayout>
              </c:layout>
              <c:tx>
                <c:rich>
                  <a:bodyPr/>
                  <a:lstStyle/>
                  <a:p>
                    <a:r>
                      <a:rPr lang="en-US"/>
                      <a:t>39.2%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39.200000000000003</c:v>
              </c:pt>
            </c:numLit>
          </c:val>
        </c:ser>
        <c:ser>
          <c:idx val="21"/>
          <c:order val="13"/>
          <c:tx>
            <c:v>espace</c:v>
          </c:tx>
          <c:spPr>
            <a:noFill/>
          </c:spPr>
          <c:invertIfNegative val="0"/>
          <c:val>
            <c:numLit>
              <c:formatCode>General</c:formatCode>
              <c:ptCount val="1"/>
              <c:pt idx="0">
                <c:v>0</c:v>
              </c:pt>
            </c:numLit>
          </c:val>
        </c:ser>
        <c:ser>
          <c:idx val="4"/>
          <c:order val="14"/>
          <c:tx>
            <c:v>espace</c:v>
          </c:tx>
          <c:spPr>
            <a:noFill/>
          </c:spPr>
          <c:invertIfNegative val="0"/>
          <c:val>
            <c:numLit>
              <c:formatCode>General</c:formatCode>
              <c:ptCount val="1"/>
              <c:pt idx="0">
                <c:v>1</c:v>
              </c:pt>
            </c:numLit>
          </c:val>
        </c:ser>
        <c:ser>
          <c:idx val="53"/>
          <c:order val="15"/>
          <c:tx>
            <c:v>espace</c:v>
          </c:tx>
          <c:spPr>
            <a:noFill/>
          </c:spPr>
          <c:invertIfNegative val="0"/>
          <c:val>
            <c:numLit>
              <c:formatCode>General</c:formatCode>
              <c:ptCount val="1"/>
              <c:pt idx="0">
                <c:v>0</c:v>
              </c:pt>
            </c:numLit>
          </c:val>
        </c:ser>
        <c:ser>
          <c:idx val="23"/>
          <c:order val="16"/>
          <c:tx>
            <c:v>US</c:v>
          </c:tx>
          <c:spPr>
            <a:solidFill>
              <a:schemeClr val="bg1">
                <a:lumMod val="50000"/>
              </a:schemeClr>
            </a:solidFill>
            <a:ln>
              <a:solidFill>
                <a:schemeClr val="bg1"/>
              </a:solidFill>
            </a:ln>
          </c:spPr>
          <c:invertIfNegative val="0"/>
          <c:val>
            <c:numLit>
              <c:formatCode>General</c:formatCode>
              <c:ptCount val="1"/>
              <c:pt idx="0">
                <c:v>0</c:v>
              </c:pt>
            </c:numLit>
          </c:val>
        </c:ser>
        <c:ser>
          <c:idx val="7"/>
          <c:order val="17"/>
          <c:tx>
            <c:v>espace</c:v>
          </c:tx>
          <c:spPr>
            <a:noFill/>
          </c:spPr>
          <c:invertIfNegative val="0"/>
          <c:val>
            <c:numLit>
              <c:formatCode>General</c:formatCode>
              <c:ptCount val="1"/>
              <c:pt idx="0">
                <c:v>1</c:v>
              </c:pt>
            </c:numLit>
          </c:val>
        </c:ser>
        <c:ser>
          <c:idx val="8"/>
          <c:order val="18"/>
          <c:tx>
            <c:v>US</c:v>
          </c:tx>
          <c:spPr>
            <a:solidFill>
              <a:srgbClr val="800080"/>
            </a:solidFill>
            <a:ln>
              <a:noFill/>
            </a:ln>
          </c:spPr>
          <c:invertIfNegative val="0"/>
          <c:dLbls>
            <c:dLbl>
              <c:idx val="0"/>
              <c:tx>
                <c:rich>
                  <a:bodyPr/>
                  <a:lstStyle/>
                  <a:p>
                    <a:r>
                      <a:rPr lang="en-US"/>
                      <a:t>2.2%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2.2000000000000002</c:v>
              </c:pt>
            </c:numLit>
          </c:val>
        </c:ser>
        <c:ser>
          <c:idx val="24"/>
          <c:order val="19"/>
          <c:tx>
            <c:v>espace</c:v>
          </c:tx>
          <c:spPr>
            <a:noFill/>
          </c:spPr>
          <c:invertIfNegative val="0"/>
          <c:val>
            <c:numLit>
              <c:formatCode>General</c:formatCode>
              <c:ptCount val="1"/>
              <c:pt idx="0">
                <c:v>0</c:v>
              </c:pt>
            </c:numLit>
          </c:val>
        </c:ser>
        <c:ser>
          <c:idx val="26"/>
          <c:order val="20"/>
          <c:tx>
            <c:v>US</c:v>
          </c:tx>
          <c:spPr>
            <a:solidFill>
              <a:srgbClr val="800080"/>
            </a:solidFill>
            <a:ln>
              <a:noFill/>
            </a:ln>
          </c:spPr>
          <c:invertIfNegative val="0"/>
          <c:dLbls>
            <c:dLbl>
              <c:idx val="0"/>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28"/>
          <c:order val="21"/>
          <c:tx>
            <c:v>espace</c:v>
          </c:tx>
          <c:spPr>
            <a:noFill/>
          </c:spPr>
          <c:invertIfNegative val="0"/>
          <c:val>
            <c:numLit>
              <c:formatCode>General</c:formatCode>
              <c:ptCount val="1"/>
              <c:pt idx="0">
                <c:v>0</c:v>
              </c:pt>
            </c:numLit>
          </c:val>
        </c:ser>
        <c:ser>
          <c:idx val="52"/>
          <c:order val="22"/>
          <c:tx>
            <c:v>espace</c:v>
          </c:tx>
          <c:spPr>
            <a:noFill/>
          </c:spPr>
          <c:invertIfNegative val="0"/>
          <c:val>
            <c:numLit>
              <c:formatCode>General</c:formatCode>
              <c:ptCount val="1"/>
              <c:pt idx="0">
                <c:v>0</c:v>
              </c:pt>
            </c:numLit>
          </c:val>
        </c:ser>
        <c:ser>
          <c:idx val="29"/>
          <c:order val="23"/>
          <c:tx>
            <c:v>espace</c:v>
          </c:tx>
          <c:spPr>
            <a:noFill/>
          </c:spPr>
          <c:invertIfNegative val="0"/>
          <c:val>
            <c:numLit>
              <c:formatCode>General</c:formatCode>
              <c:ptCount val="1"/>
              <c:pt idx="0">
                <c:v>0</c:v>
              </c:pt>
            </c:numLit>
          </c:val>
        </c:ser>
        <c:ser>
          <c:idx val="30"/>
          <c:order val="24"/>
          <c:tx>
            <c:v>KR</c:v>
          </c:tx>
          <c:spPr>
            <a:solidFill>
              <a:srgbClr val="009999"/>
            </a:solidFill>
            <a:ln>
              <a:noFill/>
            </a:ln>
          </c:spPr>
          <c:invertIfNegative val="0"/>
          <c:dLbls>
            <c:dLbl>
              <c:idx val="0"/>
              <c:tx>
                <c:rich>
                  <a:bodyPr/>
                  <a:lstStyle/>
                  <a:p>
                    <a:r>
                      <a:rPr lang="en-US"/>
                      <a:t>0.8%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0.8</c:v>
              </c:pt>
            </c:numLit>
          </c:val>
        </c:ser>
        <c:ser>
          <c:idx val="33"/>
          <c:order val="25"/>
          <c:tx>
            <c:v>espace</c:v>
          </c:tx>
          <c:spPr>
            <a:noFill/>
          </c:spPr>
          <c:invertIfNegative val="0"/>
          <c:val>
            <c:numLit>
              <c:formatCode>General</c:formatCode>
              <c:ptCount val="1"/>
              <c:pt idx="0">
                <c:v>0</c:v>
              </c:pt>
            </c:numLit>
          </c:val>
        </c:ser>
        <c:ser>
          <c:idx val="36"/>
          <c:order val="26"/>
          <c:tx>
            <c:v>KR</c:v>
          </c:tx>
          <c:spPr>
            <a:solidFill>
              <a:srgbClr val="009999"/>
            </a:solidFill>
            <a:ln>
              <a:noFill/>
            </a:ln>
          </c:spPr>
          <c:invertIfNegative val="0"/>
          <c:dLbls>
            <c:dLbl>
              <c:idx val="0"/>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37"/>
          <c:order val="27"/>
          <c:tx>
            <c:v>espace</c:v>
          </c:tx>
          <c:spPr>
            <a:noFill/>
          </c:spPr>
          <c:invertIfNegative val="0"/>
          <c:val>
            <c:numLit>
              <c:formatCode>General</c:formatCode>
              <c:ptCount val="1"/>
              <c:pt idx="0">
                <c:v>0</c:v>
              </c:pt>
            </c:numLit>
          </c:val>
        </c:ser>
        <c:ser>
          <c:idx val="40"/>
          <c:order val="28"/>
          <c:tx>
            <c:v>KR</c:v>
          </c:tx>
          <c:spPr>
            <a:solidFill>
              <a:srgbClr val="009999"/>
            </a:solidFill>
            <a:ln>
              <a:noFill/>
            </a:ln>
          </c:spPr>
          <c:invertIfNegative val="0"/>
          <c:dLbls>
            <c:dLbl>
              <c:idx val="0"/>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41"/>
          <c:order val="29"/>
          <c:tx>
            <c:v>espace</c:v>
          </c:tx>
          <c:spPr>
            <a:noFill/>
          </c:spPr>
          <c:invertIfNegative val="0"/>
          <c:val>
            <c:numLit>
              <c:formatCode>General</c:formatCode>
              <c:ptCount val="1"/>
              <c:pt idx="0">
                <c:v>0</c:v>
              </c:pt>
            </c:numLit>
          </c:val>
        </c:ser>
        <c:ser>
          <c:idx val="42"/>
          <c:order val="30"/>
          <c:tx>
            <c:v>espace</c:v>
          </c:tx>
          <c:spPr>
            <a:noFill/>
          </c:spPr>
          <c:invertIfNegative val="0"/>
          <c:val>
            <c:numLit>
              <c:formatCode>General</c:formatCode>
              <c:ptCount val="1"/>
              <c:pt idx="0">
                <c:v>0</c:v>
              </c:pt>
            </c:numLit>
          </c:val>
        </c:ser>
        <c:ser>
          <c:idx val="51"/>
          <c:order val="31"/>
          <c:tx>
            <c:v>espace</c:v>
          </c:tx>
          <c:spPr>
            <a:noFill/>
          </c:spPr>
          <c:invertIfNegative val="0"/>
          <c:val>
            <c:numLit>
              <c:formatCode>General</c:formatCode>
              <c:ptCount val="1"/>
              <c:pt idx="0">
                <c:v>0</c:v>
              </c:pt>
            </c:numLit>
          </c:val>
        </c:ser>
        <c:ser>
          <c:idx val="43"/>
          <c:order val="32"/>
          <c:tx>
            <c:v>JP</c:v>
          </c:tx>
          <c:spPr>
            <a:solidFill>
              <a:schemeClr val="bg1">
                <a:lumMod val="50000"/>
              </a:schemeClr>
            </a:solidFill>
            <a:ln>
              <a:solidFill>
                <a:schemeClr val="bg1"/>
              </a:solidFill>
            </a:ln>
          </c:spPr>
          <c:invertIfNegative val="0"/>
          <c:val>
            <c:numLit>
              <c:formatCode>General</c:formatCode>
              <c:ptCount val="1"/>
              <c:pt idx="0">
                <c:v>0</c:v>
              </c:pt>
            </c:numLit>
          </c:val>
        </c:ser>
        <c:ser>
          <c:idx val="45"/>
          <c:order val="33"/>
          <c:tx>
            <c:v>espace</c:v>
          </c:tx>
          <c:spPr>
            <a:noFill/>
          </c:spPr>
          <c:invertIfNegative val="0"/>
          <c:val>
            <c:numLit>
              <c:formatCode>General</c:formatCode>
              <c:ptCount val="1"/>
              <c:pt idx="0">
                <c:v>0</c:v>
              </c:pt>
            </c:numLit>
          </c:val>
        </c:ser>
        <c:ser>
          <c:idx val="47"/>
          <c:order val="34"/>
          <c:tx>
            <c:v>JP</c:v>
          </c:tx>
          <c:spPr>
            <a:solidFill>
              <a:schemeClr val="accent5">
                <a:lumMod val="40000"/>
                <a:lumOff val="60000"/>
              </a:schemeClr>
            </a:solidFill>
            <a:ln>
              <a:noFill/>
            </a:ln>
          </c:spPr>
          <c:invertIfNegative val="0"/>
          <c:dLbls>
            <c:dLbl>
              <c:idx val="0"/>
              <c:tx>
                <c:rich>
                  <a:bodyPr/>
                  <a:lstStyle/>
                  <a:p>
                    <a:r>
                      <a:rPr lang="en-US"/>
                      <a:t>3.1%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3.1</c:v>
              </c:pt>
            </c:numLit>
          </c:val>
        </c:ser>
        <c:ser>
          <c:idx val="48"/>
          <c:order val="35"/>
          <c:tx>
            <c:v>espace</c:v>
          </c:tx>
          <c:spPr>
            <a:noFill/>
          </c:spPr>
          <c:invertIfNegative val="0"/>
          <c:val>
            <c:numLit>
              <c:formatCode>General</c:formatCode>
              <c:ptCount val="1"/>
              <c:pt idx="0">
                <c:v>0</c:v>
              </c:pt>
            </c:numLit>
          </c:val>
        </c:ser>
        <c:ser>
          <c:idx val="50"/>
          <c:order val="36"/>
          <c:tx>
            <c:v>JP</c:v>
          </c:tx>
          <c:spPr>
            <a:solidFill>
              <a:schemeClr val="accent5">
                <a:lumMod val="40000"/>
                <a:lumOff val="60000"/>
              </a:schemeClr>
            </a:solidFill>
            <a:ln>
              <a:noFill/>
            </a:ln>
          </c:spPr>
          <c:invertIfNegative val="0"/>
          <c:dLbls>
            <c:dLbl>
              <c:idx val="0"/>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dLbls>
          <c:showLegendKey val="0"/>
          <c:showVal val="0"/>
          <c:showCatName val="0"/>
          <c:showSerName val="0"/>
          <c:showPercent val="0"/>
          <c:showBubbleSize val="0"/>
        </c:dLbls>
        <c:gapWidth val="150"/>
        <c:shape val="box"/>
        <c:axId val="87815680"/>
        <c:axId val="87817216"/>
        <c:axId val="0"/>
      </c:bar3DChart>
      <c:catAx>
        <c:axId val="87815680"/>
        <c:scaling>
          <c:orientation val="minMax"/>
        </c:scaling>
        <c:delete val="1"/>
        <c:axPos val="b"/>
        <c:numFmt formatCode="General" sourceLinked="1"/>
        <c:majorTickMark val="out"/>
        <c:minorTickMark val="none"/>
        <c:tickLblPos val="nextTo"/>
        <c:crossAx val="87817216"/>
        <c:crosses val="autoZero"/>
        <c:auto val="1"/>
        <c:lblAlgn val="ctr"/>
        <c:lblOffset val="100"/>
        <c:noMultiLvlLbl val="0"/>
      </c:catAx>
      <c:valAx>
        <c:axId val="87817216"/>
        <c:scaling>
          <c:orientation val="minMax"/>
          <c:max val="100"/>
        </c:scaling>
        <c:delete val="0"/>
        <c:axPos val="l"/>
        <c:majorGridlines>
          <c:spPr>
            <a:ln>
              <a:noFill/>
            </a:ln>
          </c:spPr>
        </c:majorGridlines>
        <c:numFmt formatCode="General" sourceLinked="0"/>
        <c:majorTickMark val="out"/>
        <c:minorTickMark val="none"/>
        <c:tickLblPos val="nextTo"/>
        <c:crossAx val="87815680"/>
        <c:crosses val="autoZero"/>
        <c:crossBetween val="between"/>
      </c:valAx>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248788239605253"/>
          <c:y val="0.2120701150298335"/>
          <c:w val="0.84288923957255979"/>
          <c:h val="0.68152913450841945"/>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dLbls>
            <c:dLbl>
              <c:idx val="0"/>
              <c:layout>
                <c:manualLayout>
                  <c:x val="9.5655651704967849E-3"/>
                  <c:y val="0"/>
                </c:manualLayout>
              </c:layout>
              <c:tx>
                <c:rich>
                  <a:bodyPr/>
                  <a:lstStyle/>
                  <a:p>
                    <a:r>
                      <a:rPr lang="en-US"/>
                      <a:t>24.4%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dLbls>
            <c:dLbl>
              <c:idx val="0"/>
              <c:tx>
                <c:rich>
                  <a:bodyPr/>
                  <a:lstStyle/>
                  <a:p>
                    <a:r>
                      <a:rPr lang="en-US"/>
                      <a:t>18.6%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709</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dLbls>
            <c:dLbl>
              <c:idx val="0"/>
              <c:tx>
                <c:rich>
                  <a:bodyPr/>
                  <a:lstStyle/>
                  <a:p>
                    <a:r>
                      <a:rPr lang="en-US"/>
                      <a:t>23.8%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179</c:v>
              </c:pt>
            </c:numLit>
          </c:val>
        </c:ser>
        <c:dLbls>
          <c:showLegendKey val="0"/>
          <c:showVal val="0"/>
          <c:showCatName val="0"/>
          <c:showSerName val="0"/>
          <c:showPercent val="0"/>
          <c:showBubbleSize val="0"/>
        </c:dLbls>
        <c:gapWidth val="150"/>
        <c:shape val="box"/>
        <c:axId val="89275392"/>
        <c:axId val="89285376"/>
        <c:axId val="0"/>
      </c:bar3DChart>
      <c:catAx>
        <c:axId val="89275392"/>
        <c:scaling>
          <c:orientation val="minMax"/>
        </c:scaling>
        <c:delete val="1"/>
        <c:axPos val="b"/>
        <c:numFmt formatCode="General" sourceLinked="1"/>
        <c:majorTickMark val="out"/>
        <c:minorTickMark val="none"/>
        <c:tickLblPos val="nextTo"/>
        <c:crossAx val="89285376"/>
        <c:crosses val="autoZero"/>
        <c:auto val="1"/>
        <c:lblAlgn val="ctr"/>
        <c:lblOffset val="100"/>
        <c:noMultiLvlLbl val="0"/>
      </c:catAx>
      <c:valAx>
        <c:axId val="89285376"/>
        <c:scaling>
          <c:orientation val="minMax"/>
          <c:max val="4000"/>
          <c:min val="0"/>
        </c:scaling>
        <c:delete val="0"/>
        <c:axPos val="l"/>
        <c:majorGridlines>
          <c:spPr>
            <a:ln>
              <a:noFill/>
            </a:ln>
          </c:spPr>
        </c:majorGridlines>
        <c:numFmt formatCode="General" sourceLinked="1"/>
        <c:majorTickMark val="out"/>
        <c:minorTickMark val="none"/>
        <c:tickLblPos val="nextTo"/>
        <c:crossAx val="89275392"/>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304822549474764E-2"/>
          <c:y val="0.23465408072632607"/>
          <c:w val="0.86207389668080259"/>
          <c:h val="0.66428986342109464"/>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val>
            <c:numLit>
              <c:formatCode>General</c:formatCode>
              <c:ptCount val="1"/>
              <c:pt idx="0">
                <c:v>5.3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val>
            <c:numLit>
              <c:formatCode>General</c:formatCode>
              <c:ptCount val="1"/>
              <c:pt idx="0">
                <c:v>5</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val>
            <c:numLit>
              <c:formatCode>General</c:formatCode>
              <c:ptCount val="1"/>
              <c:pt idx="0">
                <c:v>4.0999999999999996</c:v>
              </c:pt>
            </c:numLit>
          </c:val>
        </c:ser>
        <c:dLbls>
          <c:showLegendKey val="0"/>
          <c:showVal val="0"/>
          <c:showCatName val="0"/>
          <c:showSerName val="0"/>
          <c:showPercent val="0"/>
          <c:showBubbleSize val="0"/>
        </c:dLbls>
        <c:gapWidth val="150"/>
        <c:shape val="box"/>
        <c:axId val="87570688"/>
        <c:axId val="89645056"/>
        <c:axId val="0"/>
      </c:bar3DChart>
      <c:catAx>
        <c:axId val="87570688"/>
        <c:scaling>
          <c:orientation val="minMax"/>
        </c:scaling>
        <c:delete val="1"/>
        <c:axPos val="b"/>
        <c:numFmt formatCode="General" sourceLinked="1"/>
        <c:majorTickMark val="out"/>
        <c:minorTickMark val="none"/>
        <c:tickLblPos val="nextTo"/>
        <c:crossAx val="89645056"/>
        <c:crosses val="autoZero"/>
        <c:auto val="1"/>
        <c:lblAlgn val="ctr"/>
        <c:lblOffset val="100"/>
        <c:noMultiLvlLbl val="0"/>
      </c:catAx>
      <c:valAx>
        <c:axId val="89645056"/>
        <c:scaling>
          <c:orientation val="minMax"/>
          <c:max val="6"/>
          <c:min val="0"/>
        </c:scaling>
        <c:delete val="0"/>
        <c:axPos val="l"/>
        <c:majorGridlines>
          <c:spPr>
            <a:ln>
              <a:noFill/>
            </a:ln>
          </c:spPr>
        </c:majorGridlines>
        <c:numFmt formatCode="General" sourceLinked="1"/>
        <c:majorTickMark val="out"/>
        <c:minorTickMark val="none"/>
        <c:tickLblPos val="nextTo"/>
        <c:crossAx val="87570688"/>
        <c:crosses val="autoZero"/>
        <c:crossBetween val="between"/>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0534156042907097"/>
          <c:y val="0.28326649168853896"/>
          <c:w val="0.81091489009771522"/>
          <c:h val="0.62073504086262776"/>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val>
            <c:numLit>
              <c:formatCode>General</c:formatCode>
              <c:ptCount val="1"/>
              <c:pt idx="0">
                <c:v>13.3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val>
            <c:numLit>
              <c:formatCode>General</c:formatCode>
              <c:ptCount val="1"/>
              <c:pt idx="0">
                <c:v>13.3</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val>
            <c:numLit>
              <c:formatCode>General</c:formatCode>
              <c:ptCount val="1"/>
              <c:pt idx="0">
                <c:v>14.5</c:v>
              </c:pt>
            </c:numLit>
          </c:val>
        </c:ser>
        <c:dLbls>
          <c:showLegendKey val="0"/>
          <c:showVal val="0"/>
          <c:showCatName val="0"/>
          <c:showSerName val="0"/>
          <c:showPercent val="0"/>
          <c:showBubbleSize val="0"/>
        </c:dLbls>
        <c:gapWidth val="150"/>
        <c:shape val="box"/>
        <c:axId val="89564672"/>
        <c:axId val="89566208"/>
        <c:axId val="0"/>
      </c:bar3DChart>
      <c:catAx>
        <c:axId val="89564672"/>
        <c:scaling>
          <c:orientation val="minMax"/>
        </c:scaling>
        <c:delete val="1"/>
        <c:axPos val="b"/>
        <c:numFmt formatCode="General" sourceLinked="1"/>
        <c:majorTickMark val="out"/>
        <c:minorTickMark val="none"/>
        <c:tickLblPos val="nextTo"/>
        <c:crossAx val="89566208"/>
        <c:crosses val="autoZero"/>
        <c:auto val="1"/>
        <c:lblAlgn val="ctr"/>
        <c:lblOffset val="100"/>
        <c:noMultiLvlLbl val="0"/>
      </c:catAx>
      <c:valAx>
        <c:axId val="89566208"/>
        <c:scaling>
          <c:orientation val="minMax"/>
          <c:max val="100"/>
          <c:min val="0"/>
        </c:scaling>
        <c:delete val="0"/>
        <c:axPos val="l"/>
        <c:majorGridlines>
          <c:spPr>
            <a:ln>
              <a:noFill/>
            </a:ln>
          </c:spPr>
        </c:majorGridlines>
        <c:numFmt formatCode="General" sourceLinked="1"/>
        <c:majorTickMark val="out"/>
        <c:minorTickMark val="none"/>
        <c:tickLblPos val="nextTo"/>
        <c:crossAx val="89564672"/>
        <c:crosses val="autoZero"/>
        <c:crossBetween val="between"/>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2168133126414302"/>
          <c:y val="0.23350642108056177"/>
          <c:w val="0.84288923957255979"/>
          <c:h val="0.66866531683539554"/>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dLbls>
            <c:dLbl>
              <c:idx val="0"/>
              <c:layout>
                <c:manualLayout>
                  <c:x val="1.5942608617494639E-2"/>
                  <c:y val="-1.750547649183359E-2"/>
                </c:manualLayout>
              </c:layout>
              <c:tx>
                <c:rich>
                  <a:bodyPr/>
                  <a:lstStyle/>
                  <a:p>
                    <a:r>
                      <a:rPr lang="en-US"/>
                      <a:t>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169</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c:spPr>
          <c:invertIfNegative val="0"/>
          <c:dLbls>
            <c:dLbl>
              <c:idx val="0"/>
              <c:layout>
                <c:manualLayout>
                  <c:x val="-6.377043446997856E-3"/>
                  <c:y val="-1.3129107368875194E-2"/>
                </c:manualLayout>
              </c:layout>
              <c:tx>
                <c:rich>
                  <a:bodyPr/>
                  <a:lstStyle/>
                  <a:p>
                    <a:r>
                      <a:rPr lang="en-US"/>
                      <a:t>5.9%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44</c:v>
              </c:pt>
            </c:numLit>
          </c:val>
        </c:ser>
        <c:dLbls>
          <c:showLegendKey val="0"/>
          <c:showVal val="0"/>
          <c:showCatName val="0"/>
          <c:showSerName val="0"/>
          <c:showPercent val="0"/>
          <c:showBubbleSize val="0"/>
        </c:dLbls>
        <c:gapWidth val="150"/>
        <c:shape val="box"/>
        <c:axId val="90100864"/>
        <c:axId val="90102400"/>
        <c:axId val="0"/>
      </c:bar3DChart>
      <c:catAx>
        <c:axId val="90100864"/>
        <c:scaling>
          <c:orientation val="minMax"/>
        </c:scaling>
        <c:delete val="1"/>
        <c:axPos val="b"/>
        <c:numFmt formatCode="General" sourceLinked="1"/>
        <c:majorTickMark val="out"/>
        <c:minorTickMark val="none"/>
        <c:tickLblPos val="nextTo"/>
        <c:crossAx val="90102400"/>
        <c:crosses val="autoZero"/>
        <c:auto val="1"/>
        <c:lblAlgn val="ctr"/>
        <c:lblOffset val="100"/>
        <c:noMultiLvlLbl val="0"/>
      </c:catAx>
      <c:valAx>
        <c:axId val="90102400"/>
        <c:scaling>
          <c:orientation val="minMax"/>
          <c:max val="4000"/>
          <c:min val="0"/>
        </c:scaling>
        <c:delete val="0"/>
        <c:axPos val="l"/>
        <c:majorGridlines>
          <c:spPr>
            <a:ln>
              <a:noFill/>
            </a:ln>
          </c:spPr>
        </c:majorGridlines>
        <c:numFmt formatCode="General" sourceLinked="1"/>
        <c:majorTickMark val="out"/>
        <c:minorTickMark val="none"/>
        <c:tickLblPos val="nextTo"/>
        <c:crossAx val="90100864"/>
        <c:crosses val="autoZero"/>
        <c:crossBetween val="between"/>
      </c:valAx>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304822549474764E-2"/>
          <c:y val="0.24781370351437831"/>
          <c:w val="0.8562137644124107"/>
          <c:h val="0.63025694391065024"/>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val>
            <c:numLit>
              <c:formatCode>General</c:formatCode>
              <c:ptCount val="1"/>
              <c:pt idx="0">
                <c:v>1.8</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a:ln>
              <a:solidFill>
                <a:schemeClr val="bg1"/>
              </a:solidFill>
            </a:ln>
          </c:spPr>
          <c:invertIfNegative val="0"/>
          <c:val>
            <c:numLit>
              <c:formatCode>General</c:formatCode>
              <c:ptCount val="1"/>
              <c:pt idx="0">
                <c:v>1.5</c:v>
              </c:pt>
            </c:numLit>
          </c:val>
        </c:ser>
        <c:dLbls>
          <c:showLegendKey val="0"/>
          <c:showVal val="0"/>
          <c:showCatName val="0"/>
          <c:showSerName val="0"/>
          <c:showPercent val="0"/>
          <c:showBubbleSize val="0"/>
        </c:dLbls>
        <c:gapWidth val="150"/>
        <c:shape val="box"/>
        <c:axId val="106350848"/>
        <c:axId val="106352640"/>
        <c:axId val="0"/>
      </c:bar3DChart>
      <c:catAx>
        <c:axId val="106350848"/>
        <c:scaling>
          <c:orientation val="minMax"/>
        </c:scaling>
        <c:delete val="1"/>
        <c:axPos val="b"/>
        <c:numFmt formatCode="General" sourceLinked="1"/>
        <c:majorTickMark val="out"/>
        <c:minorTickMark val="none"/>
        <c:tickLblPos val="nextTo"/>
        <c:crossAx val="106352640"/>
        <c:crosses val="autoZero"/>
        <c:auto val="1"/>
        <c:lblAlgn val="ctr"/>
        <c:lblOffset val="100"/>
        <c:noMultiLvlLbl val="0"/>
      </c:catAx>
      <c:valAx>
        <c:axId val="106352640"/>
        <c:scaling>
          <c:orientation val="minMax"/>
          <c:max val="6"/>
          <c:min val="0"/>
        </c:scaling>
        <c:delete val="0"/>
        <c:axPos val="l"/>
        <c:majorGridlines>
          <c:spPr>
            <a:ln>
              <a:noFill/>
            </a:ln>
          </c:spPr>
        </c:majorGridlines>
        <c:numFmt formatCode="General" sourceLinked="1"/>
        <c:majorTickMark val="out"/>
        <c:minorTickMark val="none"/>
        <c:tickLblPos val="nextTo"/>
        <c:crossAx val="106350848"/>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8.9850612170811722E-2"/>
          <c:y val="0.24676978332276542"/>
          <c:w val="0.89438975932564768"/>
          <c:h val="0.6493356335908782"/>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val>
            <c:numLit>
              <c:formatCode>General</c:formatCode>
              <c:ptCount val="1"/>
              <c:pt idx="0">
                <c:v>60.9</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a:ln>
              <a:solidFill>
                <a:schemeClr val="bg1"/>
              </a:solidFill>
            </a:ln>
          </c:spPr>
          <c:invertIfNegative val="0"/>
          <c:val>
            <c:numLit>
              <c:formatCode>General</c:formatCode>
              <c:ptCount val="1"/>
              <c:pt idx="0">
                <c:v>45.5</c:v>
              </c:pt>
            </c:numLit>
          </c:val>
        </c:ser>
        <c:dLbls>
          <c:showLegendKey val="0"/>
          <c:showVal val="0"/>
          <c:showCatName val="0"/>
          <c:showSerName val="0"/>
          <c:showPercent val="0"/>
          <c:showBubbleSize val="0"/>
        </c:dLbls>
        <c:gapWidth val="150"/>
        <c:shape val="box"/>
        <c:axId val="107642240"/>
        <c:axId val="107648128"/>
        <c:axId val="0"/>
      </c:bar3DChart>
      <c:catAx>
        <c:axId val="107642240"/>
        <c:scaling>
          <c:orientation val="minMax"/>
        </c:scaling>
        <c:delete val="1"/>
        <c:axPos val="b"/>
        <c:numFmt formatCode="General" sourceLinked="1"/>
        <c:majorTickMark val="out"/>
        <c:minorTickMark val="none"/>
        <c:tickLblPos val="nextTo"/>
        <c:crossAx val="107648128"/>
        <c:crosses val="autoZero"/>
        <c:auto val="1"/>
        <c:lblAlgn val="ctr"/>
        <c:lblOffset val="100"/>
        <c:noMultiLvlLbl val="0"/>
      </c:catAx>
      <c:valAx>
        <c:axId val="107648128"/>
        <c:scaling>
          <c:orientation val="minMax"/>
          <c:max val="100"/>
          <c:min val="0"/>
        </c:scaling>
        <c:delete val="0"/>
        <c:axPos val="l"/>
        <c:majorGridlines>
          <c:spPr>
            <a:ln>
              <a:noFill/>
            </a:ln>
          </c:spPr>
        </c:majorGridlines>
        <c:numFmt formatCode="General" sourceLinked="1"/>
        <c:majorTickMark val="out"/>
        <c:minorTickMark val="none"/>
        <c:tickLblPos val="nextTo"/>
        <c:crossAx val="10764224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0.15660676488019643"/>
          <c:y val="0.23355668049107969"/>
          <c:w val="0.77711243755820836"/>
          <c:h val="0.65460123891374"/>
        </c:manualLayout>
      </c:layout>
      <c:bar3DChart>
        <c:barDir val="col"/>
        <c:grouping val="clustered"/>
        <c:varyColors val="0"/>
        <c:ser>
          <c:idx val="0"/>
          <c:order val="0"/>
          <c:tx>
            <c:v>Total number of international registrations</c:v>
          </c:tx>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2719</c:v>
              </c:pt>
            </c:numLit>
          </c:val>
        </c:ser>
        <c:ser>
          <c:idx val="7"/>
          <c:order val="1"/>
          <c:tx>
            <c:v>espace</c:v>
          </c:tx>
          <c:spPr>
            <a:noFill/>
          </c:spPr>
          <c:invertIfNegative val="0"/>
          <c:val>
            <c:numLit>
              <c:formatCode>General</c:formatCode>
              <c:ptCount val="1"/>
              <c:pt idx="0">
                <c:v>1</c:v>
              </c:pt>
            </c:numLit>
          </c:val>
        </c:ser>
        <c:ser>
          <c:idx val="3"/>
          <c:order val="2"/>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3821</c:v>
              </c:pt>
            </c:numLit>
          </c:val>
        </c:ser>
        <c:ser>
          <c:idx val="6"/>
          <c:order val="3"/>
          <c:tx>
            <c:v>espace</c:v>
          </c:tx>
          <c:spPr>
            <a:noFill/>
          </c:spPr>
          <c:invertIfNegative val="0"/>
          <c:val>
            <c:numLit>
              <c:formatCode>General</c:formatCode>
              <c:ptCount val="1"/>
              <c:pt idx="0">
                <c:v>1</c:v>
              </c:pt>
            </c:numLit>
          </c:val>
        </c:ser>
        <c:ser>
          <c:idx val="4"/>
          <c:order val="4"/>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752</c:v>
              </c:pt>
            </c:numLit>
          </c:val>
        </c:ser>
        <c:dLbls>
          <c:showLegendKey val="0"/>
          <c:showVal val="0"/>
          <c:showCatName val="0"/>
          <c:showSerName val="0"/>
          <c:showPercent val="0"/>
          <c:showBubbleSize val="0"/>
        </c:dLbls>
        <c:gapWidth val="150"/>
        <c:shape val="box"/>
        <c:axId val="40157568"/>
        <c:axId val="40159104"/>
        <c:axId val="0"/>
      </c:bar3DChart>
      <c:catAx>
        <c:axId val="40157568"/>
        <c:scaling>
          <c:orientation val="minMax"/>
        </c:scaling>
        <c:delete val="1"/>
        <c:axPos val="b"/>
        <c:numFmt formatCode="General" sourceLinked="1"/>
        <c:majorTickMark val="out"/>
        <c:minorTickMark val="none"/>
        <c:tickLblPos val="nextTo"/>
        <c:crossAx val="40159104"/>
        <c:crosses val="autoZero"/>
        <c:auto val="1"/>
        <c:lblAlgn val="ctr"/>
        <c:lblOffset val="100"/>
        <c:noMultiLvlLbl val="0"/>
      </c:catAx>
      <c:valAx>
        <c:axId val="40159104"/>
        <c:scaling>
          <c:orientation val="minMax"/>
        </c:scaling>
        <c:delete val="0"/>
        <c:axPos val="l"/>
        <c:majorGridlines>
          <c:spPr>
            <a:ln>
              <a:noFill/>
            </a:ln>
          </c:spPr>
        </c:majorGridlines>
        <c:numFmt formatCode="General" sourceLinked="1"/>
        <c:majorTickMark val="out"/>
        <c:minorTickMark val="none"/>
        <c:tickLblPos val="nextTo"/>
        <c:crossAx val="40157568"/>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6.2101703325989056E-2"/>
          <c:y val="0.22827808560966917"/>
          <c:w val="0.93789835045453751"/>
          <c:h val="0.67524545542918257"/>
        </c:manualLayout>
      </c:layout>
      <c:bar3DChart>
        <c:barDir val="col"/>
        <c:grouping val="clustered"/>
        <c:varyColors val="0"/>
        <c:ser>
          <c:idx val="12"/>
          <c:order val="0"/>
          <c:tx>
            <c:v>EUIPO</c:v>
          </c:tx>
          <c:spPr>
            <a:solidFill>
              <a:srgbClr val="00B0F0"/>
            </a:solidFill>
            <a:ln>
              <a:solidFill>
                <a:schemeClr val="bg1"/>
              </a:solidFill>
            </a:ln>
          </c:spPr>
          <c:invertIfNegative val="0"/>
          <c:val>
            <c:numLit>
              <c:formatCode>General</c:formatCode>
              <c:ptCount val="1"/>
              <c:pt idx="0">
                <c:v>432</c:v>
              </c:pt>
            </c:numLit>
          </c:val>
        </c:ser>
        <c:ser>
          <c:idx val="14"/>
          <c:order val="1"/>
          <c:tx>
            <c:v>USPTO</c:v>
          </c:tx>
          <c:spPr>
            <a:solidFill>
              <a:srgbClr val="800080"/>
            </a:solidFill>
            <a:ln>
              <a:solidFill>
                <a:schemeClr val="bg1"/>
              </a:solidFill>
            </a:ln>
          </c:spPr>
          <c:invertIfNegative val="0"/>
          <c:val>
            <c:numLit>
              <c:formatCode>General</c:formatCode>
              <c:ptCount val="1"/>
              <c:pt idx="0">
                <c:v>119</c:v>
              </c:pt>
            </c:numLit>
          </c:val>
        </c:ser>
        <c:ser>
          <c:idx val="15"/>
          <c:order val="2"/>
          <c:tx>
            <c:v>DPMA</c:v>
          </c:tx>
          <c:spPr>
            <a:solidFill>
              <a:srgbClr val="FFC000"/>
            </a:solidFill>
            <a:ln>
              <a:solidFill>
                <a:schemeClr val="bg1"/>
              </a:solidFill>
            </a:ln>
          </c:spPr>
          <c:invertIfNegative val="0"/>
          <c:val>
            <c:numLit>
              <c:formatCode>General</c:formatCode>
              <c:ptCount val="1"/>
              <c:pt idx="0">
                <c:v>80</c:v>
              </c:pt>
            </c:numLit>
          </c:val>
        </c:ser>
        <c:ser>
          <c:idx val="13"/>
          <c:order val="3"/>
          <c:tx>
            <c:v>SFIIP</c:v>
          </c:tx>
          <c:spPr>
            <a:solidFill>
              <a:srgbClr val="FF0000"/>
            </a:solidFill>
            <a:ln>
              <a:solidFill>
                <a:schemeClr val="bg1"/>
              </a:solidFill>
            </a:ln>
          </c:spPr>
          <c:invertIfNegative val="0"/>
          <c:val>
            <c:numLit>
              <c:formatCode>General</c:formatCode>
              <c:ptCount val="1"/>
              <c:pt idx="0">
                <c:v>66</c:v>
              </c:pt>
            </c:numLit>
          </c:val>
        </c:ser>
        <c:ser>
          <c:idx val="16"/>
          <c:order val="4"/>
          <c:tx>
            <c:v>KIPO</c:v>
          </c:tx>
          <c:spPr>
            <a:solidFill>
              <a:srgbClr val="009999"/>
            </a:solidFill>
            <a:ln>
              <a:solidFill>
                <a:schemeClr val="bg1"/>
              </a:solidFill>
            </a:ln>
          </c:spPr>
          <c:invertIfNegative val="0"/>
          <c:val>
            <c:numLit>
              <c:formatCode>General</c:formatCode>
              <c:ptCount val="1"/>
              <c:pt idx="0">
                <c:v>56</c:v>
              </c:pt>
            </c:numLit>
          </c:val>
        </c:ser>
        <c:ser>
          <c:idx val="17"/>
          <c:order val="5"/>
          <c:tx>
            <c:v>Others</c:v>
          </c:tx>
          <c:spPr>
            <a:solidFill>
              <a:schemeClr val="bg1">
                <a:lumMod val="85000"/>
              </a:schemeClr>
            </a:solidFill>
            <a:ln>
              <a:noFill/>
            </a:ln>
          </c:spPr>
          <c:invertIfNegative val="0"/>
          <c:val>
            <c:numLit>
              <c:formatCode>General</c:formatCode>
              <c:ptCount val="1"/>
              <c:pt idx="0">
                <c:v>229</c:v>
              </c:pt>
            </c:numLit>
          </c:val>
        </c:ser>
        <c:ser>
          <c:idx val="11"/>
          <c:order val="6"/>
          <c:tx>
            <c:v>espace</c:v>
          </c:tx>
          <c:spPr>
            <a:noFill/>
            <a:ln>
              <a:noFill/>
            </a:ln>
          </c:spPr>
          <c:invertIfNegative val="0"/>
          <c:val>
            <c:numLit>
              <c:formatCode>General</c:formatCode>
              <c:ptCount val="1"/>
              <c:pt idx="0">
                <c:v>1</c:v>
              </c:pt>
            </c:numLit>
          </c:val>
        </c:ser>
        <c:ser>
          <c:idx val="0"/>
          <c:order val="7"/>
          <c:tx>
            <c:v>EUIPO</c:v>
          </c:tx>
          <c:spPr>
            <a:solidFill>
              <a:srgbClr val="00B0F0"/>
            </a:solidFill>
            <a:ln>
              <a:solidFill>
                <a:schemeClr val="bg1"/>
              </a:solidFill>
            </a:ln>
          </c:spPr>
          <c:invertIfNegative val="0"/>
          <c:val>
            <c:numLit>
              <c:formatCode>General</c:formatCode>
              <c:ptCount val="1"/>
              <c:pt idx="0">
                <c:v>611</c:v>
              </c:pt>
            </c:numLit>
          </c:val>
        </c:ser>
        <c:ser>
          <c:idx val="1"/>
          <c:order val="8"/>
          <c:tx>
            <c:v>KIPO</c:v>
          </c:tx>
          <c:spPr>
            <a:solidFill>
              <a:srgbClr val="009999"/>
            </a:solidFill>
            <a:ln>
              <a:solidFill>
                <a:schemeClr val="bg1"/>
              </a:solidFill>
            </a:ln>
          </c:spPr>
          <c:invertIfNegative val="0"/>
          <c:val>
            <c:numLit>
              <c:formatCode>General</c:formatCode>
              <c:ptCount val="1"/>
              <c:pt idx="0">
                <c:v>482</c:v>
              </c:pt>
            </c:numLit>
          </c:val>
        </c:ser>
        <c:ser>
          <c:idx val="2"/>
          <c:order val="9"/>
          <c:tx>
            <c:v>USPTO</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val>
            <c:numLit>
              <c:formatCode>General</c:formatCode>
              <c:ptCount val="1"/>
              <c:pt idx="0">
                <c:v>176</c:v>
              </c:pt>
            </c:numLit>
          </c:val>
        </c:ser>
        <c:ser>
          <c:idx val="3"/>
          <c:order val="10"/>
          <c:tx>
            <c:v>DPMA</c:v>
          </c:tx>
          <c:spPr>
            <a:solidFill>
              <a:srgbClr val="FFC000"/>
            </a:solidFill>
            <a:ln>
              <a:solidFill>
                <a:schemeClr val="bg1"/>
              </a:solidFill>
            </a:ln>
          </c:spPr>
          <c:invertIfNegative val="0"/>
          <c:val>
            <c:numLit>
              <c:formatCode>General</c:formatCode>
              <c:ptCount val="1"/>
              <c:pt idx="0">
                <c:v>98</c:v>
              </c:pt>
            </c:numLit>
          </c:val>
        </c:ser>
        <c:ser>
          <c:idx val="4"/>
          <c:order val="11"/>
          <c:tx>
            <c:v>JPO</c:v>
          </c:tx>
          <c:spPr>
            <a:solidFill>
              <a:schemeClr val="accent5">
                <a:lumMod val="40000"/>
                <a:lumOff val="60000"/>
              </a:schemeClr>
            </a:solidFill>
            <a:ln>
              <a:solidFill>
                <a:schemeClr val="bg1"/>
              </a:solidFill>
            </a:ln>
          </c:spPr>
          <c:invertIfNegative val="0"/>
          <c:val>
            <c:numLit>
              <c:formatCode>General</c:formatCode>
              <c:ptCount val="1"/>
              <c:pt idx="0">
                <c:v>88</c:v>
              </c:pt>
            </c:numLit>
          </c:val>
        </c:ser>
        <c:ser>
          <c:idx val="18"/>
          <c:order val="12"/>
          <c:tx>
            <c:v>Others</c:v>
          </c:tx>
          <c:spPr>
            <a:solidFill>
              <a:schemeClr val="bg1">
                <a:lumMod val="85000"/>
              </a:schemeClr>
            </a:solidFill>
            <a:ln>
              <a:noFill/>
            </a:ln>
          </c:spPr>
          <c:invertIfNegative val="0"/>
          <c:val>
            <c:numLit>
              <c:formatCode>General</c:formatCode>
              <c:ptCount val="1"/>
              <c:pt idx="0">
                <c:v>344</c:v>
              </c:pt>
            </c:numLit>
          </c:val>
        </c:ser>
        <c:ser>
          <c:idx val="5"/>
          <c:order val="13"/>
          <c:tx>
            <c:v>espace</c:v>
          </c:tx>
          <c:spPr>
            <a:noFill/>
          </c:spPr>
          <c:invertIfNegative val="0"/>
          <c:val>
            <c:numLit>
              <c:formatCode>General</c:formatCode>
              <c:ptCount val="1"/>
              <c:pt idx="0">
                <c:v>1</c:v>
              </c:pt>
            </c:numLit>
          </c:val>
        </c:ser>
        <c:ser>
          <c:idx val="6"/>
          <c:order val="14"/>
          <c:tx>
            <c:v>KIPO</c:v>
          </c:tx>
          <c:spPr>
            <a:solidFill>
              <a:srgbClr val="009999"/>
            </a:solidFill>
            <a:ln>
              <a:solidFill>
                <a:schemeClr val="bg1"/>
              </a:solidFill>
            </a:ln>
          </c:spPr>
          <c:invertIfNegative val="0"/>
          <c:val>
            <c:numLit>
              <c:formatCode>General</c:formatCode>
              <c:ptCount val="1"/>
              <c:pt idx="0">
                <c:v>158</c:v>
              </c:pt>
            </c:numLit>
          </c:val>
        </c:ser>
        <c:ser>
          <c:idx val="7"/>
          <c:order val="15"/>
          <c:tx>
            <c:v>EUIPO</c:v>
          </c:tx>
          <c:spPr>
            <a:solidFill>
              <a:srgbClr val="00B0F0"/>
            </a:solidFill>
            <a:ln>
              <a:solidFill>
                <a:schemeClr val="bg1"/>
              </a:solidFill>
            </a:ln>
          </c:spPr>
          <c:invertIfNegative val="0"/>
          <c:val>
            <c:numLit>
              <c:formatCode>General</c:formatCode>
              <c:ptCount val="1"/>
              <c:pt idx="0">
                <c:v>75</c:v>
              </c:pt>
            </c:numLit>
          </c:val>
        </c:ser>
        <c:ser>
          <c:idx val="8"/>
          <c:order val="16"/>
          <c:tx>
            <c:v>DPMA</c:v>
          </c:tx>
          <c:spPr>
            <a:solidFill>
              <a:srgbClr val="FFC000"/>
            </a:solidFill>
            <a:ln>
              <a:solidFill>
                <a:schemeClr val="bg1"/>
              </a:solidFill>
            </a:ln>
          </c:spPr>
          <c:invertIfNegative val="0"/>
          <c:val>
            <c:numLit>
              <c:formatCode>General</c:formatCode>
              <c:ptCount val="1"/>
              <c:pt idx="0">
                <c:v>32</c:v>
              </c:pt>
            </c:numLit>
          </c:val>
        </c:ser>
        <c:ser>
          <c:idx val="9"/>
          <c:order val="17"/>
          <c:tx>
            <c:v>USPTO</c:v>
          </c:tx>
          <c:spPr>
            <a:solidFill>
              <a:srgbClr val="800080"/>
            </a:solidFill>
            <a:ln>
              <a:solidFill>
                <a:schemeClr val="bg1"/>
              </a:solidFill>
            </a:ln>
          </c:spPr>
          <c:invertIfNegative val="0"/>
          <c:val>
            <c:numLit>
              <c:formatCode>General</c:formatCode>
              <c:ptCount val="1"/>
              <c:pt idx="0">
                <c:v>21</c:v>
              </c:pt>
            </c:numLit>
          </c:val>
        </c:ser>
        <c:ser>
          <c:idx val="10"/>
          <c:order val="18"/>
          <c:tx>
            <c:v>JPO</c:v>
          </c:tx>
          <c:spPr>
            <a:solidFill>
              <a:schemeClr val="accent5">
                <a:lumMod val="40000"/>
                <a:lumOff val="60000"/>
              </a:schemeClr>
            </a:solidFill>
            <a:ln>
              <a:solidFill>
                <a:schemeClr val="bg1"/>
              </a:solidFill>
            </a:ln>
          </c:spPr>
          <c:invertIfNegative val="0"/>
          <c:val>
            <c:numLit>
              <c:formatCode>General</c:formatCode>
              <c:ptCount val="1"/>
              <c:pt idx="0">
                <c:v>18</c:v>
              </c:pt>
            </c:numLit>
          </c:val>
        </c:ser>
        <c:ser>
          <c:idx val="19"/>
          <c:order val="19"/>
          <c:tx>
            <c:v>Others</c:v>
          </c:tx>
          <c:spPr>
            <a:solidFill>
              <a:schemeClr val="bg1">
                <a:lumMod val="85000"/>
              </a:schemeClr>
            </a:solidFill>
            <a:ln>
              <a:noFill/>
            </a:ln>
          </c:spPr>
          <c:invertIfNegative val="0"/>
          <c:val>
            <c:numLit>
              <c:formatCode>General</c:formatCode>
              <c:ptCount val="1"/>
              <c:pt idx="0">
                <c:v>34</c:v>
              </c:pt>
            </c:numLit>
          </c:val>
        </c:ser>
        <c:dLbls>
          <c:showLegendKey val="0"/>
          <c:showVal val="0"/>
          <c:showCatName val="0"/>
          <c:showSerName val="0"/>
          <c:showPercent val="0"/>
          <c:showBubbleSize val="0"/>
        </c:dLbls>
        <c:gapWidth val="150"/>
        <c:shape val="box"/>
        <c:axId val="65546496"/>
        <c:axId val="65556480"/>
        <c:axId val="0"/>
      </c:bar3DChart>
      <c:catAx>
        <c:axId val="65546496"/>
        <c:scaling>
          <c:orientation val="minMax"/>
        </c:scaling>
        <c:delete val="1"/>
        <c:axPos val="b"/>
        <c:numFmt formatCode="General" sourceLinked="1"/>
        <c:majorTickMark val="out"/>
        <c:minorTickMark val="none"/>
        <c:tickLblPos val="nextTo"/>
        <c:crossAx val="65556480"/>
        <c:crosses val="autoZero"/>
        <c:auto val="1"/>
        <c:lblAlgn val="ctr"/>
        <c:lblOffset val="100"/>
        <c:noMultiLvlLbl val="0"/>
      </c:catAx>
      <c:valAx>
        <c:axId val="65556480"/>
        <c:scaling>
          <c:orientation val="minMax"/>
        </c:scaling>
        <c:delete val="0"/>
        <c:axPos val="l"/>
        <c:majorGridlines>
          <c:spPr>
            <a:ln>
              <a:noFill/>
            </a:ln>
          </c:spPr>
        </c:majorGridlines>
        <c:numFmt formatCode="General" sourceLinked="1"/>
        <c:majorTickMark val="out"/>
        <c:minorTickMark val="none"/>
        <c:tickLblPos val="nextTo"/>
        <c:crossAx val="65546496"/>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4495810880690627E-2"/>
          <c:y val="0.21198057001679535"/>
          <c:w val="0.91348192352764923"/>
          <c:h val="0.65893512303095958"/>
        </c:manualLayout>
      </c:layout>
      <c:bar3DChart>
        <c:barDir val="col"/>
        <c:grouping val="clustered"/>
        <c:varyColors val="0"/>
        <c:ser>
          <c:idx val="1"/>
          <c:order val="0"/>
          <c:tx>
            <c:v>US</c:v>
          </c:tx>
          <c:spPr>
            <a:solidFill>
              <a:srgbClr val="800080"/>
            </a:solidFill>
            <a:ln>
              <a:solidFill>
                <a:schemeClr val="bg1"/>
              </a:solidFill>
            </a:ln>
          </c:spPr>
          <c:invertIfNegative val="0"/>
          <c:dLbls>
            <c:dLbl>
              <c:idx val="0"/>
              <c:layout>
                <c:manualLayout>
                  <c:x val="-8.068621863498571E-3"/>
                  <c:y val="4.3258993387377291E-3"/>
                </c:manualLayout>
              </c:layout>
              <c:tx>
                <c:rich>
                  <a:bodyPr/>
                  <a:lstStyle/>
                  <a:p>
                    <a:r>
                      <a:rPr lang="en-US"/>
                      <a:t>71.7%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113</c:v>
              </c:pt>
            </c:numLit>
          </c:val>
        </c:ser>
        <c:ser>
          <c:idx val="2"/>
          <c:order val="1"/>
          <c:tx>
            <c:v>DE</c:v>
          </c:tx>
          <c:spPr>
            <a:solidFill>
              <a:srgbClr val="FFC000"/>
            </a:solidFill>
            <a:ln>
              <a:solidFill>
                <a:schemeClr val="bg1"/>
              </a:solidFill>
            </a:ln>
          </c:spPr>
          <c:invertIfNegative val="0"/>
          <c:dPt>
            <c:idx val="0"/>
            <c:invertIfNegative val="0"/>
            <c:bubble3D val="0"/>
          </c:dPt>
          <c:dLbls>
            <c:dLbl>
              <c:idx val="0"/>
              <c:layout>
                <c:manualLayout>
                  <c:x val="-1.0523719273987465E-2"/>
                  <c:y val="1.2977698016213264E-2"/>
                </c:manualLayout>
              </c:layout>
              <c:tx>
                <c:rich>
                  <a:bodyPr/>
                  <a:lstStyle/>
                  <a:p>
                    <a:r>
                      <a:rPr lang="en-US"/>
                      <a:t>21.5%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405</c:v>
              </c:pt>
            </c:numLit>
          </c:val>
        </c:ser>
        <c:ser>
          <c:idx val="3"/>
          <c:order val="2"/>
          <c:tx>
            <c:v>CH</c:v>
          </c:tx>
          <c:spPr>
            <a:solidFill>
              <a:srgbClr val="FF0000"/>
            </a:solidFill>
            <a:ln>
              <a:solidFill>
                <a:schemeClr val="bg1"/>
              </a:solidFill>
            </a:ln>
          </c:spPr>
          <c:invertIfNegative val="0"/>
          <c:dLbls>
            <c:dLbl>
              <c:idx val="0"/>
              <c:layout>
                <c:manualLayout>
                  <c:x val="6.3276751523776535E-3"/>
                  <c:y val="1.2804188292154829E-2"/>
                </c:manualLayout>
              </c:layout>
              <c:tx>
                <c:rich>
                  <a:bodyPr/>
                  <a:lstStyle/>
                  <a:p>
                    <a:r>
                      <a:rPr lang="en-US"/>
                      <a:t>14.1%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575</c:v>
              </c:pt>
            </c:numLit>
          </c:val>
        </c:ser>
        <c:ser>
          <c:idx val="4"/>
          <c:order val="3"/>
          <c:tx>
            <c:v>KR</c:v>
          </c:tx>
          <c:spPr>
            <a:solidFill>
              <a:srgbClr val="009999"/>
            </a:solidFill>
            <a:ln>
              <a:solidFill>
                <a:schemeClr val="bg1"/>
              </a:solidFill>
            </a:ln>
          </c:spPr>
          <c:invertIfNegative val="0"/>
          <c:dLbls>
            <c:dLbl>
              <c:idx val="0"/>
              <c:layout>
                <c:manualLayout>
                  <c:x val="1.7520512798092785E-2"/>
                  <c:y val="1.2665867775398198E-2"/>
                </c:manualLayout>
              </c:layout>
              <c:tx>
                <c:rich>
                  <a:bodyPr/>
                  <a:lstStyle/>
                  <a:p>
                    <a:r>
                      <a:rPr lang="en-US"/>
                      <a:t>90%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0"/>
          <c:order val="4"/>
          <c:tx>
            <c:v>CN</c:v>
          </c:tx>
          <c:spPr>
            <a:solidFill>
              <a:srgbClr val="00B050"/>
            </a:solidFill>
            <a:ln>
              <a:solidFill>
                <a:schemeClr val="bg1"/>
              </a:solidFill>
            </a:ln>
          </c:spPr>
          <c:invertIfNegative val="0"/>
          <c:dLbls>
            <c:dLbl>
              <c:idx val="0"/>
              <c:layout>
                <c:manualLayout>
                  <c:x val="3.0261770789653909E-2"/>
                  <c:y val="1.2631118704176771E-2"/>
                </c:manualLayout>
              </c:layout>
              <c:tx>
                <c:rich>
                  <a:bodyPr/>
                  <a:lstStyle/>
                  <a:p>
                    <a:r>
                      <a:rPr lang="en-US"/>
                      <a:t>81.3%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32</c:v>
              </c:pt>
            </c:numLit>
          </c:val>
        </c:ser>
        <c:ser>
          <c:idx val="5"/>
          <c:order val="5"/>
          <c:tx>
            <c:v>espace</c:v>
          </c:tx>
          <c:spPr>
            <a:noFill/>
          </c:spPr>
          <c:invertIfNegative val="0"/>
          <c:val>
            <c:numLit>
              <c:formatCode>General</c:formatCode>
              <c:ptCount val="1"/>
              <c:pt idx="0">
                <c:v>1</c:v>
              </c:pt>
            </c:numLit>
          </c:val>
        </c:ser>
        <c:ser>
          <c:idx val="7"/>
          <c:order val="6"/>
          <c:tx>
            <c:v>USPTO</c:v>
          </c:tx>
          <c:spPr>
            <a:solidFill>
              <a:schemeClr val="bg1">
                <a:lumMod val="65000"/>
              </a:schemeClr>
            </a:solidFill>
            <a:ln>
              <a:solidFill>
                <a:schemeClr val="bg1"/>
              </a:solidFill>
            </a:ln>
          </c:spPr>
          <c:invertIfNegative val="0"/>
          <c:val>
            <c:numLit>
              <c:formatCode>General</c:formatCode>
              <c:ptCount val="1"/>
              <c:pt idx="0">
                <c:v>0</c:v>
              </c:pt>
            </c:numLit>
          </c:val>
        </c:ser>
        <c:ser>
          <c:idx val="8"/>
          <c:order val="7"/>
          <c:tx>
            <c:v>KIPO</c:v>
          </c:tx>
          <c:spPr>
            <a:solidFill>
              <a:schemeClr val="bg1">
                <a:lumMod val="65000"/>
              </a:schemeClr>
            </a:solidFill>
            <a:ln>
              <a:solidFill>
                <a:schemeClr val="bg1"/>
              </a:solidFill>
            </a:ln>
          </c:spPr>
          <c:invertIfNegative val="0"/>
          <c:val>
            <c:numLit>
              <c:formatCode>General</c:formatCode>
              <c:ptCount val="1"/>
              <c:pt idx="0">
                <c:v>0</c:v>
              </c:pt>
            </c:numLit>
          </c:val>
        </c:ser>
        <c:ser>
          <c:idx val="9"/>
          <c:order val="8"/>
          <c:tx>
            <c:v>WO</c:v>
          </c:tx>
          <c:spPr>
            <a:solidFill>
              <a:schemeClr val="bg1">
                <a:lumMod val="65000"/>
              </a:schemeClr>
            </a:solidFill>
            <a:ln>
              <a:solidFill>
                <a:schemeClr val="bg1"/>
              </a:solidFill>
            </a:ln>
          </c:spPr>
          <c:invertIfNegative val="0"/>
          <c:val>
            <c:numLit>
              <c:formatCode>General</c:formatCode>
              <c:ptCount val="1"/>
              <c:pt idx="0">
                <c:v>0</c:v>
              </c:pt>
            </c:numLit>
          </c:val>
        </c:ser>
        <c:ser>
          <c:idx val="10"/>
          <c:order val="9"/>
          <c:tx>
            <c:v>SFIIP</c:v>
          </c:tx>
          <c:spPr>
            <a:solidFill>
              <a:schemeClr val="bg1">
                <a:lumMod val="65000"/>
              </a:schemeClr>
            </a:solidFill>
            <a:ln>
              <a:solidFill>
                <a:schemeClr val="bg1"/>
              </a:solidFill>
            </a:ln>
          </c:spPr>
          <c:invertIfNegative val="0"/>
          <c:val>
            <c:numLit>
              <c:formatCode>General</c:formatCode>
              <c:ptCount val="1"/>
              <c:pt idx="0">
                <c:v>0</c:v>
              </c:pt>
            </c:numLit>
          </c:val>
        </c:ser>
        <c:ser>
          <c:idx val="11"/>
          <c:order val="10"/>
          <c:tx>
            <c:v>espace</c:v>
          </c:tx>
          <c:spPr>
            <a:noFill/>
          </c:spPr>
          <c:invertIfNegative val="0"/>
          <c:val>
            <c:numLit>
              <c:formatCode>General</c:formatCode>
              <c:ptCount val="1"/>
              <c:pt idx="0">
                <c:v>1</c:v>
              </c:pt>
            </c:numLit>
          </c:val>
        </c:ser>
        <c:ser>
          <c:idx val="12"/>
          <c:order val="11"/>
          <c:tx>
            <c:v>CH</c:v>
          </c:tx>
          <c:spPr>
            <a:solidFill>
              <a:srgbClr val="FF0000"/>
            </a:solidFill>
            <a:ln>
              <a:solidFill>
                <a:schemeClr val="bg1"/>
              </a:solidFill>
            </a:ln>
          </c:spPr>
          <c:invertIfNegative val="0"/>
          <c:dLbls>
            <c:dLbl>
              <c:idx val="0"/>
              <c:layout>
                <c:manualLayout>
                  <c:x val="-1.2856638322769159E-2"/>
                  <c:y val="8.4440243068066353E-3"/>
                </c:manualLayout>
              </c:layout>
              <c:tx>
                <c:rich>
                  <a:bodyPr/>
                  <a:lstStyle/>
                  <a:p>
                    <a:r>
                      <a:rPr lang="en-US"/>
                      <a:t>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88</c:v>
              </c:pt>
            </c:numLit>
          </c:val>
        </c:ser>
        <c:ser>
          <c:idx val="15"/>
          <c:order val="12"/>
          <c:tx>
            <c:v>DE</c:v>
          </c:tx>
          <c:spPr>
            <a:solidFill>
              <a:srgbClr val="0070C0"/>
            </a:solidFill>
            <a:ln>
              <a:solidFill>
                <a:schemeClr val="bg1"/>
              </a:solidFill>
            </a:ln>
          </c:spPr>
          <c:invertIfNegative val="0"/>
          <c:dPt>
            <c:idx val="0"/>
            <c:invertIfNegative val="0"/>
            <c:bubble3D val="0"/>
            <c:spPr>
              <a:solidFill>
                <a:srgbClr val="FFC000"/>
              </a:solidFill>
              <a:ln>
                <a:solidFill>
                  <a:schemeClr val="bg1"/>
                </a:solidFill>
              </a:ln>
            </c:spPr>
          </c:dPt>
          <c:dLbls>
            <c:dLbl>
              <c:idx val="0"/>
              <c:layout>
                <c:manualLayout>
                  <c:x val="4.7212973191566839E-3"/>
                  <c:y val="-1.2868456446689111E-2"/>
                </c:manualLayout>
              </c:layout>
              <c:tx>
                <c:rich>
                  <a:bodyPr/>
                  <a:lstStyle/>
                  <a:p>
                    <a:r>
                      <a:rPr lang="en-US"/>
                      <a:t>45.5%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44</c:v>
              </c:pt>
            </c:numLit>
          </c:val>
        </c:ser>
        <c:ser>
          <c:idx val="6"/>
          <c:order val="13"/>
          <c:tx>
            <c:v>NL</c:v>
          </c:tx>
          <c:spPr>
            <a:solidFill>
              <a:schemeClr val="bg1">
                <a:lumMod val="65000"/>
              </a:schemeClr>
            </a:solidFill>
            <a:ln>
              <a:solidFill>
                <a:schemeClr val="bg1"/>
              </a:solidFill>
            </a:ln>
          </c:spPr>
          <c:invertIfNegative val="0"/>
          <c:dLbls>
            <c:dLbl>
              <c:idx val="0"/>
              <c:layout>
                <c:manualLayout>
                  <c:x val="7.2508621115745372E-3"/>
                  <c:y val="1.2694931239444495E-2"/>
                </c:manualLayout>
              </c:layout>
              <c:tx>
                <c:rich>
                  <a:bodyPr/>
                  <a:lstStyle/>
                  <a:p>
                    <a:r>
                      <a:rPr lang="en-US"/>
                      <a:t>80%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20</c:v>
              </c:pt>
            </c:numLit>
          </c:val>
        </c:ser>
        <c:ser>
          <c:idx val="14"/>
          <c:order val="14"/>
          <c:tx>
            <c:v>IT</c:v>
          </c:tx>
          <c:spPr>
            <a:solidFill>
              <a:srgbClr val="92D050"/>
            </a:solidFill>
            <a:ln>
              <a:solidFill>
                <a:schemeClr val="bg1"/>
              </a:solidFill>
            </a:ln>
          </c:spPr>
          <c:invertIfNegative val="0"/>
          <c:dLbls>
            <c:dLbl>
              <c:idx val="0"/>
              <c:layout>
                <c:manualLayout>
                  <c:x val="5.6549526777552031E-3"/>
                  <c:y val="-1.692509369051429E-2"/>
                </c:manualLayout>
              </c:layout>
              <c:tx>
                <c:rich>
                  <a:bodyPr/>
                  <a:lstStyle/>
                  <a:p>
                    <a:r>
                      <a:rPr lang="en-US"/>
                      <a:t>54.8%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31</c:v>
              </c:pt>
            </c:numLit>
          </c:val>
        </c:ser>
        <c:ser>
          <c:idx val="13"/>
          <c:order val="15"/>
          <c:tx>
            <c:v>US</c:v>
          </c:tx>
          <c:spPr>
            <a:solidFill>
              <a:srgbClr val="800080"/>
            </a:solidFill>
            <a:ln>
              <a:solidFill>
                <a:schemeClr val="bg1"/>
              </a:solidFill>
            </a:ln>
          </c:spPr>
          <c:invertIfNegative val="0"/>
          <c:dLbls>
            <c:dLbl>
              <c:idx val="0"/>
              <c:layout>
                <c:manualLayout>
                  <c:x val="1.5998896260874584E-2"/>
                  <c:y val="4.2216688503844838E-3"/>
                </c:manualLayout>
              </c:layout>
              <c:tx>
                <c:rich>
                  <a:bodyPr/>
                  <a:lstStyle/>
                  <a:p>
                    <a:r>
                      <a:rPr lang="en-US"/>
                      <a:t>78.6%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c:v>
              </c:pt>
            </c:numLit>
          </c:val>
        </c:ser>
        <c:ser>
          <c:idx val="18"/>
          <c:order val="16"/>
          <c:tx>
            <c:v>espace</c:v>
          </c:tx>
          <c:spPr>
            <a:noFill/>
          </c:spPr>
          <c:invertIfNegative val="0"/>
          <c:val>
            <c:numLit>
              <c:formatCode>General</c:formatCode>
              <c:ptCount val="1"/>
              <c:pt idx="0">
                <c:v>1</c:v>
              </c:pt>
            </c:numLit>
          </c:val>
        </c:ser>
        <c:ser>
          <c:idx val="17"/>
          <c:order val="17"/>
          <c:tx>
            <c:v>EUIPO</c:v>
          </c:tx>
          <c:spPr>
            <a:solidFill>
              <a:schemeClr val="bg1">
                <a:lumMod val="65000"/>
              </a:schemeClr>
            </a:solidFill>
            <a:ln>
              <a:solidFill>
                <a:schemeClr val="bg1"/>
              </a:solidFill>
            </a:ln>
          </c:spPr>
          <c:invertIfNegative val="0"/>
          <c:val>
            <c:numLit>
              <c:formatCode>General</c:formatCode>
              <c:ptCount val="1"/>
              <c:pt idx="0">
                <c:v>0</c:v>
              </c:pt>
            </c:numLit>
          </c:val>
        </c:ser>
        <c:ser>
          <c:idx val="19"/>
          <c:order val="18"/>
          <c:tx>
            <c:v>JPO</c:v>
          </c:tx>
          <c:spPr>
            <a:solidFill>
              <a:schemeClr val="bg1">
                <a:lumMod val="65000"/>
              </a:schemeClr>
            </a:solidFill>
            <a:ln>
              <a:solidFill>
                <a:schemeClr val="bg1"/>
              </a:solidFill>
            </a:ln>
          </c:spPr>
          <c:invertIfNegative val="0"/>
          <c:val>
            <c:numLit>
              <c:formatCode>General</c:formatCode>
              <c:ptCount val="1"/>
              <c:pt idx="0">
                <c:v>0</c:v>
              </c:pt>
            </c:numLit>
          </c:val>
        </c:ser>
        <c:ser>
          <c:idx val="20"/>
          <c:order val="19"/>
          <c:tx>
            <c:v>WO</c:v>
          </c:tx>
          <c:spPr>
            <a:solidFill>
              <a:schemeClr val="bg1">
                <a:lumMod val="65000"/>
              </a:schemeClr>
            </a:solidFill>
            <a:ln>
              <a:solidFill>
                <a:schemeClr val="bg1"/>
              </a:solidFill>
            </a:ln>
          </c:spPr>
          <c:invertIfNegative val="0"/>
          <c:val>
            <c:numLit>
              <c:formatCode>General</c:formatCode>
              <c:ptCount val="1"/>
              <c:pt idx="0">
                <c:v>0</c:v>
              </c:pt>
            </c:numLit>
          </c:val>
        </c:ser>
        <c:ser>
          <c:idx val="21"/>
          <c:order val="20"/>
          <c:tx>
            <c:v>UIBM</c:v>
          </c:tx>
          <c:spPr>
            <a:solidFill>
              <a:schemeClr val="bg1">
                <a:lumMod val="65000"/>
              </a:schemeClr>
            </a:solidFill>
            <a:ln>
              <a:solidFill>
                <a:schemeClr val="bg1"/>
              </a:solidFill>
            </a:ln>
          </c:spPr>
          <c:invertIfNegative val="0"/>
          <c:val>
            <c:numLit>
              <c:formatCode>General</c:formatCode>
              <c:ptCount val="1"/>
              <c:pt idx="0">
                <c:v>0</c:v>
              </c:pt>
            </c:numLit>
          </c:val>
        </c:ser>
        <c:ser>
          <c:idx val="22"/>
          <c:order val="21"/>
          <c:tx>
            <c:v>KR</c:v>
          </c:tx>
          <c:spPr>
            <a:solidFill>
              <a:schemeClr val="bg1">
                <a:lumMod val="65000"/>
              </a:schemeClr>
            </a:solidFill>
            <a:ln>
              <a:solidFill>
                <a:schemeClr val="bg1"/>
              </a:solidFill>
            </a:ln>
          </c:spPr>
          <c:invertIfNegative val="0"/>
          <c:val>
            <c:numLit>
              <c:formatCode>General</c:formatCode>
              <c:ptCount val="1"/>
              <c:pt idx="0">
                <c:v>0</c:v>
              </c:pt>
            </c:numLit>
          </c:val>
        </c:ser>
        <c:dLbls>
          <c:showLegendKey val="0"/>
          <c:showVal val="0"/>
          <c:showCatName val="0"/>
          <c:showSerName val="0"/>
          <c:showPercent val="0"/>
          <c:showBubbleSize val="0"/>
        </c:dLbls>
        <c:gapWidth val="150"/>
        <c:shape val="box"/>
        <c:axId val="71377280"/>
        <c:axId val="71378816"/>
        <c:axId val="0"/>
      </c:bar3DChart>
      <c:catAx>
        <c:axId val="71377280"/>
        <c:scaling>
          <c:orientation val="minMax"/>
        </c:scaling>
        <c:delete val="1"/>
        <c:axPos val="b"/>
        <c:numFmt formatCode="General" sourceLinked="1"/>
        <c:majorTickMark val="out"/>
        <c:minorTickMark val="none"/>
        <c:tickLblPos val="nextTo"/>
        <c:crossAx val="71378816"/>
        <c:crosses val="autoZero"/>
        <c:auto val="1"/>
        <c:lblAlgn val="ctr"/>
        <c:lblOffset val="100"/>
        <c:noMultiLvlLbl val="0"/>
      </c:catAx>
      <c:valAx>
        <c:axId val="71378816"/>
        <c:scaling>
          <c:orientation val="minMax"/>
          <c:max val="700"/>
        </c:scaling>
        <c:delete val="0"/>
        <c:axPos val="l"/>
        <c:majorGridlines>
          <c:spPr>
            <a:ln>
              <a:noFill/>
            </a:ln>
          </c:spPr>
        </c:majorGridlines>
        <c:numFmt formatCode="General" sourceLinked="1"/>
        <c:majorTickMark val="out"/>
        <c:minorTickMark val="none"/>
        <c:tickLblPos val="nextTo"/>
        <c:crossAx val="71377280"/>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2906582277690909E-2"/>
          <c:y val="0.21198059168146718"/>
          <c:w val="0.90895176939033462"/>
          <c:h val="0.65893512303095958"/>
        </c:manualLayout>
      </c:layout>
      <c:bar3DChart>
        <c:barDir val="col"/>
        <c:grouping val="clustered"/>
        <c:varyColors val="0"/>
        <c:ser>
          <c:idx val="1"/>
          <c:order val="0"/>
          <c:tx>
            <c:v>KR</c:v>
          </c:tx>
          <c:spPr>
            <a:solidFill>
              <a:srgbClr val="009999"/>
            </a:solidFill>
            <a:ln>
              <a:solidFill>
                <a:schemeClr val="bg1"/>
              </a:solidFill>
            </a:ln>
          </c:spPr>
          <c:invertIfNegative val="0"/>
          <c:dLbls>
            <c:dLbl>
              <c:idx val="0"/>
              <c:layout>
                <c:manualLayout>
                  <c:x val="4.7353286840111442E-3"/>
                  <c:y val="8.4478420586127246E-3"/>
                </c:manualLayout>
              </c:layout>
              <c:tx>
                <c:rich>
                  <a:bodyPr/>
                  <a:lstStyle/>
                  <a:p>
                    <a:r>
                      <a:rPr lang="en-US"/>
                      <a:t>94.3%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510</c:v>
              </c:pt>
            </c:numLit>
          </c:val>
        </c:ser>
        <c:ser>
          <c:idx val="2"/>
          <c:order val="1"/>
          <c:tx>
            <c:v>US</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dLbls>
            <c:dLbl>
              <c:idx val="0"/>
              <c:layout>
                <c:manualLayout>
                  <c:x val="1.4205935316349427E-2"/>
                  <c:y val="1.2706090017007624E-2"/>
                </c:manualLayout>
              </c:layout>
              <c:tx>
                <c:rich>
                  <a:bodyPr/>
                  <a:lstStyle/>
                  <a:p>
                    <a:r>
                      <a:rPr lang="en-US"/>
                      <a:t>74.4%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177</c:v>
              </c:pt>
            </c:numLit>
          </c:val>
        </c:ser>
        <c:ser>
          <c:idx val="3"/>
          <c:order val="2"/>
          <c:tx>
            <c:v>DE</c:v>
          </c:tx>
          <c:spPr>
            <a:solidFill>
              <a:srgbClr val="FFC000"/>
            </a:solidFill>
            <a:ln>
              <a:solidFill>
                <a:schemeClr val="bg1"/>
              </a:solidFill>
            </a:ln>
          </c:spPr>
          <c:invertIfNegative val="0"/>
          <c:dLbls>
            <c:dLbl>
              <c:idx val="0"/>
              <c:layout>
                <c:manualLayout>
                  <c:x val="4.693450179607454E-3"/>
                  <c:y val="1.7173273887127322E-2"/>
                </c:manualLayout>
              </c:layout>
              <c:tx>
                <c:rich>
                  <a:bodyPr/>
                  <a:lstStyle/>
                  <a:p>
                    <a:r>
                      <a:rPr lang="en-US"/>
                      <a:t>23.6%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398</c:v>
              </c:pt>
            </c:numLit>
          </c:val>
        </c:ser>
        <c:ser>
          <c:idx val="4"/>
          <c:order val="3"/>
          <c:tx>
            <c:v>JP</c:v>
          </c:tx>
          <c:spPr>
            <a:solidFill>
              <a:schemeClr val="accent5">
                <a:lumMod val="40000"/>
                <a:lumOff val="60000"/>
              </a:schemeClr>
            </a:solidFill>
            <a:ln>
              <a:solidFill>
                <a:schemeClr val="bg1"/>
              </a:solidFill>
            </a:ln>
          </c:spPr>
          <c:invertIfNegative val="0"/>
          <c:dLbls>
            <c:dLbl>
              <c:idx val="0"/>
              <c:layout>
                <c:manualLayout>
                  <c:x val="1.264848433779309E-2"/>
                  <c:y val="8.447812883945768E-3"/>
                </c:manualLayout>
              </c:layout>
              <c:tx>
                <c:rich>
                  <a:bodyPr/>
                  <a:lstStyle/>
                  <a:p>
                    <a:r>
                      <a:rPr lang="en-US"/>
                      <a:t>72.3%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112</c:v>
              </c:pt>
            </c:numLit>
          </c:val>
        </c:ser>
        <c:ser>
          <c:idx val="0"/>
          <c:order val="4"/>
          <c:tx>
            <c:v>CH</c:v>
          </c:tx>
          <c:spPr>
            <a:solidFill>
              <a:srgbClr val="FF0000"/>
            </a:solidFill>
            <a:ln>
              <a:solidFill>
                <a:schemeClr val="bg1"/>
              </a:solidFill>
            </a:ln>
          </c:spPr>
          <c:invertIfNegative val="0"/>
          <c:dLbls>
            <c:dLbl>
              <c:idx val="0"/>
              <c:layout>
                <c:manualLayout>
                  <c:x val="4.7074317850577833E-3"/>
                  <c:y val="1.6965037797700484E-2"/>
                </c:manualLayout>
              </c:layout>
              <c:tx>
                <c:rich>
                  <a:bodyPr/>
                  <a:lstStyle/>
                  <a:p>
                    <a:r>
                      <a:rPr lang="en-US"/>
                      <a:t>9.8%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656</c:v>
              </c:pt>
            </c:numLit>
          </c:val>
        </c:ser>
        <c:ser>
          <c:idx val="5"/>
          <c:order val="5"/>
          <c:tx>
            <c:v>espace</c:v>
          </c:tx>
          <c:spPr>
            <a:noFill/>
          </c:spPr>
          <c:invertIfNegative val="0"/>
          <c:val>
            <c:numLit>
              <c:formatCode>General</c:formatCode>
              <c:ptCount val="1"/>
              <c:pt idx="0">
                <c:v>1</c:v>
              </c:pt>
            </c:numLit>
          </c:val>
        </c:ser>
        <c:ser>
          <c:idx val="6"/>
          <c:order val="6"/>
          <c:tx>
            <c:v>US</c:v>
          </c:tx>
          <c:spPr>
            <a:solidFill>
              <a:srgbClr val="800080"/>
            </a:solidFill>
            <a:ln>
              <a:solidFill>
                <a:schemeClr val="bg1"/>
              </a:solidFill>
            </a:ln>
          </c:spPr>
          <c:invertIfNegative val="0"/>
          <c:dLbls>
            <c:dLbl>
              <c:idx val="0"/>
              <c:layout>
                <c:manualLayout>
                  <c:x val="3.1568857893407628E-3"/>
                  <c:y val="1.2671097903505023E-2"/>
                </c:manualLayout>
              </c:layout>
              <c:tx>
                <c:rich>
                  <a:bodyPr/>
                  <a:lstStyle/>
                  <a:p>
                    <a:r>
                      <a:rPr lang="en-US"/>
                      <a:t>88.4%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c:v>
              </c:pt>
            </c:numLit>
          </c:val>
        </c:ser>
        <c:ser>
          <c:idx val="7"/>
          <c:order val="7"/>
          <c:tx>
            <c:v>DE</c:v>
          </c:tx>
          <c:spPr>
            <a:solidFill>
              <a:srgbClr val="FFC000"/>
            </a:solidFill>
            <a:ln>
              <a:solidFill>
                <a:schemeClr val="bg1"/>
              </a:solidFill>
            </a:ln>
          </c:spPr>
          <c:invertIfNegative val="0"/>
          <c:dLbls>
            <c:dLbl>
              <c:idx val="0"/>
              <c:layout>
                <c:manualLayout>
                  <c:x val="6.2788643690644495E-3"/>
                  <c:y val="-1.2644530946977307E-2"/>
                </c:manualLayout>
              </c:layout>
              <c:tx>
                <c:rich>
                  <a:bodyPr/>
                  <a:lstStyle/>
                  <a:p>
                    <a:r>
                      <a:rPr lang="en-US"/>
                      <a:t>48.8%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c:v>
              </c:pt>
            </c:numLit>
          </c:val>
        </c:ser>
        <c:ser>
          <c:idx val="8"/>
          <c:order val="8"/>
          <c:tx>
            <c:v>FR</c:v>
          </c:tx>
          <c:spPr>
            <a:solidFill>
              <a:srgbClr val="0070C0"/>
            </a:solidFill>
          </c:spPr>
          <c:invertIfNegative val="0"/>
          <c:dLbls>
            <c:dLbl>
              <c:idx val="0"/>
              <c:layout>
                <c:manualLayout>
                  <c:x val="4.7644254234242411E-3"/>
                  <c:y val="1.2614674342745668E-2"/>
                </c:manualLayout>
              </c:layout>
              <c:tx>
                <c:rich>
                  <a:bodyPr/>
                  <a:lstStyle/>
                  <a:p>
                    <a:r>
                      <a:rPr lang="en-US"/>
                      <a:t>50.7%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73</c:v>
              </c:pt>
            </c:numLit>
          </c:val>
        </c:ser>
        <c:ser>
          <c:idx val="9"/>
          <c:order val="9"/>
          <c:tx>
            <c:v>NL</c:v>
          </c:tx>
          <c:spPr>
            <a:solidFill>
              <a:schemeClr val="bg1">
                <a:lumMod val="65000"/>
              </a:schemeClr>
            </a:solidFill>
            <a:ln>
              <a:solidFill>
                <a:schemeClr val="bg1"/>
              </a:solidFill>
            </a:ln>
          </c:spPr>
          <c:invertIfNegative val="0"/>
          <c:dLbls>
            <c:dLbl>
              <c:idx val="0"/>
              <c:layout>
                <c:manualLayout>
                  <c:x val="6.3137715786815256E-3"/>
                  <c:y val="8.4478420586127246E-3"/>
                </c:manualLayout>
              </c:layout>
              <c:tx>
                <c:rich>
                  <a:bodyPr/>
                  <a:lstStyle/>
                  <a:p>
                    <a:r>
                      <a:rPr lang="en-US"/>
                      <a:t>91.2%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10"/>
          <c:order val="10"/>
          <c:tx>
            <c:v>CH</c:v>
          </c:tx>
          <c:spPr>
            <a:solidFill>
              <a:srgbClr val="FF0000"/>
            </a:solidFill>
            <a:ln>
              <a:solidFill>
                <a:schemeClr val="bg1"/>
              </a:solidFill>
            </a:ln>
          </c:spPr>
          <c:invertIfNegative val="0"/>
          <c:dLbls>
            <c:dLbl>
              <c:idx val="0"/>
              <c:layout>
                <c:manualLayout>
                  <c:x val="6.2928459745147788E-3"/>
                  <c:y val="8.4479204583352389E-3"/>
                </c:manualLayout>
              </c:layout>
              <c:tx>
                <c:rich>
                  <a:bodyPr/>
                  <a:lstStyle/>
                  <a:p>
                    <a:r>
                      <a:rPr lang="en-US"/>
                      <a:t>35.2%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71</c:v>
              </c:pt>
            </c:numLit>
          </c:val>
        </c:ser>
        <c:ser>
          <c:idx val="11"/>
          <c:order val="11"/>
          <c:tx>
            <c:v>espace</c:v>
          </c:tx>
          <c:spPr>
            <a:noFill/>
          </c:spPr>
          <c:invertIfNegative val="0"/>
          <c:val>
            <c:numLit>
              <c:formatCode>General</c:formatCode>
              <c:ptCount val="1"/>
              <c:pt idx="0">
                <c:v>1</c:v>
              </c:pt>
            </c:numLit>
          </c:val>
        </c:ser>
        <c:ser>
          <c:idx val="12"/>
          <c:order val="12"/>
          <c:tx>
            <c:v>NL</c:v>
          </c:tx>
          <c:spPr>
            <a:solidFill>
              <a:schemeClr val="bg1">
                <a:lumMod val="65000"/>
              </a:schemeClr>
            </a:solidFill>
            <a:ln>
              <a:solidFill>
                <a:schemeClr val="bg1"/>
              </a:solidFill>
            </a:ln>
          </c:spPr>
          <c:invertIfNegative val="0"/>
          <c:dLbls>
            <c:dLbl>
              <c:idx val="0"/>
              <c:layout>
                <c:manualLayout>
                  <c:x val="-3.1918360713660138E-3"/>
                  <c:y val="1.2671763087919088E-2"/>
                </c:manualLayout>
              </c:layout>
              <c:tx>
                <c:rich>
                  <a:bodyPr/>
                  <a:lstStyle/>
                  <a:p>
                    <a:r>
                      <a:rPr lang="en-US"/>
                      <a:t>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67</c:v>
              </c:pt>
            </c:numLit>
          </c:val>
        </c:ser>
        <c:ser>
          <c:idx val="13"/>
          <c:order val="13"/>
          <c:tx>
            <c:v>DE</c:v>
          </c:tx>
          <c:spPr>
            <a:solidFill>
              <a:srgbClr val="FFC000"/>
            </a:solidFill>
            <a:ln>
              <a:solidFill>
                <a:schemeClr val="bg1"/>
              </a:solidFill>
            </a:ln>
          </c:spPr>
          <c:invertIfNegative val="0"/>
          <c:dLbls>
            <c:dLbl>
              <c:idx val="0"/>
              <c:layout>
                <c:manualLayout>
                  <c:x val="-4.7461235008602817E-3"/>
                  <c:y val="4.2840926915739992E-3"/>
                </c:manualLayout>
              </c:layout>
              <c:tx>
                <c:rich>
                  <a:bodyPr/>
                  <a:lstStyle/>
                  <a:p>
                    <a:r>
                      <a:rPr lang="en-US"/>
                      <a:t>48.8%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123</c:v>
              </c:pt>
            </c:numLit>
          </c:val>
        </c:ser>
        <c:ser>
          <c:idx val="14"/>
          <c:order val="14"/>
          <c:tx>
            <c:v>US</c:v>
          </c:tx>
          <c:spPr>
            <a:solidFill>
              <a:srgbClr val="800080"/>
            </a:solidFill>
            <a:ln>
              <a:solidFill>
                <a:schemeClr val="bg1"/>
              </a:solidFill>
            </a:ln>
          </c:spPr>
          <c:invertIfNegative val="0"/>
          <c:dLbls>
            <c:dLbl>
              <c:idx val="0"/>
              <c:layout>
                <c:manualLayout>
                  <c:x val="6.3173270629692246E-3"/>
                  <c:y val="-8.5681853831479984E-3"/>
                </c:manualLayout>
              </c:layout>
              <c:tx>
                <c:rich>
                  <a:bodyPr/>
                  <a:lstStyle/>
                  <a:p>
                    <a:r>
                      <a:rPr lang="en-US"/>
                      <a:t>86.8%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c:v>
              </c:pt>
            </c:numLit>
          </c:val>
        </c:ser>
        <c:ser>
          <c:idx val="15"/>
          <c:order val="15"/>
          <c:tx>
            <c:v>FR</c:v>
          </c:tx>
          <c:spPr>
            <a:solidFill>
              <a:srgbClr val="0070C0"/>
            </a:solidFill>
            <a:ln>
              <a:solidFill>
                <a:schemeClr val="bg1"/>
              </a:solidFill>
            </a:ln>
          </c:spPr>
          <c:invertIfNegative val="0"/>
          <c:dLbls>
            <c:dLbl>
              <c:idx val="0"/>
              <c:layout>
                <c:manualLayout>
                  <c:x val="1.1070675633725829E-2"/>
                  <c:y val="-1.2972704932272464E-2"/>
                </c:manualLayout>
              </c:layout>
              <c:tx>
                <c:rich>
                  <a:bodyPr/>
                  <a:lstStyle/>
                  <a:p>
                    <a:r>
                      <a:rPr lang="en-US"/>
                      <a:t>35.4%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99</c:v>
              </c:pt>
            </c:numLit>
          </c:val>
        </c:ser>
        <c:ser>
          <c:idx val="16"/>
          <c:order val="16"/>
          <c:tx>
            <c:v>JP</c:v>
          </c:tx>
          <c:spPr>
            <a:solidFill>
              <a:schemeClr val="accent5">
                <a:lumMod val="40000"/>
                <a:lumOff val="60000"/>
              </a:schemeClr>
            </a:solidFill>
            <a:ln>
              <a:solidFill>
                <a:schemeClr val="bg1"/>
              </a:solidFill>
            </a:ln>
          </c:spPr>
          <c:invertIfNegative val="0"/>
          <c:dLbls>
            <c:dLbl>
              <c:idx val="0"/>
              <c:layout>
                <c:manualLayout>
                  <c:x val="6.3137715786815256E-3"/>
                  <c:y val="1.2671763087919088E-2"/>
                </c:manualLayout>
              </c:layout>
              <c:tx>
                <c:rich>
                  <a:bodyPr/>
                  <a:lstStyle/>
                  <a:p>
                    <a:r>
                      <a:rPr lang="en-US"/>
                      <a:t>73.3%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45</c:v>
              </c:pt>
            </c:numLit>
          </c:val>
        </c:ser>
        <c:ser>
          <c:idx val="18"/>
          <c:order val="17"/>
          <c:tx>
            <c:v>espace</c:v>
          </c:tx>
          <c:spPr>
            <a:noFill/>
          </c:spPr>
          <c:invertIfNegative val="0"/>
          <c:val>
            <c:numLit>
              <c:formatCode>General</c:formatCode>
              <c:ptCount val="1"/>
              <c:pt idx="0">
                <c:v>1</c:v>
              </c:pt>
            </c:numLit>
          </c:val>
        </c:ser>
        <c:ser>
          <c:idx val="17"/>
          <c:order val="18"/>
          <c:tx>
            <c:v>IT</c:v>
          </c:tx>
          <c:spPr>
            <a:solidFill>
              <a:srgbClr val="92D050"/>
            </a:solidFill>
          </c:spPr>
          <c:invertIfNegative val="0"/>
          <c:dLbls>
            <c:dLbl>
              <c:idx val="0"/>
              <c:layout>
                <c:manualLayout>
                  <c:x val="-9.5288508468484821E-3"/>
                  <c:y val="7.7088786002767154E-17"/>
                </c:manualLayout>
              </c:layout>
              <c:tx>
                <c:rich>
                  <a:bodyPr/>
                  <a:lstStyle/>
                  <a:p>
                    <a:r>
                      <a:rPr lang="en-US"/>
                      <a:t>67.5%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123</c:v>
              </c:pt>
            </c:numLit>
          </c:val>
        </c:ser>
        <c:ser>
          <c:idx val="19"/>
          <c:order val="19"/>
          <c:tx>
            <c:v>DE</c:v>
          </c:tx>
          <c:spPr>
            <a:solidFill>
              <a:schemeClr val="accent5">
                <a:lumMod val="40000"/>
                <a:lumOff val="60000"/>
              </a:schemeClr>
            </a:solidFill>
            <a:ln>
              <a:solidFill>
                <a:schemeClr val="bg1"/>
              </a:solidFill>
            </a:ln>
          </c:spPr>
          <c:invertIfNegative val="0"/>
          <c:dPt>
            <c:idx val="0"/>
            <c:invertIfNegative val="0"/>
            <c:bubble3D val="0"/>
            <c:spPr>
              <a:solidFill>
                <a:srgbClr val="FFC000"/>
              </a:solidFill>
              <a:ln>
                <a:solidFill>
                  <a:schemeClr val="bg1"/>
                </a:solidFill>
              </a:ln>
            </c:spPr>
          </c:dPt>
          <c:dLbls>
            <c:dLbl>
              <c:idx val="0"/>
              <c:layout>
                <c:manualLayout>
                  <c:x val="1.578423386731831E-3"/>
                  <c:y val="-4.27882546622191E-3"/>
                </c:manualLayout>
              </c:layout>
              <c:tx>
                <c:rich>
                  <a:bodyPr/>
                  <a:lstStyle/>
                  <a:p>
                    <a:r>
                      <a:rPr lang="en-US"/>
                      <a:t>62.3%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130</c:v>
              </c:pt>
            </c:numLit>
          </c:val>
        </c:ser>
        <c:ser>
          <c:idx val="20"/>
          <c:order val="20"/>
          <c:tx>
            <c:v>FR</c:v>
          </c:tx>
          <c:spPr>
            <a:solidFill>
              <a:srgbClr val="0070C0"/>
            </a:solidFill>
            <a:ln>
              <a:solidFill>
                <a:schemeClr val="bg1"/>
              </a:solidFill>
            </a:ln>
          </c:spPr>
          <c:invertIfNegative val="0"/>
          <c:dLbls>
            <c:dLbl>
              <c:idx val="0"/>
              <c:layout>
                <c:manualLayout>
                  <c:x val="0"/>
                  <c:y val="8.4478420586127246E-3"/>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92</c:v>
              </c:pt>
            </c:numLit>
          </c:val>
        </c:ser>
        <c:ser>
          <c:idx val="21"/>
          <c:order val="21"/>
          <c:tx>
            <c:v>JP</c:v>
          </c:tx>
          <c:spPr>
            <a:solidFill>
              <a:schemeClr val="accent5">
                <a:lumMod val="40000"/>
                <a:lumOff val="60000"/>
              </a:schemeClr>
            </a:solidFill>
            <a:ln>
              <a:solidFill>
                <a:schemeClr val="bg1"/>
              </a:solidFill>
            </a:ln>
          </c:spPr>
          <c:invertIfNegative val="0"/>
          <c:dLbls>
            <c:dLbl>
              <c:idx val="0"/>
              <c:layout>
                <c:manualLayout>
                  <c:x val="6.3138183826902733E-3"/>
                  <c:y val="4.2513099696931721E-3"/>
                </c:manualLayout>
              </c:layout>
              <c:tx>
                <c:rich>
                  <a:bodyPr/>
                  <a:lstStyle/>
                  <a:p>
                    <a:r>
                      <a:rPr lang="en-US"/>
                      <a:t>68.3%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63</c:v>
              </c:pt>
            </c:numLit>
          </c:val>
        </c:ser>
        <c:ser>
          <c:idx val="22"/>
          <c:order val="22"/>
          <c:tx>
            <c:v>NL</c:v>
          </c:tx>
          <c:spPr>
            <a:solidFill>
              <a:schemeClr val="bg1">
                <a:lumMod val="65000"/>
              </a:schemeClr>
            </a:solidFill>
            <a:ln>
              <a:solidFill>
                <a:schemeClr val="bg1"/>
              </a:solidFill>
            </a:ln>
          </c:spPr>
          <c:invertIfNegative val="0"/>
          <c:dLbls>
            <c:dLbl>
              <c:idx val="0"/>
              <c:layout>
                <c:manualLayout>
                  <c:x val="1.7397736103438914E-2"/>
                  <c:y val="1.2685638435767229E-2"/>
                </c:manualLayout>
              </c:layout>
              <c:tx>
                <c:rich>
                  <a:bodyPr/>
                  <a:lstStyle/>
                  <a:p>
                    <a:r>
                      <a:rPr lang="en-US"/>
                      <a:t>78.7%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47</c:v>
              </c:pt>
            </c:numLit>
          </c:val>
        </c:ser>
        <c:dLbls>
          <c:showLegendKey val="0"/>
          <c:showVal val="0"/>
          <c:showCatName val="0"/>
          <c:showSerName val="0"/>
          <c:showPercent val="0"/>
          <c:showBubbleSize val="0"/>
        </c:dLbls>
        <c:gapWidth val="150"/>
        <c:shape val="box"/>
        <c:axId val="71653248"/>
        <c:axId val="71654784"/>
        <c:axId val="0"/>
      </c:bar3DChart>
      <c:catAx>
        <c:axId val="71653248"/>
        <c:scaling>
          <c:orientation val="minMax"/>
        </c:scaling>
        <c:delete val="1"/>
        <c:axPos val="b"/>
        <c:numFmt formatCode="General" sourceLinked="1"/>
        <c:majorTickMark val="out"/>
        <c:minorTickMark val="none"/>
        <c:tickLblPos val="nextTo"/>
        <c:crossAx val="71654784"/>
        <c:crosses val="autoZero"/>
        <c:auto val="1"/>
        <c:lblAlgn val="ctr"/>
        <c:lblOffset val="100"/>
        <c:noMultiLvlLbl val="0"/>
      </c:catAx>
      <c:valAx>
        <c:axId val="71654784"/>
        <c:scaling>
          <c:orientation val="minMax"/>
          <c:max val="700"/>
        </c:scaling>
        <c:delete val="0"/>
        <c:axPos val="l"/>
        <c:majorGridlines>
          <c:spPr>
            <a:ln>
              <a:noFill/>
            </a:ln>
          </c:spPr>
        </c:majorGridlines>
        <c:numFmt formatCode="General" sourceLinked="1"/>
        <c:majorTickMark val="out"/>
        <c:minorTickMark val="none"/>
        <c:tickLblPos val="nextTo"/>
        <c:crossAx val="71653248"/>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ln>
          <a:solidFill>
            <a:schemeClr val="bg1">
              <a:lumMod val="50000"/>
            </a:schemeClr>
          </a:solidFill>
        </a:ln>
      </c:spPr>
    </c:floor>
    <c:sideWall>
      <c:thickness val="0"/>
    </c:sideWall>
    <c:backWall>
      <c:thickness val="0"/>
    </c:backWall>
    <c:plotArea>
      <c:layout>
        <c:manualLayout>
          <c:layoutTarget val="inner"/>
          <c:xMode val="edge"/>
          <c:yMode val="edge"/>
          <c:x val="5.6020110942596547E-2"/>
          <c:y val="0.21198059168146718"/>
          <c:w val="0.93962877859264948"/>
          <c:h val="0.65893512303095958"/>
        </c:manualLayout>
      </c:layout>
      <c:bar3DChart>
        <c:barDir val="col"/>
        <c:grouping val="clustered"/>
        <c:varyColors val="0"/>
        <c:ser>
          <c:idx val="1"/>
          <c:order val="0"/>
          <c:tx>
            <c:v>KR</c:v>
          </c:tx>
          <c:spPr>
            <a:solidFill>
              <a:srgbClr val="009999"/>
            </a:solidFill>
            <a:ln>
              <a:solidFill>
                <a:schemeClr val="bg1"/>
              </a:solidFill>
            </a:ln>
          </c:spPr>
          <c:invertIfNegative val="0"/>
          <c:dLbls>
            <c:dLbl>
              <c:idx val="0"/>
              <c:layout>
                <c:manualLayout>
                  <c:x val="6.3182822368810544E-3"/>
                  <c:y val="8.4405678958918897E-3"/>
                </c:manualLayout>
              </c:layout>
              <c:tx>
                <c:rich>
                  <a:bodyPr/>
                  <a:lstStyle/>
                  <a:p>
                    <a:r>
                      <a:rPr lang="en-US"/>
                      <a:t>71.1%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190</c:v>
              </c:pt>
            </c:numLit>
          </c:val>
        </c:ser>
        <c:ser>
          <c:idx val="3"/>
          <c:order val="1"/>
          <c:tx>
            <c:v>DE</c:v>
          </c:tx>
          <c:spPr>
            <a:solidFill>
              <a:srgbClr val="FFC000"/>
            </a:solidFill>
            <a:ln>
              <a:solidFill>
                <a:schemeClr val="bg1"/>
              </a:solidFill>
            </a:ln>
          </c:spPr>
          <c:invertIfNegative val="0"/>
          <c:dLbls>
            <c:dLbl>
              <c:idx val="0"/>
              <c:layout>
                <c:manualLayout>
                  <c:x val="2.1643232596994341E-2"/>
                  <c:y val="-1.2935462829835709E-2"/>
                </c:manualLayout>
              </c:layout>
              <c:tx>
                <c:rich>
                  <a:bodyPr/>
                  <a:lstStyle/>
                  <a:p>
                    <a:r>
                      <a:rPr lang="en-US"/>
                      <a:t>37.5%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80</c:v>
              </c:pt>
            </c:numLit>
          </c:val>
        </c:ser>
        <c:ser>
          <c:idx val="4"/>
          <c:order val="2"/>
          <c:tx>
            <c:v>JP</c:v>
          </c:tx>
          <c:spPr>
            <a:solidFill>
              <a:schemeClr val="accent5">
                <a:lumMod val="40000"/>
                <a:lumOff val="60000"/>
              </a:schemeClr>
            </a:solidFill>
            <a:ln>
              <a:solidFill>
                <a:schemeClr val="bg1"/>
              </a:solidFill>
            </a:ln>
          </c:spPr>
          <c:invertIfNegative val="0"/>
          <c:dLbls>
            <c:dLbl>
              <c:idx val="0"/>
              <c:layout>
                <c:manualLayout>
                  <c:x val="1.4214796662387485E-2"/>
                  <c:y val="-1.7278814416357976E-2"/>
                </c:manualLayout>
              </c:layout>
              <c:tx>
                <c:rich>
                  <a:bodyPr/>
                  <a:lstStyle/>
                  <a:p>
                    <a:r>
                      <a:rPr lang="en-US"/>
                      <a:t>62.5%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24</c:v>
              </c:pt>
            </c:numLit>
          </c:val>
        </c:ser>
        <c:ser>
          <c:idx val="2"/>
          <c:order val="3"/>
          <c:tx>
            <c:v>US</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dLbls>
            <c:dLbl>
              <c:idx val="0"/>
              <c:layout>
                <c:manualLayout>
                  <c:x val="6.3136844157569974E-3"/>
                  <c:y val="1.7200605224035478E-2"/>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24</c:v>
              </c:pt>
            </c:numLit>
          </c:val>
        </c:ser>
        <c:ser>
          <c:idx val="0"/>
          <c:order val="4"/>
          <c:tx>
            <c:v>CH</c:v>
          </c:tx>
          <c:spPr>
            <a:solidFill>
              <a:srgbClr val="FF0000"/>
            </a:solidFill>
            <a:ln>
              <a:solidFill>
                <a:schemeClr val="bg1"/>
              </a:solidFill>
            </a:ln>
          </c:spPr>
          <c:invertIfNegative val="0"/>
          <c:dLbls>
            <c:dLbl>
              <c:idx val="0"/>
              <c:layout>
                <c:manualLayout>
                  <c:x val="7.8742650243511809E-3"/>
                  <c:y val="8.4405678958918099E-3"/>
                </c:manualLayout>
              </c:layout>
              <c:tx>
                <c:rich>
                  <a:bodyPr/>
                  <a:lstStyle/>
                  <a:p>
                    <a:r>
                      <a:rPr lang="en-US"/>
                      <a:t>7.7%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142</c:v>
              </c:pt>
            </c:numLit>
          </c:val>
        </c:ser>
        <c:ser>
          <c:idx val="5"/>
          <c:order val="5"/>
          <c:tx>
            <c:v>espace</c:v>
          </c:tx>
          <c:spPr>
            <a:noFill/>
          </c:spPr>
          <c:invertIfNegative val="0"/>
          <c:val>
            <c:numLit>
              <c:formatCode>General</c:formatCode>
              <c:ptCount val="1"/>
              <c:pt idx="0">
                <c:v>1</c:v>
              </c:pt>
            </c:numLit>
          </c:val>
        </c:ser>
        <c:ser>
          <c:idx val="6"/>
          <c:order val="6"/>
          <c:tx>
            <c:v>KR</c:v>
          </c:tx>
          <c:spPr>
            <a:solidFill>
              <a:srgbClr val="009999"/>
            </a:solidFill>
            <a:ln>
              <a:solidFill>
                <a:schemeClr val="bg1"/>
              </a:solidFill>
            </a:ln>
          </c:spPr>
          <c:invertIfNegative val="0"/>
          <c:dLbls>
            <c:dLbl>
              <c:idx val="0"/>
              <c:layout>
                <c:manualLayout>
                  <c:x val="-1.662061371616147E-7"/>
                  <c:y val="-5.5569673867005509E-2"/>
                </c:manualLayout>
              </c:layout>
              <c:tx>
                <c:rich>
                  <a:bodyPr/>
                  <a:lstStyle/>
                  <a:p>
                    <a:r>
                      <a:rPr lang="en-US"/>
                      <a:t>45.7%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35</c:v>
              </c:pt>
            </c:numLit>
          </c:val>
        </c:ser>
        <c:ser>
          <c:idx val="8"/>
          <c:order val="7"/>
          <c:tx>
            <c:v>NL</c:v>
          </c:tx>
          <c:spPr>
            <a:solidFill>
              <a:schemeClr val="bg1">
                <a:lumMod val="65000"/>
              </a:schemeClr>
            </a:solidFill>
          </c:spPr>
          <c:invertIfNegative val="0"/>
          <c:dLbls>
            <c:dLbl>
              <c:idx val="0"/>
              <c:layout>
                <c:manualLayout>
                  <c:x val="-1.6620613720031257E-7"/>
                  <c:y val="-2.5695782268311679E-2"/>
                </c:manualLayout>
              </c:layout>
              <c:tx>
                <c:rich>
                  <a:bodyPr/>
                  <a:lstStyle/>
                  <a:p>
                    <a:r>
                      <a:rPr lang="en-US"/>
                      <a:t>88.2%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c:v>
              </c:pt>
            </c:numLit>
          </c:val>
        </c:ser>
        <c:ser>
          <c:idx val="7"/>
          <c:order val="8"/>
          <c:tx>
            <c:v>US</c:v>
          </c:tx>
          <c:spPr>
            <a:solidFill>
              <a:srgbClr val="800080"/>
            </a:solidFill>
            <a:ln>
              <a:solidFill>
                <a:schemeClr val="bg1"/>
              </a:solidFill>
            </a:ln>
          </c:spPr>
          <c:invertIfNegative val="0"/>
          <c:dLbls>
            <c:dLbl>
              <c:idx val="0"/>
              <c:layout>
                <c:manualLayout>
                  <c:x val="1.5784428946703814E-3"/>
                  <c:y val="8.4405487951781204E-3"/>
                </c:manualLayout>
              </c:layout>
              <c:tx>
                <c:rich>
                  <a:bodyPr/>
                  <a:lstStyle/>
                  <a:p>
                    <a:r>
                      <a:rPr lang="en-US"/>
                      <a:t>81.8%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c:v>
              </c:pt>
            </c:numLit>
          </c:val>
        </c:ser>
        <c:ser>
          <c:idx val="9"/>
          <c:order val="9"/>
          <c:tx>
            <c:v>CH</c:v>
          </c:tx>
          <c:spPr>
            <a:solidFill>
              <a:srgbClr val="FF0000"/>
            </a:solidFill>
            <a:ln>
              <a:solidFill>
                <a:schemeClr val="bg1"/>
              </a:solidFill>
            </a:ln>
          </c:spPr>
          <c:invertIfNegative val="0"/>
          <c:dLbls>
            <c:dLbl>
              <c:idx val="0"/>
              <c:layout>
                <c:manualLayout>
                  <c:x val="1.1049051586229822E-2"/>
                  <c:y val="-1.7207033651678486E-2"/>
                </c:manualLayout>
              </c:layout>
              <c:tx>
                <c:rich>
                  <a:bodyPr/>
                  <a:lstStyle/>
                  <a:p>
                    <a:r>
                      <a:rPr lang="en-US"/>
                      <a:t>26.3%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19</c:v>
              </c:pt>
            </c:numLit>
          </c:val>
        </c:ser>
        <c:ser>
          <c:idx val="10"/>
          <c:order val="10"/>
          <c:tx>
            <c:v>SI</c:v>
          </c:tx>
          <c:spPr>
            <a:solidFill>
              <a:srgbClr val="7500CC"/>
            </a:solidFill>
            <a:ln>
              <a:solidFill>
                <a:schemeClr val="bg1"/>
              </a:solidFill>
            </a:ln>
          </c:spPr>
          <c:invertIfNegative val="0"/>
          <c:dLbls>
            <c:dLbl>
              <c:idx val="0"/>
              <c:layout>
                <c:manualLayout>
                  <c:x val="1.5784428946703812E-2"/>
                  <c:y val="1.2660823192767181E-2"/>
                </c:manualLayout>
              </c:layout>
              <c:tx>
                <c:rich>
                  <a:bodyPr/>
                  <a:lstStyle/>
                  <a:p>
                    <a:r>
                      <a:rPr lang="en-US"/>
                      <a:t>71.4%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c:v>
              </c:pt>
            </c:numLit>
          </c:val>
        </c:ser>
        <c:ser>
          <c:idx val="11"/>
          <c:order val="11"/>
          <c:tx>
            <c:v>espace</c:v>
          </c:tx>
          <c:spPr>
            <a:noFill/>
          </c:spPr>
          <c:invertIfNegative val="0"/>
          <c:val>
            <c:numLit>
              <c:formatCode>General</c:formatCode>
              <c:ptCount val="1"/>
              <c:pt idx="0">
                <c:v>1</c:v>
              </c:pt>
            </c:numLit>
          </c:val>
        </c:ser>
        <c:ser>
          <c:idx val="12"/>
          <c:order val="12"/>
          <c:tx>
            <c:v>NL</c:v>
          </c:tx>
          <c:spPr>
            <a:solidFill>
              <a:srgbClr val="00B0F0"/>
            </a:solidFill>
            <a:ln>
              <a:solidFill>
                <a:schemeClr val="bg1"/>
              </a:solidFill>
            </a:ln>
          </c:spPr>
          <c:invertIfNegative val="0"/>
          <c:dPt>
            <c:idx val="0"/>
            <c:invertIfNegative val="0"/>
            <c:bubble3D val="0"/>
            <c:spPr>
              <a:solidFill>
                <a:schemeClr val="bg1">
                  <a:lumMod val="65000"/>
                </a:schemeClr>
              </a:solidFill>
              <a:ln>
                <a:solidFill>
                  <a:schemeClr val="bg1"/>
                </a:solidFill>
              </a:ln>
            </c:spPr>
          </c:dPt>
          <c:dLbls>
            <c:dLbl>
              <c:idx val="0"/>
              <c:layout>
                <c:manualLayout>
                  <c:x val="2.6395196642636028E-3"/>
                  <c:y val="-2.585495484417491E-2"/>
                </c:manualLayout>
              </c:layout>
              <c:tx>
                <c:rich>
                  <a:bodyPr/>
                  <a:lstStyle/>
                  <a:p>
                    <a:endParaRPr lang="en-US"/>
                  </a:p>
                  <a:p>
                    <a:r>
                      <a:rPr lang="en-US"/>
                      <a:t>88.2%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c:v>
              </c:pt>
            </c:numLit>
          </c:val>
        </c:ser>
        <c:ser>
          <c:idx val="13"/>
          <c:order val="13"/>
          <c:tx>
            <c:v>US</c:v>
          </c:tx>
          <c:spPr>
            <a:solidFill>
              <a:srgbClr val="800080"/>
            </a:solidFill>
            <a:ln>
              <a:solidFill>
                <a:schemeClr val="bg1"/>
              </a:solidFill>
            </a:ln>
          </c:spPr>
          <c:invertIfNegative val="0"/>
          <c:dLbls>
            <c:dLbl>
              <c:idx val="0"/>
              <c:layout>
                <c:manualLayout>
                  <c:x val="-3.6125349481613694E-6"/>
                  <c:y val="1.2840683047898691E-2"/>
                </c:manualLayout>
              </c:layout>
              <c:tx>
                <c:rich>
                  <a:bodyPr/>
                  <a:lstStyle/>
                  <a:p>
                    <a:r>
                      <a:rPr lang="en-US"/>
                      <a:t>72.7%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c:v>
              </c:pt>
            </c:numLit>
          </c:val>
        </c:ser>
        <c:ser>
          <c:idx val="14"/>
          <c:order val="14"/>
          <c:tx>
            <c:v>JP</c:v>
          </c:tx>
          <c:spPr>
            <a:solidFill>
              <a:schemeClr val="accent5">
                <a:lumMod val="40000"/>
                <a:lumOff val="60000"/>
              </a:schemeClr>
            </a:solidFill>
            <a:ln>
              <a:solidFill>
                <a:schemeClr val="bg1"/>
              </a:solidFill>
            </a:ln>
          </c:spPr>
          <c:invertIfNegative val="0"/>
          <c:dLbls>
            <c:dLbl>
              <c:idx val="0"/>
              <c:layout>
                <c:manualLayout>
                  <c:x val="-7.1468638979494315E-6"/>
                  <c:y val="-4.7371944638002102E-2"/>
                </c:manualLayout>
              </c:layout>
              <c:tx>
                <c:rich>
                  <a:bodyPr/>
                  <a:lstStyle/>
                  <a:p>
                    <a:r>
                      <a:rPr lang="en-US"/>
                      <a:t>85.7%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c:v>
              </c:pt>
            </c:numLit>
          </c:val>
        </c:ser>
        <c:ser>
          <c:idx val="15"/>
          <c:order val="15"/>
          <c:tx>
            <c:v>DE</c:v>
          </c:tx>
          <c:spPr>
            <a:solidFill>
              <a:srgbClr val="FFC000"/>
            </a:solidFill>
            <a:ln>
              <a:solidFill>
                <a:schemeClr val="bg1"/>
              </a:solidFill>
            </a:ln>
          </c:spPr>
          <c:invertIfNegative val="0"/>
          <c:dLbls>
            <c:dLbl>
              <c:idx val="0"/>
              <c:layout>
                <c:manualLayout>
                  <c:x val="-7.9102058347671356E-3"/>
                  <c:y val="1.7121360110062035E-2"/>
                </c:manualLayout>
              </c:layout>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c:v>
              </c:pt>
            </c:numLit>
          </c:val>
        </c:ser>
        <c:ser>
          <c:idx val="16"/>
          <c:order val="16"/>
          <c:tx>
            <c:v>CH</c:v>
          </c:tx>
          <c:spPr>
            <a:solidFill>
              <a:srgbClr val="FF0000"/>
            </a:solidFill>
            <a:ln>
              <a:solidFill>
                <a:schemeClr val="bg1"/>
              </a:solidFill>
            </a:ln>
          </c:spPr>
          <c:invertIfNegative val="0"/>
          <c:dLbls>
            <c:dLbl>
              <c:idx val="0"/>
              <c:layout>
                <c:manualLayout>
                  <c:x val="-1.5820411669534272E-3"/>
                  <c:y val="4.2803400275155086E-3"/>
                </c:manualLayout>
              </c:layout>
              <c:tx>
                <c:rich>
                  <a:bodyPr/>
                  <a:lstStyle/>
                  <a:p>
                    <a:r>
                      <a:rPr lang="en-US"/>
                      <a:t>7.8%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51</c:v>
              </c:pt>
            </c:numLit>
          </c:val>
        </c:ser>
        <c:ser>
          <c:idx val="18"/>
          <c:order val="17"/>
          <c:tx>
            <c:v>espace</c:v>
          </c:tx>
          <c:spPr>
            <a:noFill/>
          </c:spPr>
          <c:invertIfNegative val="0"/>
          <c:val>
            <c:numLit>
              <c:formatCode>General</c:formatCode>
              <c:ptCount val="1"/>
              <c:pt idx="0">
                <c:v>1</c:v>
              </c:pt>
            </c:numLit>
          </c:val>
        </c:ser>
        <c:ser>
          <c:idx val="17"/>
          <c:order val="18"/>
          <c:tx>
            <c:v>KR</c:v>
          </c:tx>
          <c:spPr>
            <a:solidFill>
              <a:srgbClr val="009999"/>
            </a:solidFill>
            <a:ln>
              <a:solidFill>
                <a:schemeClr val="bg1"/>
              </a:solidFill>
            </a:ln>
          </c:spPr>
          <c:invertIfNegative val="0"/>
          <c:dLbls>
            <c:dLbl>
              <c:idx val="0"/>
              <c:layout>
                <c:manualLayout>
                  <c:x val="-1.5854403423846426E-3"/>
                  <c:y val="-2.63457938817615E-2"/>
                </c:manualLayout>
              </c:layout>
              <c:tx>
                <c:rich>
                  <a:bodyPr/>
                  <a:lstStyle/>
                  <a:p>
                    <a:r>
                      <a:rPr lang="en-US"/>
                      <a:t>81.4%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c:v>
              </c:pt>
            </c:numLit>
          </c:val>
        </c:ser>
        <c:ser>
          <c:idx val="20"/>
          <c:order val="19"/>
          <c:tx>
            <c:v>NL</c:v>
          </c:tx>
          <c:spPr>
            <a:solidFill>
              <a:schemeClr val="bg1">
                <a:lumMod val="65000"/>
              </a:schemeClr>
            </a:solidFill>
            <a:ln>
              <a:solidFill>
                <a:schemeClr val="bg1"/>
              </a:solidFill>
            </a:ln>
          </c:spPr>
          <c:invertIfNegative val="0"/>
          <c:dLbls>
            <c:dLbl>
              <c:idx val="0"/>
              <c:layout>
                <c:manualLayout>
                  <c:x val="4.7352128477344026E-3"/>
                  <c:y val="-2.5461463841182658E-2"/>
                </c:manualLayout>
              </c:layout>
              <c:tx>
                <c:rich>
                  <a:bodyPr/>
                  <a:lstStyle/>
                  <a:p>
                    <a:r>
                      <a:rPr lang="en-US"/>
                      <a:t>80.8%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26</c:v>
              </c:pt>
            </c:numLit>
          </c:val>
        </c:ser>
        <c:ser>
          <c:idx val="19"/>
          <c:order val="20"/>
          <c:tx>
            <c:v>IT</c:v>
          </c:tx>
          <c:spPr>
            <a:solidFill>
              <a:srgbClr val="92D050"/>
            </a:solidFill>
          </c:spPr>
          <c:invertIfNegative val="0"/>
          <c:dLbls>
            <c:dLbl>
              <c:idx val="0"/>
              <c:layout>
                <c:manualLayout>
                  <c:x val="-6.3324538258575196E-3"/>
                  <c:y val="4.3379650503475612E-3"/>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c:v>
              </c:pt>
            </c:numLit>
          </c:val>
        </c:ser>
        <c:ser>
          <c:idx val="21"/>
          <c:order val="21"/>
          <c:tx>
            <c:v>FR</c:v>
          </c:tx>
          <c:spPr>
            <a:solidFill>
              <a:srgbClr val="0070C0"/>
            </a:solidFill>
          </c:spPr>
          <c:invertIfNegative val="0"/>
          <c:dLbls>
            <c:dLbl>
              <c:idx val="0"/>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c:v>
              </c:pt>
            </c:numLit>
          </c:val>
        </c:ser>
        <c:ser>
          <c:idx val="22"/>
          <c:order val="22"/>
          <c:tx>
            <c:v>JP</c:v>
          </c:tx>
          <c:spPr>
            <a:solidFill>
              <a:schemeClr val="accent5">
                <a:lumMod val="40000"/>
                <a:lumOff val="60000"/>
              </a:schemeClr>
            </a:solidFill>
            <a:ln>
              <a:solidFill>
                <a:schemeClr val="bg1"/>
              </a:solidFill>
            </a:ln>
          </c:spPr>
          <c:invertIfNegative val="0"/>
          <c:dLbls>
            <c:dLbl>
              <c:idx val="0"/>
              <c:layout>
                <c:manualLayout>
                  <c:x val="9.4915127285664803E-3"/>
                  <c:y val="4.22015978377519E-3"/>
                </c:manualLayout>
              </c:layout>
              <c:tx>
                <c:rich>
                  <a:bodyPr/>
                  <a:lstStyle/>
                  <a:p>
                    <a:r>
                      <a:rPr lang="en-US"/>
                      <a:t>41.7%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c:v>
              </c:pt>
            </c:numLit>
          </c:val>
        </c:ser>
        <c:dLbls>
          <c:showLegendKey val="0"/>
          <c:showVal val="0"/>
          <c:showCatName val="0"/>
          <c:showSerName val="0"/>
          <c:showPercent val="0"/>
          <c:showBubbleSize val="0"/>
        </c:dLbls>
        <c:gapWidth val="150"/>
        <c:shape val="box"/>
        <c:axId val="80643584"/>
        <c:axId val="80645120"/>
        <c:axId val="0"/>
      </c:bar3DChart>
      <c:catAx>
        <c:axId val="80643584"/>
        <c:scaling>
          <c:orientation val="minMax"/>
        </c:scaling>
        <c:delete val="1"/>
        <c:axPos val="b"/>
        <c:numFmt formatCode="General" sourceLinked="1"/>
        <c:majorTickMark val="out"/>
        <c:minorTickMark val="none"/>
        <c:tickLblPos val="nextTo"/>
        <c:crossAx val="80645120"/>
        <c:crosses val="autoZero"/>
        <c:auto val="1"/>
        <c:lblAlgn val="ctr"/>
        <c:lblOffset val="100"/>
        <c:noMultiLvlLbl val="0"/>
      </c:catAx>
      <c:valAx>
        <c:axId val="80645120"/>
        <c:scaling>
          <c:orientation val="minMax"/>
          <c:max val="700"/>
        </c:scaling>
        <c:delete val="0"/>
        <c:axPos val="l"/>
        <c:majorGridlines>
          <c:spPr>
            <a:ln>
              <a:noFill/>
            </a:ln>
          </c:spPr>
        </c:majorGridlines>
        <c:numFmt formatCode="General" sourceLinked="1"/>
        <c:majorTickMark val="out"/>
        <c:minorTickMark val="none"/>
        <c:tickLblPos val="nextTo"/>
        <c:crossAx val="80643584"/>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3"/>
          <c:order val="0"/>
          <c:tx>
            <c:v>FR1</c:v>
          </c:tx>
          <c:spPr>
            <a:solidFill>
              <a:srgbClr val="0070C0"/>
            </a:solidFill>
            <a:ln>
              <a:solidFill>
                <a:schemeClr val="bg1"/>
              </a:solidFill>
            </a:ln>
          </c:spPr>
          <c:invertIfNegative val="0"/>
          <c:dLbls>
            <c:dLbl>
              <c:idx val="0"/>
              <c:tx>
                <c:rich>
                  <a:bodyPr/>
                  <a:lstStyle/>
                  <a:p>
                    <a:pPr>
                      <a:defRPr/>
                    </a:pPr>
                    <a:r>
                      <a:rPr lang="en-US"/>
                      <a:t>14.5%</a:t>
                    </a:r>
                  </a:p>
                </c:rich>
              </c:tx>
              <c:numFmt formatCode="General" sourceLinked="0"/>
              <c:spPr/>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val>
            <c:numLit>
              <c:formatCode>General</c:formatCode>
              <c:ptCount val="1"/>
              <c:pt idx="0">
                <c:v>14.5</c:v>
              </c:pt>
            </c:numLit>
          </c:val>
        </c:ser>
        <c:ser>
          <c:idx val="4"/>
          <c:order val="1"/>
          <c:tx>
            <c:v>FR2</c:v>
          </c:tx>
          <c:spPr>
            <a:solidFill>
              <a:srgbClr val="00B0F0"/>
            </a:solidFill>
            <a:ln>
              <a:solidFill>
                <a:schemeClr val="bg1"/>
              </a:solidFill>
            </a:ln>
          </c:spPr>
          <c:invertIfNegative val="0"/>
          <c:dLbls>
            <c:dLbl>
              <c:idx val="0"/>
              <c:tx>
                <c:rich>
                  <a:bodyPr/>
                  <a:lstStyle/>
                  <a:p>
                    <a:r>
                      <a:rPr lang="en-US"/>
                      <a:t>72.3%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72.3</c:v>
              </c:pt>
            </c:numLit>
          </c:val>
        </c:ser>
        <c:ser>
          <c:idx val="1"/>
          <c:order val="2"/>
          <c:tx>
            <c:v>espace</c:v>
          </c:tx>
          <c:spPr>
            <a:noFill/>
            <a:ln>
              <a:noFill/>
            </a:ln>
          </c:spPr>
          <c:invertIfNegative val="0"/>
          <c:val>
            <c:numLit>
              <c:formatCode>General</c:formatCode>
              <c:ptCount val="1"/>
              <c:pt idx="0">
                <c:v>1</c:v>
              </c:pt>
            </c:numLit>
          </c:val>
        </c:ser>
        <c:ser>
          <c:idx val="0"/>
          <c:order val="3"/>
          <c:tx>
            <c:v>CH</c:v>
          </c:tx>
          <c:spPr>
            <a:solidFill>
              <a:srgbClr val="FF0000"/>
            </a:solidFill>
            <a:ln>
              <a:solidFill>
                <a:schemeClr val="bg1"/>
              </a:solidFill>
            </a:ln>
          </c:spPr>
          <c:invertIfNegative val="0"/>
          <c:dLbls>
            <c:dLbl>
              <c:idx val="0"/>
              <c:tx>
                <c:rich>
                  <a:bodyPr/>
                  <a:lstStyle/>
                  <a:p>
                    <a:r>
                      <a:rPr lang="en-US"/>
                      <a:t>84.4%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84.4</c:v>
              </c:pt>
            </c:numLit>
          </c:val>
        </c:ser>
        <c:ser>
          <c:idx val="2"/>
          <c:order val="4"/>
          <c:tx>
            <c:v>espace</c:v>
          </c:tx>
          <c:spPr>
            <a:noFill/>
          </c:spPr>
          <c:invertIfNegative val="0"/>
          <c:val>
            <c:numLit>
              <c:formatCode>General</c:formatCode>
              <c:ptCount val="1"/>
              <c:pt idx="0">
                <c:v>0</c:v>
              </c:pt>
            </c:numLit>
          </c:val>
        </c:ser>
        <c:ser>
          <c:idx val="19"/>
          <c:order val="5"/>
          <c:tx>
            <c:v>ES1</c:v>
          </c:tx>
          <c:spPr>
            <a:solidFill>
              <a:srgbClr val="F55592"/>
            </a:solidFill>
            <a:ln>
              <a:solidFill>
                <a:schemeClr val="bg1"/>
              </a:solidFill>
            </a:ln>
          </c:spPr>
          <c:invertIfNegative val="0"/>
          <c:dLbls>
            <c:dLbl>
              <c:idx val="0"/>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20"/>
          <c:order val="6"/>
          <c:tx>
            <c:v>ES2</c:v>
          </c:tx>
          <c:spPr>
            <a:solidFill>
              <a:srgbClr val="00B0F0"/>
            </a:solidFill>
            <a:ln>
              <a:solidFill>
                <a:schemeClr val="bg1"/>
              </a:solidFill>
            </a:ln>
          </c:spPr>
          <c:invertIfNegative val="0"/>
          <c:dLbls>
            <c:dLbl>
              <c:idx val="0"/>
              <c:tx>
                <c:rich>
                  <a:bodyPr/>
                  <a:lstStyle/>
                  <a:p>
                    <a:r>
                      <a:rPr lang="en-US"/>
                      <a:t>79.4%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79.400000000000006</c:v>
              </c:pt>
            </c:numLit>
          </c:val>
        </c:ser>
        <c:ser>
          <c:idx val="18"/>
          <c:order val="7"/>
          <c:tx>
            <c:v>espace</c:v>
          </c:tx>
          <c:spPr>
            <a:noFill/>
          </c:spPr>
          <c:invertIfNegative val="0"/>
          <c:val>
            <c:numLit>
              <c:formatCode>General</c:formatCode>
              <c:ptCount val="1"/>
              <c:pt idx="0">
                <c:v>0</c:v>
              </c:pt>
            </c:numLit>
          </c:val>
        </c:ser>
        <c:ser>
          <c:idx val="6"/>
          <c:order val="8"/>
          <c:tx>
            <c:v>DE1</c:v>
          </c:tx>
          <c:spPr>
            <a:solidFill>
              <a:srgbClr val="FFC000"/>
            </a:solidFill>
            <a:ln>
              <a:solidFill>
                <a:schemeClr val="bg1"/>
              </a:solidFill>
            </a:ln>
          </c:spPr>
          <c:invertIfNegative val="0"/>
          <c:dLbls>
            <c:dLbl>
              <c:idx val="0"/>
              <c:tx>
                <c:rich>
                  <a:bodyPr/>
                  <a:lstStyle/>
                  <a:p>
                    <a:r>
                      <a:rPr lang="en-US"/>
                      <a:t>13.1%</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13.1</c:v>
              </c:pt>
            </c:numLit>
          </c:val>
        </c:ser>
        <c:ser>
          <c:idx val="9"/>
          <c:order val="9"/>
          <c:tx>
            <c:v>DE2</c:v>
          </c:tx>
          <c:spPr>
            <a:solidFill>
              <a:srgbClr val="00B0F0"/>
            </a:solidFill>
            <a:ln>
              <a:solidFill>
                <a:schemeClr val="bg1"/>
              </a:solidFill>
            </a:ln>
          </c:spPr>
          <c:invertIfNegative val="0"/>
          <c:dLbls>
            <c:dLbl>
              <c:idx val="0"/>
              <c:tx>
                <c:rich>
                  <a:bodyPr/>
                  <a:lstStyle/>
                  <a:p>
                    <a:r>
                      <a:rPr lang="en-US"/>
                      <a:t>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64</c:v>
              </c:pt>
            </c:numLit>
          </c:val>
        </c:ser>
        <c:ser>
          <c:idx val="5"/>
          <c:order val="10"/>
          <c:tx>
            <c:v>espace</c:v>
          </c:tx>
          <c:spPr>
            <a:noFill/>
          </c:spPr>
          <c:invertIfNegative val="0"/>
          <c:val>
            <c:numLit>
              <c:formatCode>General</c:formatCode>
              <c:ptCount val="1"/>
              <c:pt idx="0">
                <c:v>0</c:v>
              </c:pt>
            </c:numLit>
          </c:val>
        </c:ser>
        <c:ser>
          <c:idx val="16"/>
          <c:order val="11"/>
          <c:tx>
            <c:v>BE</c:v>
          </c:tx>
          <c:spPr>
            <a:solidFill>
              <a:srgbClr val="FFFFB3"/>
            </a:solidFill>
            <a:ln w="3175">
              <a:solidFill>
                <a:schemeClr val="bg1">
                  <a:lumMod val="65000"/>
                </a:schemeClr>
              </a:solidFill>
            </a:ln>
          </c:spPr>
          <c:invertIfNegative val="0"/>
          <c:dLbls>
            <c:dLbl>
              <c:idx val="0"/>
              <c:tx>
                <c:rich>
                  <a:bodyPr/>
                  <a:lstStyle/>
                  <a:p>
                    <a:r>
                      <a:rPr lang="en-US"/>
                      <a:t>13.8%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13.8</c:v>
              </c:pt>
            </c:numLit>
          </c:val>
        </c:ser>
        <c:ser>
          <c:idx val="17"/>
          <c:order val="12"/>
          <c:tx>
            <c:v>BE</c:v>
          </c:tx>
          <c:spPr>
            <a:solidFill>
              <a:srgbClr val="00B0F0"/>
            </a:solidFill>
            <a:ln>
              <a:solidFill>
                <a:schemeClr val="bg1"/>
              </a:solidFill>
            </a:ln>
          </c:spPr>
          <c:invertIfNegative val="0"/>
          <c:dLbls>
            <c:dLbl>
              <c:idx val="0"/>
              <c:tx>
                <c:rich>
                  <a:bodyPr/>
                  <a:lstStyle/>
                  <a:p>
                    <a:r>
                      <a:rPr lang="en-US"/>
                      <a:t>62.1%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62.1</c:v>
              </c:pt>
            </c:numLit>
          </c:val>
        </c:ser>
        <c:ser>
          <c:idx val="14"/>
          <c:order val="13"/>
          <c:tx>
            <c:v>espace</c:v>
          </c:tx>
          <c:spPr>
            <a:noFill/>
          </c:spPr>
          <c:invertIfNegative val="0"/>
          <c:val>
            <c:numLit>
              <c:formatCode>General</c:formatCode>
              <c:ptCount val="1"/>
              <c:pt idx="0">
                <c:v>0</c:v>
              </c:pt>
            </c:numLit>
          </c:val>
        </c:ser>
        <c:ser>
          <c:idx val="7"/>
          <c:order val="14"/>
          <c:tx>
            <c:v>IT1</c:v>
          </c:tx>
          <c:spPr>
            <a:solidFill>
              <a:srgbClr val="92D050"/>
            </a:solidFill>
            <a:ln>
              <a:noFill/>
            </a:ln>
          </c:spPr>
          <c:invertIfNegative val="0"/>
          <c:dLbls>
            <c:dLbl>
              <c:idx val="0"/>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c:v>
              </c:pt>
            </c:numLit>
          </c:val>
        </c:ser>
        <c:ser>
          <c:idx val="8"/>
          <c:order val="15"/>
          <c:tx>
            <c:v>IT2</c:v>
          </c:tx>
          <c:spPr>
            <a:solidFill>
              <a:srgbClr val="00B0F0"/>
            </a:solidFill>
            <a:ln>
              <a:solidFill>
                <a:schemeClr val="bg1"/>
              </a:solidFill>
            </a:ln>
          </c:spPr>
          <c:invertIfNegative val="0"/>
          <c:dLbls>
            <c:dLbl>
              <c:idx val="0"/>
              <c:tx>
                <c:rich>
                  <a:bodyPr/>
                  <a:lstStyle/>
                  <a:p>
                    <a:r>
                      <a:rPr lang="en-US"/>
                      <a:t>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c:v>
              </c:pt>
            </c:numLit>
          </c:val>
        </c:ser>
        <c:ser>
          <c:idx val="13"/>
          <c:order val="16"/>
          <c:tx>
            <c:v>espace</c:v>
          </c:tx>
          <c:spPr>
            <a:noFill/>
          </c:spPr>
          <c:invertIfNegative val="0"/>
          <c:val>
            <c:numLit>
              <c:formatCode>General</c:formatCode>
              <c:ptCount val="1"/>
              <c:pt idx="0">
                <c:v>0</c:v>
              </c:pt>
            </c:numLit>
          </c:val>
        </c:ser>
        <c:ser>
          <c:idx val="26"/>
          <c:order val="17"/>
          <c:tx>
            <c:v>LI</c:v>
          </c:tx>
          <c:spPr>
            <a:solidFill>
              <a:srgbClr val="6600FF"/>
            </a:solidFill>
            <a:ln>
              <a:solidFill>
                <a:schemeClr val="bg1"/>
              </a:solidFill>
            </a:ln>
          </c:spPr>
          <c:invertIfNegative val="0"/>
          <c:dLbls>
            <c:dLbl>
              <c:idx val="0"/>
              <c:tx>
                <c:rich>
                  <a:bodyPr/>
                  <a:lstStyle/>
                  <a:p>
                    <a:r>
                      <a:rPr lang="en-US"/>
                      <a:t>25%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25</c:v>
              </c:pt>
            </c:numLit>
          </c:val>
        </c:ser>
        <c:ser>
          <c:idx val="25"/>
          <c:order val="18"/>
          <c:tx>
            <c:v>espace</c:v>
          </c:tx>
          <c:spPr>
            <a:noFill/>
          </c:spPr>
          <c:invertIfNegative val="0"/>
          <c:val>
            <c:numLit>
              <c:formatCode>General</c:formatCode>
              <c:ptCount val="1"/>
              <c:pt idx="0">
                <c:v>0</c:v>
              </c:pt>
            </c:numLit>
          </c:val>
        </c:ser>
        <c:ser>
          <c:idx val="11"/>
          <c:order val="19"/>
          <c:tx>
            <c:v>NL2</c:v>
          </c:tx>
          <c:spPr>
            <a:solidFill>
              <a:srgbClr val="FFFFB3"/>
            </a:solidFill>
            <a:ln w="6350">
              <a:noFill/>
            </a:ln>
          </c:spPr>
          <c:invertIfNegative val="0"/>
          <c:dLbls>
            <c:dLbl>
              <c:idx val="0"/>
              <c:layout>
                <c:manualLayout>
                  <c:x val="3.2790339088253004E-3"/>
                  <c:y val="4.2849440561752794E-3"/>
                </c:manualLayout>
              </c:layout>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12"/>
          <c:order val="20"/>
          <c:tx>
            <c:v>NL3</c:v>
          </c:tx>
          <c:spPr>
            <a:solidFill>
              <a:srgbClr val="00B0F0"/>
            </a:solidFill>
            <a:ln>
              <a:solidFill>
                <a:schemeClr val="bg1"/>
              </a:solidFill>
            </a:ln>
          </c:spPr>
          <c:invertIfNegative val="0"/>
          <c:dLbls>
            <c:dLbl>
              <c:idx val="0"/>
              <c:layout>
                <c:manualLayout>
                  <c:x val="0"/>
                  <c:y val="-8.5698881123506369E-3"/>
                </c:manualLayout>
              </c:layout>
              <c:tx>
                <c:rich>
                  <a:bodyPr/>
                  <a:lstStyle/>
                  <a:p>
                    <a:r>
                      <a:rPr lang="en-US"/>
                      <a:t>18.9%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18.899999999999999</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tx>
                <c:rich>
                  <a:bodyPr/>
                  <a:lstStyle/>
                  <a:p>
                    <a:r>
                      <a:rPr lang="en-US"/>
                      <a:t>15.4%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15.4</c:v>
              </c:pt>
            </c:numLit>
          </c:val>
        </c:ser>
        <c:dLbls>
          <c:showLegendKey val="0"/>
          <c:showVal val="0"/>
          <c:showCatName val="0"/>
          <c:showSerName val="0"/>
          <c:showPercent val="0"/>
          <c:showBubbleSize val="0"/>
        </c:dLbls>
        <c:gapWidth val="150"/>
        <c:shape val="box"/>
        <c:axId val="80869632"/>
        <c:axId val="80887808"/>
        <c:axId val="0"/>
      </c:bar3DChart>
      <c:catAx>
        <c:axId val="80869632"/>
        <c:scaling>
          <c:orientation val="minMax"/>
        </c:scaling>
        <c:delete val="1"/>
        <c:axPos val="b"/>
        <c:numFmt formatCode="General" sourceLinked="1"/>
        <c:majorTickMark val="out"/>
        <c:minorTickMark val="none"/>
        <c:tickLblPos val="nextTo"/>
        <c:crossAx val="80887808"/>
        <c:crosses val="autoZero"/>
        <c:auto val="1"/>
        <c:lblAlgn val="ctr"/>
        <c:lblOffset val="100"/>
        <c:noMultiLvlLbl val="0"/>
      </c:catAx>
      <c:valAx>
        <c:axId val="80887808"/>
        <c:scaling>
          <c:orientation val="minMax"/>
          <c:max val="100"/>
        </c:scaling>
        <c:delete val="0"/>
        <c:axPos val="l"/>
        <c:majorGridlines>
          <c:spPr>
            <a:ln>
              <a:noFill/>
            </a:ln>
          </c:spPr>
        </c:majorGridlines>
        <c:numFmt formatCode="General" sourceLinked="0"/>
        <c:majorTickMark val="out"/>
        <c:minorTickMark val="none"/>
        <c:tickLblPos val="nextTo"/>
        <c:crossAx val="80869632"/>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0"/>
          <c:order val="0"/>
          <c:tx>
            <c:v>CH</c:v>
          </c:tx>
          <c:spPr>
            <a:solidFill>
              <a:srgbClr val="FF0000"/>
            </a:solidFill>
            <a:ln>
              <a:solidFill>
                <a:schemeClr val="bg1"/>
              </a:solidFill>
            </a:ln>
          </c:spPr>
          <c:invertIfNegative val="0"/>
          <c:dLbls>
            <c:dLbl>
              <c:idx val="0"/>
              <c:tx>
                <c:rich>
                  <a:bodyPr/>
                  <a:lstStyle/>
                  <a:p>
                    <a:r>
                      <a:rPr lang="en-US"/>
                      <a:t>86.6%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86.6</c:v>
              </c:pt>
            </c:numLit>
          </c:val>
        </c:ser>
        <c:ser>
          <c:idx val="2"/>
          <c:order val="1"/>
          <c:tx>
            <c:v>espace</c:v>
          </c:tx>
          <c:spPr>
            <a:noFill/>
          </c:spPr>
          <c:invertIfNegative val="0"/>
          <c:val>
            <c:numLit>
              <c:formatCode>General</c:formatCode>
              <c:ptCount val="1"/>
              <c:pt idx="0">
                <c:v>0</c:v>
              </c:pt>
            </c:numLit>
          </c:val>
        </c:ser>
        <c:ser>
          <c:idx val="3"/>
          <c:order val="2"/>
          <c:tx>
            <c:v>FR1</c:v>
          </c:tx>
          <c:spPr>
            <a:solidFill>
              <a:srgbClr val="0070C0"/>
            </a:solidFill>
            <a:ln>
              <a:solidFill>
                <a:schemeClr val="bg1"/>
              </a:solidFill>
            </a:ln>
          </c:spPr>
          <c:invertIfNegative val="0"/>
          <c:dLbls>
            <c:dLbl>
              <c:idx val="0"/>
              <c:tx>
                <c:rich>
                  <a:bodyPr/>
                  <a:lstStyle/>
                  <a:p>
                    <a:r>
                      <a:rPr lang="en-US"/>
                      <a:t>12.9%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12.9</c:v>
              </c:pt>
            </c:numLit>
          </c:val>
        </c:ser>
        <c:ser>
          <c:idx val="4"/>
          <c:order val="3"/>
          <c:tx>
            <c:v>FR2</c:v>
          </c:tx>
          <c:spPr>
            <a:solidFill>
              <a:srgbClr val="00B0F0"/>
            </a:solidFill>
            <a:ln>
              <a:solidFill>
                <a:schemeClr val="bg1"/>
              </a:solidFill>
            </a:ln>
          </c:spPr>
          <c:invertIfNegative val="0"/>
          <c:dLbls>
            <c:dLbl>
              <c:idx val="0"/>
              <c:tx>
                <c:rich>
                  <a:bodyPr/>
                  <a:lstStyle/>
                  <a:p>
                    <a:r>
                      <a:rPr lang="en-US"/>
                      <a:t>70.2%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70.2</c:v>
              </c:pt>
            </c:numLit>
          </c:val>
        </c:ser>
        <c:ser>
          <c:idx val="1"/>
          <c:order val="4"/>
          <c:tx>
            <c:v>espace</c:v>
          </c:tx>
          <c:spPr>
            <a:noFill/>
            <a:ln>
              <a:noFill/>
            </a:ln>
          </c:spPr>
          <c:invertIfNegative val="0"/>
          <c:val>
            <c:numLit>
              <c:formatCode>General</c:formatCode>
              <c:ptCount val="1"/>
              <c:pt idx="0">
                <c:v>1</c:v>
              </c:pt>
            </c:numLit>
          </c:val>
        </c:ser>
        <c:ser>
          <c:idx val="6"/>
          <c:order val="5"/>
          <c:tx>
            <c:v>DE1</c:v>
          </c:tx>
          <c:spPr>
            <a:solidFill>
              <a:srgbClr val="FFC000"/>
            </a:solidFill>
            <a:ln>
              <a:solidFill>
                <a:schemeClr val="bg1"/>
              </a:solidFill>
            </a:ln>
          </c:spPr>
          <c:invertIfNegative val="0"/>
          <c:dLbls>
            <c:dLbl>
              <c:idx val="0"/>
              <c:tx>
                <c:rich>
                  <a:bodyPr/>
                  <a:lstStyle/>
                  <a:p>
                    <a:r>
                      <a:rPr lang="en-US"/>
                      <a:t>8.5%</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8.5</c:v>
              </c:pt>
            </c:numLit>
          </c:val>
        </c:ser>
        <c:ser>
          <c:idx val="9"/>
          <c:order val="6"/>
          <c:tx>
            <c:v>DE2</c:v>
          </c:tx>
          <c:spPr>
            <a:solidFill>
              <a:srgbClr val="00B0F0"/>
            </a:solidFill>
            <a:ln>
              <a:solidFill>
                <a:schemeClr val="bg1"/>
              </a:solidFill>
            </a:ln>
          </c:spPr>
          <c:invertIfNegative val="0"/>
          <c:dLbls>
            <c:dLbl>
              <c:idx val="0"/>
              <c:tx>
                <c:rich>
                  <a:bodyPr/>
                  <a:lstStyle/>
                  <a:p>
                    <a:r>
                      <a:rPr lang="en-US"/>
                      <a:t>63.9%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63.9</c:v>
              </c:pt>
            </c:numLit>
          </c:val>
        </c:ser>
        <c:ser>
          <c:idx val="5"/>
          <c:order val="7"/>
          <c:tx>
            <c:v>espace</c:v>
          </c:tx>
          <c:spPr>
            <a:noFill/>
          </c:spPr>
          <c:invertIfNegative val="0"/>
          <c:val>
            <c:numLit>
              <c:formatCode>General</c:formatCode>
              <c:ptCount val="1"/>
              <c:pt idx="0">
                <c:v>0</c:v>
              </c:pt>
            </c:numLit>
          </c:val>
        </c:ser>
        <c:ser>
          <c:idx val="19"/>
          <c:order val="8"/>
          <c:tx>
            <c:v>ES1</c:v>
          </c:tx>
          <c:spPr>
            <a:solidFill>
              <a:srgbClr val="F55592"/>
            </a:solidFill>
            <a:ln>
              <a:solidFill>
                <a:schemeClr val="bg1"/>
              </a:solidFill>
            </a:ln>
          </c:spPr>
          <c:invertIfNegative val="0"/>
          <c:dLbls>
            <c:dLbl>
              <c:idx val="0"/>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20"/>
          <c:order val="9"/>
          <c:tx>
            <c:v>ES2</c:v>
          </c:tx>
          <c:spPr>
            <a:solidFill>
              <a:srgbClr val="00B0F0"/>
            </a:solidFill>
            <a:ln>
              <a:solidFill>
                <a:schemeClr val="bg1"/>
              </a:solidFill>
            </a:ln>
          </c:spPr>
          <c:invertIfNegative val="0"/>
          <c:dLbls>
            <c:dLbl>
              <c:idx val="0"/>
              <c:tx>
                <c:rich>
                  <a:bodyPr/>
                  <a:lstStyle/>
                  <a:p>
                    <a:r>
                      <a:rPr lang="en-US"/>
                      <a:t>58.8%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58.8</c:v>
              </c:pt>
            </c:numLit>
          </c:val>
        </c:ser>
        <c:ser>
          <c:idx val="18"/>
          <c:order val="10"/>
          <c:tx>
            <c:v>espace</c:v>
          </c:tx>
          <c:spPr>
            <a:noFill/>
          </c:spPr>
          <c:invertIfNegative val="0"/>
          <c:val>
            <c:numLit>
              <c:formatCode>General</c:formatCode>
              <c:ptCount val="1"/>
              <c:pt idx="0">
                <c:v>0</c:v>
              </c:pt>
            </c:numLit>
          </c:val>
        </c:ser>
        <c:ser>
          <c:idx val="16"/>
          <c:order val="11"/>
          <c:tx>
            <c:v>BE</c:v>
          </c:tx>
          <c:spPr>
            <a:solidFill>
              <a:srgbClr val="FFFFB3"/>
            </a:solidFill>
            <a:ln w="3175">
              <a:solidFill>
                <a:schemeClr val="bg1">
                  <a:lumMod val="65000"/>
                </a:schemeClr>
              </a:solidFill>
            </a:ln>
          </c:spPr>
          <c:invertIfNegative val="0"/>
          <c:dLbls>
            <c:dLbl>
              <c:idx val="0"/>
              <c:tx>
                <c:rich>
                  <a:bodyPr/>
                  <a:lstStyle/>
                  <a:p>
                    <a:r>
                      <a:rPr lang="en-US"/>
                      <a:t>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5.7</c:v>
              </c:pt>
            </c:numLit>
          </c:val>
        </c:ser>
        <c:ser>
          <c:idx val="17"/>
          <c:order val="12"/>
          <c:tx>
            <c:v>BE</c:v>
          </c:tx>
          <c:spPr>
            <a:solidFill>
              <a:srgbClr val="00B0F0"/>
            </a:solidFill>
            <a:ln>
              <a:solidFill>
                <a:schemeClr val="bg1"/>
              </a:solidFill>
            </a:ln>
          </c:spPr>
          <c:invertIfNegative val="0"/>
          <c:dLbls>
            <c:dLbl>
              <c:idx val="0"/>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22"/>
          <c:order val="13"/>
          <c:tx>
            <c:v>espace</c:v>
          </c:tx>
          <c:spPr>
            <a:noFill/>
          </c:spPr>
          <c:invertIfNegative val="0"/>
          <c:val>
            <c:numLit>
              <c:formatCode>General</c:formatCode>
              <c:ptCount val="1"/>
              <c:pt idx="0">
                <c:v>1</c:v>
              </c:pt>
            </c:numLit>
          </c:val>
        </c:ser>
        <c:ser>
          <c:idx val="7"/>
          <c:order val="14"/>
          <c:tx>
            <c:v>IT1</c:v>
          </c:tx>
          <c:spPr>
            <a:solidFill>
              <a:srgbClr val="92D050"/>
            </a:solidFill>
            <a:ln>
              <a:noFill/>
            </a:ln>
          </c:spPr>
          <c:invertIfNegative val="0"/>
          <c:dLbls>
            <c:dLbl>
              <c:idx val="0"/>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8"/>
          <c:order val="15"/>
          <c:tx>
            <c:v>IT2</c:v>
          </c:tx>
          <c:spPr>
            <a:solidFill>
              <a:srgbClr val="00B0F0"/>
            </a:solidFill>
            <a:ln>
              <a:solidFill>
                <a:schemeClr val="bg1"/>
              </a:solidFill>
            </a:ln>
          </c:spPr>
          <c:invertIfNegative val="0"/>
          <c:dLbls>
            <c:dLbl>
              <c:idx val="0"/>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13"/>
          <c:order val="16"/>
          <c:tx>
            <c:v>espace</c:v>
          </c:tx>
          <c:spPr>
            <a:noFill/>
          </c:spPr>
          <c:invertIfNegative val="0"/>
          <c:val>
            <c:numLit>
              <c:formatCode>General</c:formatCode>
              <c:ptCount val="1"/>
              <c:pt idx="0">
                <c:v>0</c:v>
              </c:pt>
            </c:numLit>
          </c:val>
        </c:ser>
        <c:ser>
          <c:idx val="11"/>
          <c:order val="17"/>
          <c:tx>
            <c:v>NL2</c:v>
          </c:tx>
          <c:spPr>
            <a:solidFill>
              <a:srgbClr val="FFFFB3"/>
            </a:solidFill>
            <a:ln w="6350">
              <a:noFill/>
            </a:ln>
          </c:spPr>
          <c:invertIfNegative val="0"/>
          <c:dLbls>
            <c:dLbl>
              <c:idx val="0"/>
              <c:layout>
                <c:manualLayout>
                  <c:x val="0"/>
                  <c:y val="-1.6797880821680905E-2"/>
                </c:manualLayout>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12"/>
          <c:order val="18"/>
          <c:tx>
            <c:v>NL3</c:v>
          </c:tx>
          <c:spPr>
            <a:solidFill>
              <a:srgbClr val="00B0F0"/>
            </a:solidFill>
            <a:ln>
              <a:solidFill>
                <a:schemeClr val="bg1"/>
              </a:solidFill>
            </a:ln>
          </c:spPr>
          <c:invertIfNegative val="0"/>
          <c:dLbls>
            <c:dLbl>
              <c:idx val="0"/>
              <c:tx>
                <c:rich>
                  <a:bodyPr/>
                  <a:lstStyle/>
                  <a:p>
                    <a:r>
                      <a:rPr lang="en-US"/>
                      <a:t>36.7%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36.700000000000003</c:v>
              </c:pt>
            </c:numLit>
          </c:val>
        </c:ser>
        <c:ser>
          <c:idx val="14"/>
          <c:order val="19"/>
          <c:tx>
            <c:v>espace</c:v>
          </c:tx>
          <c:spPr>
            <a:noFill/>
          </c:spPr>
          <c:invertIfNegative val="0"/>
          <c:val>
            <c:numLit>
              <c:formatCode>General</c:formatCode>
              <c:ptCount val="1"/>
              <c:pt idx="0">
                <c:v>0</c:v>
              </c:pt>
            </c:numLit>
          </c:val>
        </c:ser>
        <c:ser>
          <c:idx val="26"/>
          <c:order val="20"/>
          <c:tx>
            <c:v>LI</c:v>
          </c:tx>
          <c:spPr>
            <a:solidFill>
              <a:srgbClr val="6600FF"/>
            </a:solidFill>
            <a:ln>
              <a:solidFill>
                <a:schemeClr val="bg1"/>
              </a:solidFill>
            </a:ln>
          </c:spPr>
          <c:invertIfNegative val="0"/>
          <c:dLbls>
            <c:dLbl>
              <c:idx val="0"/>
              <c:tx>
                <c:rich>
                  <a:bodyPr/>
                  <a:lstStyle/>
                  <a:p>
                    <a:r>
                      <a:rPr lang="en-US"/>
                      <a:t>21.4%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21.4</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tx>
                <c:rich>
                  <a:bodyPr/>
                  <a:lstStyle/>
                  <a:p>
                    <a:r>
                      <a:rPr lang="en-US"/>
                      <a:t>9.3%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9.3000000000000007</c:v>
              </c:pt>
            </c:numLit>
          </c:val>
        </c:ser>
        <c:dLbls>
          <c:showLegendKey val="0"/>
          <c:showVal val="0"/>
          <c:showCatName val="0"/>
          <c:showSerName val="0"/>
          <c:showPercent val="0"/>
          <c:showBubbleSize val="0"/>
        </c:dLbls>
        <c:gapWidth val="150"/>
        <c:shape val="box"/>
        <c:axId val="81827712"/>
        <c:axId val="81829248"/>
        <c:axId val="0"/>
      </c:bar3DChart>
      <c:catAx>
        <c:axId val="81827712"/>
        <c:scaling>
          <c:orientation val="minMax"/>
        </c:scaling>
        <c:delete val="1"/>
        <c:axPos val="b"/>
        <c:numFmt formatCode="General" sourceLinked="1"/>
        <c:majorTickMark val="out"/>
        <c:minorTickMark val="none"/>
        <c:tickLblPos val="nextTo"/>
        <c:crossAx val="81829248"/>
        <c:crosses val="autoZero"/>
        <c:auto val="1"/>
        <c:lblAlgn val="ctr"/>
        <c:lblOffset val="100"/>
        <c:noMultiLvlLbl val="0"/>
      </c:catAx>
      <c:valAx>
        <c:axId val="81829248"/>
        <c:scaling>
          <c:orientation val="minMax"/>
          <c:max val="100"/>
        </c:scaling>
        <c:delete val="0"/>
        <c:axPos val="l"/>
        <c:majorGridlines>
          <c:spPr>
            <a:ln>
              <a:noFill/>
            </a:ln>
          </c:spPr>
        </c:majorGridlines>
        <c:numFmt formatCode="General" sourceLinked="0"/>
        <c:majorTickMark val="out"/>
        <c:minorTickMark val="none"/>
        <c:tickLblPos val="nextTo"/>
        <c:crossAx val="81827712"/>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0"/>
          <c:order val="0"/>
          <c:tx>
            <c:v>CH</c:v>
          </c:tx>
          <c:spPr>
            <a:solidFill>
              <a:srgbClr val="FF0000"/>
            </a:solidFill>
            <a:ln>
              <a:solidFill>
                <a:schemeClr val="bg1"/>
              </a:solidFill>
            </a:ln>
          </c:spPr>
          <c:invertIfNegative val="0"/>
          <c:dLbls>
            <c:dLbl>
              <c:idx val="0"/>
              <c:tx>
                <c:rich>
                  <a:bodyPr/>
                  <a:lstStyle/>
                  <a:p>
                    <a:r>
                      <a:rPr lang="en-US"/>
                      <a:t>91.5%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91.5</c:v>
              </c:pt>
            </c:numLit>
          </c:val>
        </c:ser>
        <c:ser>
          <c:idx val="1"/>
          <c:order val="1"/>
          <c:tx>
            <c:v>espace</c:v>
          </c:tx>
          <c:spPr>
            <a:noFill/>
            <a:ln>
              <a:noFill/>
            </a:ln>
          </c:spPr>
          <c:invertIfNegative val="0"/>
          <c:val>
            <c:numLit>
              <c:formatCode>General</c:formatCode>
              <c:ptCount val="1"/>
              <c:pt idx="0">
                <c:v>1</c:v>
              </c:pt>
            </c:numLit>
          </c:val>
        </c:ser>
        <c:ser>
          <c:idx val="6"/>
          <c:order val="2"/>
          <c:tx>
            <c:v>DE1</c:v>
          </c:tx>
          <c:spPr>
            <a:solidFill>
              <a:srgbClr val="FFC000"/>
            </a:solidFill>
            <a:ln>
              <a:solidFill>
                <a:schemeClr val="bg1"/>
              </a:solidFill>
            </a:ln>
          </c:spPr>
          <c:invertIfNegative val="0"/>
          <c:dLbls>
            <c:dLbl>
              <c:idx val="0"/>
              <c:tx>
                <c:rich>
                  <a:bodyPr/>
                  <a:lstStyle/>
                  <a:p>
                    <a:r>
                      <a:rPr lang="en-US"/>
                      <a:t>2.1%</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2.1</c:v>
              </c:pt>
            </c:numLit>
          </c:val>
        </c:ser>
        <c:ser>
          <c:idx val="9"/>
          <c:order val="3"/>
          <c:tx>
            <c:v>DE2</c:v>
          </c:tx>
          <c:spPr>
            <a:solidFill>
              <a:srgbClr val="00B0F0"/>
            </a:solidFill>
            <a:ln>
              <a:solidFill>
                <a:schemeClr val="bg1"/>
              </a:solidFill>
            </a:ln>
          </c:spPr>
          <c:invertIfNegative val="0"/>
          <c:dLbls>
            <c:dLbl>
              <c:idx val="0"/>
              <c:tx>
                <c:rich>
                  <a:bodyPr/>
                  <a:lstStyle/>
                  <a:p>
                    <a:r>
                      <a:rPr lang="en-US"/>
                      <a:t>84.2%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84.2</c:v>
              </c:pt>
            </c:numLit>
          </c:val>
        </c:ser>
        <c:ser>
          <c:idx val="2"/>
          <c:order val="4"/>
          <c:tx>
            <c:v>espace</c:v>
          </c:tx>
          <c:spPr>
            <a:noFill/>
          </c:spPr>
          <c:invertIfNegative val="0"/>
          <c:val>
            <c:numLit>
              <c:formatCode>General</c:formatCode>
              <c:ptCount val="1"/>
              <c:pt idx="0">
                <c:v>0</c:v>
              </c:pt>
            </c:numLit>
          </c:val>
        </c:ser>
        <c:ser>
          <c:idx val="3"/>
          <c:order val="5"/>
          <c:tx>
            <c:v>FR1</c:v>
          </c:tx>
          <c:spPr>
            <a:solidFill>
              <a:srgbClr val="0070C0"/>
            </a:solidFill>
            <a:ln>
              <a:solidFill>
                <a:schemeClr val="bg1"/>
              </a:solidFill>
            </a:ln>
          </c:spPr>
          <c:invertIfNegative val="0"/>
          <c:dLbls>
            <c:dLbl>
              <c:idx val="0"/>
              <c:tx>
                <c:rich>
                  <a:bodyPr/>
                  <a:lstStyle/>
                  <a:p>
                    <a:r>
                      <a:rPr lang="en-US"/>
                      <a:t>37.3%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37.299999999999997</c:v>
              </c:pt>
            </c:numLit>
          </c:val>
        </c:ser>
        <c:ser>
          <c:idx val="4"/>
          <c:order val="6"/>
          <c:tx>
            <c:v>FR2</c:v>
          </c:tx>
          <c:spPr>
            <a:solidFill>
              <a:srgbClr val="00B0F0"/>
            </a:solidFill>
            <a:ln>
              <a:solidFill>
                <a:schemeClr val="bg1"/>
              </a:solidFill>
            </a:ln>
          </c:spPr>
          <c:invertIfNegative val="0"/>
          <c:dLbls>
            <c:dLbl>
              <c:idx val="0"/>
              <c:tx>
                <c:rich>
                  <a:bodyPr/>
                  <a:lstStyle/>
                  <a:p>
                    <a:r>
                      <a:rPr lang="en-US"/>
                      <a:t>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48</c:v>
              </c:pt>
            </c:numLit>
          </c:val>
        </c:ser>
        <c:ser>
          <c:idx val="5"/>
          <c:order val="7"/>
          <c:tx>
            <c:v>espace</c:v>
          </c:tx>
          <c:spPr>
            <a:noFill/>
          </c:spPr>
          <c:invertIfNegative val="0"/>
          <c:val>
            <c:numLit>
              <c:formatCode>General</c:formatCode>
              <c:ptCount val="1"/>
              <c:pt idx="0">
                <c:v>0</c:v>
              </c:pt>
            </c:numLit>
          </c:val>
        </c:ser>
        <c:ser>
          <c:idx val="19"/>
          <c:order val="8"/>
          <c:tx>
            <c:v>ES1</c:v>
          </c:tx>
          <c:spPr>
            <a:solidFill>
              <a:srgbClr val="F55592"/>
            </a:solidFill>
            <a:ln>
              <a:solidFill>
                <a:schemeClr val="bg1"/>
              </a:solidFill>
            </a:ln>
          </c:spPr>
          <c:invertIfNegative val="0"/>
          <c:dLbls>
            <c:dLbl>
              <c:idx val="0"/>
              <c:layout>
                <c:manualLayout>
                  <c:x val="0"/>
                  <c:y val="8.5698881123505589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20"/>
          <c:order val="9"/>
          <c:tx>
            <c:v>ES2</c:v>
          </c:tx>
          <c:spPr>
            <a:solidFill>
              <a:srgbClr val="00B0F0"/>
            </a:solidFill>
            <a:ln>
              <a:solidFill>
                <a:schemeClr val="bg1"/>
              </a:solidFill>
            </a:ln>
          </c:spPr>
          <c:invertIfNegative val="0"/>
          <c:dLbls>
            <c:dLbl>
              <c:idx val="0"/>
              <c:tx>
                <c:rich>
                  <a:bodyPr/>
                  <a:lstStyle/>
                  <a:p>
                    <a:r>
                      <a:rPr lang="en-US"/>
                      <a:t>83.3%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83.3</c:v>
              </c:pt>
            </c:numLit>
          </c:val>
        </c:ser>
        <c:ser>
          <c:idx val="22"/>
          <c:order val="10"/>
          <c:tx>
            <c:v>espace</c:v>
          </c:tx>
          <c:spPr>
            <a:noFill/>
          </c:spPr>
          <c:invertIfNegative val="0"/>
          <c:val>
            <c:numLit>
              <c:formatCode>General</c:formatCode>
              <c:ptCount val="1"/>
              <c:pt idx="0">
                <c:v>1</c:v>
              </c:pt>
            </c:numLit>
          </c:val>
        </c:ser>
        <c:ser>
          <c:idx val="16"/>
          <c:order val="11"/>
          <c:tx>
            <c:v>BE</c:v>
          </c:tx>
          <c:spPr>
            <a:solidFill>
              <a:srgbClr val="FFFFB3"/>
            </a:solidFill>
            <a:ln w="3175">
              <a:solidFill>
                <a:srgbClr val="FFFFB3"/>
              </a:solidFill>
            </a:ln>
          </c:spPr>
          <c:invertIfNegative val="0"/>
          <c:dLbls>
            <c:dLbl>
              <c:idx val="0"/>
              <c:layout>
                <c:manualLayout>
                  <c:x val="-3.2790339088253004E-3"/>
                  <c:y val="8.5698881123505589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17"/>
          <c:order val="12"/>
          <c:tx>
            <c:v>BE</c:v>
          </c:tx>
          <c:spPr>
            <a:solidFill>
              <a:srgbClr val="00B0F0"/>
            </a:solidFill>
            <a:ln>
              <a:solidFill>
                <a:schemeClr val="bg1"/>
              </a:solidFill>
            </a:ln>
          </c:spPr>
          <c:invertIfNegative val="0"/>
          <c:dLbls>
            <c:dLbl>
              <c:idx val="0"/>
              <c:tx>
                <c:rich>
                  <a:bodyPr/>
                  <a:lstStyle/>
                  <a:p>
                    <a:r>
                      <a:rPr lang="en-US"/>
                      <a:t>66.7%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66.7</c:v>
              </c:pt>
            </c:numLit>
          </c:val>
        </c:ser>
        <c:ser>
          <c:idx val="18"/>
          <c:order val="13"/>
          <c:tx>
            <c:v>espace</c:v>
          </c:tx>
          <c:spPr>
            <a:noFill/>
          </c:spPr>
          <c:invertIfNegative val="0"/>
          <c:val>
            <c:numLit>
              <c:formatCode>General</c:formatCode>
              <c:ptCount val="1"/>
              <c:pt idx="0">
                <c:v>0</c:v>
              </c:pt>
            </c:numLit>
          </c:val>
        </c:ser>
        <c:ser>
          <c:idx val="7"/>
          <c:order val="14"/>
          <c:tx>
            <c:v>IT1</c:v>
          </c:tx>
          <c:spPr>
            <a:solidFill>
              <a:srgbClr val="92D050"/>
            </a:solidFill>
            <a:ln>
              <a:noFill/>
            </a:ln>
          </c:spPr>
          <c:invertIfNegative val="0"/>
          <c:dLbls>
            <c:dLbl>
              <c:idx val="0"/>
              <c:layout>
                <c:manualLayout>
                  <c:x val="0"/>
                  <c:y val="4.2849440561752794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8"/>
          <c:order val="15"/>
          <c:tx>
            <c:v>IT2</c:v>
          </c:tx>
          <c:spPr>
            <a:solidFill>
              <a:srgbClr val="00B0F0"/>
            </a:solidFill>
            <a:ln>
              <a:solidFill>
                <a:schemeClr val="bg1"/>
              </a:solidFill>
            </a:ln>
          </c:spPr>
          <c:invertIfNegative val="0"/>
          <c:dLbls>
            <c:dLbl>
              <c:idx val="0"/>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13"/>
          <c:order val="16"/>
          <c:tx>
            <c:v>espace</c:v>
          </c:tx>
          <c:spPr>
            <a:noFill/>
          </c:spPr>
          <c:invertIfNegative val="0"/>
          <c:val>
            <c:numLit>
              <c:formatCode>General</c:formatCode>
              <c:ptCount val="1"/>
              <c:pt idx="0">
                <c:v>0</c:v>
              </c:pt>
            </c:numLit>
          </c:val>
        </c:ser>
        <c:ser>
          <c:idx val="26"/>
          <c:order val="17"/>
          <c:tx>
            <c:v>LI</c:v>
          </c:tx>
          <c:spPr>
            <a:solidFill>
              <a:srgbClr val="6600FF"/>
            </a:solidFill>
            <a:ln>
              <a:solidFill>
                <a:schemeClr val="bg1"/>
              </a:solidFill>
            </a:ln>
          </c:spPr>
          <c:invertIfNegative val="0"/>
          <c:dLbls>
            <c:dLbl>
              <c:idx val="0"/>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50</c:v>
              </c:pt>
            </c:numLit>
          </c:val>
        </c:ser>
        <c:ser>
          <c:idx val="25"/>
          <c:order val="18"/>
          <c:tx>
            <c:v>espace</c:v>
          </c:tx>
          <c:spPr>
            <a:noFill/>
          </c:spPr>
          <c:invertIfNegative val="0"/>
          <c:val>
            <c:numLit>
              <c:formatCode>General</c:formatCode>
              <c:ptCount val="1"/>
              <c:pt idx="0">
                <c:v>0</c:v>
              </c:pt>
            </c:numLit>
          </c:val>
        </c:ser>
        <c:ser>
          <c:idx val="11"/>
          <c:order val="19"/>
          <c:tx>
            <c:v>NL2</c:v>
          </c:tx>
          <c:spPr>
            <a:solidFill>
              <a:srgbClr val="FFFFB3"/>
            </a:solidFill>
            <a:ln w="6350">
              <a:noFill/>
            </a:ln>
          </c:spPr>
          <c:invertIfNegative val="0"/>
          <c:dLbls>
            <c:dLbl>
              <c:idx val="0"/>
              <c:layout>
                <c:manualLayout>
                  <c:x val="-9.8371017264759011E-3"/>
                  <c:y val="4.2849440561752794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12"/>
          <c:order val="20"/>
          <c:tx>
            <c:v>NL3</c:v>
          </c:tx>
          <c:spPr>
            <a:solidFill>
              <a:srgbClr val="00B0F0"/>
            </a:solidFill>
            <a:ln>
              <a:solidFill>
                <a:schemeClr val="bg1"/>
              </a:solidFill>
            </a:ln>
          </c:spPr>
          <c:invertIfNegative val="0"/>
          <c:dLbls>
            <c:dLbl>
              <c:idx val="0"/>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38.5</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tx>
                <c:rich>
                  <a:bodyPr/>
                  <a:lstStyle/>
                  <a:p>
                    <a:r>
                      <a:rPr lang="en-US"/>
                      <a:t>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6.7</c:v>
              </c:pt>
            </c:numLit>
          </c:val>
        </c:ser>
        <c:dLbls>
          <c:showLegendKey val="0"/>
          <c:showVal val="0"/>
          <c:showCatName val="0"/>
          <c:showSerName val="0"/>
          <c:showPercent val="0"/>
          <c:showBubbleSize val="0"/>
        </c:dLbls>
        <c:gapWidth val="150"/>
        <c:shape val="box"/>
        <c:axId val="83286272"/>
        <c:axId val="83652608"/>
        <c:axId val="0"/>
      </c:bar3DChart>
      <c:catAx>
        <c:axId val="83286272"/>
        <c:scaling>
          <c:orientation val="minMax"/>
        </c:scaling>
        <c:delete val="1"/>
        <c:axPos val="b"/>
        <c:numFmt formatCode="General" sourceLinked="1"/>
        <c:majorTickMark val="out"/>
        <c:minorTickMark val="none"/>
        <c:tickLblPos val="nextTo"/>
        <c:crossAx val="83652608"/>
        <c:crosses val="autoZero"/>
        <c:auto val="1"/>
        <c:lblAlgn val="ctr"/>
        <c:lblOffset val="100"/>
        <c:noMultiLvlLbl val="0"/>
      </c:catAx>
      <c:valAx>
        <c:axId val="83652608"/>
        <c:scaling>
          <c:orientation val="minMax"/>
          <c:max val="100"/>
        </c:scaling>
        <c:delete val="0"/>
        <c:axPos val="l"/>
        <c:majorGridlines>
          <c:spPr>
            <a:ln>
              <a:noFill/>
            </a:ln>
          </c:spPr>
        </c:majorGridlines>
        <c:numFmt formatCode="General" sourceLinked="0"/>
        <c:majorTickMark val="out"/>
        <c:minorTickMark val="none"/>
        <c:tickLblPos val="nextTo"/>
        <c:crossAx val="83286272"/>
        <c:crosses val="autoZero"/>
        <c:crossBetween val="between"/>
      </c:valAx>
    </c:plotArea>
    <c:plotVisOnly val="1"/>
    <c:dispBlanksAs val="gap"/>
    <c:showDLblsOverMax val="0"/>
  </c:chart>
  <c:externalData r:id="rId2">
    <c:autoUpdate val="0"/>
  </c:externalData>
  <c:userShapes r:id="rId3"/>
</c:chartSpace>
</file>

<file path=word/drawings/_rels/drawing4.xml.rels><?xml version="1.0" encoding="UTF-8" standalone="yes"?>
<Relationships xmlns="http://schemas.openxmlformats.org/package/2006/relationships"><Relationship Id="rId1" Type="http://schemas.openxmlformats.org/officeDocument/2006/relationships/image" Target="../media/image2.jpeg"/></Relationships>
</file>

<file path=word/drawings/_rels/drawing5.xml.rels><?xml version="1.0" encoding="UTF-8" standalone="yes"?>
<Relationships xmlns="http://schemas.openxmlformats.org/package/2006/relationships"><Relationship Id="rId1" Type="http://schemas.openxmlformats.org/officeDocument/2006/relationships/image" Target="../media/image2.jpeg"/></Relationships>
</file>

<file path=word/drawings/_rels/drawing6.xml.rels><?xml version="1.0" encoding="UTF-8" standalone="yes"?>
<Relationships xmlns="http://schemas.openxmlformats.org/package/2006/relationships"><Relationship Id="rId1" Type="http://schemas.openxmlformats.org/officeDocument/2006/relationships/image" Target="../media/image2.jpeg"/></Relationships>
</file>

<file path=word/drawings/drawing1.xml><?xml version="1.0" encoding="utf-8"?>
<c:userShapes xmlns:c="http://schemas.openxmlformats.org/drawingml/2006/chart">
  <cdr:relSizeAnchor xmlns:cdr="http://schemas.openxmlformats.org/drawingml/2006/chartDrawing">
    <cdr:from>
      <cdr:x>0.04318</cdr:x>
      <cdr:y>0.8914</cdr:y>
    </cdr:from>
    <cdr:to>
      <cdr:x>0.11476</cdr:x>
      <cdr:y>1</cdr:y>
    </cdr:to>
    <cdr:sp macro="" textlink="">
      <cdr:nvSpPr>
        <cdr:cNvPr id="7" name="TextBox 1"/>
        <cdr:cNvSpPr txBox="1"/>
      </cdr:nvSpPr>
      <cdr:spPr>
        <a:xfrm xmlns:a="http://schemas.openxmlformats.org/drawingml/2006/main">
          <a:off x="255767" y="2019631"/>
          <a:ext cx="423989" cy="246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CH</a:t>
          </a:r>
          <a:endParaRPr lang="en-US" sz="1100"/>
        </a:p>
      </cdr:txBody>
    </cdr:sp>
  </cdr:relSizeAnchor>
  <cdr:relSizeAnchor xmlns:cdr="http://schemas.openxmlformats.org/drawingml/2006/chartDrawing">
    <cdr:from>
      <cdr:x>0.10995</cdr:x>
      <cdr:y>0.89482</cdr:y>
    </cdr:from>
    <cdr:to>
      <cdr:x>0.17077</cdr:x>
      <cdr:y>1</cdr:y>
    </cdr:to>
    <cdr:sp macro="" textlink="">
      <cdr:nvSpPr>
        <cdr:cNvPr id="8" name="TextBox 1"/>
        <cdr:cNvSpPr txBox="1"/>
      </cdr:nvSpPr>
      <cdr:spPr>
        <a:xfrm xmlns:a="http://schemas.openxmlformats.org/drawingml/2006/main">
          <a:off x="651259" y="2027466"/>
          <a:ext cx="360254" cy="2383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TR</a:t>
          </a:r>
          <a:endParaRPr lang="en-US" sz="1100"/>
        </a:p>
      </cdr:txBody>
    </cdr:sp>
  </cdr:relSizeAnchor>
  <cdr:relSizeAnchor xmlns:cdr="http://schemas.openxmlformats.org/drawingml/2006/chartDrawing">
    <cdr:from>
      <cdr:x>0.16715</cdr:x>
      <cdr:y>0.89385</cdr:y>
    </cdr:from>
    <cdr:to>
      <cdr:x>0.23908</cdr:x>
      <cdr:y>1</cdr:y>
    </cdr:to>
    <cdr:sp macro="" textlink="">
      <cdr:nvSpPr>
        <cdr:cNvPr id="9" name="TextBox 1"/>
        <cdr:cNvSpPr txBox="1"/>
      </cdr:nvSpPr>
      <cdr:spPr>
        <a:xfrm xmlns:a="http://schemas.openxmlformats.org/drawingml/2006/main">
          <a:off x="990058" y="2025268"/>
          <a:ext cx="426062" cy="2405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MA</a:t>
          </a:r>
          <a:endParaRPr lang="en-US" sz="1100"/>
        </a:p>
      </cdr:txBody>
    </cdr:sp>
  </cdr:relSizeAnchor>
  <cdr:relSizeAnchor xmlns:cdr="http://schemas.openxmlformats.org/drawingml/2006/chartDrawing">
    <cdr:from>
      <cdr:x>0.2287</cdr:x>
      <cdr:y>0.89259</cdr:y>
    </cdr:from>
    <cdr:to>
      <cdr:x>0.29645</cdr:x>
      <cdr:y>1</cdr:y>
    </cdr:to>
    <cdr:sp macro="" textlink="">
      <cdr:nvSpPr>
        <cdr:cNvPr id="10" name="TextBox 1"/>
        <cdr:cNvSpPr txBox="1"/>
      </cdr:nvSpPr>
      <cdr:spPr>
        <a:xfrm xmlns:a="http://schemas.openxmlformats.org/drawingml/2006/main">
          <a:off x="1354681" y="2022413"/>
          <a:ext cx="401302"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EM</a:t>
          </a:r>
          <a:endParaRPr lang="en-US" sz="1100"/>
        </a:p>
      </cdr:txBody>
    </cdr:sp>
  </cdr:relSizeAnchor>
  <cdr:relSizeAnchor xmlns:cdr="http://schemas.openxmlformats.org/drawingml/2006/chartDrawing">
    <cdr:from>
      <cdr:x>0.30282</cdr:x>
      <cdr:y>0.89259</cdr:y>
    </cdr:from>
    <cdr:to>
      <cdr:x>0.37267</cdr:x>
      <cdr:y>1</cdr:y>
    </cdr:to>
    <cdr:sp macro="" textlink="">
      <cdr:nvSpPr>
        <cdr:cNvPr id="11" name="TextBox 1"/>
        <cdr:cNvSpPr txBox="1"/>
      </cdr:nvSpPr>
      <cdr:spPr>
        <a:xfrm xmlns:a="http://schemas.openxmlformats.org/drawingml/2006/main">
          <a:off x="1793676" y="2022413"/>
          <a:ext cx="413741"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a:t>UA</a:t>
          </a:r>
          <a:endParaRPr lang="en-US" sz="1100"/>
        </a:p>
      </cdr:txBody>
    </cdr:sp>
  </cdr:relSizeAnchor>
  <cdr:relSizeAnchor xmlns:cdr="http://schemas.openxmlformats.org/drawingml/2006/chartDrawing">
    <cdr:from>
      <cdr:x>0.35019</cdr:x>
      <cdr:y>0.89259</cdr:y>
    </cdr:from>
    <cdr:to>
      <cdr:x>0.42077</cdr:x>
      <cdr:y>1</cdr:y>
    </cdr:to>
    <cdr:sp macro="" textlink="">
      <cdr:nvSpPr>
        <cdr:cNvPr id="12" name="TextBox 1"/>
        <cdr:cNvSpPr txBox="1"/>
      </cdr:nvSpPr>
      <cdr:spPr>
        <a:xfrm xmlns:a="http://schemas.openxmlformats.org/drawingml/2006/main">
          <a:off x="2074287" y="2022413"/>
          <a:ext cx="418065"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MC</a:t>
          </a:r>
          <a:endParaRPr lang="en-US" sz="1100"/>
        </a:p>
      </cdr:txBody>
    </cdr:sp>
  </cdr:relSizeAnchor>
  <cdr:relSizeAnchor xmlns:cdr="http://schemas.openxmlformats.org/drawingml/2006/chartDrawing">
    <cdr:from>
      <cdr:x>0.42623</cdr:x>
      <cdr:y>0.89259</cdr:y>
    </cdr:from>
    <cdr:to>
      <cdr:x>0.47542</cdr:x>
      <cdr:y>1</cdr:y>
    </cdr:to>
    <cdr:sp macro="" textlink="">
      <cdr:nvSpPr>
        <cdr:cNvPr id="13" name="TextBox 1"/>
        <cdr:cNvSpPr txBox="1"/>
      </cdr:nvSpPr>
      <cdr:spPr>
        <a:xfrm xmlns:a="http://schemas.openxmlformats.org/drawingml/2006/main">
          <a:off x="2524651" y="2022413"/>
          <a:ext cx="291366"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LI</a:t>
          </a:r>
          <a:endParaRPr lang="en-US" sz="1100"/>
        </a:p>
      </cdr:txBody>
    </cdr:sp>
  </cdr:relSizeAnchor>
  <cdr:relSizeAnchor xmlns:cdr="http://schemas.openxmlformats.org/drawingml/2006/chartDrawing">
    <cdr:from>
      <cdr:x>0.48473</cdr:x>
      <cdr:y>0.89259</cdr:y>
    </cdr:from>
    <cdr:to>
      <cdr:x>0.54782</cdr:x>
      <cdr:y>1</cdr:y>
    </cdr:to>
    <cdr:sp macro="" textlink="">
      <cdr:nvSpPr>
        <cdr:cNvPr id="14" name="TextBox 1"/>
        <cdr:cNvSpPr txBox="1"/>
      </cdr:nvSpPr>
      <cdr:spPr>
        <a:xfrm xmlns:a="http://schemas.openxmlformats.org/drawingml/2006/main">
          <a:off x="2871202" y="2022413"/>
          <a:ext cx="373699"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SG</a:t>
          </a:r>
          <a:endParaRPr lang="en-US" sz="1100"/>
        </a:p>
      </cdr:txBody>
    </cdr:sp>
  </cdr:relSizeAnchor>
  <cdr:relSizeAnchor xmlns:cdr="http://schemas.openxmlformats.org/drawingml/2006/chartDrawing">
    <cdr:from>
      <cdr:x>0.54236</cdr:x>
      <cdr:y>0.89259</cdr:y>
    </cdr:from>
    <cdr:to>
      <cdr:x>0.6147</cdr:x>
      <cdr:y>1</cdr:y>
    </cdr:to>
    <cdr:sp macro="" textlink="">
      <cdr:nvSpPr>
        <cdr:cNvPr id="15" name="TextBox 1"/>
        <cdr:cNvSpPr txBox="1"/>
      </cdr:nvSpPr>
      <cdr:spPr>
        <a:xfrm xmlns:a="http://schemas.openxmlformats.org/drawingml/2006/main">
          <a:off x="3212538" y="2022323"/>
          <a:ext cx="428513"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NO</a:t>
          </a:r>
          <a:endParaRPr lang="en-US" sz="1100"/>
        </a:p>
      </cdr:txBody>
    </cdr:sp>
  </cdr:relSizeAnchor>
  <cdr:relSizeAnchor xmlns:cdr="http://schemas.openxmlformats.org/drawingml/2006/chartDrawing">
    <cdr:from>
      <cdr:x>0.60657</cdr:x>
      <cdr:y>0.89259</cdr:y>
    </cdr:from>
    <cdr:to>
      <cdr:x>0.6858</cdr:x>
      <cdr:y>1</cdr:y>
    </cdr:to>
    <cdr:sp macro="" textlink="">
      <cdr:nvSpPr>
        <cdr:cNvPr id="16" name="TextBox 1"/>
        <cdr:cNvSpPr txBox="1"/>
      </cdr:nvSpPr>
      <cdr:spPr>
        <a:xfrm xmlns:a="http://schemas.openxmlformats.org/drawingml/2006/main">
          <a:off x="3592864" y="2022323"/>
          <a:ext cx="469333"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MK</a:t>
          </a:r>
          <a:endParaRPr lang="en-US" sz="1100"/>
        </a:p>
      </cdr:txBody>
    </cdr:sp>
  </cdr:relSizeAnchor>
  <cdr:relSizeAnchor xmlns:cdr="http://schemas.openxmlformats.org/drawingml/2006/chartDrawing">
    <cdr:from>
      <cdr:x>0.67487</cdr:x>
      <cdr:y>0.89259</cdr:y>
    </cdr:from>
    <cdr:to>
      <cdr:x>0.73294</cdr:x>
      <cdr:y>1</cdr:y>
    </cdr:to>
    <cdr:sp macro="" textlink="">
      <cdr:nvSpPr>
        <cdr:cNvPr id="17" name="TextBox 1"/>
        <cdr:cNvSpPr txBox="1"/>
      </cdr:nvSpPr>
      <cdr:spPr>
        <a:xfrm xmlns:a="http://schemas.openxmlformats.org/drawingml/2006/main">
          <a:off x="3997444" y="2022323"/>
          <a:ext cx="343969" cy="243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KR</a:t>
          </a:r>
          <a:endParaRPr lang="en-US" sz="1100"/>
        </a:p>
      </cdr:txBody>
    </cdr:sp>
  </cdr:relSizeAnchor>
  <cdr:relSizeAnchor xmlns:cdr="http://schemas.openxmlformats.org/drawingml/2006/chartDrawing">
    <cdr:from>
      <cdr:x>0.73908</cdr:x>
      <cdr:y>0.8914</cdr:y>
    </cdr:from>
    <cdr:to>
      <cdr:x>0.79783</cdr:x>
      <cdr:y>1</cdr:y>
    </cdr:to>
    <cdr:sp macro="" textlink="">
      <cdr:nvSpPr>
        <cdr:cNvPr id="18" name="TextBox 1"/>
        <cdr:cNvSpPr txBox="1"/>
      </cdr:nvSpPr>
      <cdr:spPr>
        <a:xfrm xmlns:a="http://schemas.openxmlformats.org/drawingml/2006/main">
          <a:off x="4377778" y="2019631"/>
          <a:ext cx="347992" cy="246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JP</a:t>
          </a:r>
          <a:endParaRPr lang="en-US" sz="1100"/>
        </a:p>
      </cdr:txBody>
    </cdr:sp>
  </cdr:relSizeAnchor>
  <cdr:relSizeAnchor xmlns:cdr="http://schemas.openxmlformats.org/drawingml/2006/chartDrawing">
    <cdr:from>
      <cdr:x>0.79509</cdr:x>
      <cdr:y>0.8914</cdr:y>
    </cdr:from>
    <cdr:to>
      <cdr:x>0.85384</cdr:x>
      <cdr:y>1</cdr:y>
    </cdr:to>
    <cdr:sp macro="" textlink="">
      <cdr:nvSpPr>
        <cdr:cNvPr id="19" name="TextBox 1"/>
        <cdr:cNvSpPr txBox="1"/>
      </cdr:nvSpPr>
      <cdr:spPr>
        <a:xfrm xmlns:a="http://schemas.openxmlformats.org/drawingml/2006/main">
          <a:off x="4709541" y="2019630"/>
          <a:ext cx="347992" cy="246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US</a:t>
          </a:r>
          <a:endParaRPr lang="en-US" sz="1100"/>
        </a:p>
      </cdr:txBody>
    </cdr:sp>
  </cdr:relSizeAnchor>
  <cdr:relSizeAnchor xmlns:cdr="http://schemas.openxmlformats.org/drawingml/2006/chartDrawing">
    <cdr:from>
      <cdr:x>0.84704</cdr:x>
      <cdr:y>0.8914</cdr:y>
    </cdr:from>
    <cdr:to>
      <cdr:x>1</cdr:x>
      <cdr:y>0.95808</cdr:y>
    </cdr:to>
    <cdr:sp macro="" textlink="">
      <cdr:nvSpPr>
        <cdr:cNvPr id="20" name="TextBox 1"/>
        <cdr:cNvSpPr txBox="1"/>
      </cdr:nvSpPr>
      <cdr:spPr>
        <a:xfrm xmlns:a="http://schemas.openxmlformats.org/drawingml/2006/main">
          <a:off x="5017273" y="2019631"/>
          <a:ext cx="906006" cy="151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Total</a:t>
          </a:r>
          <a:r>
            <a:rPr lang="en-US" sz="1000" baseline="0"/>
            <a:t> average</a:t>
          </a:r>
          <a:endParaRPr lang="en-US" sz="1000"/>
        </a:p>
      </cdr:txBody>
    </cdr:sp>
  </cdr:relSizeAnchor>
</c:userShapes>
</file>

<file path=word/drawings/drawing10.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0.05063</cdr:y>
    </cdr:from>
    <cdr:to>
      <cdr:x>0.99905</cdr:x>
      <cdr:y>0.14857</cdr:y>
    </cdr:to>
    <cdr:sp macro="" textlink="">
      <cdr:nvSpPr>
        <cdr:cNvPr id="4" name="TextBox 1"/>
        <cdr:cNvSpPr txBox="1"/>
      </cdr:nvSpPr>
      <cdr:spPr>
        <a:xfrm xmlns:a="http://schemas.openxmlformats.org/drawingml/2006/main">
          <a:off x="0" y="114300"/>
          <a:ext cx="5934808" cy="22108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Share of</a:t>
          </a:r>
          <a:r>
            <a:rPr lang="en-US" sz="1200" b="1" u="none" baseline="0"/>
            <a:t> s</a:t>
          </a:r>
          <a:r>
            <a:rPr lang="en-US" sz="1200" b="1" u="none"/>
            <a:t>elf-designation</a:t>
          </a:r>
          <a:r>
            <a:rPr lang="en-US" sz="1200" b="1" u="none" baseline="0"/>
            <a:t>*</a:t>
          </a:r>
          <a:r>
            <a:rPr lang="en-US" sz="1200" b="1" u="none"/>
            <a:t> when the origin is a member State of the European Union</a:t>
          </a:r>
          <a:r>
            <a:rPr lang="en-US" sz="1200" b="1" u="none" baseline="0"/>
            <a:t> which is individually party to the Hague System </a:t>
          </a:r>
          <a:r>
            <a:rPr lang="en-US" sz="1100">
              <a:effectLst/>
              <a:latin typeface="+mn-lt"/>
              <a:ea typeface="+mn-ea"/>
              <a:cs typeface="+mn-cs"/>
            </a:rPr>
            <a:t>–</a:t>
          </a:r>
          <a:r>
            <a:rPr lang="en-US" sz="1200" b="1" u="none" baseline="0"/>
            <a:t> Top 5</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0.30786</cdr:x>
      <cdr:y>0.89581</cdr:y>
    </cdr:from>
    <cdr:to>
      <cdr:x>0.3715</cdr:x>
      <cdr:y>1</cdr:y>
    </cdr:to>
    <cdr:sp macro="" textlink="">
      <cdr:nvSpPr>
        <cdr:cNvPr id="2" name="TextBox 1"/>
        <cdr:cNvSpPr txBox="1"/>
      </cdr:nvSpPr>
      <cdr:spPr>
        <a:xfrm xmlns:a="http://schemas.openxmlformats.org/drawingml/2006/main">
          <a:off x="1828800" y="2022230"/>
          <a:ext cx="378070" cy="235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FR</a:t>
          </a:r>
        </a:p>
      </cdr:txBody>
    </cdr:sp>
  </cdr:relSizeAnchor>
  <cdr:relSizeAnchor xmlns:cdr="http://schemas.openxmlformats.org/drawingml/2006/chartDrawing">
    <cdr:from>
      <cdr:x>0.12285</cdr:x>
      <cdr:y>0.89581</cdr:y>
    </cdr:from>
    <cdr:to>
      <cdr:x>0.23405</cdr:x>
      <cdr:y>0.99781</cdr:y>
    </cdr:to>
    <cdr:sp macro="" textlink="">
      <cdr:nvSpPr>
        <cdr:cNvPr id="8" name="TextBox 7"/>
        <cdr:cNvSpPr txBox="1"/>
      </cdr:nvSpPr>
      <cdr:spPr>
        <a:xfrm xmlns:a="http://schemas.openxmlformats.org/drawingml/2006/main">
          <a:off x="729762" y="2022230"/>
          <a:ext cx="660594" cy="230251"/>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DE</a:t>
          </a:r>
        </a:p>
      </cdr:txBody>
    </cdr:sp>
  </cdr:relSizeAnchor>
  <cdr:relSizeAnchor xmlns:cdr="http://schemas.openxmlformats.org/drawingml/2006/chartDrawing">
    <cdr:from>
      <cdr:x>0.50767</cdr:x>
      <cdr:y>0.89971</cdr:y>
    </cdr:from>
    <cdr:to>
      <cdr:x>0.57427</cdr:x>
      <cdr:y>1</cdr:y>
    </cdr:to>
    <cdr:sp macro="" textlink="">
      <cdr:nvSpPr>
        <cdr:cNvPr id="13" name="TextBox 1"/>
        <cdr:cNvSpPr txBox="1"/>
      </cdr:nvSpPr>
      <cdr:spPr>
        <a:xfrm xmlns:a="http://schemas.openxmlformats.org/drawingml/2006/main">
          <a:off x="3015762" y="2031023"/>
          <a:ext cx="395654" cy="2264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IT</a:t>
          </a:r>
        </a:p>
      </cdr:txBody>
    </cdr:sp>
  </cdr:relSizeAnchor>
  <cdr:relSizeAnchor xmlns:cdr="http://schemas.openxmlformats.org/drawingml/2006/chartDrawing">
    <cdr:from>
      <cdr:x>0.69244</cdr:x>
      <cdr:y>0.89971</cdr:y>
    </cdr:from>
    <cdr:to>
      <cdr:x>0.75071</cdr:x>
      <cdr:y>1</cdr:y>
    </cdr:to>
    <cdr:sp macro="" textlink="">
      <cdr:nvSpPr>
        <cdr:cNvPr id="14" name="TextBox 1"/>
        <cdr:cNvSpPr txBox="1"/>
      </cdr:nvSpPr>
      <cdr:spPr>
        <a:xfrm xmlns:a="http://schemas.openxmlformats.org/drawingml/2006/main">
          <a:off x="4113388" y="2031024"/>
          <a:ext cx="346148" cy="2264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NL</a:t>
          </a:r>
        </a:p>
      </cdr:txBody>
    </cdr:sp>
  </cdr:relSizeAnchor>
  <cdr:relSizeAnchor xmlns:cdr="http://schemas.openxmlformats.org/drawingml/2006/chartDrawing">
    <cdr:from>
      <cdr:x>0.87769</cdr:x>
      <cdr:y>0.89192</cdr:y>
    </cdr:from>
    <cdr:to>
      <cdr:x>0.93837</cdr:x>
      <cdr:y>1</cdr:y>
    </cdr:to>
    <cdr:sp macro="" textlink="">
      <cdr:nvSpPr>
        <cdr:cNvPr id="20" name="TextBox 1"/>
        <cdr:cNvSpPr txBox="1"/>
      </cdr:nvSpPr>
      <cdr:spPr>
        <a:xfrm xmlns:a="http://schemas.openxmlformats.org/drawingml/2006/main">
          <a:off x="5213839" y="2013437"/>
          <a:ext cx="360484" cy="2439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ES</a:t>
          </a:r>
        </a:p>
      </cdr:txBody>
    </cdr:sp>
  </cdr:relSizeAnchor>
  <cdr:relSizeAnchor xmlns:cdr="http://schemas.openxmlformats.org/drawingml/2006/chartDrawing">
    <cdr:from>
      <cdr:x>0.0668</cdr:x>
      <cdr:y>0.82181</cdr:y>
    </cdr:from>
    <cdr:to>
      <cdr:x>0.25413</cdr:x>
      <cdr:y>0.93476</cdr:y>
    </cdr:to>
    <cdr:sp macro="" textlink="">
      <cdr:nvSpPr>
        <cdr:cNvPr id="6" name="TextBox 5"/>
        <cdr:cNvSpPr txBox="1"/>
      </cdr:nvSpPr>
      <cdr:spPr>
        <a:xfrm xmlns:a="http://schemas.openxmlformats.org/drawingml/2006/main">
          <a:off x="396815" y="1855174"/>
          <a:ext cx="1112808" cy="2549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2014  2015</a:t>
          </a:r>
          <a:r>
            <a:rPr lang="en-US" sz="1000" baseline="0"/>
            <a:t> 2016</a:t>
          </a:r>
          <a:r>
            <a:rPr lang="en-US" sz="1000"/>
            <a:t>  </a:t>
          </a:r>
        </a:p>
      </cdr:txBody>
    </cdr:sp>
  </cdr:relSizeAnchor>
  <cdr:relSizeAnchor xmlns:cdr="http://schemas.openxmlformats.org/drawingml/2006/chartDrawing">
    <cdr:from>
      <cdr:x>0.24832</cdr:x>
      <cdr:y>0.82571</cdr:y>
    </cdr:from>
    <cdr:to>
      <cdr:x>0.44</cdr:x>
      <cdr:y>0.92095</cdr:y>
    </cdr:to>
    <cdr:sp macro="" textlink="">
      <cdr:nvSpPr>
        <cdr:cNvPr id="12" name="TextBox 1"/>
        <cdr:cNvSpPr txBox="1"/>
      </cdr:nvSpPr>
      <cdr:spPr>
        <a:xfrm xmlns:a="http://schemas.openxmlformats.org/drawingml/2006/main">
          <a:off x="1475117" y="1863977"/>
          <a:ext cx="1138686" cy="2149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a:t>
          </a:r>
          <a:r>
            <a:rPr lang="en-US" sz="1000" baseline="0"/>
            <a:t>  2016</a:t>
          </a:r>
          <a:r>
            <a:rPr lang="en-US" sz="1000"/>
            <a:t>  </a:t>
          </a:r>
        </a:p>
      </cdr:txBody>
    </cdr:sp>
  </cdr:relSizeAnchor>
  <cdr:relSizeAnchor xmlns:cdr="http://schemas.openxmlformats.org/drawingml/2006/chartDrawing">
    <cdr:from>
      <cdr:x>0.43855</cdr:x>
      <cdr:y>0.82953</cdr:y>
    </cdr:from>
    <cdr:to>
      <cdr:x>0.64091</cdr:x>
      <cdr:y>0.9133</cdr:y>
    </cdr:to>
    <cdr:sp macro="" textlink="">
      <cdr:nvSpPr>
        <cdr:cNvPr id="18" name="TextBox 1"/>
        <cdr:cNvSpPr txBox="1"/>
      </cdr:nvSpPr>
      <cdr:spPr>
        <a:xfrm xmlns:a="http://schemas.openxmlformats.org/drawingml/2006/main">
          <a:off x="2605178" y="1872604"/>
          <a:ext cx="1202086" cy="189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0.62152</cdr:x>
      <cdr:y>0.82181</cdr:y>
    </cdr:from>
    <cdr:to>
      <cdr:x>0.83181</cdr:x>
      <cdr:y>0.9213</cdr:y>
    </cdr:to>
    <cdr:sp macro="" textlink="">
      <cdr:nvSpPr>
        <cdr:cNvPr id="19" name="TextBox 1"/>
        <cdr:cNvSpPr txBox="1"/>
      </cdr:nvSpPr>
      <cdr:spPr>
        <a:xfrm xmlns:a="http://schemas.openxmlformats.org/drawingml/2006/main">
          <a:off x="3692106" y="1855174"/>
          <a:ext cx="1249199" cy="22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0.80812</cdr:x>
      <cdr:y>0.82181</cdr:y>
    </cdr:from>
    <cdr:to>
      <cdr:x>0.99395</cdr:x>
      <cdr:y>0.91909</cdr:y>
    </cdr:to>
    <cdr:sp macro="" textlink="">
      <cdr:nvSpPr>
        <cdr:cNvPr id="21" name="TextBox 1"/>
        <cdr:cNvSpPr txBox="1"/>
      </cdr:nvSpPr>
      <cdr:spPr>
        <a:xfrm xmlns:a="http://schemas.openxmlformats.org/drawingml/2006/main">
          <a:off x="4800600" y="1855178"/>
          <a:ext cx="1103886" cy="219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a:t>
          </a:r>
          <a:r>
            <a:rPr lang="en-US" sz="1000" baseline="0"/>
            <a:t>  2016</a:t>
          </a:r>
          <a:r>
            <a:rPr lang="en-US" sz="1000"/>
            <a:t>  </a:t>
          </a:r>
        </a:p>
      </cdr:txBody>
    </cdr:sp>
  </cdr:relSizeAnchor>
</c:userShapes>
</file>

<file path=word/drawings/drawing11.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0.30713</cdr:x>
      <cdr:y>0.90159</cdr:y>
    </cdr:from>
    <cdr:to>
      <cdr:x>0.36097</cdr:x>
      <cdr:y>1</cdr:y>
    </cdr:to>
    <cdr:sp macro="" textlink="">
      <cdr:nvSpPr>
        <cdr:cNvPr id="2" name="TextBox 1"/>
        <cdr:cNvSpPr txBox="1"/>
      </cdr:nvSpPr>
      <cdr:spPr>
        <a:xfrm xmlns:a="http://schemas.openxmlformats.org/drawingml/2006/main">
          <a:off x="1824483" y="2082800"/>
          <a:ext cx="319832" cy="2273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SE</a:t>
          </a:r>
        </a:p>
      </cdr:txBody>
    </cdr:sp>
  </cdr:relSizeAnchor>
  <cdr:relSizeAnchor xmlns:cdr="http://schemas.openxmlformats.org/drawingml/2006/chartDrawing">
    <cdr:from>
      <cdr:x>0.11775</cdr:x>
      <cdr:y>0.89885</cdr:y>
    </cdr:from>
    <cdr:to>
      <cdr:x>0.23405</cdr:x>
      <cdr:y>0.99781</cdr:y>
    </cdr:to>
    <cdr:sp macro="" textlink="">
      <cdr:nvSpPr>
        <cdr:cNvPr id="8" name="TextBox 7"/>
        <cdr:cNvSpPr txBox="1"/>
      </cdr:nvSpPr>
      <cdr:spPr>
        <a:xfrm xmlns:a="http://schemas.openxmlformats.org/drawingml/2006/main">
          <a:off x="699485" y="2076450"/>
          <a:ext cx="690871" cy="228621"/>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GB</a:t>
          </a:r>
        </a:p>
      </cdr:txBody>
    </cdr:sp>
  </cdr:relSizeAnchor>
  <cdr:relSizeAnchor xmlns:cdr="http://schemas.openxmlformats.org/drawingml/2006/chartDrawing">
    <cdr:from>
      <cdr:x>0.4965</cdr:x>
      <cdr:y>0.89885</cdr:y>
    </cdr:from>
    <cdr:to>
      <cdr:x>0.58255</cdr:x>
      <cdr:y>1</cdr:y>
    </cdr:to>
    <cdr:sp macro="" textlink="">
      <cdr:nvSpPr>
        <cdr:cNvPr id="13" name="TextBox 1"/>
        <cdr:cNvSpPr txBox="1"/>
      </cdr:nvSpPr>
      <cdr:spPr>
        <a:xfrm xmlns:a="http://schemas.openxmlformats.org/drawingml/2006/main">
          <a:off x="2949421" y="2076450"/>
          <a:ext cx="511174" cy="2336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AT</a:t>
          </a:r>
        </a:p>
      </cdr:txBody>
    </cdr:sp>
  </cdr:relSizeAnchor>
  <cdr:relSizeAnchor xmlns:cdr="http://schemas.openxmlformats.org/drawingml/2006/chartDrawing">
    <cdr:from>
      <cdr:x>0.6883</cdr:x>
      <cdr:y>0.90159</cdr:y>
    </cdr:from>
    <cdr:to>
      <cdr:x>0.75071</cdr:x>
      <cdr:y>1</cdr:y>
    </cdr:to>
    <cdr:sp macro="" textlink="">
      <cdr:nvSpPr>
        <cdr:cNvPr id="14" name="TextBox 1"/>
        <cdr:cNvSpPr txBox="1"/>
      </cdr:nvSpPr>
      <cdr:spPr>
        <a:xfrm xmlns:a="http://schemas.openxmlformats.org/drawingml/2006/main">
          <a:off x="4088795" y="2082801"/>
          <a:ext cx="370741" cy="227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CZ</a:t>
          </a:r>
        </a:p>
      </cdr:txBody>
    </cdr:sp>
  </cdr:relSizeAnchor>
  <cdr:relSizeAnchor xmlns:cdr="http://schemas.openxmlformats.org/drawingml/2006/chartDrawing">
    <cdr:from>
      <cdr:x>0.87405</cdr:x>
      <cdr:y>0.89885</cdr:y>
    </cdr:from>
    <cdr:to>
      <cdr:x>0.93026</cdr:x>
      <cdr:y>1</cdr:y>
    </cdr:to>
    <cdr:sp macro="" textlink="">
      <cdr:nvSpPr>
        <cdr:cNvPr id="20" name="TextBox 1"/>
        <cdr:cNvSpPr txBox="1"/>
      </cdr:nvSpPr>
      <cdr:spPr>
        <a:xfrm xmlns:a="http://schemas.openxmlformats.org/drawingml/2006/main">
          <a:off x="5192228" y="2076451"/>
          <a:ext cx="333912" cy="2336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PT</a:t>
          </a:r>
        </a:p>
      </cdr:txBody>
    </cdr:sp>
  </cdr:relSizeAnchor>
  <cdr:relSizeAnchor xmlns:cdr="http://schemas.openxmlformats.org/drawingml/2006/chartDrawing">
    <cdr:from>
      <cdr:x>0</cdr:x>
      <cdr:y>0.03594</cdr:y>
    </cdr:from>
    <cdr:to>
      <cdr:x>0.99987</cdr:x>
      <cdr:y>0.18242</cdr:y>
    </cdr:to>
    <cdr:grpSp>
      <cdr:nvGrpSpPr>
        <cdr:cNvPr id="5" name="Group 4"/>
        <cdr:cNvGrpSpPr/>
      </cdr:nvGrpSpPr>
      <cdr:grpSpPr>
        <a:xfrm xmlns:a="http://schemas.openxmlformats.org/drawingml/2006/main">
          <a:off x="0" y="83022"/>
          <a:ext cx="5939625" cy="338396"/>
          <a:chOff x="0" y="82936"/>
          <a:chExt cx="5939625" cy="106530"/>
        </a:xfrm>
      </cdr:grpSpPr>
      <cdr:sp macro="" textlink="">
        <cdr:nvSpPr>
          <cdr:cNvPr id="4" name="TextBox 1"/>
          <cdr:cNvSpPr txBox="1"/>
        </cdr:nvSpPr>
        <cdr:spPr>
          <a:xfrm xmlns:a="http://schemas.openxmlformats.org/drawingml/2006/main">
            <a:off x="0" y="82936"/>
            <a:ext cx="5939625" cy="1065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Share of</a:t>
            </a:r>
            <a:r>
              <a:rPr lang="en-US" sz="1200" b="1" u="none" baseline="0"/>
              <a:t> s</a:t>
            </a:r>
            <a:r>
              <a:rPr lang="en-US" sz="1200" b="1" u="none"/>
              <a:t>elf-designation*</a:t>
            </a:r>
            <a:r>
              <a:rPr lang="en-US" sz="1200" b="1" u="none" baseline="0"/>
              <a:t> </a:t>
            </a:r>
            <a:r>
              <a:rPr lang="en-US" sz="1200" b="1" u="none"/>
              <a:t>when the origin is a member State of the European Union</a:t>
            </a:r>
            <a:r>
              <a:rPr lang="en-US" sz="1200" b="1" u="none" baseline="0"/>
              <a:t> which is not individually party to the Hague System </a:t>
            </a:r>
            <a:r>
              <a:rPr lang="en-US" sz="1100">
                <a:effectLst/>
                <a:latin typeface="+mn-lt"/>
                <a:ea typeface="+mn-ea"/>
                <a:cs typeface="+mn-cs"/>
              </a:rPr>
              <a:t>–</a:t>
            </a:r>
            <a:r>
              <a:rPr lang="en-US" sz="1200" b="1" u="none" baseline="0"/>
              <a:t> Top 5</a:t>
            </a:r>
          </a:p>
        </cdr:txBody>
      </cdr:sp>
    </cdr:grpSp>
  </cdr:relSizeAnchor>
  <cdr:relSizeAnchor xmlns:cdr="http://schemas.openxmlformats.org/drawingml/2006/chartDrawing">
    <cdr:from>
      <cdr:x>0.05086</cdr:x>
      <cdr:y>0.82188</cdr:y>
    </cdr:from>
    <cdr:to>
      <cdr:x>0.2503</cdr:x>
      <cdr:y>0.92244</cdr:y>
    </cdr:to>
    <cdr:sp macro="" textlink="">
      <cdr:nvSpPr>
        <cdr:cNvPr id="15" name="TextBox 1"/>
        <cdr:cNvSpPr txBox="1"/>
      </cdr:nvSpPr>
      <cdr:spPr>
        <a:xfrm xmlns:a="http://schemas.openxmlformats.org/drawingml/2006/main">
          <a:off x="302130" y="1898650"/>
          <a:ext cx="1184758" cy="2323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0.25298</cdr:x>
      <cdr:y>0.82188</cdr:y>
    </cdr:from>
    <cdr:to>
      <cdr:x>0.44037</cdr:x>
      <cdr:y>0.92932</cdr:y>
    </cdr:to>
    <cdr:sp macro="" textlink="">
      <cdr:nvSpPr>
        <cdr:cNvPr id="18" name="TextBox 1"/>
        <cdr:cNvSpPr txBox="1"/>
      </cdr:nvSpPr>
      <cdr:spPr>
        <a:xfrm xmlns:a="http://schemas.openxmlformats.org/drawingml/2006/main">
          <a:off x="1502809" y="1898651"/>
          <a:ext cx="1113176" cy="248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0.43368</cdr:x>
      <cdr:y>0.82188</cdr:y>
    </cdr:from>
    <cdr:to>
      <cdr:x>0.61973</cdr:x>
      <cdr:y>0.92932</cdr:y>
    </cdr:to>
    <cdr:sp macro="" textlink="">
      <cdr:nvSpPr>
        <cdr:cNvPr id="19" name="TextBox 1"/>
        <cdr:cNvSpPr txBox="1"/>
      </cdr:nvSpPr>
      <cdr:spPr>
        <a:xfrm xmlns:a="http://schemas.openxmlformats.org/drawingml/2006/main">
          <a:off x="2576244" y="1898651"/>
          <a:ext cx="1105216" cy="248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2016</a:t>
          </a:r>
          <a:r>
            <a:rPr lang="en-US" sz="1000"/>
            <a:t>  </a:t>
          </a:r>
        </a:p>
      </cdr:txBody>
    </cdr:sp>
  </cdr:relSizeAnchor>
  <cdr:relSizeAnchor xmlns:cdr="http://schemas.openxmlformats.org/drawingml/2006/chartDrawing">
    <cdr:from>
      <cdr:x>0.62508</cdr:x>
      <cdr:y>0.82463</cdr:y>
    </cdr:from>
    <cdr:to>
      <cdr:x>0.81381</cdr:x>
      <cdr:y>0.9362</cdr:y>
    </cdr:to>
    <cdr:sp macro="" textlink="">
      <cdr:nvSpPr>
        <cdr:cNvPr id="21" name="TextBox 1"/>
        <cdr:cNvSpPr txBox="1"/>
      </cdr:nvSpPr>
      <cdr:spPr>
        <a:xfrm xmlns:a="http://schemas.openxmlformats.org/drawingml/2006/main">
          <a:off x="3713241" y="1905000"/>
          <a:ext cx="1121136" cy="2577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0.81114</cdr:x>
      <cdr:y>0.82188</cdr:y>
    </cdr:from>
    <cdr:to>
      <cdr:x>0.99947</cdr:x>
      <cdr:y>0.92244</cdr:y>
    </cdr:to>
    <cdr:sp macro="" textlink="">
      <cdr:nvSpPr>
        <cdr:cNvPr id="22" name="TextBox 1"/>
        <cdr:cNvSpPr txBox="1"/>
      </cdr:nvSpPr>
      <cdr:spPr>
        <a:xfrm xmlns:a="http://schemas.openxmlformats.org/drawingml/2006/main">
          <a:off x="4818516" y="1898650"/>
          <a:ext cx="1118734" cy="2323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userShapes>
</file>

<file path=word/drawings/drawing12.xml><?xml version="1.0" encoding="utf-8"?>
<c:userShapes xmlns:c="http://schemas.openxmlformats.org/drawingml/2006/chart">
  <cdr:relSizeAnchor xmlns:cdr="http://schemas.openxmlformats.org/drawingml/2006/chartDrawing">
    <cdr:from>
      <cdr:x>0.43338</cdr:x>
      <cdr:y>0.89605</cdr:y>
    </cdr:from>
    <cdr:to>
      <cdr:x>0.55213</cdr:x>
      <cdr:y>0.98522</cdr:y>
    </cdr:to>
    <cdr:sp macro="" textlink="">
      <cdr:nvSpPr>
        <cdr:cNvPr id="3" name="TextBox 1"/>
        <cdr:cNvSpPr txBox="1"/>
      </cdr:nvSpPr>
      <cdr:spPr>
        <a:xfrm xmlns:a="http://schemas.openxmlformats.org/drawingml/2006/main">
          <a:off x="1682269" y="2760616"/>
          <a:ext cx="460954" cy="2747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0.59631</cdr:x>
      <cdr:y>0.89318</cdr:y>
    </cdr:from>
    <cdr:to>
      <cdr:x>0.87765</cdr:x>
      <cdr:y>0.97891</cdr:y>
    </cdr:to>
    <cdr:sp macro="" textlink="">
      <cdr:nvSpPr>
        <cdr:cNvPr id="4" name="TextBox 1"/>
        <cdr:cNvSpPr txBox="1"/>
      </cdr:nvSpPr>
      <cdr:spPr>
        <a:xfrm xmlns:a="http://schemas.openxmlformats.org/drawingml/2006/main">
          <a:off x="2314698" y="2751774"/>
          <a:ext cx="1092082" cy="2641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Jan-Mar</a:t>
          </a:r>
          <a:r>
            <a:rPr lang="en-US" sz="1000" baseline="0"/>
            <a:t> 2016</a:t>
          </a:r>
        </a:p>
      </cdr:txBody>
    </cdr:sp>
  </cdr:relSizeAnchor>
  <cdr:relSizeAnchor xmlns:cdr="http://schemas.openxmlformats.org/drawingml/2006/chartDrawing">
    <cdr:from>
      <cdr:x>0.19583</cdr:x>
      <cdr:y>0.86624</cdr:y>
    </cdr:from>
    <cdr:to>
      <cdr:x>0.30625</cdr:x>
      <cdr:y>1</cdr:y>
    </cdr:to>
    <cdr:sp macro="" textlink="">
      <cdr:nvSpPr>
        <cdr:cNvPr id="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0.37573</cdr:x>
      <cdr:y>0.71508</cdr:y>
    </cdr:from>
    <cdr:to>
      <cdr:x>0.48198</cdr:x>
      <cdr:y>0.80744</cdr:y>
    </cdr:to>
    <cdr:sp macro="" textlink="">
      <cdr:nvSpPr>
        <cdr:cNvPr id="6" name="TextBox 5"/>
        <cdr:cNvSpPr txBox="1"/>
      </cdr:nvSpPr>
      <cdr:spPr>
        <a:xfrm xmlns:a="http://schemas.openxmlformats.org/drawingml/2006/main">
          <a:off x="1458488" y="2203071"/>
          <a:ext cx="412432" cy="2845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13.7%</a:t>
          </a:r>
        </a:p>
      </cdr:txBody>
    </cdr:sp>
  </cdr:relSizeAnchor>
  <cdr:relSizeAnchor xmlns:cdr="http://schemas.openxmlformats.org/drawingml/2006/chartDrawing">
    <cdr:from>
      <cdr:x>0.44465</cdr:x>
      <cdr:y>0.75478</cdr:y>
    </cdr:from>
    <cdr:to>
      <cdr:x>0.54743</cdr:x>
      <cdr:y>0.84714</cdr:y>
    </cdr:to>
    <cdr:sp macro="" textlink="">
      <cdr:nvSpPr>
        <cdr:cNvPr id="7" name="TextBox 1"/>
        <cdr:cNvSpPr txBox="1"/>
      </cdr:nvSpPr>
      <cdr:spPr>
        <a:xfrm xmlns:a="http://schemas.openxmlformats.org/drawingml/2006/main">
          <a:off x="1726003" y="2325388"/>
          <a:ext cx="398963" cy="2845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10.4%</a:t>
          </a:r>
        </a:p>
      </cdr:txBody>
    </cdr:sp>
  </cdr:relSizeAnchor>
  <cdr:relSizeAnchor xmlns:cdr="http://schemas.openxmlformats.org/drawingml/2006/chartDrawing">
    <cdr:from>
      <cdr:x>0.66166</cdr:x>
      <cdr:y>0.77808</cdr:y>
    </cdr:from>
    <cdr:to>
      <cdr:x>0.78041</cdr:x>
      <cdr:y>0.87043</cdr:y>
    </cdr:to>
    <cdr:sp macro="" textlink="">
      <cdr:nvSpPr>
        <cdr:cNvPr id="8" name="TextBox 1"/>
        <cdr:cNvSpPr txBox="1"/>
      </cdr:nvSpPr>
      <cdr:spPr>
        <a:xfrm xmlns:a="http://schemas.openxmlformats.org/drawingml/2006/main">
          <a:off x="2568373" y="2397169"/>
          <a:ext cx="460954" cy="2845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6.9%</a:t>
          </a:r>
        </a:p>
      </cdr:txBody>
    </cdr:sp>
  </cdr:relSizeAnchor>
  <cdr:relSizeAnchor xmlns:cdr="http://schemas.openxmlformats.org/drawingml/2006/chartDrawing">
    <cdr:from>
      <cdr:x>0</cdr:x>
      <cdr:y>0.05546</cdr:y>
    </cdr:from>
    <cdr:to>
      <cdr:x>1</cdr:x>
      <cdr:y>0.26674</cdr:y>
    </cdr:to>
    <cdr:sp macro="" textlink="">
      <cdr:nvSpPr>
        <cdr:cNvPr id="9" name="TextBox 8"/>
        <cdr:cNvSpPr txBox="1"/>
      </cdr:nvSpPr>
      <cdr:spPr>
        <a:xfrm xmlns:a="http://schemas.openxmlformats.org/drawingml/2006/main">
          <a:off x="0" y="167527"/>
          <a:ext cx="3881717"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u="none"/>
            <a:t>Share of</a:t>
          </a:r>
          <a:r>
            <a:rPr lang="en-US" sz="1200" b="1" u="none" baseline="0"/>
            <a:t> self-designation when the origin is a "new" Contracting Party </a:t>
          </a:r>
        </a:p>
      </cdr:txBody>
    </cdr:sp>
  </cdr:relSizeAnchor>
  <cdr:relSizeAnchor xmlns:cdr="http://schemas.openxmlformats.org/drawingml/2006/chartDrawing">
    <cdr:from>
      <cdr:x>0.71438</cdr:x>
      <cdr:y>0.81931</cdr:y>
    </cdr:from>
    <cdr:to>
      <cdr:x>0.81716</cdr:x>
      <cdr:y>0.89398</cdr:y>
    </cdr:to>
    <cdr:sp macro="" textlink="">
      <cdr:nvSpPr>
        <cdr:cNvPr id="10" name="TextBox 1"/>
        <cdr:cNvSpPr txBox="1"/>
      </cdr:nvSpPr>
      <cdr:spPr>
        <a:xfrm xmlns:a="http://schemas.openxmlformats.org/drawingml/2006/main">
          <a:off x="2773011" y="2524183"/>
          <a:ext cx="398963" cy="2300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0%</a:t>
          </a:r>
        </a:p>
      </cdr:txBody>
    </cdr:sp>
  </cdr:relSizeAnchor>
  <cdr:relSizeAnchor xmlns:cdr="http://schemas.openxmlformats.org/drawingml/2006/chartDrawing">
    <cdr:from>
      <cdr:x>0.59001</cdr:x>
      <cdr:y>0.71403</cdr:y>
    </cdr:from>
    <cdr:to>
      <cdr:x>0.69279</cdr:x>
      <cdr:y>0.79785</cdr:y>
    </cdr:to>
    <cdr:sp macro="" textlink="">
      <cdr:nvSpPr>
        <cdr:cNvPr id="11" name="TextBox 1"/>
        <cdr:cNvSpPr txBox="1"/>
      </cdr:nvSpPr>
      <cdr:spPr>
        <a:xfrm xmlns:a="http://schemas.openxmlformats.org/drawingml/2006/main">
          <a:off x="2290266" y="2199843"/>
          <a:ext cx="398963" cy="2582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17.2%</a:t>
          </a:r>
        </a:p>
      </cdr:txBody>
    </cdr:sp>
  </cdr:relSizeAnchor>
  <cdr:relSizeAnchor xmlns:cdr="http://schemas.openxmlformats.org/drawingml/2006/chartDrawing">
    <cdr:from>
      <cdr:x>0.19583</cdr:x>
      <cdr:y>0.86624</cdr:y>
    </cdr:from>
    <cdr:to>
      <cdr:x>0.30625</cdr:x>
      <cdr:y>1</cdr:y>
    </cdr:to>
    <cdr:sp macro="" textlink="">
      <cdr:nvSpPr>
        <cdr:cNvPr id="1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0.19583</cdr:x>
      <cdr:y>0.86624</cdr:y>
    </cdr:from>
    <cdr:to>
      <cdr:x>0.30625</cdr:x>
      <cdr:y>1</cdr:y>
    </cdr:to>
    <cdr:sp macro="" textlink="">
      <cdr:nvSpPr>
        <cdr:cNvPr id="2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0.19583</cdr:x>
      <cdr:y>0.86624</cdr:y>
    </cdr:from>
    <cdr:to>
      <cdr:x>0.30625</cdr:x>
      <cdr:y>1</cdr:y>
    </cdr:to>
    <cdr:sp macro="" textlink="">
      <cdr:nvSpPr>
        <cdr:cNvPr id="3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0.49975</cdr:x>
      <cdr:y>0.81178</cdr:y>
    </cdr:from>
    <cdr:to>
      <cdr:x>0.60772</cdr:x>
      <cdr:y>0.89062</cdr:y>
    </cdr:to>
    <cdr:sp macro="" textlink="">
      <cdr:nvSpPr>
        <cdr:cNvPr id="42" name="TextBox 1"/>
        <cdr:cNvSpPr txBox="1"/>
      </cdr:nvSpPr>
      <cdr:spPr>
        <a:xfrm xmlns:a="http://schemas.openxmlformats.org/drawingml/2006/main">
          <a:off x="1939904" y="2500998"/>
          <a:ext cx="419109" cy="2428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1.3%</a:t>
          </a:r>
        </a:p>
      </cdr:txBody>
    </cdr:sp>
  </cdr:relSizeAnchor>
  <cdr:relSizeAnchor xmlns:cdr="http://schemas.openxmlformats.org/drawingml/2006/chartDrawing">
    <cdr:from>
      <cdr:x>0.28873</cdr:x>
      <cdr:y>0.79559</cdr:y>
    </cdr:from>
    <cdr:to>
      <cdr:x>0.38762</cdr:x>
      <cdr:y>0.88795</cdr:y>
    </cdr:to>
    <cdr:sp macro="" textlink="">
      <cdr:nvSpPr>
        <cdr:cNvPr id="18" name="TextBox 1"/>
        <cdr:cNvSpPr txBox="1"/>
      </cdr:nvSpPr>
      <cdr:spPr>
        <a:xfrm xmlns:a="http://schemas.openxmlformats.org/drawingml/2006/main">
          <a:off x="1120770" y="2451100"/>
          <a:ext cx="383861" cy="2845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0.8%</a:t>
          </a:r>
        </a:p>
      </cdr:txBody>
    </cdr:sp>
  </cdr:relSizeAnchor>
  <cdr:relSizeAnchor xmlns:cdr="http://schemas.openxmlformats.org/drawingml/2006/chartDrawing">
    <cdr:from>
      <cdr:x>0.21348</cdr:x>
      <cdr:y>0.89566</cdr:y>
    </cdr:from>
    <cdr:to>
      <cdr:x>0.33796</cdr:x>
      <cdr:y>0.99194</cdr:y>
    </cdr:to>
    <cdr:sp macro="" textlink="">
      <cdr:nvSpPr>
        <cdr:cNvPr id="19" name="TextBox 1"/>
        <cdr:cNvSpPr txBox="1"/>
      </cdr:nvSpPr>
      <cdr:spPr>
        <a:xfrm xmlns:a="http://schemas.openxmlformats.org/drawingml/2006/main">
          <a:off x="827313" y="2741394"/>
          <a:ext cx="482406" cy="294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t>2014</a:t>
          </a:r>
        </a:p>
      </cdr:txBody>
    </cdr:sp>
  </cdr:relSizeAnchor>
</c:userShapes>
</file>

<file path=word/drawings/drawing13.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0.30003</cdr:x>
      <cdr:y>0.88239</cdr:y>
    </cdr:from>
    <cdr:to>
      <cdr:x>0.37395</cdr:x>
      <cdr:y>1</cdr:y>
    </cdr:to>
    <cdr:sp macro="" textlink="">
      <cdr:nvSpPr>
        <cdr:cNvPr id="2" name="TextBox 1"/>
        <cdr:cNvSpPr txBox="1"/>
      </cdr:nvSpPr>
      <cdr:spPr>
        <a:xfrm xmlns:a="http://schemas.openxmlformats.org/drawingml/2006/main">
          <a:off x="1820008" y="2110154"/>
          <a:ext cx="448408" cy="2812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CH</a:t>
          </a:r>
        </a:p>
      </cdr:txBody>
    </cdr:sp>
  </cdr:relSizeAnchor>
  <cdr:relSizeAnchor xmlns:cdr="http://schemas.openxmlformats.org/drawingml/2006/chartDrawing">
    <cdr:from>
      <cdr:x>0.1203</cdr:x>
      <cdr:y>0.88239</cdr:y>
    </cdr:from>
    <cdr:to>
      <cdr:x>0.23405</cdr:x>
      <cdr:y>0.99781</cdr:y>
    </cdr:to>
    <cdr:sp macro="" textlink="">
      <cdr:nvSpPr>
        <cdr:cNvPr id="8" name="TextBox 7"/>
        <cdr:cNvSpPr txBox="1"/>
      </cdr:nvSpPr>
      <cdr:spPr>
        <a:xfrm xmlns:a="http://schemas.openxmlformats.org/drawingml/2006/main">
          <a:off x="729762" y="2110154"/>
          <a:ext cx="690022" cy="276019"/>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EM</a:t>
          </a:r>
        </a:p>
      </cdr:txBody>
    </cdr:sp>
  </cdr:relSizeAnchor>
  <cdr:relSizeAnchor xmlns:cdr="http://schemas.openxmlformats.org/drawingml/2006/chartDrawing">
    <cdr:from>
      <cdr:x>0.49425</cdr:x>
      <cdr:y>0.87504</cdr:y>
    </cdr:from>
    <cdr:to>
      <cdr:x>0.58255</cdr:x>
      <cdr:y>1</cdr:y>
    </cdr:to>
    <cdr:sp macro="" textlink="">
      <cdr:nvSpPr>
        <cdr:cNvPr id="13" name="TextBox 1"/>
        <cdr:cNvSpPr txBox="1"/>
      </cdr:nvSpPr>
      <cdr:spPr>
        <a:xfrm xmlns:a="http://schemas.openxmlformats.org/drawingml/2006/main">
          <a:off x="2998176" y="2092569"/>
          <a:ext cx="535663"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US</a:t>
          </a:r>
        </a:p>
      </cdr:txBody>
    </cdr:sp>
  </cdr:relSizeAnchor>
  <cdr:relSizeAnchor xmlns:cdr="http://schemas.openxmlformats.org/drawingml/2006/chartDrawing">
    <cdr:from>
      <cdr:x>0.68267</cdr:x>
      <cdr:y>0.87504</cdr:y>
    </cdr:from>
    <cdr:to>
      <cdr:x>0.75071</cdr:x>
      <cdr:y>1</cdr:y>
    </cdr:to>
    <cdr:sp macro="" textlink="">
      <cdr:nvSpPr>
        <cdr:cNvPr id="14" name="TextBox 1"/>
        <cdr:cNvSpPr txBox="1"/>
      </cdr:nvSpPr>
      <cdr:spPr>
        <a:xfrm xmlns:a="http://schemas.openxmlformats.org/drawingml/2006/main">
          <a:off x="4141177" y="2092569"/>
          <a:ext cx="412746"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KR</a:t>
          </a:r>
        </a:p>
      </cdr:txBody>
    </cdr:sp>
  </cdr:relSizeAnchor>
  <cdr:relSizeAnchor xmlns:cdr="http://schemas.openxmlformats.org/drawingml/2006/chartDrawing">
    <cdr:from>
      <cdr:x>0.87646</cdr:x>
      <cdr:y>0.87504</cdr:y>
    </cdr:from>
    <cdr:to>
      <cdr:x>0.92721</cdr:x>
      <cdr:y>1</cdr:y>
    </cdr:to>
    <cdr:sp macro="" textlink="">
      <cdr:nvSpPr>
        <cdr:cNvPr id="20" name="TextBox 1"/>
        <cdr:cNvSpPr txBox="1"/>
      </cdr:nvSpPr>
      <cdr:spPr>
        <a:xfrm xmlns:a="http://schemas.openxmlformats.org/drawingml/2006/main">
          <a:off x="5316742" y="2092569"/>
          <a:ext cx="307858"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JP</a:t>
          </a:r>
        </a:p>
      </cdr:txBody>
    </cdr:sp>
  </cdr:relSizeAnchor>
  <cdr:relSizeAnchor xmlns:cdr="http://schemas.openxmlformats.org/drawingml/2006/chartDrawing">
    <cdr:from>
      <cdr:x>0.06377</cdr:x>
      <cdr:y>0.78312</cdr:y>
    </cdr:from>
    <cdr:to>
      <cdr:x>1</cdr:x>
      <cdr:y>0.8971</cdr:y>
    </cdr:to>
    <cdr:sp macro="" textlink="">
      <cdr:nvSpPr>
        <cdr:cNvPr id="6" name="TextBox 5"/>
        <cdr:cNvSpPr txBox="1"/>
      </cdr:nvSpPr>
      <cdr:spPr>
        <a:xfrm xmlns:a="http://schemas.openxmlformats.org/drawingml/2006/main">
          <a:off x="386861" y="1872762"/>
          <a:ext cx="5679293" cy="272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2014  2015  </a:t>
          </a:r>
          <a:r>
            <a:rPr lang="en-US" sz="1000" baseline="0"/>
            <a:t>2016         2014 2015 2016          2014 2015  2016         2014  2015  2016          2014  2015  2016</a:t>
          </a:r>
          <a:endParaRPr lang="en-US" sz="1000"/>
        </a:p>
      </cdr:txBody>
    </cdr:sp>
  </cdr:relSizeAnchor>
  <cdr:relSizeAnchor xmlns:cdr="http://schemas.openxmlformats.org/drawingml/2006/chartDrawing">
    <cdr:from>
      <cdr:x>0.03768</cdr:x>
      <cdr:y>0.04563</cdr:y>
    </cdr:from>
    <cdr:to>
      <cdr:x>1</cdr:x>
      <cdr:y>0.16699</cdr:y>
    </cdr:to>
    <cdr:sp macro="" textlink="">
      <cdr:nvSpPr>
        <cdr:cNvPr id="4" name="TextBox 1"/>
        <cdr:cNvSpPr txBox="1"/>
      </cdr:nvSpPr>
      <cdr:spPr>
        <a:xfrm xmlns:a="http://schemas.openxmlformats.org/drawingml/2006/main">
          <a:off x="228600" y="109120"/>
          <a:ext cx="5837555" cy="2902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Share of</a:t>
          </a:r>
          <a:r>
            <a:rPr lang="en-US" sz="1200" b="1" u="none" baseline="0"/>
            <a:t> s</a:t>
          </a:r>
          <a:r>
            <a:rPr lang="en-US" sz="1200" b="1" u="none"/>
            <a:t>elf-designation* per</a:t>
          </a:r>
          <a:r>
            <a:rPr lang="en-US" sz="1200" b="1" u="none" baseline="0"/>
            <a:t> designated Contracting Party</a:t>
          </a:r>
        </a:p>
      </cdr:txBody>
    </cdr:sp>
  </cdr:relSizeAnchor>
</c:userShapes>
</file>

<file path=word/drawings/drawing14.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0.15919</cdr:x>
      <cdr:y>0.02957</cdr:y>
    </cdr:from>
    <cdr:to>
      <cdr:x>0.88604</cdr:x>
      <cdr:y>0.14857</cdr:y>
    </cdr:to>
    <cdr:sp macro="" textlink="">
      <cdr:nvSpPr>
        <cdr:cNvPr id="4" name="TextBox 1"/>
        <cdr:cNvSpPr txBox="1"/>
      </cdr:nvSpPr>
      <cdr:spPr>
        <a:xfrm xmlns:a="http://schemas.openxmlformats.org/drawingml/2006/main">
          <a:off x="421420" y="87463"/>
          <a:ext cx="1924214" cy="3519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Designation of at least the </a:t>
          </a:r>
          <a:r>
            <a:rPr lang="en-US" sz="1100">
              <a:effectLst/>
              <a:latin typeface="+mn-lt"/>
              <a:ea typeface="+mn-ea"/>
              <a:cs typeface="+mn-cs"/>
            </a:rPr>
            <a:t>“</a:t>
          </a:r>
          <a:r>
            <a:rPr lang="en-US" sz="1200" b="1" u="none"/>
            <a:t>Geo-European</a:t>
          </a:r>
          <a:r>
            <a:rPr lang="en-US" sz="1200" b="1" u="none" baseline="0"/>
            <a:t> family</a:t>
          </a:r>
          <a:r>
            <a:rPr lang="en-US" sz="1100">
              <a:effectLst/>
              <a:latin typeface="+mn-lt"/>
              <a:ea typeface="+mn-ea"/>
              <a:cs typeface="+mn-cs"/>
            </a:rPr>
            <a:t>”</a:t>
          </a:r>
          <a:endParaRPr lang="en-US" sz="1200" b="1" u="none" baseline="0"/>
        </a:p>
      </cdr:txBody>
    </cdr:sp>
  </cdr:relSizeAnchor>
  <cdr:relSizeAnchor xmlns:cdr="http://schemas.openxmlformats.org/drawingml/2006/chartDrawing">
    <cdr:from>
      <cdr:x>0.20724</cdr:x>
      <cdr:y>0.89787</cdr:y>
    </cdr:from>
    <cdr:to>
      <cdr:x>0.41624</cdr:x>
      <cdr:y>0.9961</cdr:y>
    </cdr:to>
    <cdr:sp macro="" textlink="">
      <cdr:nvSpPr>
        <cdr:cNvPr id="5" name="TextBox 1"/>
        <cdr:cNvSpPr txBox="1"/>
      </cdr:nvSpPr>
      <cdr:spPr>
        <a:xfrm xmlns:a="http://schemas.openxmlformats.org/drawingml/2006/main">
          <a:off x="548640" y="2655735"/>
          <a:ext cx="553278" cy="2905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2014</a:t>
          </a:r>
        </a:p>
      </cdr:txBody>
    </cdr:sp>
  </cdr:relSizeAnchor>
  <cdr:relSizeAnchor xmlns:cdr="http://schemas.openxmlformats.org/drawingml/2006/chartDrawing">
    <cdr:from>
      <cdr:x>0.48357</cdr:x>
      <cdr:y>0.89787</cdr:y>
    </cdr:from>
    <cdr:to>
      <cdr:x>0.66078</cdr:x>
      <cdr:y>0.99207</cdr:y>
    </cdr:to>
    <cdr:sp macro="" textlink="">
      <cdr:nvSpPr>
        <cdr:cNvPr id="6" name="TextBox 1"/>
        <cdr:cNvSpPr txBox="1"/>
      </cdr:nvSpPr>
      <cdr:spPr>
        <a:xfrm xmlns:a="http://schemas.openxmlformats.org/drawingml/2006/main">
          <a:off x="1280159" y="2655735"/>
          <a:ext cx="469127" cy="2786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0.64258</cdr:x>
      <cdr:y>0.89518</cdr:y>
    </cdr:from>
    <cdr:to>
      <cdr:x>1</cdr:x>
      <cdr:y>1</cdr:y>
    </cdr:to>
    <cdr:sp macro="" textlink="">
      <cdr:nvSpPr>
        <cdr:cNvPr id="7" name="TextBox 1"/>
        <cdr:cNvSpPr txBox="1"/>
      </cdr:nvSpPr>
      <cdr:spPr>
        <a:xfrm xmlns:a="http://schemas.openxmlformats.org/drawingml/2006/main">
          <a:off x="1701579" y="2647784"/>
          <a:ext cx="946205" cy="3100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Jan-Mar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5.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0.06094</cdr:x>
      <cdr:y>0.01622</cdr:y>
    </cdr:from>
    <cdr:to>
      <cdr:x>0.95303</cdr:x>
      <cdr:y>0.15513</cdr:y>
    </cdr:to>
    <cdr:sp macro="" textlink="">
      <cdr:nvSpPr>
        <cdr:cNvPr id="4" name="TextBox 1"/>
        <cdr:cNvSpPr txBox="1"/>
      </cdr:nvSpPr>
      <cdr:spPr>
        <a:xfrm xmlns:a="http://schemas.openxmlformats.org/drawingml/2006/main">
          <a:off x="167171" y="47708"/>
          <a:ext cx="2447181" cy="4086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Average</a:t>
          </a:r>
          <a:r>
            <a:rPr lang="en-US" sz="1200" b="1" u="none" baseline="0"/>
            <a:t> number of designs when </a:t>
          </a:r>
          <a:r>
            <a:rPr lang="en-US" sz="1200" b="1" u="none"/>
            <a:t>at least the </a:t>
          </a:r>
          <a:r>
            <a:rPr lang="en-US" sz="1100">
              <a:effectLst/>
              <a:latin typeface="+mn-lt"/>
              <a:ea typeface="+mn-ea"/>
              <a:cs typeface="+mn-cs"/>
            </a:rPr>
            <a:t>“</a:t>
          </a:r>
          <a:r>
            <a:rPr lang="en-US" sz="1200" b="1" u="none"/>
            <a:t>Geo-European</a:t>
          </a:r>
          <a:r>
            <a:rPr lang="en-US" sz="1200" b="1" u="none" baseline="0"/>
            <a:t> family</a:t>
          </a:r>
          <a:r>
            <a:rPr lang="en-US" sz="1100">
              <a:effectLst/>
              <a:latin typeface="+mn-lt"/>
              <a:ea typeface="+mn-ea"/>
              <a:cs typeface="+mn-cs"/>
            </a:rPr>
            <a:t>”</a:t>
          </a:r>
          <a:r>
            <a:rPr lang="en-US" sz="1200" b="1" u="none" baseline="0"/>
            <a:t> is designated</a:t>
          </a:r>
        </a:p>
      </cdr:txBody>
    </cdr:sp>
  </cdr:relSizeAnchor>
  <cdr:relSizeAnchor xmlns:cdr="http://schemas.openxmlformats.org/drawingml/2006/chartDrawing">
    <cdr:from>
      <cdr:x>0.14247</cdr:x>
      <cdr:y>0.88583</cdr:y>
    </cdr:from>
    <cdr:to>
      <cdr:x>0.38161</cdr:x>
      <cdr:y>1</cdr:y>
    </cdr:to>
    <cdr:sp macro="" textlink="">
      <cdr:nvSpPr>
        <cdr:cNvPr id="5" name="TextBox 1"/>
        <cdr:cNvSpPr txBox="1"/>
      </cdr:nvSpPr>
      <cdr:spPr>
        <a:xfrm xmlns:a="http://schemas.openxmlformats.org/drawingml/2006/main">
          <a:off x="567462" y="2523307"/>
          <a:ext cx="952521" cy="3252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2014</a:t>
          </a:r>
        </a:p>
      </cdr:txBody>
    </cdr:sp>
  </cdr:relSizeAnchor>
  <cdr:relSizeAnchor xmlns:cdr="http://schemas.openxmlformats.org/drawingml/2006/chartDrawing">
    <cdr:from>
      <cdr:x>0.40147</cdr:x>
      <cdr:y>0.88583</cdr:y>
    </cdr:from>
    <cdr:to>
      <cdr:x>0.62075</cdr:x>
      <cdr:y>0.99987</cdr:y>
    </cdr:to>
    <cdr:sp macro="" textlink="">
      <cdr:nvSpPr>
        <cdr:cNvPr id="6" name="TextBox 1"/>
        <cdr:cNvSpPr txBox="1"/>
      </cdr:nvSpPr>
      <cdr:spPr>
        <a:xfrm xmlns:a="http://schemas.openxmlformats.org/drawingml/2006/main">
          <a:off x="1599069" y="2523307"/>
          <a:ext cx="873415" cy="324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0.6149</cdr:x>
      <cdr:y>0.88583</cdr:y>
    </cdr:from>
    <cdr:to>
      <cdr:x>0.97681</cdr:x>
      <cdr:y>1</cdr:y>
    </cdr:to>
    <cdr:sp macro="" textlink="">
      <cdr:nvSpPr>
        <cdr:cNvPr id="7" name="TextBox 1"/>
        <cdr:cNvSpPr txBox="1"/>
      </cdr:nvSpPr>
      <cdr:spPr>
        <a:xfrm xmlns:a="http://schemas.openxmlformats.org/drawingml/2006/main">
          <a:off x="1686793" y="2606072"/>
          <a:ext cx="992796" cy="3358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Jan-Mar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6.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0.09674</cdr:x>
      <cdr:y>0.07791</cdr:y>
    </cdr:from>
    <cdr:to>
      <cdr:x>0.92021</cdr:x>
      <cdr:y>0.17145</cdr:y>
    </cdr:to>
    <cdr:sp macro="" textlink="">
      <cdr:nvSpPr>
        <cdr:cNvPr id="4" name="TextBox 1"/>
        <cdr:cNvSpPr txBox="1"/>
      </cdr:nvSpPr>
      <cdr:spPr>
        <a:xfrm xmlns:a="http://schemas.openxmlformats.org/drawingml/2006/main">
          <a:off x="384674" y="222636"/>
          <a:ext cx="3274421" cy="2672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Share of priority claims </a:t>
          </a:r>
          <a:r>
            <a:rPr lang="en-US" sz="1200" b="1" u="none" baseline="0"/>
            <a:t>when </a:t>
          </a:r>
          <a:r>
            <a:rPr lang="en-US" sz="1200" b="1" u="none"/>
            <a:t>at least the </a:t>
          </a:r>
        </a:p>
        <a:p xmlns:a="http://schemas.openxmlformats.org/drawingml/2006/main">
          <a:pPr algn="ctr"/>
          <a:r>
            <a:rPr lang="en-US" sz="1100">
              <a:effectLst/>
              <a:latin typeface="+mn-lt"/>
              <a:ea typeface="+mn-ea"/>
              <a:cs typeface="+mn-cs"/>
            </a:rPr>
            <a:t>“</a:t>
          </a:r>
          <a:r>
            <a:rPr lang="en-US" sz="1200" b="1" u="none"/>
            <a:t>Geo-European</a:t>
          </a:r>
          <a:r>
            <a:rPr lang="en-US" sz="1200" b="1" u="none" baseline="0"/>
            <a:t> family</a:t>
          </a:r>
          <a:r>
            <a:rPr lang="en-US" sz="1100">
              <a:effectLst/>
              <a:latin typeface="+mn-lt"/>
              <a:ea typeface="+mn-ea"/>
              <a:cs typeface="+mn-cs"/>
            </a:rPr>
            <a:t>”</a:t>
          </a:r>
          <a:r>
            <a:rPr lang="en-US" sz="1200" b="1" u="none" baseline="0"/>
            <a:t> is designated</a:t>
          </a:r>
        </a:p>
      </cdr:txBody>
    </cdr:sp>
  </cdr:relSizeAnchor>
  <cdr:relSizeAnchor xmlns:cdr="http://schemas.openxmlformats.org/drawingml/2006/chartDrawing">
    <cdr:from>
      <cdr:x>0.18507</cdr:x>
      <cdr:y>0.89326</cdr:y>
    </cdr:from>
    <cdr:to>
      <cdr:x>0.35444</cdr:x>
      <cdr:y>0.99925</cdr:y>
    </cdr:to>
    <cdr:sp macro="" textlink="">
      <cdr:nvSpPr>
        <cdr:cNvPr id="5" name="TextBox 1"/>
        <cdr:cNvSpPr txBox="1"/>
      </cdr:nvSpPr>
      <cdr:spPr>
        <a:xfrm xmlns:a="http://schemas.openxmlformats.org/drawingml/2006/main">
          <a:off x="735926" y="2552478"/>
          <a:ext cx="673478" cy="3028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2014</a:t>
          </a:r>
        </a:p>
      </cdr:txBody>
    </cdr:sp>
  </cdr:relSizeAnchor>
  <cdr:relSizeAnchor xmlns:cdr="http://schemas.openxmlformats.org/drawingml/2006/chartDrawing">
    <cdr:from>
      <cdr:x>0.39917</cdr:x>
      <cdr:y>0.89603</cdr:y>
    </cdr:from>
    <cdr:to>
      <cdr:x>0.61819</cdr:x>
      <cdr:y>0.99925</cdr:y>
    </cdr:to>
    <cdr:sp macro="" textlink="">
      <cdr:nvSpPr>
        <cdr:cNvPr id="6" name="TextBox 1"/>
        <cdr:cNvSpPr txBox="1"/>
      </cdr:nvSpPr>
      <cdr:spPr>
        <a:xfrm xmlns:a="http://schemas.openxmlformats.org/drawingml/2006/main">
          <a:off x="1587261" y="2560393"/>
          <a:ext cx="870906" cy="2949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0.61392</cdr:x>
      <cdr:y>0.89048</cdr:y>
    </cdr:from>
    <cdr:to>
      <cdr:x>0.86194</cdr:x>
      <cdr:y>0.99925</cdr:y>
    </cdr:to>
    <cdr:sp macro="" textlink="">
      <cdr:nvSpPr>
        <cdr:cNvPr id="7" name="TextBox 1"/>
        <cdr:cNvSpPr txBox="1"/>
      </cdr:nvSpPr>
      <cdr:spPr>
        <a:xfrm xmlns:a="http://schemas.openxmlformats.org/drawingml/2006/main">
          <a:off x="2441159" y="2544534"/>
          <a:ext cx="986219" cy="3108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Jan-Mar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0.19846</cdr:x>
      <cdr:y>0.69723</cdr:y>
    </cdr:from>
    <cdr:to>
      <cdr:x>0.33781</cdr:x>
      <cdr:y>0.80255</cdr:y>
    </cdr:to>
    <cdr:sp macro="" textlink="">
      <cdr:nvSpPr>
        <cdr:cNvPr id="2" name="TextBox 1"/>
        <cdr:cNvSpPr txBox="1"/>
      </cdr:nvSpPr>
      <cdr:spPr>
        <a:xfrm xmlns:a="http://schemas.openxmlformats.org/drawingml/2006/main">
          <a:off x="789285" y="1992329"/>
          <a:ext cx="554190" cy="300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13.3%</a:t>
          </a:r>
        </a:p>
      </cdr:txBody>
    </cdr:sp>
  </cdr:relSizeAnchor>
  <cdr:relSizeAnchor xmlns:cdr="http://schemas.openxmlformats.org/drawingml/2006/chartDrawing">
    <cdr:from>
      <cdr:x>0.41954</cdr:x>
      <cdr:y>0.70001</cdr:y>
    </cdr:from>
    <cdr:to>
      <cdr:x>0.55888</cdr:x>
      <cdr:y>0.80021</cdr:y>
    </cdr:to>
    <cdr:sp macro="" textlink="">
      <cdr:nvSpPr>
        <cdr:cNvPr id="10" name="TextBox 1"/>
        <cdr:cNvSpPr txBox="1"/>
      </cdr:nvSpPr>
      <cdr:spPr>
        <a:xfrm xmlns:a="http://schemas.openxmlformats.org/drawingml/2006/main">
          <a:off x="1668246" y="2000279"/>
          <a:ext cx="554068" cy="2863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12.8%</a:t>
          </a:r>
        </a:p>
      </cdr:txBody>
    </cdr:sp>
  </cdr:relSizeAnchor>
  <cdr:relSizeAnchor xmlns:cdr="http://schemas.openxmlformats.org/drawingml/2006/chartDrawing">
    <cdr:from>
      <cdr:x>0.64558</cdr:x>
      <cdr:y>0.69069</cdr:y>
    </cdr:from>
    <cdr:to>
      <cdr:x>0.78492</cdr:x>
      <cdr:y>0.8007</cdr:y>
    </cdr:to>
    <cdr:sp macro="" textlink="">
      <cdr:nvSpPr>
        <cdr:cNvPr id="11" name="TextBox 1"/>
        <cdr:cNvSpPr txBox="1"/>
      </cdr:nvSpPr>
      <cdr:spPr>
        <a:xfrm xmlns:a="http://schemas.openxmlformats.org/drawingml/2006/main">
          <a:off x="2567434" y="1973641"/>
          <a:ext cx="554151" cy="314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14.5%</a:t>
          </a:r>
        </a:p>
      </cdr:txBody>
    </cdr:sp>
  </cdr:relSizeAnchor>
</c:userShapes>
</file>

<file path=word/drawings/drawing17.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0.02721</cdr:y>
    </cdr:from>
    <cdr:to>
      <cdr:x>1</cdr:x>
      <cdr:y>0.14857</cdr:y>
    </cdr:to>
    <cdr:sp macro="" textlink="">
      <cdr:nvSpPr>
        <cdr:cNvPr id="4" name="TextBox 1"/>
        <cdr:cNvSpPr txBox="1"/>
      </cdr:nvSpPr>
      <cdr:spPr>
        <a:xfrm xmlns:a="http://schemas.openxmlformats.org/drawingml/2006/main">
          <a:off x="0" y="90707"/>
          <a:ext cx="3971924" cy="4045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Designation of at least the </a:t>
          </a:r>
        </a:p>
        <a:p xmlns:a="http://schemas.openxmlformats.org/drawingml/2006/main">
          <a:pPr algn="ctr"/>
          <a:r>
            <a:rPr lang="en-US" sz="1100">
              <a:effectLst/>
              <a:latin typeface="+mn-lt"/>
              <a:ea typeface="+mn-ea"/>
              <a:cs typeface="+mn-cs"/>
            </a:rPr>
            <a:t>“</a:t>
          </a:r>
          <a:r>
            <a:rPr lang="en-US" sz="1200" b="1" u="none"/>
            <a:t>Asian-American</a:t>
          </a:r>
          <a:r>
            <a:rPr lang="en-US" sz="1200" b="1" u="none" baseline="0"/>
            <a:t> family</a:t>
          </a:r>
          <a:r>
            <a:rPr lang="en-US" sz="1100">
              <a:effectLst/>
              <a:latin typeface="+mn-lt"/>
              <a:ea typeface="+mn-ea"/>
              <a:cs typeface="+mn-cs"/>
            </a:rPr>
            <a:t>”</a:t>
          </a:r>
          <a:endParaRPr lang="en-US" sz="1200" b="1" u="none" baseline="0"/>
        </a:p>
      </cdr:txBody>
    </cdr:sp>
  </cdr:relSizeAnchor>
  <cdr:relSizeAnchor xmlns:cdr="http://schemas.openxmlformats.org/drawingml/2006/chartDrawing">
    <cdr:from>
      <cdr:x>0.28308</cdr:x>
      <cdr:y>0.89097</cdr:y>
    </cdr:from>
    <cdr:to>
      <cdr:x>0.50601</cdr:x>
      <cdr:y>0.99597</cdr:y>
    </cdr:to>
    <cdr:sp macro="" textlink="">
      <cdr:nvSpPr>
        <cdr:cNvPr id="6" name="TextBox 1"/>
        <cdr:cNvSpPr txBox="1"/>
      </cdr:nvSpPr>
      <cdr:spPr>
        <a:xfrm xmlns:a="http://schemas.openxmlformats.org/drawingml/2006/main">
          <a:off x="715618" y="2607049"/>
          <a:ext cx="563541" cy="3072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0.53785</cdr:x>
      <cdr:y>0.89097</cdr:y>
    </cdr:from>
    <cdr:to>
      <cdr:x>1</cdr:x>
      <cdr:y>0.9922</cdr:y>
    </cdr:to>
    <cdr:sp macro="" textlink="">
      <cdr:nvSpPr>
        <cdr:cNvPr id="7" name="TextBox 1"/>
        <cdr:cNvSpPr txBox="1"/>
      </cdr:nvSpPr>
      <cdr:spPr>
        <a:xfrm xmlns:a="http://schemas.openxmlformats.org/drawingml/2006/main">
          <a:off x="1415333" y="2635337"/>
          <a:ext cx="1216107" cy="2994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Jan-Mar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0.89643</cdr:x>
      <cdr:y>0.98909</cdr:y>
    </cdr:to>
    <cdr:sp macro="" textlink="">
      <cdr:nvSpPr>
        <cdr:cNvPr id="17" name="TextBox 1"/>
        <cdr:cNvSpPr txBox="1"/>
      </cdr:nvSpPr>
      <cdr:spPr>
        <a:xfrm xmlns:a="http://schemas.openxmlformats.org/drawingml/2006/main">
          <a:off x="1288312" y="2619602"/>
          <a:ext cx="977810" cy="2745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8.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0.05939</cdr:x>
      <cdr:y>0.02721</cdr:y>
    </cdr:from>
    <cdr:to>
      <cdr:x>0.94908</cdr:x>
      <cdr:y>0.14857</cdr:y>
    </cdr:to>
    <cdr:sp macro="" textlink="">
      <cdr:nvSpPr>
        <cdr:cNvPr id="4" name="TextBox 1"/>
        <cdr:cNvSpPr txBox="1"/>
      </cdr:nvSpPr>
      <cdr:spPr>
        <a:xfrm xmlns:a="http://schemas.openxmlformats.org/drawingml/2006/main">
          <a:off x="235882" y="78940"/>
          <a:ext cx="3533775" cy="3520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Average</a:t>
          </a:r>
          <a:r>
            <a:rPr lang="en-US" sz="1200" b="1" u="none" baseline="0"/>
            <a:t> number of designs when </a:t>
          </a:r>
          <a:r>
            <a:rPr lang="en-US" sz="1200" b="1" u="none"/>
            <a:t>at least the </a:t>
          </a:r>
          <a:r>
            <a:rPr lang="en-US" sz="1200">
              <a:effectLst/>
              <a:latin typeface="+mn-lt"/>
              <a:ea typeface="+mn-ea"/>
              <a:cs typeface="+mn-cs"/>
            </a:rPr>
            <a:t>“</a:t>
          </a:r>
          <a:r>
            <a:rPr lang="en-US" sz="1200" b="1" u="none"/>
            <a:t>Asian-American</a:t>
          </a:r>
          <a:r>
            <a:rPr lang="en-US" sz="1200" b="1" u="none" baseline="0"/>
            <a:t> family</a:t>
          </a:r>
          <a:r>
            <a:rPr lang="en-US" sz="1200">
              <a:effectLst/>
              <a:latin typeface="+mn-lt"/>
              <a:ea typeface="+mn-ea"/>
              <a:cs typeface="+mn-cs"/>
            </a:rPr>
            <a:t>”</a:t>
          </a:r>
          <a:r>
            <a:rPr lang="en-US" sz="1200" b="1" u="none" baseline="0"/>
            <a:t> is designated</a:t>
          </a:r>
        </a:p>
      </cdr:txBody>
    </cdr:sp>
  </cdr:relSizeAnchor>
  <cdr:relSizeAnchor xmlns:cdr="http://schemas.openxmlformats.org/drawingml/2006/chartDrawing">
    <cdr:from>
      <cdr:x>0.20709</cdr:x>
      <cdr:y>0.87323</cdr:y>
    </cdr:from>
    <cdr:to>
      <cdr:x>0.45299</cdr:x>
      <cdr:y>0.99588</cdr:y>
    </cdr:to>
    <cdr:sp macro="" textlink="">
      <cdr:nvSpPr>
        <cdr:cNvPr id="6" name="TextBox 1"/>
        <cdr:cNvSpPr txBox="1"/>
      </cdr:nvSpPr>
      <cdr:spPr>
        <a:xfrm xmlns:a="http://schemas.openxmlformats.org/drawingml/2006/main">
          <a:off x="824846" y="2483457"/>
          <a:ext cx="979430" cy="348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0.54031</cdr:x>
      <cdr:y>0.8715</cdr:y>
    </cdr:from>
    <cdr:to>
      <cdr:x>0.82917</cdr:x>
      <cdr:y>1</cdr:y>
    </cdr:to>
    <cdr:sp macro="" textlink="">
      <cdr:nvSpPr>
        <cdr:cNvPr id="7" name="TextBox 1"/>
        <cdr:cNvSpPr txBox="1"/>
      </cdr:nvSpPr>
      <cdr:spPr>
        <a:xfrm xmlns:a="http://schemas.openxmlformats.org/drawingml/2006/main">
          <a:off x="2146070" y="2528354"/>
          <a:ext cx="1147338" cy="3727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Jan-Mar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9.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0.10594</cdr:x>
      <cdr:y>0.02721</cdr:y>
    </cdr:from>
    <cdr:to>
      <cdr:x>0.9215</cdr:x>
      <cdr:y>0.14857</cdr:y>
    </cdr:to>
    <cdr:sp macro="" textlink="">
      <cdr:nvSpPr>
        <cdr:cNvPr id="4" name="TextBox 1"/>
        <cdr:cNvSpPr txBox="1"/>
      </cdr:nvSpPr>
      <cdr:spPr>
        <a:xfrm xmlns:a="http://schemas.openxmlformats.org/drawingml/2006/main">
          <a:off x="421902" y="79003"/>
          <a:ext cx="3248024" cy="3523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Share of priority claims </a:t>
          </a:r>
          <a:r>
            <a:rPr lang="en-US" sz="1200" b="1" u="none" baseline="0"/>
            <a:t>when </a:t>
          </a:r>
          <a:r>
            <a:rPr lang="en-US" sz="1200" b="1" u="none"/>
            <a:t>at least the </a:t>
          </a:r>
          <a:r>
            <a:rPr lang="en-US" sz="1100">
              <a:effectLst/>
              <a:latin typeface="+mn-lt"/>
              <a:ea typeface="+mn-ea"/>
              <a:cs typeface="+mn-cs"/>
            </a:rPr>
            <a:t>“</a:t>
          </a:r>
          <a:r>
            <a:rPr lang="en-US" sz="1200" b="1" u="none"/>
            <a:t>Asian-American</a:t>
          </a:r>
          <a:r>
            <a:rPr lang="en-US" sz="1200" b="1" u="none" baseline="0"/>
            <a:t> family</a:t>
          </a:r>
          <a:r>
            <a:rPr lang="en-US" sz="1100">
              <a:effectLst/>
              <a:latin typeface="+mn-lt"/>
              <a:ea typeface="+mn-ea"/>
              <a:cs typeface="+mn-cs"/>
            </a:rPr>
            <a:t>”</a:t>
          </a:r>
          <a:r>
            <a:rPr lang="en-US" sz="1200" b="1" u="none" baseline="0"/>
            <a:t> is designated</a:t>
          </a:r>
        </a:p>
      </cdr:txBody>
    </cdr:sp>
  </cdr:relSizeAnchor>
  <cdr:relSizeAnchor xmlns:cdr="http://schemas.openxmlformats.org/drawingml/2006/chartDrawing">
    <cdr:from>
      <cdr:x>0.23669</cdr:x>
      <cdr:y>0.88845</cdr:y>
    </cdr:from>
    <cdr:to>
      <cdr:x>0.49035</cdr:x>
      <cdr:y>0.99987</cdr:y>
    </cdr:to>
    <cdr:sp macro="" textlink="">
      <cdr:nvSpPr>
        <cdr:cNvPr id="6" name="TextBox 1"/>
        <cdr:cNvSpPr txBox="1"/>
      </cdr:nvSpPr>
      <cdr:spPr>
        <a:xfrm xmlns:a="http://schemas.openxmlformats.org/drawingml/2006/main">
          <a:off x="936257" y="2498909"/>
          <a:ext cx="1003397" cy="3133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0.53035</cdr:x>
      <cdr:y>0.88721</cdr:y>
    </cdr:from>
    <cdr:to>
      <cdr:x>0.91432</cdr:x>
      <cdr:y>1</cdr:y>
    </cdr:to>
    <cdr:sp macro="" textlink="">
      <cdr:nvSpPr>
        <cdr:cNvPr id="7" name="TextBox 1"/>
        <cdr:cNvSpPr txBox="1"/>
      </cdr:nvSpPr>
      <cdr:spPr>
        <a:xfrm xmlns:a="http://schemas.openxmlformats.org/drawingml/2006/main">
          <a:off x="2112156" y="2575978"/>
          <a:ext cx="1529196" cy="3274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Jan-Mar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0.30313</cdr:x>
      <cdr:y>0.41566</cdr:y>
    </cdr:from>
    <cdr:to>
      <cdr:x>0.44247</cdr:x>
      <cdr:y>0.53074</cdr:y>
    </cdr:to>
    <cdr:sp macro="" textlink="">
      <cdr:nvSpPr>
        <cdr:cNvPr id="10" name="TextBox 1"/>
        <cdr:cNvSpPr txBox="1"/>
      </cdr:nvSpPr>
      <cdr:spPr>
        <a:xfrm xmlns:a="http://schemas.openxmlformats.org/drawingml/2006/main">
          <a:off x="1207237" y="1206831"/>
          <a:ext cx="554931" cy="3341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60.9%</a:t>
          </a:r>
        </a:p>
      </cdr:txBody>
    </cdr:sp>
  </cdr:relSizeAnchor>
  <cdr:relSizeAnchor xmlns:cdr="http://schemas.openxmlformats.org/drawingml/2006/chartDrawing">
    <cdr:from>
      <cdr:x>0.64292</cdr:x>
      <cdr:y>0.50072</cdr:y>
    </cdr:from>
    <cdr:to>
      <cdr:x>0.78227</cdr:x>
      <cdr:y>0.6158</cdr:y>
    </cdr:to>
    <cdr:sp macro="" textlink="">
      <cdr:nvSpPr>
        <cdr:cNvPr id="11" name="TextBox 1"/>
        <cdr:cNvSpPr txBox="1"/>
      </cdr:nvSpPr>
      <cdr:spPr>
        <a:xfrm xmlns:a="http://schemas.openxmlformats.org/drawingml/2006/main">
          <a:off x="2560495" y="1453824"/>
          <a:ext cx="554932" cy="3341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45.5%</a:t>
          </a:r>
        </a:p>
      </cdr:txBody>
    </cdr:sp>
  </cdr:relSizeAnchor>
</c:userShapes>
</file>

<file path=word/drawings/drawing2.xml><?xml version="1.0" encoding="utf-8"?>
<c:userShapes xmlns:c="http://schemas.openxmlformats.org/drawingml/2006/chart">
  <cdr:relSizeAnchor xmlns:cdr="http://schemas.openxmlformats.org/drawingml/2006/chartDrawing">
    <cdr:from>
      <cdr:x>0.28091</cdr:x>
      <cdr:y>0.88333</cdr:y>
    </cdr:from>
    <cdr:to>
      <cdr:x>0.39099</cdr:x>
      <cdr:y>0.9725</cdr:y>
    </cdr:to>
    <cdr:sp macro="" textlink="">
      <cdr:nvSpPr>
        <cdr:cNvPr id="2" name="TextBox 1"/>
        <cdr:cNvSpPr txBox="1"/>
      </cdr:nvSpPr>
      <cdr:spPr>
        <a:xfrm xmlns:a="http://schemas.openxmlformats.org/drawingml/2006/main">
          <a:off x="1327130" y="2641916"/>
          <a:ext cx="520062" cy="266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a:t>
          </a:r>
        </a:p>
      </cdr:txBody>
    </cdr:sp>
  </cdr:relSizeAnchor>
  <cdr:relSizeAnchor xmlns:cdr="http://schemas.openxmlformats.org/drawingml/2006/chartDrawing">
    <cdr:from>
      <cdr:x>0.50538</cdr:x>
      <cdr:y>0.88128</cdr:y>
    </cdr:from>
    <cdr:to>
      <cdr:x>0.61223</cdr:x>
      <cdr:y>0.97045</cdr:y>
    </cdr:to>
    <cdr:sp macro="" textlink="">
      <cdr:nvSpPr>
        <cdr:cNvPr id="3" name="TextBox 1"/>
        <cdr:cNvSpPr txBox="1"/>
      </cdr:nvSpPr>
      <cdr:spPr>
        <a:xfrm xmlns:a="http://schemas.openxmlformats.org/drawingml/2006/main">
          <a:off x="2387594" y="2635785"/>
          <a:ext cx="504849" cy="2666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0.68347</cdr:x>
      <cdr:y>0.87916</cdr:y>
    </cdr:from>
    <cdr:to>
      <cdr:x>0.91331</cdr:x>
      <cdr:y>0.96833</cdr:y>
    </cdr:to>
    <cdr:sp macro="" textlink="">
      <cdr:nvSpPr>
        <cdr:cNvPr id="4" name="TextBox 1"/>
        <cdr:cNvSpPr txBox="1"/>
      </cdr:nvSpPr>
      <cdr:spPr>
        <a:xfrm xmlns:a="http://schemas.openxmlformats.org/drawingml/2006/main">
          <a:off x="3228966" y="2629435"/>
          <a:ext cx="1085856" cy="2666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Jan-Mar</a:t>
          </a:r>
          <a:r>
            <a:rPr lang="en-US" sz="1000" baseline="0"/>
            <a:t> 2016</a:t>
          </a:r>
        </a:p>
      </cdr:txBody>
    </cdr:sp>
  </cdr:relSizeAnchor>
  <cdr:relSizeAnchor xmlns:cdr="http://schemas.openxmlformats.org/drawingml/2006/chartDrawing">
    <cdr:from>
      <cdr:x>0.19583</cdr:x>
      <cdr:y>0.86624</cdr:y>
    </cdr:from>
    <cdr:to>
      <cdr:x>0.30625</cdr:x>
      <cdr:y>1</cdr:y>
    </cdr:to>
    <cdr:sp macro="" textlink="">
      <cdr:nvSpPr>
        <cdr:cNvPr id="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0.04009</cdr:y>
    </cdr:from>
    <cdr:to>
      <cdr:x>1</cdr:x>
      <cdr:y>0.15542</cdr:y>
    </cdr:to>
    <cdr:sp macro="" textlink="">
      <cdr:nvSpPr>
        <cdr:cNvPr id="9" name="TextBox 8"/>
        <cdr:cNvSpPr txBox="1"/>
      </cdr:nvSpPr>
      <cdr:spPr>
        <a:xfrm xmlns:a="http://schemas.openxmlformats.org/drawingml/2006/main">
          <a:off x="0" y="119494"/>
          <a:ext cx="4696691" cy="3437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u="none"/>
            <a:t>Share of</a:t>
          </a:r>
          <a:r>
            <a:rPr lang="en-US" sz="1400" b="1" u="none" baseline="0"/>
            <a:t> IRs containing priority claims</a:t>
          </a:r>
        </a:p>
      </cdr:txBody>
    </cdr:sp>
  </cdr:relSizeAnchor>
  <cdr:relSizeAnchor xmlns:cdr="http://schemas.openxmlformats.org/drawingml/2006/chartDrawing">
    <cdr:from>
      <cdr:x>0.49137</cdr:x>
      <cdr:y>0.58791</cdr:y>
    </cdr:from>
    <cdr:to>
      <cdr:x>0.59941</cdr:x>
      <cdr:y>0.87023</cdr:y>
    </cdr:to>
    <cdr:sp macro="" textlink="">
      <cdr:nvSpPr>
        <cdr:cNvPr id="10" name="Rectangle 9"/>
        <cdr:cNvSpPr/>
      </cdr:nvSpPr>
      <cdr:spPr>
        <a:xfrm xmlns:a="http://schemas.openxmlformats.org/drawingml/2006/main">
          <a:off x="2327669" y="1690779"/>
          <a:ext cx="511796" cy="811930"/>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0.71118</cdr:x>
      <cdr:y>0.80988</cdr:y>
    </cdr:from>
    <cdr:to>
      <cdr:x>0.81764</cdr:x>
      <cdr:y>0.86257</cdr:y>
    </cdr:to>
    <cdr:sp macro="" textlink="">
      <cdr:nvSpPr>
        <cdr:cNvPr id="11" name="Rectangle 10"/>
        <cdr:cNvSpPr/>
      </cdr:nvSpPr>
      <cdr:spPr>
        <a:xfrm xmlns:a="http://schemas.openxmlformats.org/drawingml/2006/main">
          <a:off x="3368926" y="2329132"/>
          <a:ext cx="504312" cy="15154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0.27142</cdr:x>
      <cdr:y>0.71249</cdr:y>
    </cdr:from>
    <cdr:to>
      <cdr:x>0.37843</cdr:x>
      <cdr:y>0.86159</cdr:y>
    </cdr:to>
    <cdr:sp macro="" textlink="">
      <cdr:nvSpPr>
        <cdr:cNvPr id="12" name="Rectangle 11"/>
        <cdr:cNvSpPr/>
      </cdr:nvSpPr>
      <cdr:spPr>
        <a:xfrm xmlns:a="http://schemas.openxmlformats.org/drawingml/2006/main">
          <a:off x="1285744" y="2049067"/>
          <a:ext cx="506917" cy="42879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0.27294</cdr:x>
      <cdr:y>0.71229</cdr:y>
    </cdr:from>
    <cdr:to>
      <cdr:x>0.37919</cdr:x>
      <cdr:y>0.79505</cdr:y>
    </cdr:to>
    <cdr:sp macro="" textlink="">
      <cdr:nvSpPr>
        <cdr:cNvPr id="6" name="TextBox 5"/>
        <cdr:cNvSpPr txBox="1"/>
      </cdr:nvSpPr>
      <cdr:spPr>
        <a:xfrm xmlns:a="http://schemas.openxmlformats.org/drawingml/2006/main">
          <a:off x="1292944" y="2048492"/>
          <a:ext cx="503317" cy="2380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solidFill>
                <a:schemeClr val="bg1"/>
              </a:solidFill>
            </a:rPr>
            <a:t>36.1%</a:t>
          </a:r>
        </a:p>
      </cdr:txBody>
    </cdr:sp>
  </cdr:relSizeAnchor>
  <cdr:relSizeAnchor xmlns:cdr="http://schemas.openxmlformats.org/drawingml/2006/chartDrawing">
    <cdr:from>
      <cdr:x>0.48909</cdr:x>
      <cdr:y>0.59258</cdr:y>
    </cdr:from>
    <cdr:to>
      <cdr:x>0.59387</cdr:x>
      <cdr:y>0.64354</cdr:y>
    </cdr:to>
    <cdr:sp macro="" textlink="">
      <cdr:nvSpPr>
        <cdr:cNvPr id="7" name="TextBox 1"/>
        <cdr:cNvSpPr txBox="1"/>
      </cdr:nvSpPr>
      <cdr:spPr>
        <a:xfrm xmlns:a="http://schemas.openxmlformats.org/drawingml/2006/main">
          <a:off x="2297116" y="1766159"/>
          <a:ext cx="492120" cy="151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chemeClr val="bg1"/>
              </a:solidFill>
            </a:rPr>
            <a:t>47.1%</a:t>
          </a:r>
        </a:p>
      </cdr:txBody>
    </cdr:sp>
  </cdr:relSizeAnchor>
  <cdr:relSizeAnchor xmlns:cdr="http://schemas.openxmlformats.org/drawingml/2006/chartDrawing">
    <cdr:from>
      <cdr:x>0.70968</cdr:x>
      <cdr:y>0.79488</cdr:y>
    </cdr:from>
    <cdr:to>
      <cdr:x>0.82278</cdr:x>
      <cdr:y>0.86412</cdr:y>
    </cdr:to>
    <cdr:sp macro="" textlink="">
      <cdr:nvSpPr>
        <cdr:cNvPr id="8" name="TextBox 1"/>
        <cdr:cNvSpPr txBox="1"/>
      </cdr:nvSpPr>
      <cdr:spPr>
        <a:xfrm xmlns:a="http://schemas.openxmlformats.org/drawingml/2006/main">
          <a:off x="3361825" y="2285999"/>
          <a:ext cx="535766" cy="1991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chemeClr val="bg1"/>
              </a:solidFill>
            </a:rPr>
            <a:t>44.9%</a:t>
          </a:r>
        </a:p>
      </cdr:txBody>
    </cdr:sp>
  </cdr:relSizeAnchor>
</c:userShapes>
</file>

<file path=word/drawings/drawing3.xml><?xml version="1.0" encoding="utf-8"?>
<c:userShapes xmlns:c="http://schemas.openxmlformats.org/drawingml/2006/chart">
  <cdr:relSizeAnchor xmlns:cdr="http://schemas.openxmlformats.org/drawingml/2006/chartDrawing">
    <cdr:from>
      <cdr:x>0.49038</cdr:x>
      <cdr:y>0.90151</cdr:y>
    </cdr:from>
    <cdr:to>
      <cdr:x>0.59415</cdr:x>
      <cdr:y>0.99534</cdr:y>
    </cdr:to>
    <cdr:sp macro="" textlink="">
      <cdr:nvSpPr>
        <cdr:cNvPr id="2" name="TextBox 1"/>
        <cdr:cNvSpPr txBox="1"/>
      </cdr:nvSpPr>
      <cdr:spPr>
        <a:xfrm xmlns:a="http://schemas.openxmlformats.org/drawingml/2006/main">
          <a:off x="2832100" y="2636173"/>
          <a:ext cx="599308" cy="274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0.73942</cdr:x>
      <cdr:y>0.89526</cdr:y>
    </cdr:from>
    <cdr:to>
      <cdr:x>0.92908</cdr:x>
      <cdr:y>0.98909</cdr:y>
    </cdr:to>
    <cdr:sp macro="" textlink="">
      <cdr:nvSpPr>
        <cdr:cNvPr id="3" name="TextBox 1"/>
        <cdr:cNvSpPr txBox="1"/>
      </cdr:nvSpPr>
      <cdr:spPr>
        <a:xfrm xmlns:a="http://schemas.openxmlformats.org/drawingml/2006/main">
          <a:off x="4270375" y="2617897"/>
          <a:ext cx="1095375" cy="274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Jan-Mar</a:t>
          </a:r>
          <a:r>
            <a:rPr lang="en-US" sz="1000" baseline="0"/>
            <a:t> 2016</a:t>
          </a:r>
        </a:p>
      </cdr:txBody>
    </cdr:sp>
  </cdr:relSizeAnchor>
  <cdr:relSizeAnchor xmlns:cdr="http://schemas.openxmlformats.org/drawingml/2006/chartDrawing">
    <cdr:from>
      <cdr:x>0</cdr:x>
      <cdr:y>0.00554</cdr:y>
    </cdr:from>
    <cdr:to>
      <cdr:x>1</cdr:x>
      <cdr:y>0.16997</cdr:y>
    </cdr:to>
    <cdr:sp macro="" textlink="">
      <cdr:nvSpPr>
        <cdr:cNvPr id="4" name="TextBox 1"/>
        <cdr:cNvSpPr txBox="1"/>
      </cdr:nvSpPr>
      <cdr:spPr>
        <a:xfrm xmlns:a="http://schemas.openxmlformats.org/drawingml/2006/main">
          <a:off x="0" y="15875"/>
          <a:ext cx="5791200" cy="471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400" b="1" u="none"/>
            <a:t>Top 5 Offices of earlier filing from which priority is claimed in an IR</a:t>
          </a:r>
        </a:p>
      </cdr:txBody>
    </cdr:sp>
  </cdr:relSizeAnchor>
  <cdr:relSizeAnchor xmlns:cdr="http://schemas.openxmlformats.org/drawingml/2006/chartDrawing">
    <cdr:from>
      <cdr:x>0.2055</cdr:x>
      <cdr:y>0.89609</cdr:y>
    </cdr:from>
    <cdr:to>
      <cdr:x>0.32731</cdr:x>
      <cdr:y>0.98992</cdr:y>
    </cdr:to>
    <cdr:sp macro="" textlink="">
      <cdr:nvSpPr>
        <cdr:cNvPr id="5" name="TextBox 1"/>
        <cdr:cNvSpPr txBox="1"/>
      </cdr:nvSpPr>
      <cdr:spPr>
        <a:xfrm xmlns:a="http://schemas.openxmlformats.org/drawingml/2006/main">
          <a:off x="1190092" y="3065580"/>
          <a:ext cx="705426" cy="320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a:t>
          </a:r>
        </a:p>
      </cdr:txBody>
    </cdr:sp>
  </cdr:relSizeAnchor>
  <cdr:relSizeAnchor xmlns:cdr="http://schemas.openxmlformats.org/drawingml/2006/chartDrawing">
    <cdr:from>
      <cdr:x>0.11051</cdr:x>
      <cdr:y>0.42658</cdr:y>
    </cdr:from>
    <cdr:to>
      <cdr:x>0.20681</cdr:x>
      <cdr:y>0.49139</cdr:y>
    </cdr:to>
    <cdr:sp macro="" textlink="">
      <cdr:nvSpPr>
        <cdr:cNvPr id="6" name="TextBox 5"/>
        <cdr:cNvSpPr txBox="1"/>
      </cdr:nvSpPr>
      <cdr:spPr>
        <a:xfrm xmlns:a="http://schemas.openxmlformats.org/drawingml/2006/main">
          <a:off x="639986" y="1459357"/>
          <a:ext cx="557692" cy="2217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44%</a:t>
          </a:r>
        </a:p>
      </cdr:txBody>
    </cdr:sp>
  </cdr:relSizeAnchor>
  <cdr:relSizeAnchor xmlns:cdr="http://schemas.openxmlformats.org/drawingml/2006/chartDrawing">
    <cdr:from>
      <cdr:x>0.14818</cdr:x>
      <cdr:y>0.69869</cdr:y>
    </cdr:from>
    <cdr:to>
      <cdr:x>0.24448</cdr:x>
      <cdr:y>0.7635</cdr:y>
    </cdr:to>
    <cdr:sp macro="" textlink="">
      <cdr:nvSpPr>
        <cdr:cNvPr id="7" name="TextBox 1"/>
        <cdr:cNvSpPr txBox="1"/>
      </cdr:nvSpPr>
      <cdr:spPr>
        <a:xfrm xmlns:a="http://schemas.openxmlformats.org/drawingml/2006/main">
          <a:off x="858140" y="2390263"/>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12.1%</a:t>
          </a:r>
        </a:p>
      </cdr:txBody>
    </cdr:sp>
  </cdr:relSizeAnchor>
  <cdr:relSizeAnchor xmlns:cdr="http://schemas.openxmlformats.org/drawingml/2006/chartDrawing">
    <cdr:from>
      <cdr:x>0.19371</cdr:x>
      <cdr:y>0.72964</cdr:y>
    </cdr:from>
    <cdr:to>
      <cdr:x>0.28153</cdr:x>
      <cdr:y>0.81107</cdr:y>
    </cdr:to>
    <cdr:sp macro="" textlink="">
      <cdr:nvSpPr>
        <cdr:cNvPr id="8" name="TextBox 1"/>
        <cdr:cNvSpPr txBox="1"/>
      </cdr:nvSpPr>
      <cdr:spPr>
        <a:xfrm xmlns:a="http://schemas.openxmlformats.org/drawingml/2006/main">
          <a:off x="1121813" y="2496144"/>
          <a:ext cx="508584" cy="2785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8.1%</a:t>
          </a:r>
        </a:p>
      </cdr:txBody>
    </cdr:sp>
  </cdr:relSizeAnchor>
  <cdr:relSizeAnchor xmlns:cdr="http://schemas.openxmlformats.org/drawingml/2006/chartDrawing">
    <cdr:from>
      <cdr:x>0.23841</cdr:x>
      <cdr:y>0.74267</cdr:y>
    </cdr:from>
    <cdr:to>
      <cdr:x>0.3142</cdr:x>
      <cdr:y>0.81723</cdr:y>
    </cdr:to>
    <cdr:sp macro="" textlink="">
      <cdr:nvSpPr>
        <cdr:cNvPr id="9" name="TextBox 1"/>
        <cdr:cNvSpPr txBox="1"/>
      </cdr:nvSpPr>
      <cdr:spPr>
        <a:xfrm xmlns:a="http://schemas.openxmlformats.org/drawingml/2006/main">
          <a:off x="1380680" y="2540721"/>
          <a:ext cx="438915" cy="2550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6.7%</a:t>
          </a:r>
        </a:p>
      </cdr:txBody>
    </cdr:sp>
  </cdr:relSizeAnchor>
  <cdr:relSizeAnchor xmlns:cdr="http://schemas.openxmlformats.org/drawingml/2006/chartDrawing">
    <cdr:from>
      <cdr:x>0.28169</cdr:x>
      <cdr:y>0.75916</cdr:y>
    </cdr:from>
    <cdr:to>
      <cdr:x>0.37799</cdr:x>
      <cdr:y>0.82397</cdr:y>
    </cdr:to>
    <cdr:sp macro="" textlink="">
      <cdr:nvSpPr>
        <cdr:cNvPr id="10" name="TextBox 1"/>
        <cdr:cNvSpPr txBox="1"/>
      </cdr:nvSpPr>
      <cdr:spPr>
        <a:xfrm xmlns:a="http://schemas.openxmlformats.org/drawingml/2006/main">
          <a:off x="1631323" y="2597134"/>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5.7%</a:t>
          </a:r>
        </a:p>
      </cdr:txBody>
    </cdr:sp>
  </cdr:relSizeAnchor>
  <cdr:relSizeAnchor xmlns:cdr="http://schemas.openxmlformats.org/drawingml/2006/chartDrawing">
    <cdr:from>
      <cdr:x>0.39588</cdr:x>
      <cdr:y>0.24965</cdr:y>
    </cdr:from>
    <cdr:to>
      <cdr:x>0.49218</cdr:x>
      <cdr:y>0.31446</cdr:y>
    </cdr:to>
    <cdr:sp macro="" textlink="">
      <cdr:nvSpPr>
        <cdr:cNvPr id="11" name="TextBox 1"/>
        <cdr:cNvSpPr txBox="1"/>
      </cdr:nvSpPr>
      <cdr:spPr>
        <a:xfrm xmlns:a="http://schemas.openxmlformats.org/drawingml/2006/main">
          <a:off x="2292620" y="854068"/>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34%</a:t>
          </a:r>
        </a:p>
      </cdr:txBody>
    </cdr:sp>
  </cdr:relSizeAnchor>
  <cdr:relSizeAnchor xmlns:cdr="http://schemas.openxmlformats.org/drawingml/2006/chartDrawing">
    <cdr:from>
      <cdr:x>0.44526</cdr:x>
      <cdr:y>0.36691</cdr:y>
    </cdr:from>
    <cdr:to>
      <cdr:x>0.54397</cdr:x>
      <cdr:y>0.43172</cdr:y>
    </cdr:to>
    <cdr:sp macro="" textlink="">
      <cdr:nvSpPr>
        <cdr:cNvPr id="12" name="TextBox 1"/>
        <cdr:cNvSpPr txBox="1"/>
      </cdr:nvSpPr>
      <cdr:spPr>
        <a:xfrm xmlns:a="http://schemas.openxmlformats.org/drawingml/2006/main">
          <a:off x="2571513" y="1072920"/>
          <a:ext cx="570082" cy="1895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26.8%</a:t>
          </a:r>
        </a:p>
      </cdr:txBody>
    </cdr:sp>
  </cdr:relSizeAnchor>
  <cdr:relSizeAnchor xmlns:cdr="http://schemas.openxmlformats.org/drawingml/2006/chartDrawing">
    <cdr:from>
      <cdr:x>0.47942</cdr:x>
      <cdr:y>0.65439</cdr:y>
    </cdr:from>
    <cdr:to>
      <cdr:x>0.57705</cdr:x>
      <cdr:y>0.71921</cdr:y>
    </cdr:to>
    <cdr:sp macro="" textlink="">
      <cdr:nvSpPr>
        <cdr:cNvPr id="13" name="TextBox 1"/>
        <cdr:cNvSpPr txBox="1"/>
      </cdr:nvSpPr>
      <cdr:spPr>
        <a:xfrm xmlns:a="http://schemas.openxmlformats.org/drawingml/2006/main">
          <a:off x="2776417" y="2238709"/>
          <a:ext cx="565395" cy="221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9.8%</a:t>
          </a:r>
        </a:p>
      </cdr:txBody>
    </cdr:sp>
  </cdr:relSizeAnchor>
  <cdr:relSizeAnchor xmlns:cdr="http://schemas.openxmlformats.org/drawingml/2006/chartDrawing">
    <cdr:from>
      <cdr:x>0.51494</cdr:x>
      <cdr:y>0.72769</cdr:y>
    </cdr:from>
    <cdr:to>
      <cdr:x>0.61125</cdr:x>
      <cdr:y>0.79473</cdr:y>
    </cdr:to>
    <cdr:sp macro="" textlink="">
      <cdr:nvSpPr>
        <cdr:cNvPr id="14" name="TextBox 1"/>
        <cdr:cNvSpPr txBox="1"/>
      </cdr:nvSpPr>
      <cdr:spPr>
        <a:xfrm xmlns:a="http://schemas.openxmlformats.org/drawingml/2006/main">
          <a:off x="2982121" y="2489473"/>
          <a:ext cx="557750" cy="2293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5.5%</a:t>
          </a:r>
        </a:p>
      </cdr:txBody>
    </cdr:sp>
  </cdr:relSizeAnchor>
  <cdr:relSizeAnchor xmlns:cdr="http://schemas.openxmlformats.org/drawingml/2006/chartDrawing">
    <cdr:from>
      <cdr:x>0.56297</cdr:x>
      <cdr:y>0.72632</cdr:y>
    </cdr:from>
    <cdr:to>
      <cdr:x>0.65927</cdr:x>
      <cdr:y>0.79806</cdr:y>
    </cdr:to>
    <cdr:sp macro="" textlink="">
      <cdr:nvSpPr>
        <cdr:cNvPr id="15" name="TextBox 1"/>
        <cdr:cNvSpPr txBox="1"/>
      </cdr:nvSpPr>
      <cdr:spPr>
        <a:xfrm xmlns:a="http://schemas.openxmlformats.org/drawingml/2006/main">
          <a:off x="3260272" y="2484786"/>
          <a:ext cx="557692" cy="2454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4.9%</a:t>
          </a:r>
        </a:p>
      </cdr:txBody>
    </cdr:sp>
  </cdr:relSizeAnchor>
  <cdr:relSizeAnchor xmlns:cdr="http://schemas.openxmlformats.org/drawingml/2006/chartDrawing">
    <cdr:from>
      <cdr:x>0.68114</cdr:x>
      <cdr:y>0.66854</cdr:y>
    </cdr:from>
    <cdr:to>
      <cdr:x>0.79722</cdr:x>
      <cdr:y>0.73335</cdr:y>
    </cdr:to>
    <cdr:sp macro="" textlink="">
      <cdr:nvSpPr>
        <cdr:cNvPr id="16" name="TextBox 1"/>
        <cdr:cNvSpPr txBox="1"/>
      </cdr:nvSpPr>
      <cdr:spPr>
        <a:xfrm xmlns:a="http://schemas.openxmlformats.org/drawingml/2006/main">
          <a:off x="3944618" y="2287117"/>
          <a:ext cx="672242" cy="2217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46.7%</a:t>
          </a:r>
        </a:p>
      </cdr:txBody>
    </cdr:sp>
  </cdr:relSizeAnchor>
  <cdr:relSizeAnchor xmlns:cdr="http://schemas.openxmlformats.org/drawingml/2006/chartDrawing">
    <cdr:from>
      <cdr:x>0.72351</cdr:x>
      <cdr:y>0.73792</cdr:y>
    </cdr:from>
    <cdr:to>
      <cdr:x>0.82278</cdr:x>
      <cdr:y>0.82125</cdr:y>
    </cdr:to>
    <cdr:sp macro="" textlink="">
      <cdr:nvSpPr>
        <cdr:cNvPr id="17" name="TextBox 1"/>
        <cdr:cNvSpPr txBox="1"/>
      </cdr:nvSpPr>
      <cdr:spPr>
        <a:xfrm xmlns:a="http://schemas.openxmlformats.org/drawingml/2006/main">
          <a:off x="4189991" y="2524471"/>
          <a:ext cx="574893" cy="2850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22.2%</a:t>
          </a:r>
        </a:p>
      </cdr:txBody>
    </cdr:sp>
  </cdr:relSizeAnchor>
  <cdr:relSizeAnchor xmlns:cdr="http://schemas.openxmlformats.org/drawingml/2006/chartDrawing">
    <cdr:from>
      <cdr:x>0.76557</cdr:x>
      <cdr:y>0.7785</cdr:y>
    </cdr:from>
    <cdr:to>
      <cdr:x>0.86989</cdr:x>
      <cdr:y>0.85023</cdr:y>
    </cdr:to>
    <cdr:sp macro="" textlink="">
      <cdr:nvSpPr>
        <cdr:cNvPr id="18" name="TextBox 1"/>
        <cdr:cNvSpPr txBox="1"/>
      </cdr:nvSpPr>
      <cdr:spPr>
        <a:xfrm xmlns:a="http://schemas.openxmlformats.org/drawingml/2006/main">
          <a:off x="4433569" y="2663298"/>
          <a:ext cx="604138" cy="2453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9.5%</a:t>
          </a:r>
        </a:p>
      </cdr:txBody>
    </cdr:sp>
  </cdr:relSizeAnchor>
  <cdr:relSizeAnchor xmlns:cdr="http://schemas.openxmlformats.org/drawingml/2006/chartDrawing">
    <cdr:from>
      <cdr:x>0.81311</cdr:x>
      <cdr:y>0.75638</cdr:y>
    </cdr:from>
    <cdr:to>
      <cdr:x>0.92117</cdr:x>
      <cdr:y>0.82531</cdr:y>
    </cdr:to>
    <cdr:sp macro="" textlink="">
      <cdr:nvSpPr>
        <cdr:cNvPr id="19" name="TextBox 1"/>
        <cdr:cNvSpPr txBox="1"/>
      </cdr:nvSpPr>
      <cdr:spPr>
        <a:xfrm xmlns:a="http://schemas.openxmlformats.org/drawingml/2006/main">
          <a:off x="4708883" y="2587624"/>
          <a:ext cx="625797" cy="235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6.2%</a:t>
          </a:r>
        </a:p>
      </cdr:txBody>
    </cdr:sp>
  </cdr:relSizeAnchor>
  <cdr:relSizeAnchor xmlns:cdr="http://schemas.openxmlformats.org/drawingml/2006/chartDrawing">
    <cdr:from>
      <cdr:x>0.83868</cdr:x>
      <cdr:y>0.78827</cdr:y>
    </cdr:from>
    <cdr:to>
      <cdr:x>0.94674</cdr:x>
      <cdr:y>0.86401</cdr:y>
    </cdr:to>
    <cdr:sp macro="" textlink="">
      <cdr:nvSpPr>
        <cdr:cNvPr id="20" name="TextBox 1"/>
        <cdr:cNvSpPr txBox="1"/>
      </cdr:nvSpPr>
      <cdr:spPr>
        <a:xfrm xmlns:a="http://schemas.openxmlformats.org/drawingml/2006/main">
          <a:off x="4843650" y="2305051"/>
          <a:ext cx="624081" cy="22146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5.3%</a:t>
          </a:r>
        </a:p>
      </cdr:txBody>
    </cdr:sp>
  </cdr:relSizeAnchor>
  <cdr:relSizeAnchor xmlns:cdr="http://schemas.openxmlformats.org/drawingml/2006/chartDrawing">
    <cdr:from>
      <cdr:x>0.31091</cdr:x>
      <cdr:y>0.59513</cdr:y>
    </cdr:from>
    <cdr:to>
      <cdr:x>0.42839</cdr:x>
      <cdr:y>0.65994</cdr:y>
    </cdr:to>
    <cdr:sp macro="" textlink="">
      <cdr:nvSpPr>
        <cdr:cNvPr id="21" name="TextBox 1"/>
        <cdr:cNvSpPr txBox="1"/>
      </cdr:nvSpPr>
      <cdr:spPr>
        <a:xfrm xmlns:a="http://schemas.openxmlformats.org/drawingml/2006/main">
          <a:off x="1800542" y="2035977"/>
          <a:ext cx="680350"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23.3%</a:t>
          </a:r>
        </a:p>
      </cdr:txBody>
    </cdr:sp>
  </cdr:relSizeAnchor>
  <cdr:relSizeAnchor xmlns:cdr="http://schemas.openxmlformats.org/drawingml/2006/chartDrawing">
    <cdr:from>
      <cdr:x>0.59219</cdr:x>
      <cdr:y>0.49503</cdr:y>
    </cdr:from>
    <cdr:to>
      <cdr:x>0.70827</cdr:x>
      <cdr:y>0.55984</cdr:y>
    </cdr:to>
    <cdr:sp macro="" textlink="">
      <cdr:nvSpPr>
        <cdr:cNvPr id="22" name="TextBox 1"/>
        <cdr:cNvSpPr txBox="1"/>
      </cdr:nvSpPr>
      <cdr:spPr>
        <a:xfrm xmlns:a="http://schemas.openxmlformats.org/drawingml/2006/main">
          <a:off x="3420071" y="1447551"/>
          <a:ext cx="670399" cy="1895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19.1%</a:t>
          </a:r>
        </a:p>
      </cdr:txBody>
    </cdr:sp>
  </cdr:relSizeAnchor>
  <cdr:relSizeAnchor xmlns:cdr="http://schemas.openxmlformats.org/drawingml/2006/chartDrawing">
    <cdr:from>
      <cdr:x>0.88392</cdr:x>
      <cdr:y>0.76226</cdr:y>
    </cdr:from>
    <cdr:to>
      <cdr:x>1</cdr:x>
      <cdr:y>0.82707</cdr:y>
    </cdr:to>
    <cdr:sp macro="" textlink="">
      <cdr:nvSpPr>
        <cdr:cNvPr id="23" name="TextBox 1"/>
        <cdr:cNvSpPr txBox="1"/>
      </cdr:nvSpPr>
      <cdr:spPr>
        <a:xfrm xmlns:a="http://schemas.openxmlformats.org/drawingml/2006/main">
          <a:off x="5104925" y="2228976"/>
          <a:ext cx="670400" cy="1895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10.1%</a:t>
          </a:r>
        </a:p>
      </cdr:txBody>
    </cdr:sp>
  </cdr:relSizeAnchor>
  <cdr:relSizeAnchor xmlns:cdr="http://schemas.openxmlformats.org/drawingml/2006/chartDrawing">
    <cdr:from>
      <cdr:x>0.33553</cdr:x>
      <cdr:y>0.0721</cdr:y>
    </cdr:from>
    <cdr:to>
      <cdr:x>0.74123</cdr:x>
      <cdr:y>0.26301</cdr:y>
    </cdr:to>
    <cdr:sp macro="" textlink="">
      <cdr:nvSpPr>
        <cdr:cNvPr id="47" name="TextBox 23"/>
        <cdr:cNvSpPr txBox="1"/>
      </cdr:nvSpPr>
      <cdr:spPr>
        <a:xfrm xmlns:a="http://schemas.openxmlformats.org/drawingml/2006/main">
          <a:off x="1943100" y="206713"/>
          <a:ext cx="2349499" cy="547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i="0"/>
            <a:t>(by share of priority claims)</a:t>
          </a: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0.08323</cdr:x>
      <cdr:y>0.86408</cdr:y>
    </cdr:from>
    <cdr:to>
      <cdr:x>0.28775</cdr:x>
      <cdr:y>1</cdr:y>
    </cdr:to>
    <cdr:sp macro="" textlink="">
      <cdr:nvSpPr>
        <cdr:cNvPr id="2" name="TextBox 1"/>
        <cdr:cNvSpPr txBox="1"/>
      </cdr:nvSpPr>
      <cdr:spPr>
        <a:xfrm xmlns:a="http://schemas.openxmlformats.org/drawingml/2006/main">
          <a:off x="440834" y="2528662"/>
          <a:ext cx="1083257" cy="3977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EM is designated</a:t>
          </a:r>
          <a:endParaRPr lang="en-US" sz="1000"/>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0.05223</cdr:y>
    </cdr:from>
    <cdr:to>
      <cdr:x>0.99952</cdr:x>
      <cdr:y>0.17513</cdr:y>
    </cdr:to>
    <cdr:sp macro="" textlink="">
      <cdr:nvSpPr>
        <cdr:cNvPr id="4" name="TextBox 1"/>
        <cdr:cNvSpPr txBox="1"/>
      </cdr:nvSpPr>
      <cdr:spPr>
        <a:xfrm xmlns:a="http://schemas.openxmlformats.org/drawingml/2006/main">
          <a:off x="0" y="154786"/>
          <a:ext cx="5257800" cy="3642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u="none"/>
            <a:t>Top 5 origins </a:t>
          </a:r>
          <a:r>
            <a:rPr lang="en-US" sz="1100" b="1" u="none" baseline="0"/>
            <a:t>from which</a:t>
          </a:r>
          <a:r>
            <a:rPr lang="en-US" sz="1100" b="1" u="none"/>
            <a:t> priority is claimed, per designated Contracting</a:t>
          </a:r>
          <a:r>
            <a:rPr lang="en-US" sz="1100" b="1" u="none" baseline="0"/>
            <a:t> </a:t>
          </a:r>
          <a:r>
            <a:rPr lang="en-US" sz="1100" b="1" u="none" baseline="0">
              <a:solidFill>
                <a:sysClr val="windowText" lastClr="000000"/>
              </a:solidFill>
            </a:rPr>
            <a:t>Party </a:t>
          </a:r>
          <a:r>
            <a:rPr lang="en-US" sz="1100">
              <a:effectLst/>
              <a:latin typeface="+mn-lt"/>
              <a:ea typeface="+mn-ea"/>
              <a:cs typeface="+mn-cs"/>
            </a:rPr>
            <a:t>–</a:t>
          </a:r>
          <a:r>
            <a:rPr lang="en-US" sz="1100" b="1" u="none" baseline="0">
              <a:solidFill>
                <a:sysClr val="windowText" lastClr="000000"/>
              </a:solidFill>
            </a:rPr>
            <a:t> 2014</a:t>
          </a:r>
        </a:p>
      </cdr:txBody>
    </cdr:sp>
  </cdr:relSizeAnchor>
  <cdr:relSizeAnchor xmlns:cdr="http://schemas.openxmlformats.org/drawingml/2006/chartDrawing">
    <cdr:from>
      <cdr:x>0.32439</cdr:x>
      <cdr:y>0.86826</cdr:y>
    </cdr:from>
    <cdr:to>
      <cdr:x>0.51205</cdr:x>
      <cdr:y>1</cdr:y>
    </cdr:to>
    <cdr:sp macro="" textlink="">
      <cdr:nvSpPr>
        <cdr:cNvPr id="5" name="TextBox 1"/>
        <cdr:cNvSpPr txBox="1"/>
      </cdr:nvSpPr>
      <cdr:spPr>
        <a:xfrm xmlns:a="http://schemas.openxmlformats.org/drawingml/2006/main">
          <a:off x="1718149" y="2540880"/>
          <a:ext cx="993956" cy="385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JP is designated </a:t>
          </a:r>
          <a:endParaRPr lang="en-US" sz="1000"/>
        </a:p>
      </cdr:txBody>
    </cdr:sp>
  </cdr:relSizeAnchor>
  <cdr:relSizeAnchor xmlns:cdr="http://schemas.openxmlformats.org/drawingml/2006/chartDrawing">
    <cdr:from>
      <cdr:x>0.53531</cdr:x>
      <cdr:y>0.86527</cdr:y>
    </cdr:from>
    <cdr:to>
      <cdr:x>0.7101</cdr:x>
      <cdr:y>0.99701</cdr:y>
    </cdr:to>
    <cdr:sp macro="" textlink="">
      <cdr:nvSpPr>
        <cdr:cNvPr id="6" name="TextBox 1"/>
        <cdr:cNvSpPr txBox="1"/>
      </cdr:nvSpPr>
      <cdr:spPr>
        <a:xfrm xmlns:a="http://schemas.openxmlformats.org/drawingml/2006/main">
          <a:off x="2835313" y="2532130"/>
          <a:ext cx="925789" cy="385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KR is designated </a:t>
          </a:r>
          <a:endParaRPr lang="en-US" sz="1000"/>
        </a:p>
      </cdr:txBody>
    </cdr:sp>
  </cdr:relSizeAnchor>
  <cdr:relSizeAnchor xmlns:cdr="http://schemas.openxmlformats.org/drawingml/2006/chartDrawing">
    <cdr:from>
      <cdr:x>0.75754</cdr:x>
      <cdr:y>0.86826</cdr:y>
    </cdr:from>
    <cdr:to>
      <cdr:x>0.97751</cdr:x>
      <cdr:y>1</cdr:y>
    </cdr:to>
    <cdr:sp macro="" textlink="">
      <cdr:nvSpPr>
        <cdr:cNvPr id="7" name="TextBox 1"/>
        <cdr:cNvSpPr txBox="1"/>
      </cdr:nvSpPr>
      <cdr:spPr>
        <a:xfrm xmlns:a="http://schemas.openxmlformats.org/drawingml/2006/main">
          <a:off x="4012357" y="2540880"/>
          <a:ext cx="1165089" cy="385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the US are designated</a:t>
          </a:r>
          <a:endParaRPr lang="en-US" sz="1000"/>
        </a:p>
      </cdr:txBody>
    </cdr:sp>
  </cdr:relSizeAnchor>
  <cdr:relSizeAnchor xmlns:cdr="http://schemas.openxmlformats.org/drawingml/2006/chartDrawing">
    <cdr:from>
      <cdr:x>0.23453</cdr:x>
      <cdr:y>0.81457</cdr:y>
    </cdr:from>
    <cdr:to>
      <cdr:x>0.27074</cdr:x>
      <cdr:y>0.85922</cdr:y>
    </cdr:to>
    <cdr:sp macro="" textlink="">
      <cdr:nvSpPr>
        <cdr:cNvPr id="13" name="Rectangle 12"/>
        <cdr:cNvSpPr/>
      </cdr:nvSpPr>
      <cdr:spPr>
        <a:xfrm xmlns:a="http://schemas.openxmlformats.org/drawingml/2006/main">
          <a:off x="1233721" y="2414010"/>
          <a:ext cx="190477" cy="13232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0.12371</cdr:x>
      <cdr:y>0.78938</cdr:y>
    </cdr:from>
    <cdr:to>
      <cdr:x>0.71771</cdr:x>
      <cdr:y>0.86004</cdr:y>
    </cdr:to>
    <cdr:grpSp>
      <cdr:nvGrpSpPr>
        <cdr:cNvPr id="8" name="Group 7"/>
        <cdr:cNvGrpSpPr/>
      </cdr:nvGrpSpPr>
      <cdr:grpSpPr>
        <a:xfrm xmlns:a="http://schemas.openxmlformats.org/drawingml/2006/main">
          <a:off x="650739" y="2339353"/>
          <a:ext cx="3124668" cy="209408"/>
          <a:chOff x="945304" y="2312592"/>
          <a:chExt cx="4020964" cy="226031"/>
        </a:xfrm>
      </cdr:grpSpPr>
      <cdr:sp macro="" textlink="">
        <cdr:nvSpPr>
          <cdr:cNvPr id="10" name="Rectangle 9"/>
          <cdr:cNvSpPr/>
        </cdr:nvSpPr>
        <cdr:spPr>
          <a:xfrm xmlns:a="http://schemas.openxmlformats.org/drawingml/2006/main">
            <a:off x="945304" y="2327817"/>
            <a:ext cx="245099" cy="21021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11" name="Rectangle 10"/>
          <cdr:cNvSpPr/>
        </cdr:nvSpPr>
        <cdr:spPr>
          <a:xfrm xmlns:a="http://schemas.openxmlformats.org/drawingml/2006/main">
            <a:off x="1204361" y="2312592"/>
            <a:ext cx="241183" cy="22515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2" name="Rectangle 11"/>
          <cdr:cNvSpPr/>
        </cdr:nvSpPr>
        <cdr:spPr>
          <a:xfrm xmlns:a="http://schemas.openxmlformats.org/drawingml/2006/main">
            <a:off x="1462210" y="2323127"/>
            <a:ext cx="241263" cy="20700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4" name="Rectangle 13"/>
          <cdr:cNvSpPr/>
        </cdr:nvSpPr>
        <cdr:spPr>
          <a:xfrm xmlns:a="http://schemas.openxmlformats.org/drawingml/2006/main">
            <a:off x="1939546" y="2471038"/>
            <a:ext cx="241982" cy="5887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5" name="Rectangle 14"/>
          <cdr:cNvSpPr/>
        </cdr:nvSpPr>
        <cdr:spPr>
          <a:xfrm xmlns:a="http://schemas.openxmlformats.org/drawingml/2006/main">
            <a:off x="4221896" y="2500603"/>
            <a:ext cx="246138" cy="3668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6" name="Rectangle 15"/>
          <cdr:cNvSpPr/>
        </cdr:nvSpPr>
        <cdr:spPr>
          <a:xfrm xmlns:a="http://schemas.openxmlformats.org/drawingml/2006/main">
            <a:off x="3706279" y="2491745"/>
            <a:ext cx="245177" cy="45416"/>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7" name="Rectangle 16"/>
          <cdr:cNvSpPr/>
        </cdr:nvSpPr>
        <cdr:spPr>
          <a:xfrm xmlns:a="http://schemas.openxmlformats.org/drawingml/2006/main">
            <a:off x="4719651" y="2511296"/>
            <a:ext cx="246617" cy="2732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8" name="Rectangle 17"/>
          <cdr:cNvSpPr/>
        </cdr:nvSpPr>
        <cdr:spPr>
          <a:xfrm xmlns:a="http://schemas.openxmlformats.org/drawingml/2006/main">
            <a:off x="4474507" y="2506728"/>
            <a:ext cx="237187" cy="27090"/>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0" name="Rectangle 19"/>
          <cdr:cNvSpPr/>
        </cdr:nvSpPr>
        <cdr:spPr>
          <a:xfrm xmlns:a="http://schemas.openxmlformats.org/drawingml/2006/main">
            <a:off x="3966249" y="2491425"/>
            <a:ext cx="246297" cy="4598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5.xml><?xml version="1.0" encoding="utf-8"?>
<c:userShapes xmlns:c="http://schemas.openxmlformats.org/drawingml/2006/chart">
  <cdr:relSizeAnchor xmlns:cdr="http://schemas.openxmlformats.org/drawingml/2006/chartDrawing">
    <cdr:from>
      <cdr:x>0.10356</cdr:x>
      <cdr:y>0.86406</cdr:y>
    </cdr:from>
    <cdr:to>
      <cdr:x>0.30808</cdr:x>
      <cdr:y>0.99368</cdr:y>
    </cdr:to>
    <cdr:sp macro="" textlink="">
      <cdr:nvSpPr>
        <cdr:cNvPr id="2" name="TextBox 1"/>
        <cdr:cNvSpPr txBox="1"/>
      </cdr:nvSpPr>
      <cdr:spPr>
        <a:xfrm xmlns:a="http://schemas.openxmlformats.org/drawingml/2006/main">
          <a:off x="615192" y="2359320"/>
          <a:ext cx="1214935" cy="3539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EM is designated</a:t>
          </a:r>
          <a:endParaRPr lang="en-US" sz="1000"/>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0.05223</cdr:y>
    </cdr:from>
    <cdr:to>
      <cdr:x>1</cdr:x>
      <cdr:y>0.17513</cdr:y>
    </cdr:to>
    <cdr:sp macro="" textlink="">
      <cdr:nvSpPr>
        <cdr:cNvPr id="4" name="TextBox 1"/>
        <cdr:cNvSpPr txBox="1"/>
      </cdr:nvSpPr>
      <cdr:spPr>
        <a:xfrm xmlns:a="http://schemas.openxmlformats.org/drawingml/2006/main">
          <a:off x="0" y="161930"/>
          <a:ext cx="8010525" cy="381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u="none"/>
            <a:t>Top 5 origins from</a:t>
          </a:r>
          <a:r>
            <a:rPr lang="en-US" sz="1100" b="1" u="none" baseline="0"/>
            <a:t> which</a:t>
          </a:r>
          <a:r>
            <a:rPr lang="en-US" sz="1100" b="1" u="none"/>
            <a:t> priority is claimed, per designated Contracting</a:t>
          </a:r>
          <a:r>
            <a:rPr lang="en-US" sz="1100" b="1" u="none" baseline="0"/>
            <a:t> Party </a:t>
          </a:r>
          <a:r>
            <a:rPr lang="en-US" sz="1100">
              <a:effectLst/>
              <a:latin typeface="+mn-lt"/>
              <a:ea typeface="+mn-ea"/>
              <a:cs typeface="+mn-cs"/>
            </a:rPr>
            <a:t>–</a:t>
          </a:r>
          <a:r>
            <a:rPr lang="en-US" sz="1100" b="1" u="none" baseline="0"/>
            <a:t> 2015</a:t>
          </a:r>
        </a:p>
      </cdr:txBody>
    </cdr:sp>
  </cdr:relSizeAnchor>
  <cdr:relSizeAnchor xmlns:cdr="http://schemas.openxmlformats.org/drawingml/2006/chartDrawing">
    <cdr:from>
      <cdr:x>0.33171</cdr:x>
      <cdr:y>0.86194</cdr:y>
    </cdr:from>
    <cdr:to>
      <cdr:x>0.51937</cdr:x>
      <cdr:y>0.99368</cdr:y>
    </cdr:to>
    <cdr:sp macro="" textlink="">
      <cdr:nvSpPr>
        <cdr:cNvPr id="5" name="TextBox 1"/>
        <cdr:cNvSpPr txBox="1"/>
      </cdr:nvSpPr>
      <cdr:spPr>
        <a:xfrm xmlns:a="http://schemas.openxmlformats.org/drawingml/2006/main">
          <a:off x="1970484" y="2353531"/>
          <a:ext cx="1114780"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JP is designated </a:t>
          </a:r>
          <a:endParaRPr lang="en-US" sz="1000"/>
        </a:p>
      </cdr:txBody>
    </cdr:sp>
  </cdr:relSizeAnchor>
  <cdr:relSizeAnchor xmlns:cdr="http://schemas.openxmlformats.org/drawingml/2006/chartDrawing">
    <cdr:from>
      <cdr:x>0.54783</cdr:x>
      <cdr:y>0.86211</cdr:y>
    </cdr:from>
    <cdr:to>
      <cdr:x>0.72262</cdr:x>
      <cdr:y>0.99385</cdr:y>
    </cdr:to>
    <cdr:sp macro="" textlink="">
      <cdr:nvSpPr>
        <cdr:cNvPr id="6" name="TextBox 1"/>
        <cdr:cNvSpPr txBox="1"/>
      </cdr:nvSpPr>
      <cdr:spPr>
        <a:xfrm xmlns:a="http://schemas.openxmlformats.org/drawingml/2006/main">
          <a:off x="3254368" y="2353993"/>
          <a:ext cx="1038327"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KR is designated </a:t>
          </a:r>
          <a:endParaRPr lang="en-US" sz="1000"/>
        </a:p>
      </cdr:txBody>
    </cdr:sp>
  </cdr:relSizeAnchor>
  <cdr:relSizeAnchor xmlns:cdr="http://schemas.openxmlformats.org/drawingml/2006/chartDrawing">
    <cdr:from>
      <cdr:x>0.75087</cdr:x>
      <cdr:y>0.86194</cdr:y>
    </cdr:from>
    <cdr:to>
      <cdr:x>0.97084</cdr:x>
      <cdr:y>0.99368</cdr:y>
    </cdr:to>
    <cdr:sp macro="" textlink="">
      <cdr:nvSpPr>
        <cdr:cNvPr id="7" name="TextBox 1"/>
        <cdr:cNvSpPr txBox="1"/>
      </cdr:nvSpPr>
      <cdr:spPr>
        <a:xfrm xmlns:a="http://schemas.openxmlformats.org/drawingml/2006/main">
          <a:off x="4460488" y="2353531"/>
          <a:ext cx="1306716"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the US are designated</a:t>
          </a:r>
          <a:endParaRPr lang="en-US" sz="1000"/>
        </a:p>
      </cdr:txBody>
    </cdr:sp>
  </cdr:relSizeAnchor>
  <cdr:relSizeAnchor xmlns:cdr="http://schemas.openxmlformats.org/drawingml/2006/chartDrawing">
    <cdr:from>
      <cdr:x>0.12193</cdr:x>
      <cdr:y>0.43736</cdr:y>
    </cdr:from>
    <cdr:to>
      <cdr:x>0.9316</cdr:x>
      <cdr:y>0.86722</cdr:y>
    </cdr:to>
    <cdr:grpSp>
      <cdr:nvGrpSpPr>
        <cdr:cNvPr id="30" name="Group 29"/>
        <cdr:cNvGrpSpPr/>
      </cdr:nvGrpSpPr>
      <cdr:grpSpPr>
        <a:xfrm xmlns:a="http://schemas.openxmlformats.org/drawingml/2006/main">
          <a:off x="724316" y="1194205"/>
          <a:ext cx="4809792" cy="1173743"/>
          <a:chOff x="925093" y="1260995"/>
          <a:chExt cx="5547362" cy="1279552"/>
        </a:xfrm>
      </cdr:grpSpPr>
      <cdr:sp macro="" textlink="">
        <cdr:nvSpPr>
          <cdr:cNvPr id="8" name="Rectangle 7"/>
          <cdr:cNvSpPr/>
        </cdr:nvSpPr>
        <cdr:spPr>
          <a:xfrm xmlns:a="http://schemas.openxmlformats.org/drawingml/2006/main">
            <a:off x="925093" y="1260995"/>
            <a:ext cx="237747" cy="127803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9" name="Rectangle 8"/>
          <cdr:cNvSpPr/>
        </cdr:nvSpPr>
        <cdr:spPr>
          <a:xfrm xmlns:a="http://schemas.openxmlformats.org/drawingml/2006/main">
            <a:off x="1165477" y="2179397"/>
            <a:ext cx="237746" cy="35871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0" name="Rectangle 9"/>
          <cdr:cNvSpPr/>
        </cdr:nvSpPr>
        <cdr:spPr>
          <a:xfrm xmlns:a="http://schemas.openxmlformats.org/drawingml/2006/main">
            <a:off x="1408338" y="2291218"/>
            <a:ext cx="237746" cy="24212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1" name="Rectangle 10"/>
          <cdr:cNvSpPr/>
        </cdr:nvSpPr>
        <cdr:spPr>
          <a:xfrm xmlns:a="http://schemas.openxmlformats.org/drawingml/2006/main">
            <a:off x="1647922" y="2329777"/>
            <a:ext cx="237746" cy="20768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2" name="Rectangle 11"/>
          <cdr:cNvSpPr/>
        </cdr:nvSpPr>
        <cdr:spPr>
          <a:xfrm xmlns:a="http://schemas.openxmlformats.org/drawingml/2006/main">
            <a:off x="1893420" y="2374321"/>
            <a:ext cx="233271" cy="16151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4" name="Rectangle 13"/>
          <cdr:cNvSpPr/>
        </cdr:nvSpPr>
        <cdr:spPr>
          <a:xfrm xmlns:a="http://schemas.openxmlformats.org/drawingml/2006/main">
            <a:off x="3824800" y="2373155"/>
            <a:ext cx="233271" cy="16151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6" name="Rectangle 15"/>
          <cdr:cNvSpPr/>
        </cdr:nvSpPr>
        <cdr:spPr>
          <a:xfrm xmlns:a="http://schemas.openxmlformats.org/drawingml/2006/main">
            <a:off x="4307725" y="2391295"/>
            <a:ext cx="237746" cy="14925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7" name="Rectangle 16"/>
          <cdr:cNvSpPr/>
        </cdr:nvSpPr>
        <cdr:spPr>
          <a:xfrm xmlns:a="http://schemas.openxmlformats.org/drawingml/2006/main">
            <a:off x="4541147" y="2450416"/>
            <a:ext cx="233271" cy="8333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8" name="Rectangle 17"/>
          <cdr:cNvSpPr/>
        </cdr:nvSpPr>
        <cdr:spPr>
          <a:xfrm xmlns:a="http://schemas.openxmlformats.org/drawingml/2006/main">
            <a:off x="4787443" y="2457423"/>
            <a:ext cx="233272" cy="7529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9" name="Rectangle 18"/>
          <cdr:cNvSpPr/>
        </cdr:nvSpPr>
        <cdr:spPr>
          <a:xfrm xmlns:a="http://schemas.openxmlformats.org/drawingml/2006/main">
            <a:off x="2372631" y="2384216"/>
            <a:ext cx="233272" cy="14999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0" name="Rectangle 19"/>
          <cdr:cNvSpPr/>
        </cdr:nvSpPr>
        <cdr:spPr>
          <a:xfrm xmlns:a="http://schemas.openxmlformats.org/drawingml/2006/main">
            <a:off x="3346350" y="2476841"/>
            <a:ext cx="233271" cy="5712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1" name="Rectangle 20"/>
          <cdr:cNvSpPr/>
        </cdr:nvSpPr>
        <cdr:spPr>
          <a:xfrm xmlns:a="http://schemas.openxmlformats.org/drawingml/2006/main">
            <a:off x="3094939" y="2466509"/>
            <a:ext cx="233272" cy="6659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2" name="Rectangle 21"/>
          <cdr:cNvSpPr/>
        </cdr:nvSpPr>
        <cdr:spPr>
          <a:xfrm xmlns:a="http://schemas.openxmlformats.org/drawingml/2006/main">
            <a:off x="2858631" y="2446319"/>
            <a:ext cx="233271" cy="85566"/>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3" name="Rectangle 22"/>
          <cdr:cNvSpPr/>
        </cdr:nvSpPr>
        <cdr:spPr>
          <a:xfrm xmlns:a="http://schemas.openxmlformats.org/drawingml/2006/main">
            <a:off x="2616329" y="2440492"/>
            <a:ext cx="233271" cy="9978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4" name="Rectangle 23"/>
          <cdr:cNvSpPr/>
        </cdr:nvSpPr>
        <cdr:spPr>
          <a:xfrm xmlns:a="http://schemas.openxmlformats.org/drawingml/2006/main">
            <a:off x="5273174" y="2322837"/>
            <a:ext cx="233271" cy="21097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5" name="Rectangle 24"/>
          <cdr:cNvSpPr/>
        </cdr:nvSpPr>
        <cdr:spPr>
          <a:xfrm xmlns:a="http://schemas.openxmlformats.org/drawingml/2006/main">
            <a:off x="5520190" y="2323638"/>
            <a:ext cx="226319" cy="20794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6" name="Rectangle 25"/>
          <cdr:cNvSpPr/>
        </cdr:nvSpPr>
        <cdr:spPr>
          <a:xfrm xmlns:a="http://schemas.openxmlformats.org/drawingml/2006/main">
            <a:off x="5759696" y="2423064"/>
            <a:ext cx="230074" cy="11115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7" name="Rectangle 26"/>
          <cdr:cNvSpPr/>
        </cdr:nvSpPr>
        <cdr:spPr>
          <a:xfrm xmlns:a="http://schemas.openxmlformats.org/drawingml/2006/main">
            <a:off x="5999120" y="2434316"/>
            <a:ext cx="230075" cy="10436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8" name="Rectangle 27"/>
          <cdr:cNvSpPr/>
        </cdr:nvSpPr>
        <cdr:spPr>
          <a:xfrm xmlns:a="http://schemas.openxmlformats.org/drawingml/2006/main">
            <a:off x="6242381" y="2445569"/>
            <a:ext cx="230074" cy="9007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5" name="Rectangle 14"/>
          <cdr:cNvSpPr/>
        </cdr:nvSpPr>
        <cdr:spPr>
          <a:xfrm xmlns:a="http://schemas.openxmlformats.org/drawingml/2006/main">
            <a:off x="4067822" y="2389225"/>
            <a:ext cx="231912" cy="14325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6.xml><?xml version="1.0" encoding="utf-8"?>
<c:userShapes xmlns:c="http://schemas.openxmlformats.org/drawingml/2006/chart">
  <cdr:relSizeAnchor xmlns:cdr="http://schemas.openxmlformats.org/drawingml/2006/chartDrawing">
    <cdr:from>
      <cdr:x>0.10026</cdr:x>
      <cdr:y>0.87038</cdr:y>
    </cdr:from>
    <cdr:to>
      <cdr:x>0.31662</cdr:x>
      <cdr:y>1</cdr:y>
    </cdr:to>
    <cdr:sp macro="" textlink="">
      <cdr:nvSpPr>
        <cdr:cNvPr id="2" name="TextBox 1"/>
        <cdr:cNvSpPr txBox="1"/>
      </cdr:nvSpPr>
      <cdr:spPr>
        <a:xfrm xmlns:a="http://schemas.openxmlformats.org/drawingml/2006/main">
          <a:off x="603250" y="2548159"/>
          <a:ext cx="1301750" cy="3794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EM is designated</a:t>
          </a:r>
          <a:endParaRPr lang="en-US" sz="1000"/>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0.06895</cdr:x>
      <cdr:y>0.05223</cdr:y>
    </cdr:from>
    <cdr:to>
      <cdr:x>0.94121</cdr:x>
      <cdr:y>0.17513</cdr:y>
    </cdr:to>
    <cdr:sp macro="" textlink="">
      <cdr:nvSpPr>
        <cdr:cNvPr id="4" name="TextBox 1"/>
        <cdr:cNvSpPr txBox="1"/>
      </cdr:nvSpPr>
      <cdr:spPr>
        <a:xfrm xmlns:a="http://schemas.openxmlformats.org/drawingml/2006/main">
          <a:off x="409575" y="150939"/>
          <a:ext cx="5181600" cy="3551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Top 5 origins from</a:t>
          </a:r>
          <a:r>
            <a:rPr lang="en-US" sz="1200" b="1" u="none" baseline="0"/>
            <a:t> which</a:t>
          </a:r>
          <a:r>
            <a:rPr lang="en-US" sz="1200" b="1" u="none"/>
            <a:t> priority is claimed, per designated Contracting</a:t>
          </a:r>
          <a:r>
            <a:rPr lang="en-US" sz="1200" b="1" u="none" baseline="0"/>
            <a:t> Party </a:t>
          </a:r>
          <a:r>
            <a:rPr lang="en-US" sz="1100">
              <a:effectLst/>
              <a:latin typeface="+mn-lt"/>
              <a:ea typeface="+mn-ea"/>
              <a:cs typeface="+mn-cs"/>
            </a:rPr>
            <a:t>–</a:t>
          </a:r>
          <a:r>
            <a:rPr lang="en-US" sz="1200" b="1" u="none" baseline="0"/>
            <a:t>  Jan-Mar 2016</a:t>
          </a:r>
        </a:p>
      </cdr:txBody>
    </cdr:sp>
  </cdr:relSizeAnchor>
  <cdr:relSizeAnchor xmlns:cdr="http://schemas.openxmlformats.org/drawingml/2006/chartDrawing">
    <cdr:from>
      <cdr:x>0.3219</cdr:x>
      <cdr:y>0.86826</cdr:y>
    </cdr:from>
    <cdr:to>
      <cdr:x>0.51847</cdr:x>
      <cdr:y>1</cdr:y>
    </cdr:to>
    <cdr:sp macro="" textlink="">
      <cdr:nvSpPr>
        <cdr:cNvPr id="5" name="TextBox 1"/>
        <cdr:cNvSpPr txBox="1"/>
      </cdr:nvSpPr>
      <cdr:spPr>
        <a:xfrm xmlns:a="http://schemas.openxmlformats.org/drawingml/2006/main">
          <a:off x="1936750" y="2541953"/>
          <a:ext cx="1182688"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JP is designated </a:t>
          </a:r>
          <a:endParaRPr lang="en-US" sz="1000"/>
        </a:p>
      </cdr:txBody>
    </cdr:sp>
  </cdr:relSizeAnchor>
  <cdr:relSizeAnchor xmlns:cdr="http://schemas.openxmlformats.org/drawingml/2006/chartDrawing">
    <cdr:from>
      <cdr:x>0.54354</cdr:x>
      <cdr:y>0.86527</cdr:y>
    </cdr:from>
    <cdr:to>
      <cdr:x>0.73483</cdr:x>
      <cdr:y>0.99701</cdr:y>
    </cdr:to>
    <cdr:sp macro="" textlink="">
      <cdr:nvSpPr>
        <cdr:cNvPr id="6" name="TextBox 1"/>
        <cdr:cNvSpPr txBox="1"/>
      </cdr:nvSpPr>
      <cdr:spPr>
        <a:xfrm xmlns:a="http://schemas.openxmlformats.org/drawingml/2006/main">
          <a:off x="3270250" y="2533199"/>
          <a:ext cx="1150937"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KR is designated </a:t>
          </a:r>
          <a:endParaRPr lang="en-US" sz="1000"/>
        </a:p>
      </cdr:txBody>
    </cdr:sp>
  </cdr:relSizeAnchor>
  <cdr:relSizeAnchor xmlns:cdr="http://schemas.openxmlformats.org/drawingml/2006/chartDrawing">
    <cdr:from>
      <cdr:x>0.74142</cdr:x>
      <cdr:y>0.86826</cdr:y>
    </cdr:from>
    <cdr:to>
      <cdr:x>1</cdr:x>
      <cdr:y>1</cdr:y>
    </cdr:to>
    <cdr:sp macro="" textlink="">
      <cdr:nvSpPr>
        <cdr:cNvPr id="7" name="TextBox 1"/>
        <cdr:cNvSpPr txBox="1"/>
      </cdr:nvSpPr>
      <cdr:spPr>
        <a:xfrm xmlns:a="http://schemas.openxmlformats.org/drawingml/2006/main">
          <a:off x="4460875" y="2541953"/>
          <a:ext cx="1555750"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When</a:t>
          </a:r>
          <a:r>
            <a:rPr lang="en-US" sz="1000" baseline="0"/>
            <a:t> the US are designated</a:t>
          </a:r>
          <a:endParaRPr lang="en-US" sz="1000"/>
        </a:p>
      </cdr:txBody>
    </cdr:sp>
  </cdr:relSizeAnchor>
  <cdr:relSizeAnchor xmlns:cdr="http://schemas.openxmlformats.org/drawingml/2006/chartDrawing">
    <cdr:from>
      <cdr:x>0.53948</cdr:x>
      <cdr:y>0.85083</cdr:y>
    </cdr:from>
    <cdr:to>
      <cdr:x>0.56877</cdr:x>
      <cdr:y>0.85388</cdr:y>
    </cdr:to>
    <cdr:sp macro="" textlink="">
      <cdr:nvSpPr>
        <cdr:cNvPr id="15" name="Rectangle 14"/>
        <cdr:cNvSpPr/>
      </cdr:nvSpPr>
      <cdr:spPr>
        <a:xfrm xmlns:a="http://schemas.openxmlformats.org/drawingml/2006/main">
          <a:off x="4326467" y="2544938"/>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0.56939</cdr:x>
      <cdr:y>0.85083</cdr:y>
    </cdr:from>
    <cdr:to>
      <cdr:x>0.59868</cdr:x>
      <cdr:y>0.85388</cdr:y>
    </cdr:to>
    <cdr:sp macro="" textlink="">
      <cdr:nvSpPr>
        <cdr:cNvPr id="16" name="Rectangle 15"/>
        <cdr:cNvSpPr/>
      </cdr:nvSpPr>
      <cdr:spPr>
        <a:xfrm xmlns:a="http://schemas.openxmlformats.org/drawingml/2006/main">
          <a:off x="4566356" y="2544938"/>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0.5993</cdr:x>
      <cdr:y>0.85201</cdr:y>
    </cdr:from>
    <cdr:to>
      <cdr:x>0.62859</cdr:x>
      <cdr:y>0.85506</cdr:y>
    </cdr:to>
    <cdr:sp macro="" textlink="">
      <cdr:nvSpPr>
        <cdr:cNvPr id="17" name="Rectangle 16"/>
        <cdr:cNvSpPr/>
      </cdr:nvSpPr>
      <cdr:spPr>
        <a:xfrm xmlns:a="http://schemas.openxmlformats.org/drawingml/2006/main">
          <a:off x="4806244" y="2548467"/>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0.35783</cdr:x>
      <cdr:y>0.84594</cdr:y>
    </cdr:from>
    <cdr:to>
      <cdr:x>0.38751</cdr:x>
      <cdr:y>0.85503</cdr:y>
    </cdr:to>
    <cdr:sp macro="" textlink="">
      <cdr:nvSpPr>
        <cdr:cNvPr id="20" name="Rectangle 19"/>
        <cdr:cNvSpPr/>
      </cdr:nvSpPr>
      <cdr:spPr>
        <a:xfrm xmlns:a="http://schemas.openxmlformats.org/drawingml/2006/main">
          <a:off x="2866390" y="2553970"/>
          <a:ext cx="237744" cy="27432"/>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0.38732</cdr:x>
      <cdr:y>0.85225</cdr:y>
    </cdr:from>
    <cdr:to>
      <cdr:x>0.417</cdr:x>
      <cdr:y>0.85528</cdr:y>
    </cdr:to>
    <cdr:sp macro="" textlink="">
      <cdr:nvSpPr>
        <cdr:cNvPr id="21" name="Rectangle 20"/>
        <cdr:cNvSpPr/>
      </cdr:nvSpPr>
      <cdr:spPr>
        <a:xfrm xmlns:a="http://schemas.openxmlformats.org/drawingml/2006/main">
          <a:off x="3102610" y="2573020"/>
          <a:ext cx="237744"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0.41823</cdr:x>
      <cdr:y>0.85225</cdr:y>
    </cdr:from>
    <cdr:to>
      <cdr:x>0.44791</cdr:x>
      <cdr:y>0.85528</cdr:y>
    </cdr:to>
    <cdr:sp macro="" textlink="">
      <cdr:nvSpPr>
        <cdr:cNvPr id="22" name="Rectangle 21"/>
        <cdr:cNvSpPr/>
      </cdr:nvSpPr>
      <cdr:spPr>
        <a:xfrm xmlns:a="http://schemas.openxmlformats.org/drawingml/2006/main">
          <a:off x="3350260" y="2573020"/>
          <a:ext cx="237744"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0.78161</cdr:x>
      <cdr:y>0.85099</cdr:y>
    </cdr:from>
    <cdr:to>
      <cdr:x>0.81058</cdr:x>
      <cdr:y>0.85402</cdr:y>
    </cdr:to>
    <cdr:sp macro="" textlink="">
      <cdr:nvSpPr>
        <cdr:cNvPr id="27" name="Rectangle 26"/>
        <cdr:cNvSpPr/>
      </cdr:nvSpPr>
      <cdr:spPr>
        <a:xfrm xmlns:a="http://schemas.openxmlformats.org/drawingml/2006/main">
          <a:off x="6261100" y="2569210"/>
          <a:ext cx="232065"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0.10601</cdr:x>
      <cdr:y>0.73922</cdr:y>
    </cdr:from>
    <cdr:to>
      <cdr:x>0.94459</cdr:x>
      <cdr:y>0.86632</cdr:y>
    </cdr:to>
    <cdr:grpSp>
      <cdr:nvGrpSpPr>
        <cdr:cNvPr id="8" name="Group 7"/>
        <cdr:cNvGrpSpPr/>
      </cdr:nvGrpSpPr>
      <cdr:grpSpPr>
        <a:xfrm xmlns:a="http://schemas.openxmlformats.org/drawingml/2006/main">
          <a:off x="629728" y="2136247"/>
          <a:ext cx="4981538" cy="367305"/>
          <a:chOff x="925892" y="2170041"/>
          <a:chExt cx="5551838" cy="377691"/>
        </a:xfrm>
      </cdr:grpSpPr>
      <cdr:sp macro="" textlink="">
        <cdr:nvSpPr>
          <cdr:cNvPr id="9" name="Rectangle 8"/>
          <cdr:cNvSpPr/>
        </cdr:nvSpPr>
        <cdr:spPr>
          <a:xfrm xmlns:a="http://schemas.openxmlformats.org/drawingml/2006/main">
            <a:off x="1168274" y="2472372"/>
            <a:ext cx="229595" cy="6897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0" name="Rectangle 9"/>
          <cdr:cNvSpPr/>
        </cdr:nvSpPr>
        <cdr:spPr>
          <a:xfrm xmlns:a="http://schemas.openxmlformats.org/drawingml/2006/main">
            <a:off x="1653436" y="2515104"/>
            <a:ext cx="227757" cy="2710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1" name="Rectangle 10"/>
          <cdr:cNvSpPr/>
        </cdr:nvSpPr>
        <cdr:spPr>
          <a:xfrm xmlns:a="http://schemas.openxmlformats.org/drawingml/2006/main">
            <a:off x="1413692" y="2505803"/>
            <a:ext cx="237187" cy="361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6" name="Rectangle 25"/>
          <cdr:cNvSpPr/>
        </cdr:nvSpPr>
        <cdr:spPr>
          <a:xfrm xmlns:a="http://schemas.openxmlformats.org/drawingml/2006/main">
            <a:off x="6001598" y="2528624"/>
            <a:ext cx="231513" cy="1800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36" name="Rectangle 7"/>
          <cdr:cNvSpPr/>
        </cdr:nvSpPr>
        <cdr:spPr>
          <a:xfrm xmlns:a="http://schemas.openxmlformats.org/drawingml/2006/main">
            <a:off x="925892" y="2170041"/>
            <a:ext cx="231753" cy="37219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         </a:t>
            </a:r>
          </a:p>
        </cdr:txBody>
      </cdr:sp>
      <cdr:sp macro="" textlink="">
        <cdr:nvSpPr>
          <cdr:cNvPr id="40" name="Rectangle 11"/>
          <cdr:cNvSpPr/>
        </cdr:nvSpPr>
        <cdr:spPr>
          <a:xfrm xmlns:a="http://schemas.openxmlformats.org/drawingml/2006/main">
            <a:off x="1889664" y="2512191"/>
            <a:ext cx="234070" cy="2751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1" name="Rectangle 12"/>
          <cdr:cNvSpPr/>
        </cdr:nvSpPr>
        <cdr:spPr>
          <a:xfrm xmlns:a="http://schemas.openxmlformats.org/drawingml/2006/main">
            <a:off x="3826158" y="2517154"/>
            <a:ext cx="231513" cy="2748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2" name="Rectangle 13"/>
          <cdr:cNvSpPr/>
        </cdr:nvSpPr>
        <cdr:spPr>
          <a:xfrm xmlns:a="http://schemas.openxmlformats.org/drawingml/2006/main">
            <a:off x="4068700" y="2521314"/>
            <a:ext cx="234070" cy="1815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3" name="Rectangle 14"/>
          <cdr:cNvSpPr/>
        </cdr:nvSpPr>
        <cdr:spPr>
          <a:xfrm xmlns:a="http://schemas.openxmlformats.org/drawingml/2006/main">
            <a:off x="4311241" y="2528327"/>
            <a:ext cx="234070" cy="906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4" name="Rectangle 15"/>
          <cdr:cNvSpPr/>
        </cdr:nvSpPr>
        <cdr:spPr>
          <a:xfrm xmlns:a="http://schemas.openxmlformats.org/drawingml/2006/main">
            <a:off x="4550266" y="2528327"/>
            <a:ext cx="234070" cy="906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5" name="Rectangle 16"/>
          <cdr:cNvSpPr/>
        </cdr:nvSpPr>
        <cdr:spPr>
          <a:xfrm xmlns:a="http://schemas.openxmlformats.org/drawingml/2006/main">
            <a:off x="4789291" y="2531834"/>
            <a:ext cx="234070" cy="906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6" name="Rectangle 17"/>
          <cdr:cNvSpPr/>
        </cdr:nvSpPr>
        <cdr:spPr>
          <a:xfrm xmlns:a="http://schemas.openxmlformats.org/drawingml/2006/main">
            <a:off x="2373069" y="2509220"/>
            <a:ext cx="237186" cy="3666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7" name="Rectangle 18"/>
          <cdr:cNvSpPr/>
        </cdr:nvSpPr>
        <cdr:spPr>
          <a:xfrm xmlns:a="http://schemas.openxmlformats.org/drawingml/2006/main">
            <a:off x="2616329" y="2520245"/>
            <a:ext cx="228077" cy="2748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8" name="Rectangle 19"/>
          <cdr:cNvSpPr/>
        </cdr:nvSpPr>
        <cdr:spPr>
          <a:xfrm xmlns:a="http://schemas.openxmlformats.org/drawingml/2006/main">
            <a:off x="2859589" y="2513796"/>
            <a:ext cx="237187" cy="2701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9" name="Rectangle 20"/>
          <cdr:cNvSpPr/>
        </cdr:nvSpPr>
        <cdr:spPr>
          <a:xfrm xmlns:a="http://schemas.openxmlformats.org/drawingml/2006/main">
            <a:off x="3095258" y="2532547"/>
            <a:ext cx="237187"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0" name="Rectangle 21"/>
          <cdr:cNvSpPr/>
        </cdr:nvSpPr>
        <cdr:spPr>
          <a:xfrm xmlns:a="http://schemas.openxmlformats.org/drawingml/2006/main">
            <a:off x="3342275" y="2532547"/>
            <a:ext cx="237187"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1" name="Rectangle 22"/>
          <cdr:cNvSpPr/>
        </cdr:nvSpPr>
        <cdr:spPr>
          <a:xfrm xmlns:a="http://schemas.openxmlformats.org/drawingml/2006/main">
            <a:off x="5279168" y="2408334"/>
            <a:ext cx="231513" cy="13369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2" name="Rectangle 23"/>
          <cdr:cNvSpPr/>
        </cdr:nvSpPr>
        <cdr:spPr>
          <a:xfrm xmlns:a="http://schemas.openxmlformats.org/drawingml/2006/main">
            <a:off x="5759696" y="2527287"/>
            <a:ext cx="231513" cy="1797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3" name="Rectangle 24"/>
          <cdr:cNvSpPr/>
        </cdr:nvSpPr>
        <cdr:spPr>
          <a:xfrm xmlns:a="http://schemas.openxmlformats.org/drawingml/2006/main">
            <a:off x="5520191" y="2497868"/>
            <a:ext cx="231513" cy="36700"/>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5" name="Rectangle 26"/>
          <cdr:cNvSpPr/>
        </cdr:nvSpPr>
        <cdr:spPr>
          <a:xfrm xmlns:a="http://schemas.openxmlformats.org/drawingml/2006/main">
            <a:off x="6246217" y="2528803"/>
            <a:ext cx="231513"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7.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0.03981</cdr:y>
    </cdr:from>
    <cdr:to>
      <cdr:x>1</cdr:x>
      <cdr:y>0.16117</cdr:y>
    </cdr:to>
    <cdr:sp macro="" textlink="">
      <cdr:nvSpPr>
        <cdr:cNvPr id="4" name="TextBox 1"/>
        <cdr:cNvSpPr txBox="1"/>
      </cdr:nvSpPr>
      <cdr:spPr>
        <a:xfrm xmlns:a="http://schemas.openxmlformats.org/drawingml/2006/main">
          <a:off x="0" y="120388"/>
          <a:ext cx="3861979" cy="367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400" b="1" u="none"/>
            <a:t>Share of</a:t>
          </a:r>
          <a:r>
            <a:rPr lang="en-US" sz="1400" b="1" u="none" baseline="0"/>
            <a:t> s</a:t>
          </a:r>
          <a:r>
            <a:rPr lang="en-US" sz="1400" b="1" u="none"/>
            <a:t>elf-designation when the origin is a "traditional"</a:t>
          </a:r>
          <a:r>
            <a:rPr lang="en-US" sz="1400" b="1" u="none" baseline="0"/>
            <a:t> Contracting Party - 2014</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0.21021</cdr:x>
      <cdr:y>0.90866</cdr:y>
    </cdr:from>
    <cdr:to>
      <cdr:x>0.30887</cdr:x>
      <cdr:y>0.99713</cdr:y>
    </cdr:to>
    <cdr:sp macro="" textlink="">
      <cdr:nvSpPr>
        <cdr:cNvPr id="2" name="TextBox 1"/>
        <cdr:cNvSpPr txBox="1"/>
      </cdr:nvSpPr>
      <cdr:spPr>
        <a:xfrm xmlns:a="http://schemas.openxmlformats.org/drawingml/2006/main">
          <a:off x="811844" y="2747961"/>
          <a:ext cx="381023" cy="267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0.1294</cdr:x>
      <cdr:y>0.90866</cdr:y>
    </cdr:from>
    <cdr:to>
      <cdr:x>0.21912</cdr:x>
      <cdr:y>0.99982</cdr:y>
    </cdr:to>
    <cdr:sp macro="" textlink="">
      <cdr:nvSpPr>
        <cdr:cNvPr id="8" name="TextBox 7"/>
        <cdr:cNvSpPr txBox="1"/>
      </cdr:nvSpPr>
      <cdr:spPr>
        <a:xfrm xmlns:a="http://schemas.openxmlformats.org/drawingml/2006/main">
          <a:off x="501162" y="2692855"/>
          <a:ext cx="347460" cy="270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a:t>
          </a:r>
        </a:p>
      </cdr:txBody>
    </cdr:sp>
  </cdr:relSizeAnchor>
  <cdr:relSizeAnchor xmlns:cdr="http://schemas.openxmlformats.org/drawingml/2006/chartDrawing">
    <cdr:from>
      <cdr:x>0.30421</cdr:x>
      <cdr:y>0.90894</cdr:y>
    </cdr:from>
    <cdr:to>
      <cdr:x>0.39729</cdr:x>
      <cdr:y>0.99982</cdr:y>
    </cdr:to>
    <cdr:sp macro="" textlink="">
      <cdr:nvSpPr>
        <cdr:cNvPr id="10" name="TextBox 1"/>
        <cdr:cNvSpPr txBox="1"/>
      </cdr:nvSpPr>
      <cdr:spPr>
        <a:xfrm xmlns:a="http://schemas.openxmlformats.org/drawingml/2006/main">
          <a:off x="1178170" y="2693685"/>
          <a:ext cx="360484"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0.40637</cdr:x>
      <cdr:y>0.90894</cdr:y>
    </cdr:from>
    <cdr:to>
      <cdr:x>0.50399</cdr:x>
      <cdr:y>0.99982</cdr:y>
    </cdr:to>
    <cdr:sp macro="" textlink="">
      <cdr:nvSpPr>
        <cdr:cNvPr id="11" name="TextBox 1"/>
        <cdr:cNvSpPr txBox="1"/>
      </cdr:nvSpPr>
      <cdr:spPr>
        <a:xfrm xmlns:a="http://schemas.openxmlformats.org/drawingml/2006/main">
          <a:off x="1573822" y="2693685"/>
          <a:ext cx="378071"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DE</a:t>
          </a:r>
        </a:p>
      </cdr:txBody>
    </cdr:sp>
  </cdr:relSizeAnchor>
  <cdr:relSizeAnchor xmlns:cdr="http://schemas.openxmlformats.org/drawingml/2006/chartDrawing">
    <cdr:from>
      <cdr:x>0.50853</cdr:x>
      <cdr:y>0.90866</cdr:y>
    </cdr:from>
    <cdr:to>
      <cdr:x>0.59707</cdr:x>
      <cdr:y>0.99982</cdr:y>
    </cdr:to>
    <cdr:sp macro="" textlink="">
      <cdr:nvSpPr>
        <cdr:cNvPr id="13" name="TextBox 1"/>
        <cdr:cNvSpPr txBox="1"/>
      </cdr:nvSpPr>
      <cdr:spPr>
        <a:xfrm xmlns:a="http://schemas.openxmlformats.org/drawingml/2006/main">
          <a:off x="1969476" y="2692855"/>
          <a:ext cx="342901" cy="2701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0.59551</cdr:x>
      <cdr:y>0.90894</cdr:y>
    </cdr:from>
    <cdr:to>
      <cdr:x>0.69385</cdr:x>
      <cdr:y>1</cdr:y>
    </cdr:to>
    <cdr:sp macro="" textlink="">
      <cdr:nvSpPr>
        <cdr:cNvPr id="14" name="TextBox 1"/>
        <cdr:cNvSpPr txBox="1"/>
      </cdr:nvSpPr>
      <cdr:spPr>
        <a:xfrm xmlns:a="http://schemas.openxmlformats.org/drawingml/2006/main">
          <a:off x="2299861" y="2748804"/>
          <a:ext cx="379787" cy="2753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0.69923</cdr:x>
      <cdr:y>0.90894</cdr:y>
    </cdr:from>
    <cdr:to>
      <cdr:x>0.78323</cdr:x>
      <cdr:y>0.99982</cdr:y>
    </cdr:to>
    <cdr:sp macro="" textlink="">
      <cdr:nvSpPr>
        <cdr:cNvPr id="18" name="TextBox 1"/>
        <cdr:cNvSpPr txBox="1"/>
      </cdr:nvSpPr>
      <cdr:spPr>
        <a:xfrm xmlns:a="http://schemas.openxmlformats.org/drawingml/2006/main">
          <a:off x="2708030" y="2693685"/>
          <a:ext cx="325317"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0.78323</cdr:x>
      <cdr:y>0.90488</cdr:y>
    </cdr:from>
    <cdr:to>
      <cdr:x>0.87514</cdr:x>
      <cdr:y>0.99982</cdr:y>
    </cdr:to>
    <cdr:sp macro="" textlink="">
      <cdr:nvSpPr>
        <cdr:cNvPr id="20" name="TextBox 1"/>
        <cdr:cNvSpPr txBox="1"/>
      </cdr:nvSpPr>
      <cdr:spPr>
        <a:xfrm xmlns:a="http://schemas.openxmlformats.org/drawingml/2006/main">
          <a:off x="3033347" y="2681654"/>
          <a:ext cx="355952" cy="2813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0.8564</cdr:x>
      <cdr:y>0.90488</cdr:y>
    </cdr:from>
    <cdr:to>
      <cdr:x>0.94975</cdr:x>
      <cdr:y>0.99982</cdr:y>
    </cdr:to>
    <cdr:sp macro="" textlink="">
      <cdr:nvSpPr>
        <cdr:cNvPr id="21" name="TextBox 1"/>
        <cdr:cNvSpPr txBox="1"/>
      </cdr:nvSpPr>
      <cdr:spPr>
        <a:xfrm xmlns:a="http://schemas.openxmlformats.org/drawingml/2006/main">
          <a:off x="3316722" y="2681654"/>
          <a:ext cx="361532" cy="281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drawings/drawing8.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0.03981</cdr:y>
    </cdr:from>
    <cdr:to>
      <cdr:x>1</cdr:x>
      <cdr:y>0.16117</cdr:y>
    </cdr:to>
    <cdr:sp macro="" textlink="">
      <cdr:nvSpPr>
        <cdr:cNvPr id="4" name="TextBox 1"/>
        <cdr:cNvSpPr txBox="1"/>
      </cdr:nvSpPr>
      <cdr:spPr>
        <a:xfrm xmlns:a="http://schemas.openxmlformats.org/drawingml/2006/main">
          <a:off x="0" y="120388"/>
          <a:ext cx="3861979" cy="367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Share of</a:t>
          </a:r>
          <a:r>
            <a:rPr lang="en-US" sz="1200" b="1" u="none" baseline="0"/>
            <a:t> s</a:t>
          </a:r>
          <a:r>
            <a:rPr lang="en-US" sz="1200" b="1" u="none"/>
            <a:t>elf-designation when the origin is a "traditional"</a:t>
          </a:r>
          <a:r>
            <a:rPr lang="en-US" sz="1200" b="1" u="none" baseline="0"/>
            <a:t> Contracting Party </a:t>
          </a:r>
          <a:r>
            <a:rPr lang="en-US" sz="1100">
              <a:effectLst/>
              <a:latin typeface="+mn-lt"/>
              <a:ea typeface="+mn-ea"/>
              <a:cs typeface="+mn-cs"/>
            </a:rPr>
            <a:t>–</a:t>
          </a:r>
          <a:r>
            <a:rPr lang="en-US" sz="1200" b="1" u="none" baseline="0"/>
            <a:t> 2015</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0.20215</cdr:x>
      <cdr:y>0.90264</cdr:y>
    </cdr:from>
    <cdr:to>
      <cdr:x>0.29161</cdr:x>
      <cdr:y>0.99713</cdr:y>
    </cdr:to>
    <cdr:sp macro="" textlink="">
      <cdr:nvSpPr>
        <cdr:cNvPr id="2" name="TextBox 1"/>
        <cdr:cNvSpPr txBox="1"/>
      </cdr:nvSpPr>
      <cdr:spPr>
        <a:xfrm xmlns:a="http://schemas.openxmlformats.org/drawingml/2006/main">
          <a:off x="782516" y="2675014"/>
          <a:ext cx="346295" cy="280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a:t>
          </a:r>
        </a:p>
      </cdr:txBody>
    </cdr:sp>
  </cdr:relSizeAnchor>
  <cdr:relSizeAnchor xmlns:cdr="http://schemas.openxmlformats.org/drawingml/2006/chartDrawing">
    <cdr:from>
      <cdr:x>0.11357</cdr:x>
      <cdr:y>0.89949</cdr:y>
    </cdr:from>
    <cdr:to>
      <cdr:x>0.21912</cdr:x>
      <cdr:y>0.99982</cdr:y>
    </cdr:to>
    <cdr:sp macro="" textlink="">
      <cdr:nvSpPr>
        <cdr:cNvPr id="8" name="TextBox 7"/>
        <cdr:cNvSpPr txBox="1"/>
      </cdr:nvSpPr>
      <cdr:spPr>
        <a:xfrm xmlns:a="http://schemas.openxmlformats.org/drawingml/2006/main">
          <a:off x="439615" y="2665679"/>
          <a:ext cx="408589" cy="2973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0.30209</cdr:x>
      <cdr:y>0.90551</cdr:y>
    </cdr:from>
    <cdr:to>
      <cdr:x>0.40203</cdr:x>
      <cdr:y>0.99982</cdr:y>
    </cdr:to>
    <cdr:sp macro="" textlink="">
      <cdr:nvSpPr>
        <cdr:cNvPr id="10" name="TextBox 1"/>
        <cdr:cNvSpPr txBox="1"/>
      </cdr:nvSpPr>
      <cdr:spPr>
        <a:xfrm xmlns:a="http://schemas.openxmlformats.org/drawingml/2006/main">
          <a:off x="1169377" y="2683520"/>
          <a:ext cx="386861"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DE</a:t>
          </a:r>
        </a:p>
      </cdr:txBody>
    </cdr:sp>
  </cdr:relSizeAnchor>
  <cdr:relSizeAnchor xmlns:cdr="http://schemas.openxmlformats.org/drawingml/2006/chartDrawing">
    <cdr:from>
      <cdr:x>0.40884</cdr:x>
      <cdr:y>0.90551</cdr:y>
    </cdr:from>
    <cdr:to>
      <cdr:x>0.50197</cdr:x>
      <cdr:y>0.99982</cdr:y>
    </cdr:to>
    <cdr:sp macro="" textlink="">
      <cdr:nvSpPr>
        <cdr:cNvPr id="11" name="TextBox 1"/>
        <cdr:cNvSpPr txBox="1"/>
      </cdr:nvSpPr>
      <cdr:spPr>
        <a:xfrm xmlns:a="http://schemas.openxmlformats.org/drawingml/2006/main">
          <a:off x="1582616" y="2683520"/>
          <a:ext cx="360483"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0.51105</cdr:x>
      <cdr:y>0.90551</cdr:y>
    </cdr:from>
    <cdr:to>
      <cdr:x>0.59964</cdr:x>
      <cdr:y>0.99982</cdr:y>
    </cdr:to>
    <cdr:sp macro="" textlink="">
      <cdr:nvSpPr>
        <cdr:cNvPr id="13" name="TextBox 1"/>
        <cdr:cNvSpPr txBox="1"/>
      </cdr:nvSpPr>
      <cdr:spPr>
        <a:xfrm xmlns:a="http://schemas.openxmlformats.org/drawingml/2006/main">
          <a:off x="1978270" y="2683520"/>
          <a:ext cx="342899"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0.60672</cdr:x>
      <cdr:y>0.90551</cdr:y>
    </cdr:from>
    <cdr:to>
      <cdr:x>0.69049</cdr:x>
      <cdr:y>0.99982</cdr:y>
    </cdr:to>
    <cdr:sp macro="" textlink="">
      <cdr:nvSpPr>
        <cdr:cNvPr id="14" name="TextBox 1"/>
        <cdr:cNvSpPr txBox="1"/>
      </cdr:nvSpPr>
      <cdr:spPr>
        <a:xfrm xmlns:a="http://schemas.openxmlformats.org/drawingml/2006/main">
          <a:off x="2348589" y="2683520"/>
          <a:ext cx="324273"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0.71093</cdr:x>
      <cdr:y>0.90551</cdr:y>
    </cdr:from>
    <cdr:to>
      <cdr:x>0.7991</cdr:x>
      <cdr:y>0.99982</cdr:y>
    </cdr:to>
    <cdr:sp macro="" textlink="">
      <cdr:nvSpPr>
        <cdr:cNvPr id="18" name="TextBox 1"/>
        <cdr:cNvSpPr txBox="1"/>
      </cdr:nvSpPr>
      <cdr:spPr>
        <a:xfrm xmlns:a="http://schemas.openxmlformats.org/drawingml/2006/main">
          <a:off x="2751992" y="2683520"/>
          <a:ext cx="341291"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0.76999</cdr:x>
      <cdr:y>0.90551</cdr:y>
    </cdr:from>
    <cdr:to>
      <cdr:x>0.9072</cdr:x>
      <cdr:y>0.99982</cdr:y>
    </cdr:to>
    <cdr:sp macro="" textlink="">
      <cdr:nvSpPr>
        <cdr:cNvPr id="20" name="TextBox 1"/>
        <cdr:cNvSpPr txBox="1"/>
      </cdr:nvSpPr>
      <cdr:spPr>
        <a:xfrm xmlns:a="http://schemas.openxmlformats.org/drawingml/2006/main">
          <a:off x="2980594" y="2683520"/>
          <a:ext cx="531142"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0.85829</cdr:x>
      <cdr:y>0.90551</cdr:y>
    </cdr:from>
    <cdr:to>
      <cdr:x>0.94975</cdr:x>
      <cdr:y>1</cdr:y>
    </cdr:to>
    <cdr:sp macro="" textlink="">
      <cdr:nvSpPr>
        <cdr:cNvPr id="21" name="TextBox 1"/>
        <cdr:cNvSpPr txBox="1"/>
      </cdr:nvSpPr>
      <cdr:spPr>
        <a:xfrm xmlns:a="http://schemas.openxmlformats.org/drawingml/2006/main">
          <a:off x="3314700" y="2738435"/>
          <a:ext cx="353215" cy="285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drawings/drawing9.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0.03981</cdr:y>
    </cdr:from>
    <cdr:to>
      <cdr:x>1</cdr:x>
      <cdr:y>0.16117</cdr:y>
    </cdr:to>
    <cdr:sp macro="" textlink="">
      <cdr:nvSpPr>
        <cdr:cNvPr id="4" name="TextBox 1"/>
        <cdr:cNvSpPr txBox="1"/>
      </cdr:nvSpPr>
      <cdr:spPr>
        <a:xfrm xmlns:a="http://schemas.openxmlformats.org/drawingml/2006/main">
          <a:off x="0" y="120388"/>
          <a:ext cx="3861979" cy="367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Share of</a:t>
          </a:r>
          <a:r>
            <a:rPr lang="en-US" sz="1200" b="1" u="none" baseline="0"/>
            <a:t> s</a:t>
          </a:r>
          <a:r>
            <a:rPr lang="en-US" sz="1200" b="1" u="none"/>
            <a:t>elf-designation when the origin is a "traditional"</a:t>
          </a:r>
          <a:r>
            <a:rPr lang="en-US" sz="1200" b="1" u="none" baseline="0"/>
            <a:t> Contracting Party </a:t>
          </a:r>
          <a:r>
            <a:rPr lang="en-US" sz="1100">
              <a:effectLst/>
              <a:latin typeface="+mn-lt"/>
              <a:ea typeface="+mn-ea"/>
              <a:cs typeface="+mn-cs"/>
            </a:rPr>
            <a:t>–</a:t>
          </a:r>
          <a:r>
            <a:rPr lang="en-US" sz="1200" b="1" u="none" baseline="0"/>
            <a:t> Jan-Mar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0.19978</cdr:x>
      <cdr:y>0.90488</cdr:y>
    </cdr:from>
    <cdr:to>
      <cdr:x>0.31556</cdr:x>
      <cdr:y>0.99713</cdr:y>
    </cdr:to>
    <cdr:sp macro="" textlink="">
      <cdr:nvSpPr>
        <cdr:cNvPr id="2" name="TextBox 1"/>
        <cdr:cNvSpPr txBox="1"/>
      </cdr:nvSpPr>
      <cdr:spPr>
        <a:xfrm xmlns:a="http://schemas.openxmlformats.org/drawingml/2006/main">
          <a:off x="773723" y="2681654"/>
          <a:ext cx="448408" cy="27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0.11578</cdr:x>
      <cdr:y>0.90479</cdr:y>
    </cdr:from>
    <cdr:to>
      <cdr:x>0.21912</cdr:x>
      <cdr:y>0.99982</cdr:y>
    </cdr:to>
    <cdr:sp macro="" textlink="">
      <cdr:nvSpPr>
        <cdr:cNvPr id="8" name="TextBox 7"/>
        <cdr:cNvSpPr txBox="1"/>
      </cdr:nvSpPr>
      <cdr:spPr>
        <a:xfrm xmlns:a="http://schemas.openxmlformats.org/drawingml/2006/main">
          <a:off x="448408" y="2681386"/>
          <a:ext cx="400214" cy="2816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0.30875</cdr:x>
      <cdr:y>0.90684</cdr:y>
    </cdr:from>
    <cdr:to>
      <cdr:x>0.39956</cdr:x>
      <cdr:y>0.99982</cdr:y>
    </cdr:to>
    <cdr:sp macro="" textlink="">
      <cdr:nvSpPr>
        <cdr:cNvPr id="10" name="TextBox 1"/>
        <cdr:cNvSpPr txBox="1"/>
      </cdr:nvSpPr>
      <cdr:spPr>
        <a:xfrm xmlns:a="http://schemas.openxmlformats.org/drawingml/2006/main">
          <a:off x="1195753" y="2687461"/>
          <a:ext cx="351694" cy="2755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a:t>
          </a:r>
        </a:p>
      </cdr:txBody>
    </cdr:sp>
  </cdr:relSizeAnchor>
  <cdr:relSizeAnchor xmlns:cdr="http://schemas.openxmlformats.org/drawingml/2006/chartDrawing">
    <cdr:from>
      <cdr:x>0.40637</cdr:x>
      <cdr:y>0.90479</cdr:y>
    </cdr:from>
    <cdr:to>
      <cdr:x>0.49037</cdr:x>
      <cdr:y>0.99982</cdr:y>
    </cdr:to>
    <cdr:sp macro="" textlink="">
      <cdr:nvSpPr>
        <cdr:cNvPr id="11" name="TextBox 1"/>
        <cdr:cNvSpPr txBox="1"/>
      </cdr:nvSpPr>
      <cdr:spPr>
        <a:xfrm xmlns:a="http://schemas.openxmlformats.org/drawingml/2006/main">
          <a:off x="1573823" y="2681386"/>
          <a:ext cx="325315" cy="2816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0.5108</cdr:x>
      <cdr:y>0.90551</cdr:y>
    </cdr:from>
    <cdr:to>
      <cdr:x>0.60161</cdr:x>
      <cdr:y>0.99982</cdr:y>
    </cdr:to>
    <cdr:sp macro="" textlink="">
      <cdr:nvSpPr>
        <cdr:cNvPr id="13" name="TextBox 1"/>
        <cdr:cNvSpPr txBox="1"/>
      </cdr:nvSpPr>
      <cdr:spPr>
        <a:xfrm xmlns:a="http://schemas.openxmlformats.org/drawingml/2006/main">
          <a:off x="1978270" y="2683520"/>
          <a:ext cx="351692"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0.61069</cdr:x>
      <cdr:y>0.90551</cdr:y>
    </cdr:from>
    <cdr:to>
      <cdr:x>0.69696</cdr:x>
      <cdr:y>0.99982</cdr:y>
    </cdr:to>
    <cdr:sp macro="" textlink="">
      <cdr:nvSpPr>
        <cdr:cNvPr id="14" name="TextBox 1"/>
        <cdr:cNvSpPr txBox="1"/>
      </cdr:nvSpPr>
      <cdr:spPr>
        <a:xfrm xmlns:a="http://schemas.openxmlformats.org/drawingml/2006/main">
          <a:off x="2365131" y="2683520"/>
          <a:ext cx="334108"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0.69015</cdr:x>
      <cdr:y>0.90551</cdr:y>
    </cdr:from>
    <cdr:to>
      <cdr:x>0.7691</cdr:x>
      <cdr:y>0.99982</cdr:y>
    </cdr:to>
    <cdr:sp macro="" textlink="">
      <cdr:nvSpPr>
        <cdr:cNvPr id="18" name="TextBox 1"/>
        <cdr:cNvSpPr txBox="1"/>
      </cdr:nvSpPr>
      <cdr:spPr>
        <a:xfrm xmlns:a="http://schemas.openxmlformats.org/drawingml/2006/main">
          <a:off x="2672862" y="2683520"/>
          <a:ext cx="305758"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0.76053</cdr:x>
      <cdr:y>0.90551</cdr:y>
    </cdr:from>
    <cdr:to>
      <cdr:x>0.87802</cdr:x>
      <cdr:y>0.99982</cdr:y>
    </cdr:to>
    <cdr:sp macro="" textlink="">
      <cdr:nvSpPr>
        <cdr:cNvPr id="20" name="TextBox 1"/>
        <cdr:cNvSpPr txBox="1"/>
      </cdr:nvSpPr>
      <cdr:spPr>
        <a:xfrm xmlns:a="http://schemas.openxmlformats.org/drawingml/2006/main">
          <a:off x="2945423" y="2683520"/>
          <a:ext cx="455030"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0.86322</cdr:x>
      <cdr:y>0.90551</cdr:y>
    </cdr:from>
    <cdr:to>
      <cdr:x>0.94975</cdr:x>
      <cdr:y>1</cdr:y>
    </cdr:to>
    <cdr:sp macro="" textlink="">
      <cdr:nvSpPr>
        <cdr:cNvPr id="21" name="TextBox 1"/>
        <cdr:cNvSpPr txBox="1"/>
      </cdr:nvSpPr>
      <cdr:spPr>
        <a:xfrm xmlns:a="http://schemas.openxmlformats.org/drawingml/2006/main">
          <a:off x="3333750" y="2738435"/>
          <a:ext cx="334165" cy="285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5018F-F972-4FD0-8F56-83874D08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5544</Words>
  <Characters>31603</Characters>
  <Application>Microsoft Office Word</Application>
  <DocSecurity>0</DocSecurity>
  <Lines>263</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H/LD/WG/. (E)</vt:lpstr>
      <vt:lpstr>H/LD/WG/. (E)</vt:lpstr>
    </vt:vector>
  </TitlesOfParts>
  <Company>WIPO</Company>
  <LinksUpToDate>false</LinksUpToDate>
  <CharactersWithSpaces>37073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H/LD/WG/. (E)</dc:title>
  <dc:creator>CLEAVELEY-MAILLARD Amber</dc:creator>
  <cp:lastModifiedBy>MAILLARD Amber</cp:lastModifiedBy>
  <cp:revision>10</cp:revision>
  <cp:lastPrinted>2016-06-07T11:38:00Z</cp:lastPrinted>
  <dcterms:created xsi:type="dcterms:W3CDTF">2016-05-30T09:39:00Z</dcterms:created>
  <dcterms:modified xsi:type="dcterms:W3CDTF">2016-06-07T11:38:00Z</dcterms:modified>
</cp:coreProperties>
</file>