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0557F" w:rsidRPr="0082092A" w:rsidTr="00A464B2">
        <w:trPr>
          <w:trHeight w:val="1977"/>
        </w:trPr>
        <w:tc>
          <w:tcPr>
            <w:tcW w:w="4594" w:type="dxa"/>
            <w:tcBorders>
              <w:bottom w:val="single" w:sz="4" w:space="0" w:color="auto"/>
            </w:tcBorders>
            <w:tcMar>
              <w:bottom w:w="170" w:type="dxa"/>
            </w:tcMar>
          </w:tcPr>
          <w:p w:rsidR="00F0557F" w:rsidRPr="0082092A" w:rsidRDefault="00F0557F" w:rsidP="00A464B2">
            <w:r w:rsidRPr="0082092A">
              <w:rPr>
                <w:noProof/>
              </w:rPr>
              <w:drawing>
                <wp:anchor distT="0" distB="0" distL="114300" distR="114300" simplePos="0" relativeHeight="251659264" behindDoc="1" locked="0" layoutInCell="0" allowOverlap="1" wp14:anchorId="3385288D" wp14:editId="16717CD8">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0557F" w:rsidRPr="0082092A" w:rsidRDefault="00F0557F" w:rsidP="00A464B2"/>
        </w:tc>
        <w:tc>
          <w:tcPr>
            <w:tcW w:w="425" w:type="dxa"/>
            <w:tcBorders>
              <w:bottom w:val="single" w:sz="4" w:space="0" w:color="auto"/>
            </w:tcBorders>
            <w:tcMar>
              <w:left w:w="0" w:type="dxa"/>
              <w:right w:w="0" w:type="dxa"/>
            </w:tcMar>
          </w:tcPr>
          <w:p w:rsidR="00F0557F" w:rsidRPr="0082092A" w:rsidRDefault="00F0557F" w:rsidP="00A464B2">
            <w:pPr>
              <w:jc w:val="right"/>
            </w:pPr>
            <w:r w:rsidRPr="0082092A">
              <w:rPr>
                <w:b/>
                <w:sz w:val="40"/>
                <w:szCs w:val="40"/>
              </w:rPr>
              <w:t>C</w:t>
            </w:r>
          </w:p>
        </w:tc>
      </w:tr>
      <w:tr w:rsidR="00F0557F" w:rsidRPr="0082092A" w:rsidTr="00A464B2">
        <w:trPr>
          <w:trHeight w:hRule="exact" w:val="340"/>
        </w:trPr>
        <w:tc>
          <w:tcPr>
            <w:tcW w:w="9356" w:type="dxa"/>
            <w:gridSpan w:val="3"/>
            <w:tcBorders>
              <w:top w:val="single" w:sz="4" w:space="0" w:color="auto"/>
            </w:tcBorders>
            <w:tcMar>
              <w:top w:w="170" w:type="dxa"/>
              <w:left w:w="0" w:type="dxa"/>
              <w:right w:w="0" w:type="dxa"/>
            </w:tcMar>
            <w:vAlign w:val="bottom"/>
          </w:tcPr>
          <w:p w:rsidR="00F0557F" w:rsidRPr="0082092A" w:rsidRDefault="00F0557F" w:rsidP="00F15E6C">
            <w:pPr>
              <w:wordWrap w:val="0"/>
              <w:jc w:val="right"/>
              <w:rPr>
                <w:rFonts w:ascii="Arial Black" w:hAnsi="Arial Black"/>
                <w:caps/>
                <w:sz w:val="15"/>
              </w:rPr>
            </w:pPr>
            <w:r w:rsidRPr="0082092A">
              <w:rPr>
                <w:rFonts w:ascii="Arial Black" w:hAnsi="Arial Black"/>
                <w:caps/>
                <w:sz w:val="15"/>
              </w:rPr>
              <w:t>wo/pbc</w:t>
            </w:r>
            <w:r w:rsidRPr="0082092A">
              <w:rPr>
                <w:rFonts w:ascii="Arial Black" w:hAnsi="Arial Black" w:hint="eastAsia"/>
                <w:caps/>
                <w:sz w:val="15"/>
              </w:rPr>
              <w:t>/2</w:t>
            </w:r>
            <w:r>
              <w:rPr>
                <w:rFonts w:ascii="Arial Black" w:hAnsi="Arial Black" w:hint="eastAsia"/>
                <w:caps/>
                <w:sz w:val="15"/>
              </w:rPr>
              <w:t>6</w:t>
            </w:r>
            <w:r w:rsidRPr="0082092A">
              <w:rPr>
                <w:rFonts w:ascii="Arial Black" w:hAnsi="Arial Black" w:hint="eastAsia"/>
                <w:caps/>
                <w:sz w:val="15"/>
              </w:rPr>
              <w:t>/</w:t>
            </w:r>
            <w:bookmarkStart w:id="0" w:name="Code"/>
            <w:bookmarkEnd w:id="0"/>
            <w:r w:rsidR="00F15E6C">
              <w:rPr>
                <w:rFonts w:ascii="Arial Black" w:hAnsi="Arial Black" w:hint="eastAsia"/>
                <w:caps/>
                <w:sz w:val="15"/>
              </w:rPr>
              <w:t>9</w:t>
            </w:r>
          </w:p>
        </w:tc>
      </w:tr>
      <w:tr w:rsidR="00F0557F" w:rsidRPr="0082092A" w:rsidTr="00A464B2">
        <w:trPr>
          <w:trHeight w:hRule="exact" w:val="170"/>
        </w:trPr>
        <w:tc>
          <w:tcPr>
            <w:tcW w:w="9356" w:type="dxa"/>
            <w:gridSpan w:val="3"/>
            <w:noWrap/>
            <w:tcMar>
              <w:left w:w="0" w:type="dxa"/>
              <w:right w:w="0" w:type="dxa"/>
            </w:tcMar>
            <w:vAlign w:val="bottom"/>
          </w:tcPr>
          <w:p w:rsidR="00F0557F" w:rsidRPr="0082092A" w:rsidRDefault="00F0557F" w:rsidP="00A464B2">
            <w:pPr>
              <w:jc w:val="right"/>
              <w:rPr>
                <w:rFonts w:ascii="Arial Black" w:hAnsi="Arial Black"/>
                <w:b/>
                <w:caps/>
                <w:sz w:val="15"/>
                <w:szCs w:val="15"/>
              </w:rPr>
            </w:pPr>
            <w:r w:rsidRPr="0082092A">
              <w:rPr>
                <w:rFonts w:eastAsia="SimHei" w:hint="eastAsia"/>
                <w:b/>
                <w:sz w:val="15"/>
                <w:szCs w:val="15"/>
              </w:rPr>
              <w:t>原</w:t>
            </w:r>
            <w:r w:rsidRPr="0082092A">
              <w:rPr>
                <w:rFonts w:eastAsia="SimHei"/>
                <w:b/>
                <w:sz w:val="15"/>
                <w:szCs w:val="15"/>
                <w:lang w:val="pt-BR"/>
              </w:rPr>
              <w:t xml:space="preserve"> </w:t>
            </w:r>
            <w:r w:rsidRPr="0082092A">
              <w:rPr>
                <w:rFonts w:eastAsia="SimHei" w:hint="eastAsia"/>
                <w:b/>
                <w:sz w:val="15"/>
                <w:szCs w:val="15"/>
              </w:rPr>
              <w:t>文</w:t>
            </w:r>
            <w:r w:rsidRPr="0082092A">
              <w:rPr>
                <w:rFonts w:eastAsia="SimHei" w:hint="eastAsia"/>
                <w:b/>
                <w:sz w:val="15"/>
                <w:szCs w:val="15"/>
                <w:lang w:val="pt-BR"/>
              </w:rPr>
              <w:t>：</w:t>
            </w:r>
            <w:bookmarkStart w:id="1" w:name="Original"/>
            <w:bookmarkEnd w:id="1"/>
            <w:r w:rsidRPr="0082092A">
              <w:rPr>
                <w:rFonts w:eastAsia="SimHei" w:hint="eastAsia"/>
                <w:b/>
                <w:sz w:val="15"/>
                <w:szCs w:val="15"/>
                <w:lang w:val="pt-BR"/>
              </w:rPr>
              <w:t>英文</w:t>
            </w:r>
          </w:p>
        </w:tc>
      </w:tr>
      <w:tr w:rsidR="00F0557F" w:rsidRPr="0082092A" w:rsidTr="00A464B2">
        <w:trPr>
          <w:trHeight w:hRule="exact" w:val="198"/>
        </w:trPr>
        <w:tc>
          <w:tcPr>
            <w:tcW w:w="9356" w:type="dxa"/>
            <w:gridSpan w:val="3"/>
            <w:tcMar>
              <w:left w:w="0" w:type="dxa"/>
              <w:right w:w="0" w:type="dxa"/>
            </w:tcMar>
            <w:vAlign w:val="bottom"/>
          </w:tcPr>
          <w:p w:rsidR="00F0557F" w:rsidRPr="0082092A" w:rsidRDefault="00F0557F" w:rsidP="004E7D6C">
            <w:pPr>
              <w:jc w:val="right"/>
              <w:rPr>
                <w:rFonts w:ascii="SimHei" w:eastAsia="SimHei" w:hAnsi="Arial Black"/>
                <w:b/>
                <w:caps/>
                <w:sz w:val="15"/>
                <w:szCs w:val="15"/>
              </w:rPr>
            </w:pPr>
            <w:r w:rsidRPr="0082092A">
              <w:rPr>
                <w:rFonts w:ascii="SimHei" w:eastAsia="SimHei" w:hint="eastAsia"/>
                <w:b/>
                <w:sz w:val="15"/>
                <w:szCs w:val="15"/>
              </w:rPr>
              <w:t>日</w:t>
            </w:r>
            <w:r w:rsidRPr="0082092A">
              <w:rPr>
                <w:rFonts w:ascii="SimHei" w:eastAsia="SimHei" w:hint="eastAsia"/>
                <w:b/>
                <w:sz w:val="15"/>
                <w:szCs w:val="15"/>
                <w:lang w:val="pt-BR"/>
              </w:rPr>
              <w:t xml:space="preserve"> </w:t>
            </w:r>
            <w:r w:rsidRPr="0082092A">
              <w:rPr>
                <w:rFonts w:ascii="SimHei" w:eastAsia="SimHei" w:hint="eastAsia"/>
                <w:b/>
                <w:sz w:val="15"/>
                <w:szCs w:val="15"/>
              </w:rPr>
              <w:t>期</w:t>
            </w:r>
            <w:r w:rsidRPr="0082092A">
              <w:rPr>
                <w:rFonts w:ascii="SimHei" w:eastAsia="SimHei" w:hAnsi="SimSun" w:hint="eastAsia"/>
                <w:b/>
                <w:sz w:val="15"/>
                <w:szCs w:val="15"/>
                <w:lang w:val="pt-BR"/>
              </w:rPr>
              <w:t>：</w:t>
            </w:r>
            <w:bookmarkStart w:id="2" w:name="Date"/>
            <w:bookmarkEnd w:id="2"/>
            <w:r w:rsidRPr="0082092A">
              <w:rPr>
                <w:rFonts w:ascii="Arial Black" w:eastAsia="SimHei" w:hAnsi="Arial Black" w:hint="eastAsia"/>
                <w:b/>
                <w:sz w:val="15"/>
                <w:szCs w:val="15"/>
                <w:lang w:val="pt-BR"/>
              </w:rPr>
              <w:t>201</w:t>
            </w:r>
            <w:r>
              <w:rPr>
                <w:rFonts w:ascii="Arial Black" w:eastAsia="SimHei" w:hAnsi="Arial Black" w:hint="eastAsia"/>
                <w:b/>
                <w:sz w:val="15"/>
                <w:szCs w:val="15"/>
                <w:lang w:val="pt-BR"/>
              </w:rPr>
              <w:t>7</w:t>
            </w:r>
            <w:r w:rsidRPr="0082092A">
              <w:rPr>
                <w:rFonts w:ascii="SimHei" w:eastAsia="SimHei" w:hAnsi="Times New Roman" w:hint="eastAsia"/>
                <w:b/>
                <w:sz w:val="15"/>
                <w:szCs w:val="15"/>
              </w:rPr>
              <w:t>年</w:t>
            </w:r>
            <w:r w:rsidR="00F15E6C">
              <w:rPr>
                <w:rFonts w:ascii="Arial Black" w:eastAsia="SimHei" w:hAnsi="Arial Black" w:hint="eastAsia"/>
                <w:b/>
                <w:sz w:val="15"/>
                <w:szCs w:val="15"/>
                <w:lang w:val="pt-BR"/>
              </w:rPr>
              <w:t>6</w:t>
            </w:r>
            <w:r w:rsidRPr="0082092A">
              <w:rPr>
                <w:rFonts w:ascii="SimHei" w:eastAsia="SimHei" w:hAnsi="Times New Roman" w:hint="eastAsia"/>
                <w:b/>
                <w:sz w:val="15"/>
                <w:szCs w:val="15"/>
              </w:rPr>
              <w:t>月</w:t>
            </w:r>
            <w:r w:rsidR="004E7D6C">
              <w:rPr>
                <w:rFonts w:ascii="Arial Black" w:eastAsia="SimHei" w:hAnsi="Arial Black" w:hint="eastAsia"/>
                <w:b/>
                <w:sz w:val="15"/>
                <w:szCs w:val="15"/>
              </w:rPr>
              <w:t>21</w:t>
            </w:r>
            <w:r w:rsidRPr="0082092A">
              <w:rPr>
                <w:rFonts w:ascii="SimHei" w:eastAsia="SimHei" w:hAnsi="Times New Roman" w:hint="eastAsia"/>
                <w:b/>
                <w:sz w:val="15"/>
                <w:szCs w:val="15"/>
              </w:rPr>
              <w:t>日</w:t>
            </w:r>
            <w:r w:rsidRPr="0082092A">
              <w:rPr>
                <w:rFonts w:ascii="SimHei" w:eastAsia="SimHei" w:hAnsi="Arial Black" w:hint="eastAsia"/>
                <w:b/>
                <w:caps/>
                <w:sz w:val="15"/>
                <w:szCs w:val="15"/>
              </w:rPr>
              <w:t xml:space="preserve">  </w:t>
            </w:r>
          </w:p>
        </w:tc>
      </w:tr>
    </w:tbl>
    <w:p w:rsidR="00F0557F" w:rsidRPr="0082092A" w:rsidRDefault="00F0557F" w:rsidP="00F0557F"/>
    <w:p w:rsidR="00F0557F" w:rsidRPr="0082092A" w:rsidRDefault="00F0557F" w:rsidP="00F0557F">
      <w:pPr>
        <w:widowControl w:val="0"/>
        <w:jc w:val="both"/>
        <w:rPr>
          <w:rFonts w:cs="Times New Roman"/>
          <w:kern w:val="2"/>
          <w:szCs w:val="22"/>
        </w:rPr>
      </w:pPr>
    </w:p>
    <w:p w:rsidR="00F0557F" w:rsidRPr="0082092A" w:rsidRDefault="00F0557F" w:rsidP="00F0557F">
      <w:pPr>
        <w:widowControl w:val="0"/>
        <w:jc w:val="both"/>
        <w:rPr>
          <w:rFonts w:cs="Times New Roman"/>
          <w:kern w:val="2"/>
          <w:szCs w:val="22"/>
        </w:rPr>
      </w:pPr>
    </w:p>
    <w:p w:rsidR="00F0557F" w:rsidRPr="0082092A" w:rsidRDefault="00F0557F" w:rsidP="00F0557F">
      <w:pPr>
        <w:widowControl w:val="0"/>
        <w:jc w:val="both"/>
        <w:rPr>
          <w:rFonts w:cs="Times New Roman"/>
          <w:kern w:val="2"/>
          <w:szCs w:val="22"/>
        </w:rPr>
      </w:pPr>
    </w:p>
    <w:p w:rsidR="00F0557F" w:rsidRPr="0082092A" w:rsidRDefault="00F0557F" w:rsidP="00F0557F">
      <w:pPr>
        <w:widowControl w:val="0"/>
        <w:jc w:val="both"/>
        <w:rPr>
          <w:rFonts w:cs="Times New Roman"/>
          <w:kern w:val="2"/>
          <w:szCs w:val="22"/>
        </w:rPr>
      </w:pPr>
    </w:p>
    <w:p w:rsidR="00F0557F" w:rsidRPr="0082092A" w:rsidRDefault="00F0557F" w:rsidP="00F0557F">
      <w:pPr>
        <w:widowControl w:val="0"/>
        <w:jc w:val="both"/>
        <w:rPr>
          <w:rFonts w:ascii="SimHei" w:eastAsia="SimHei" w:hAnsi="Calibri" w:cs="Times New Roman"/>
          <w:kern w:val="2"/>
          <w:sz w:val="28"/>
          <w:szCs w:val="28"/>
        </w:rPr>
      </w:pPr>
      <w:r w:rsidRPr="0082092A">
        <w:rPr>
          <w:rFonts w:ascii="SimHei" w:eastAsia="SimHei" w:hAnsi="Calibri" w:cs="Times New Roman" w:hint="eastAsia"/>
          <w:kern w:val="2"/>
          <w:sz w:val="28"/>
          <w:szCs w:val="28"/>
        </w:rPr>
        <w:t>计划和预算委员会</w:t>
      </w:r>
    </w:p>
    <w:p w:rsidR="00F0557F" w:rsidRPr="0082092A" w:rsidRDefault="00F0557F" w:rsidP="00F0557F">
      <w:pPr>
        <w:widowControl w:val="0"/>
        <w:jc w:val="both"/>
        <w:rPr>
          <w:rFonts w:cs="Times New Roman"/>
          <w:kern w:val="2"/>
          <w:szCs w:val="22"/>
        </w:rPr>
      </w:pPr>
    </w:p>
    <w:p w:rsidR="00F0557F" w:rsidRPr="0082092A" w:rsidRDefault="00F0557F" w:rsidP="00F0557F">
      <w:pPr>
        <w:widowControl w:val="0"/>
        <w:jc w:val="both"/>
        <w:rPr>
          <w:rFonts w:cs="Times New Roman"/>
          <w:kern w:val="2"/>
          <w:szCs w:val="22"/>
        </w:rPr>
      </w:pPr>
    </w:p>
    <w:p w:rsidR="00F0557F" w:rsidRPr="0082092A" w:rsidRDefault="00F0557F" w:rsidP="00F0557F">
      <w:pPr>
        <w:widowControl w:val="0"/>
        <w:autoSpaceDE w:val="0"/>
        <w:autoSpaceDN w:val="0"/>
        <w:jc w:val="both"/>
        <w:textAlignment w:val="bottom"/>
        <w:rPr>
          <w:rFonts w:ascii="KaiTi" w:eastAsia="KaiTi" w:hAnsi="Calibri" w:cs="Times New Roman"/>
          <w:b/>
          <w:kern w:val="2"/>
          <w:sz w:val="24"/>
          <w:szCs w:val="24"/>
        </w:rPr>
      </w:pPr>
      <w:r w:rsidRPr="0082092A">
        <w:rPr>
          <w:rFonts w:ascii="KaiTi" w:eastAsia="KaiTi" w:hAnsi="Calibri" w:cs="Times New Roman" w:hint="eastAsia"/>
          <w:b/>
          <w:kern w:val="2"/>
          <w:sz w:val="24"/>
          <w:szCs w:val="24"/>
        </w:rPr>
        <w:t>第二十</w:t>
      </w:r>
      <w:r>
        <w:rPr>
          <w:rFonts w:ascii="KaiTi" w:eastAsia="KaiTi" w:hAnsi="Calibri" w:cs="Times New Roman" w:hint="eastAsia"/>
          <w:b/>
          <w:kern w:val="2"/>
          <w:sz w:val="24"/>
          <w:szCs w:val="24"/>
        </w:rPr>
        <w:t>六</w:t>
      </w:r>
      <w:r w:rsidRPr="0082092A">
        <w:rPr>
          <w:rFonts w:ascii="KaiTi" w:eastAsia="KaiTi" w:hAnsi="Calibri" w:cs="Times New Roman" w:hint="eastAsia"/>
          <w:b/>
          <w:kern w:val="2"/>
          <w:sz w:val="24"/>
          <w:szCs w:val="24"/>
        </w:rPr>
        <w:t>届会议</w:t>
      </w:r>
    </w:p>
    <w:p w:rsidR="00F0557F" w:rsidRPr="0082092A" w:rsidRDefault="00F0557F" w:rsidP="00F0557F">
      <w:pPr>
        <w:widowControl w:val="0"/>
        <w:jc w:val="both"/>
        <w:rPr>
          <w:rFonts w:ascii="KaiTi" w:eastAsia="KaiTi" w:hAnsi="KaiTi" w:cs="Times New Roman"/>
          <w:b/>
          <w:kern w:val="2"/>
          <w:sz w:val="24"/>
          <w:szCs w:val="24"/>
        </w:rPr>
      </w:pPr>
      <w:r w:rsidRPr="0082092A">
        <w:rPr>
          <w:rFonts w:ascii="KaiTi" w:eastAsia="KaiTi" w:hAnsi="KaiTi" w:cs="Times New Roman"/>
          <w:kern w:val="2"/>
          <w:sz w:val="24"/>
          <w:szCs w:val="24"/>
        </w:rPr>
        <w:t>201</w:t>
      </w:r>
      <w:r>
        <w:rPr>
          <w:rFonts w:ascii="KaiTi" w:eastAsia="KaiTi" w:hAnsi="KaiTi" w:cs="Times New Roman" w:hint="eastAsia"/>
          <w:kern w:val="2"/>
          <w:sz w:val="24"/>
          <w:szCs w:val="24"/>
        </w:rPr>
        <w:t>7</w:t>
      </w:r>
      <w:r w:rsidRPr="0082092A">
        <w:rPr>
          <w:rFonts w:ascii="KaiTi" w:eastAsia="KaiTi" w:hAnsi="KaiTi" w:hint="eastAsia"/>
          <w:b/>
          <w:kern w:val="2"/>
          <w:sz w:val="24"/>
          <w:szCs w:val="24"/>
        </w:rPr>
        <w:t>年</w:t>
      </w:r>
      <w:r>
        <w:rPr>
          <w:rFonts w:ascii="KaiTi" w:eastAsia="KaiTi" w:hAnsi="KaiTi" w:cs="Times New Roman" w:hint="eastAsia"/>
          <w:kern w:val="2"/>
          <w:sz w:val="24"/>
          <w:szCs w:val="24"/>
        </w:rPr>
        <w:t>7</w:t>
      </w:r>
      <w:r w:rsidRPr="0082092A">
        <w:rPr>
          <w:rFonts w:ascii="KaiTi" w:eastAsia="KaiTi" w:hAnsi="KaiTi" w:hint="eastAsia"/>
          <w:b/>
          <w:kern w:val="2"/>
          <w:sz w:val="24"/>
          <w:szCs w:val="24"/>
        </w:rPr>
        <w:t>月</w:t>
      </w:r>
      <w:r>
        <w:rPr>
          <w:rFonts w:ascii="KaiTi" w:eastAsia="KaiTi" w:hAnsi="KaiTi" w:hint="eastAsia"/>
          <w:kern w:val="2"/>
          <w:sz w:val="24"/>
          <w:szCs w:val="24"/>
        </w:rPr>
        <w:t>10</w:t>
      </w:r>
      <w:r w:rsidRPr="0082092A">
        <w:rPr>
          <w:rFonts w:ascii="KaiTi" w:eastAsia="KaiTi" w:hAnsi="KaiTi" w:hint="eastAsia"/>
          <w:b/>
          <w:kern w:val="2"/>
          <w:sz w:val="24"/>
          <w:szCs w:val="24"/>
        </w:rPr>
        <w:t>日至</w:t>
      </w:r>
      <w:r>
        <w:rPr>
          <w:rFonts w:ascii="KaiTi" w:eastAsia="KaiTi" w:hAnsi="KaiTi" w:cs="Times New Roman" w:hint="eastAsia"/>
          <w:kern w:val="2"/>
          <w:sz w:val="24"/>
          <w:szCs w:val="24"/>
        </w:rPr>
        <w:t>14</w:t>
      </w:r>
      <w:r w:rsidRPr="0082092A">
        <w:rPr>
          <w:rFonts w:ascii="KaiTi" w:eastAsia="KaiTi" w:hAnsi="KaiTi" w:hint="eastAsia"/>
          <w:b/>
          <w:kern w:val="2"/>
          <w:sz w:val="24"/>
          <w:szCs w:val="24"/>
        </w:rPr>
        <w:t>日，日内瓦</w:t>
      </w:r>
    </w:p>
    <w:p w:rsidR="00F0557F" w:rsidRPr="0082092A" w:rsidRDefault="00F0557F" w:rsidP="00F0557F">
      <w:pPr>
        <w:widowControl w:val="0"/>
        <w:jc w:val="both"/>
        <w:rPr>
          <w:rFonts w:cs="Times New Roman"/>
          <w:kern w:val="2"/>
          <w:szCs w:val="22"/>
        </w:rPr>
      </w:pPr>
    </w:p>
    <w:p w:rsidR="00F0557F" w:rsidRPr="0082092A" w:rsidRDefault="00F0557F" w:rsidP="00F0557F">
      <w:pPr>
        <w:widowControl w:val="0"/>
        <w:jc w:val="both"/>
        <w:rPr>
          <w:rFonts w:cs="Times New Roman"/>
          <w:kern w:val="2"/>
          <w:szCs w:val="22"/>
        </w:rPr>
      </w:pPr>
    </w:p>
    <w:p w:rsidR="00F0557F" w:rsidRPr="0082092A" w:rsidRDefault="00F0557F" w:rsidP="00F0557F">
      <w:pPr>
        <w:widowControl w:val="0"/>
        <w:jc w:val="both"/>
        <w:rPr>
          <w:rFonts w:cs="Times New Roman"/>
          <w:kern w:val="2"/>
          <w:szCs w:val="22"/>
        </w:rPr>
      </w:pPr>
    </w:p>
    <w:p w:rsidR="00F0557F" w:rsidRPr="0082092A" w:rsidRDefault="00F0557F" w:rsidP="00F0557F">
      <w:pPr>
        <w:widowControl w:val="0"/>
        <w:jc w:val="both"/>
        <w:rPr>
          <w:rFonts w:ascii="KaiTi" w:eastAsia="KaiTi" w:hAnsi="KaiTi"/>
          <w:caps/>
          <w:kern w:val="2"/>
          <w:sz w:val="24"/>
          <w:szCs w:val="24"/>
        </w:rPr>
      </w:pPr>
      <w:bookmarkStart w:id="3" w:name="TitleOfDoc"/>
      <w:bookmarkEnd w:id="3"/>
      <w:r w:rsidRPr="00F0557F">
        <w:rPr>
          <w:rFonts w:ascii="KaiTi" w:eastAsia="KaiTi" w:hAnsi="KaiTi" w:hint="eastAsia"/>
          <w:caps/>
          <w:kern w:val="2"/>
          <w:sz w:val="24"/>
          <w:szCs w:val="24"/>
        </w:rPr>
        <w:t>2018</w:t>
      </w:r>
      <w:r w:rsidR="0039745F">
        <w:rPr>
          <w:rFonts w:ascii="KaiTi" w:eastAsia="KaiTi" w:hAnsi="KaiTi" w:hint="eastAsia"/>
          <w:caps/>
          <w:kern w:val="2"/>
          <w:sz w:val="24"/>
          <w:szCs w:val="24"/>
        </w:rPr>
        <w:t>–</w:t>
      </w:r>
      <w:r w:rsidRPr="00F0557F">
        <w:rPr>
          <w:rFonts w:ascii="KaiTi" w:eastAsia="KaiTi" w:hAnsi="KaiTi" w:hint="eastAsia"/>
          <w:caps/>
          <w:kern w:val="2"/>
          <w:sz w:val="24"/>
          <w:szCs w:val="24"/>
        </w:rPr>
        <w:t>2027年基本建设总计划</w:t>
      </w:r>
    </w:p>
    <w:p w:rsidR="00F0557F" w:rsidRPr="0082092A" w:rsidRDefault="00F0557F" w:rsidP="00F0557F">
      <w:pPr>
        <w:widowControl w:val="0"/>
        <w:jc w:val="both"/>
        <w:rPr>
          <w:rFonts w:cs="Times New Roman"/>
          <w:kern w:val="2"/>
          <w:szCs w:val="22"/>
        </w:rPr>
      </w:pPr>
    </w:p>
    <w:p w:rsidR="00F0557F" w:rsidRPr="00B64D6E" w:rsidRDefault="00F0557F" w:rsidP="00F0557F">
      <w:pPr>
        <w:widowControl w:val="0"/>
        <w:jc w:val="both"/>
        <w:rPr>
          <w:rFonts w:ascii="KaiTi" w:eastAsia="KaiTi" w:hAnsi="KaiTi"/>
          <w:kern w:val="2"/>
          <w:sz w:val="21"/>
          <w:szCs w:val="21"/>
        </w:rPr>
      </w:pPr>
      <w:bookmarkStart w:id="4" w:name="Prepared"/>
      <w:bookmarkEnd w:id="4"/>
      <w:r>
        <w:rPr>
          <w:rFonts w:ascii="KaiTi" w:eastAsia="KaiTi" w:hAnsi="KaiTi" w:hint="eastAsia"/>
          <w:kern w:val="2"/>
          <w:sz w:val="21"/>
          <w:szCs w:val="21"/>
        </w:rPr>
        <w:t>秘书处编拟的文件</w:t>
      </w:r>
    </w:p>
    <w:p w:rsidR="00F0557F" w:rsidRPr="0082092A" w:rsidRDefault="00F0557F" w:rsidP="00F0557F"/>
    <w:p w:rsidR="00F0557F" w:rsidRPr="0082092A" w:rsidRDefault="00F0557F" w:rsidP="00F0557F"/>
    <w:p w:rsidR="00F0557F" w:rsidRPr="0082092A" w:rsidRDefault="00F0557F" w:rsidP="00F0557F"/>
    <w:p w:rsidR="00F0557F" w:rsidRPr="0082092A" w:rsidRDefault="00F0557F" w:rsidP="00F0557F"/>
    <w:p w:rsidR="00A464B2" w:rsidRPr="00A464B2" w:rsidRDefault="00A464B2" w:rsidP="00A464B2">
      <w:pPr>
        <w:pStyle w:val="1"/>
        <w:overflowPunct w:val="0"/>
        <w:spacing w:beforeLines="100" w:afterLines="50" w:after="120" w:line="340" w:lineRule="atLeast"/>
        <w:rPr>
          <w:rFonts w:ascii="SimHei" w:eastAsia="SimHei" w:hAnsi="SimHei"/>
          <w:b w:val="0"/>
          <w:sz w:val="21"/>
        </w:rPr>
      </w:pPr>
      <w:r w:rsidRPr="00A464B2">
        <w:rPr>
          <w:rFonts w:ascii="SimHei" w:eastAsia="SimHei" w:hAnsi="SimHei" w:hint="eastAsia"/>
          <w:b w:val="0"/>
          <w:sz w:val="21"/>
        </w:rPr>
        <w:t>背</w:t>
      </w:r>
      <w:r w:rsidR="004F7E15">
        <w:rPr>
          <w:rFonts w:ascii="SimHei" w:eastAsia="SimHei" w:hAnsi="SimHei" w:hint="eastAsia"/>
          <w:b w:val="0"/>
          <w:sz w:val="21"/>
        </w:rPr>
        <w:t xml:space="preserve">　</w:t>
      </w:r>
      <w:r w:rsidRPr="00A464B2">
        <w:rPr>
          <w:rFonts w:ascii="SimHei" w:eastAsia="SimHei" w:hAnsi="SimHei" w:hint="eastAsia"/>
          <w:b w:val="0"/>
          <w:sz w:val="21"/>
        </w:rPr>
        <w:t>景</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计划和预算委员会</w:t>
      </w:r>
      <w:r w:rsidR="00892A93">
        <w:rPr>
          <w:rFonts w:ascii="SimSun" w:hAnsi="SimSun" w:hint="eastAsia"/>
          <w:sz w:val="21"/>
        </w:rPr>
        <w:t>（PBC）</w:t>
      </w:r>
      <w:r w:rsidRPr="00F15E6C">
        <w:rPr>
          <w:rFonts w:ascii="SimSun" w:hAnsi="SimSun" w:hint="eastAsia"/>
          <w:sz w:val="21"/>
        </w:rPr>
        <w:t>在其第二十一届会议（2013年9月9日至13日）上</w:t>
      </w:r>
      <w:r w:rsidR="004F7E15">
        <w:rPr>
          <w:rFonts w:ascii="SimSun" w:hAnsi="SimSun" w:hint="eastAsia"/>
          <w:sz w:val="21"/>
        </w:rPr>
        <w:t>，</w:t>
      </w:r>
      <w:r w:rsidRPr="00F15E6C">
        <w:rPr>
          <w:rFonts w:ascii="SimSun" w:hAnsi="SimSun" w:hint="eastAsia"/>
          <w:sz w:val="21"/>
        </w:rPr>
        <w:t>建议</w:t>
      </w:r>
      <w:r w:rsidR="004F7E15">
        <w:rPr>
          <w:rFonts w:ascii="SimSun" w:hAnsi="SimSun" w:hint="eastAsia"/>
          <w:sz w:val="21"/>
        </w:rPr>
        <w:t>产权组织</w:t>
      </w:r>
      <w:r w:rsidRPr="00F15E6C">
        <w:rPr>
          <w:rFonts w:ascii="SimSun" w:hAnsi="SimSun" w:hint="eastAsia"/>
          <w:sz w:val="21"/>
        </w:rPr>
        <w:t>成员国大会批准</w:t>
      </w:r>
      <w:r w:rsidR="004F7E15">
        <w:rPr>
          <w:rFonts w:ascii="SimSun" w:hAnsi="SimSun" w:hint="eastAsia"/>
          <w:sz w:val="21"/>
        </w:rPr>
        <w:t>产权组织</w:t>
      </w:r>
      <w:r w:rsidRPr="00F15E6C">
        <w:rPr>
          <w:rFonts w:ascii="SimSun" w:hAnsi="SimSun" w:hint="eastAsia"/>
          <w:sz w:val="21"/>
        </w:rPr>
        <w:t>基本建设总计划（</w:t>
      </w:r>
      <w:r w:rsidR="004F7E15">
        <w:rPr>
          <w:rFonts w:ascii="SimSun" w:hAnsi="SimSun" w:hint="eastAsia"/>
          <w:sz w:val="21"/>
        </w:rPr>
        <w:t>基建总计划</w:t>
      </w:r>
      <w:r w:rsidRPr="00F15E6C">
        <w:rPr>
          <w:rFonts w:ascii="SimSun" w:hAnsi="SimSun" w:hint="eastAsia"/>
          <w:sz w:val="21"/>
        </w:rPr>
        <w:t>）（文件WO/PBC/21/18），随后大会在文件A/51/14中批准了该基本建设总计划。2014</w:t>
      </w:r>
      <w:r w:rsidR="0039745F">
        <w:rPr>
          <w:rFonts w:ascii="SimSun" w:hAnsi="SimSun" w:hint="eastAsia"/>
          <w:sz w:val="21"/>
        </w:rPr>
        <w:t>–</w:t>
      </w:r>
      <w:r w:rsidRPr="00F15E6C">
        <w:rPr>
          <w:rFonts w:ascii="SimSun" w:hAnsi="SimSun" w:hint="eastAsia"/>
          <w:sz w:val="21"/>
        </w:rPr>
        <w:t>2019年基本建设总计划为制定</w:t>
      </w:r>
      <w:r w:rsidR="004F7E15">
        <w:rPr>
          <w:rFonts w:ascii="SimSun" w:hAnsi="SimSun" w:hint="eastAsia"/>
          <w:sz w:val="21"/>
        </w:rPr>
        <w:t>本</w:t>
      </w:r>
      <w:r w:rsidRPr="00F15E6C">
        <w:rPr>
          <w:rFonts w:ascii="SimSun" w:hAnsi="SimSun" w:hint="eastAsia"/>
          <w:sz w:val="21"/>
        </w:rPr>
        <w:t>组织在信息通信技术（</w:t>
      </w:r>
      <w:r w:rsidR="004F7E15">
        <w:rPr>
          <w:rFonts w:ascii="SimSun" w:hAnsi="SimSun" w:hint="eastAsia"/>
          <w:sz w:val="21"/>
        </w:rPr>
        <w:t>信通技术</w:t>
      </w:r>
      <w:r w:rsidRPr="00F15E6C">
        <w:rPr>
          <w:rFonts w:ascii="SimSun" w:hAnsi="SimSun" w:hint="eastAsia"/>
          <w:sz w:val="21"/>
        </w:rPr>
        <w:t>）、房舍和安全与安保相关项目方面的资本投资需求全面滚动式六年计划提供了依据。2014</w:t>
      </w:r>
      <w:r w:rsidR="0039745F">
        <w:rPr>
          <w:rFonts w:ascii="SimSun" w:hAnsi="SimSun" w:hint="eastAsia"/>
          <w:sz w:val="21"/>
        </w:rPr>
        <w:t>–</w:t>
      </w:r>
      <w:r w:rsidRPr="00F15E6C">
        <w:rPr>
          <w:rFonts w:ascii="SimSun" w:hAnsi="SimSun" w:hint="eastAsia"/>
          <w:sz w:val="21"/>
        </w:rPr>
        <w:t>2019年基本建设总计划的宗旨包括：</w:t>
      </w:r>
    </w:p>
    <w:p w:rsidR="00A464B2" w:rsidRDefault="00A464B2" w:rsidP="0076194A">
      <w:pPr>
        <w:numPr>
          <w:ilvl w:val="0"/>
          <w:numId w:val="5"/>
        </w:numPr>
        <w:spacing w:afterLines="50" w:after="120" w:line="340" w:lineRule="atLeast"/>
        <w:ind w:left="567" w:firstLine="0"/>
        <w:jc w:val="both"/>
        <w:rPr>
          <w:rFonts w:ascii="SimSun" w:hAnsi="SimSun"/>
          <w:sz w:val="21"/>
        </w:rPr>
      </w:pPr>
      <w:r w:rsidRPr="00F15E6C">
        <w:rPr>
          <w:rFonts w:ascii="SimSun" w:hAnsi="SimSun" w:hint="eastAsia"/>
          <w:sz w:val="21"/>
        </w:rPr>
        <w:t>确保对所需的资本投资进行及时规划，以确保</w:t>
      </w:r>
      <w:r w:rsidR="004F7E15">
        <w:rPr>
          <w:rFonts w:ascii="SimSun" w:hAnsi="SimSun" w:hint="eastAsia"/>
          <w:sz w:val="21"/>
        </w:rPr>
        <w:t>产权组织</w:t>
      </w:r>
      <w:r w:rsidRPr="00F15E6C">
        <w:rPr>
          <w:rFonts w:ascii="SimSun" w:hAnsi="SimSun" w:hint="eastAsia"/>
          <w:sz w:val="21"/>
        </w:rPr>
        <w:t>有能力执行其任务；</w:t>
      </w:r>
    </w:p>
    <w:p w:rsidR="00A464B2" w:rsidRDefault="00A464B2" w:rsidP="0076194A">
      <w:pPr>
        <w:numPr>
          <w:ilvl w:val="0"/>
          <w:numId w:val="5"/>
        </w:numPr>
        <w:spacing w:afterLines="50" w:after="120" w:line="340" w:lineRule="atLeast"/>
        <w:ind w:left="567" w:firstLine="0"/>
        <w:jc w:val="both"/>
        <w:rPr>
          <w:rFonts w:ascii="SimSun" w:hAnsi="SimSun"/>
          <w:sz w:val="21"/>
        </w:rPr>
      </w:pPr>
      <w:r w:rsidRPr="00F15E6C">
        <w:rPr>
          <w:rFonts w:ascii="SimSun" w:hAnsi="SimSun" w:hint="eastAsia"/>
          <w:sz w:val="21"/>
        </w:rPr>
        <w:t>减少反应性和紧急性维修需要</w:t>
      </w:r>
      <w:r w:rsidR="004F7E15">
        <w:rPr>
          <w:rFonts w:ascii="SimSun" w:hAnsi="SimSun" w:hint="eastAsia"/>
          <w:sz w:val="21"/>
        </w:rPr>
        <w:t>；</w:t>
      </w:r>
      <w:r w:rsidRPr="00F15E6C">
        <w:rPr>
          <w:rFonts w:ascii="SimSun" w:hAnsi="SimSun" w:hint="eastAsia"/>
          <w:sz w:val="21"/>
        </w:rPr>
        <w:t>和</w:t>
      </w:r>
    </w:p>
    <w:p w:rsidR="00A464B2" w:rsidRDefault="00A464B2" w:rsidP="0076194A">
      <w:pPr>
        <w:numPr>
          <w:ilvl w:val="0"/>
          <w:numId w:val="5"/>
        </w:numPr>
        <w:spacing w:afterLines="50" w:after="120" w:line="340" w:lineRule="atLeast"/>
        <w:ind w:left="567" w:firstLine="0"/>
        <w:jc w:val="both"/>
        <w:rPr>
          <w:rFonts w:ascii="SimSun" w:hAnsi="SimSun"/>
          <w:sz w:val="21"/>
        </w:rPr>
      </w:pPr>
      <w:r w:rsidRPr="00F15E6C">
        <w:rPr>
          <w:rFonts w:ascii="SimSun" w:hAnsi="SimSun" w:hint="eastAsia"/>
          <w:sz w:val="21"/>
        </w:rPr>
        <w:t>消除或减轻环境、安保、健康和/或安全风险。</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2014</w:t>
      </w:r>
      <w:r w:rsidR="0039745F">
        <w:rPr>
          <w:rFonts w:ascii="SimSun" w:hAnsi="SimSun" w:hint="eastAsia"/>
          <w:sz w:val="21"/>
        </w:rPr>
        <w:t>–</w:t>
      </w:r>
      <w:r w:rsidRPr="00F15E6C">
        <w:rPr>
          <w:rFonts w:ascii="SimSun" w:hAnsi="SimSun" w:hint="eastAsia"/>
          <w:sz w:val="21"/>
        </w:rPr>
        <w:t>2019年基本建设总计划下涵盖由储备金供资的七个关键资本投资项目，这些项目符合“储备金政策”和“关于储备金使用的原则”</w:t>
      </w:r>
      <w:r w:rsidRPr="00F15E6C">
        <w:rPr>
          <w:rFonts w:ascii="SimSun" w:hAnsi="SimSun"/>
          <w:sz w:val="21"/>
          <w:vertAlign w:val="superscript"/>
        </w:rPr>
        <w:footnoteReference w:id="1"/>
      </w:r>
      <w:r w:rsidRPr="00F15E6C">
        <w:rPr>
          <w:rFonts w:ascii="SimSun" w:hAnsi="SimSun" w:hint="eastAsia"/>
          <w:sz w:val="21"/>
        </w:rPr>
        <w:t>之要求。该计划涵盖三个两年期（2014</w:t>
      </w:r>
      <w:r w:rsidR="0039745F">
        <w:rPr>
          <w:rFonts w:ascii="SimSun" w:hAnsi="SimSun" w:hint="eastAsia"/>
          <w:sz w:val="21"/>
        </w:rPr>
        <w:t>–</w:t>
      </w:r>
      <w:r w:rsidRPr="00F15E6C">
        <w:rPr>
          <w:rFonts w:ascii="SimSun" w:hAnsi="SimSun" w:hint="eastAsia"/>
          <w:sz w:val="21"/>
        </w:rPr>
        <w:t>2015年</w:t>
      </w:r>
      <w:r w:rsidR="00892A93">
        <w:rPr>
          <w:rFonts w:ascii="SimSun" w:hAnsi="SimSun" w:hint="eastAsia"/>
          <w:sz w:val="21"/>
        </w:rPr>
        <w:t>、</w:t>
      </w:r>
      <w:r w:rsidRPr="00F15E6C">
        <w:rPr>
          <w:rFonts w:ascii="SimSun" w:hAnsi="SimSun" w:hint="eastAsia"/>
          <w:sz w:val="21"/>
        </w:rPr>
        <w:t>2016</w:t>
      </w:r>
      <w:r w:rsidR="0039745F">
        <w:rPr>
          <w:rFonts w:ascii="SimSun" w:hAnsi="SimSun" w:hint="eastAsia"/>
          <w:sz w:val="21"/>
        </w:rPr>
        <w:t>–</w:t>
      </w:r>
      <w:r w:rsidRPr="00F15E6C">
        <w:rPr>
          <w:rFonts w:ascii="SimSun" w:hAnsi="SimSun" w:hint="eastAsia"/>
          <w:sz w:val="21"/>
        </w:rPr>
        <w:t>2017年和2018</w:t>
      </w:r>
      <w:r w:rsidR="0039745F">
        <w:rPr>
          <w:rFonts w:ascii="SimSun" w:hAnsi="SimSun" w:hint="eastAsia"/>
          <w:sz w:val="21"/>
        </w:rPr>
        <w:t>–</w:t>
      </w:r>
      <w:r w:rsidRPr="00F15E6C">
        <w:rPr>
          <w:rFonts w:ascii="SimSun" w:hAnsi="SimSun" w:hint="eastAsia"/>
          <w:sz w:val="21"/>
        </w:rPr>
        <w:t>2019年）的六年期间，总预算为1</w:t>
      </w:r>
      <w:r w:rsidR="00892A93">
        <w:rPr>
          <w:rFonts w:ascii="SimSun" w:hAnsi="SimSun" w:hint="eastAsia"/>
          <w:sz w:val="21"/>
        </w:rPr>
        <w:t>,</w:t>
      </w:r>
      <w:r w:rsidRPr="00F15E6C">
        <w:rPr>
          <w:rFonts w:ascii="SimSun" w:hAnsi="SimSun" w:hint="eastAsia"/>
          <w:sz w:val="21"/>
        </w:rPr>
        <w:t>120</w:t>
      </w:r>
      <w:proofErr w:type="gramStart"/>
      <w:r w:rsidRPr="00F15E6C">
        <w:rPr>
          <w:rFonts w:ascii="SimSun" w:hAnsi="SimSun" w:hint="eastAsia"/>
          <w:sz w:val="21"/>
        </w:rPr>
        <w:t>万瑞</w:t>
      </w:r>
      <w:proofErr w:type="gramEnd"/>
      <w:r w:rsidRPr="00F15E6C">
        <w:rPr>
          <w:rFonts w:ascii="SimSun" w:hAnsi="SimSun" w:hint="eastAsia"/>
          <w:sz w:val="21"/>
        </w:rPr>
        <w:t>士法郎。</w:t>
      </w:r>
    </w:p>
    <w:p w:rsidR="00A464B2" w:rsidRPr="00A464B2" w:rsidRDefault="00A464B2" w:rsidP="00A464B2">
      <w:pPr>
        <w:pStyle w:val="1"/>
        <w:overflowPunct w:val="0"/>
        <w:spacing w:beforeLines="100" w:afterLines="50" w:after="120" w:line="340" w:lineRule="atLeast"/>
        <w:rPr>
          <w:rFonts w:ascii="SimHei" w:eastAsia="SimHei" w:hAnsi="SimHei"/>
          <w:b w:val="0"/>
          <w:sz w:val="21"/>
        </w:rPr>
      </w:pPr>
      <w:r w:rsidRPr="00A464B2">
        <w:rPr>
          <w:rFonts w:ascii="SimHei" w:eastAsia="SimHei" w:hAnsi="SimHei" w:hint="eastAsia"/>
          <w:b w:val="0"/>
          <w:sz w:val="21"/>
        </w:rPr>
        <w:lastRenderedPageBreak/>
        <w:t>2014</w:t>
      </w:r>
      <w:r w:rsidR="0039745F">
        <w:rPr>
          <w:rFonts w:ascii="SimHei" w:eastAsia="SimHei" w:hAnsi="SimHei" w:hint="eastAsia"/>
          <w:b w:val="0"/>
          <w:sz w:val="21"/>
        </w:rPr>
        <w:t>–</w:t>
      </w:r>
      <w:r w:rsidRPr="00A464B2">
        <w:rPr>
          <w:rFonts w:ascii="SimHei" w:eastAsia="SimHei" w:hAnsi="SimHei" w:hint="eastAsia"/>
          <w:b w:val="0"/>
          <w:sz w:val="21"/>
        </w:rPr>
        <w:t>2019年基本建设总计划及由储备金供资的其他特别项目的进展状况</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有关2014</w:t>
      </w:r>
      <w:r w:rsidR="0039745F">
        <w:rPr>
          <w:rFonts w:ascii="SimSun" w:hAnsi="SimSun" w:hint="eastAsia"/>
          <w:sz w:val="21"/>
        </w:rPr>
        <w:t>–</w:t>
      </w:r>
      <w:r w:rsidRPr="00F15E6C">
        <w:rPr>
          <w:rFonts w:ascii="SimSun" w:hAnsi="SimSun" w:hint="eastAsia"/>
          <w:sz w:val="21"/>
        </w:rPr>
        <w:t>2019年基本建设总计划各个项目执行情况的定期报告</w:t>
      </w:r>
      <w:r w:rsidR="00892A93">
        <w:rPr>
          <w:rFonts w:ascii="SimSun" w:hAnsi="SimSun" w:hint="eastAsia"/>
          <w:sz w:val="21"/>
        </w:rPr>
        <w:t>，</w:t>
      </w:r>
      <w:r w:rsidRPr="00F15E6C">
        <w:rPr>
          <w:rFonts w:ascii="SimSun" w:hAnsi="SimSun" w:hint="eastAsia"/>
          <w:sz w:val="21"/>
        </w:rPr>
        <w:t>已列入向</w:t>
      </w:r>
      <w:r w:rsidR="00892A93">
        <w:rPr>
          <w:rFonts w:ascii="SimSun" w:hAnsi="SimSun" w:hint="eastAsia"/>
          <w:sz w:val="21"/>
        </w:rPr>
        <w:t>PBC</w:t>
      </w:r>
      <w:r w:rsidRPr="00F15E6C">
        <w:rPr>
          <w:rFonts w:ascii="SimSun" w:hAnsi="SimSun" w:hint="eastAsia"/>
          <w:sz w:val="21"/>
        </w:rPr>
        <w:t>提交的年度和两年</w:t>
      </w:r>
      <w:proofErr w:type="gramStart"/>
      <w:r w:rsidRPr="00F15E6C">
        <w:rPr>
          <w:rFonts w:ascii="SimSun" w:hAnsi="SimSun" w:hint="eastAsia"/>
          <w:sz w:val="21"/>
        </w:rPr>
        <w:t>期计划</w:t>
      </w:r>
      <w:proofErr w:type="gramEnd"/>
      <w:r w:rsidR="00892A93">
        <w:rPr>
          <w:rFonts w:ascii="SimSun" w:hAnsi="SimSun" w:hint="eastAsia"/>
          <w:sz w:val="21"/>
        </w:rPr>
        <w:t>绩效</w:t>
      </w:r>
      <w:r w:rsidRPr="00F15E6C">
        <w:rPr>
          <w:rFonts w:ascii="SimSun" w:hAnsi="SimSun" w:hint="eastAsia"/>
          <w:sz w:val="21"/>
        </w:rPr>
        <w:t>报告（PPR）。截至2016年底的各个项目进度包含在2016年计划</w:t>
      </w:r>
      <w:r w:rsidR="00892A93">
        <w:rPr>
          <w:rFonts w:ascii="SimSun" w:hAnsi="SimSun" w:hint="eastAsia"/>
          <w:sz w:val="21"/>
        </w:rPr>
        <w:t>绩效</w:t>
      </w:r>
      <w:r w:rsidRPr="00F15E6C">
        <w:rPr>
          <w:rFonts w:ascii="SimSun" w:hAnsi="SimSun" w:hint="eastAsia"/>
          <w:sz w:val="21"/>
        </w:rPr>
        <w:t>报告</w:t>
      </w:r>
      <w:r w:rsidR="00892A93" w:rsidRPr="00F15E6C">
        <w:rPr>
          <w:rFonts w:ascii="SimSun" w:hAnsi="SimSun" w:hint="eastAsia"/>
          <w:sz w:val="21"/>
        </w:rPr>
        <w:t>附录三</w:t>
      </w:r>
      <w:r w:rsidRPr="00F15E6C">
        <w:rPr>
          <w:rFonts w:ascii="SimSun" w:hAnsi="SimSun" w:hint="eastAsia"/>
          <w:sz w:val="21"/>
        </w:rPr>
        <w:t>中。关于由储备金供资的企业资源规划（ERP）项目等其他特别项目，已另行编制单独年度进度报告提交给</w:t>
      </w:r>
      <w:r w:rsidR="00892A93">
        <w:rPr>
          <w:rFonts w:ascii="SimSun" w:hAnsi="SimSun" w:hint="eastAsia"/>
          <w:sz w:val="21"/>
        </w:rPr>
        <w:t>PBC</w:t>
      </w:r>
      <w:r w:rsidRPr="00F15E6C">
        <w:rPr>
          <w:rFonts w:ascii="SimSun" w:hAnsi="SimSun" w:hint="eastAsia"/>
          <w:sz w:val="21"/>
        </w:rPr>
        <w:t>。</w:t>
      </w:r>
    </w:p>
    <w:p w:rsidR="00944DBE" w:rsidRPr="00F15E6C"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表1提供了2014</w:t>
      </w:r>
      <w:r w:rsidR="0039745F">
        <w:rPr>
          <w:rFonts w:ascii="SimSun" w:hAnsi="SimSun" w:hint="eastAsia"/>
          <w:sz w:val="21"/>
        </w:rPr>
        <w:t>–</w:t>
      </w:r>
      <w:r w:rsidRPr="00F15E6C">
        <w:rPr>
          <w:rFonts w:ascii="SimSun" w:hAnsi="SimSun" w:hint="eastAsia"/>
          <w:sz w:val="21"/>
        </w:rPr>
        <w:t>2019年基本建设总计划下各个项目及由储备金供资的其他实施中</w:t>
      </w:r>
      <w:r w:rsidR="001C55EF">
        <w:rPr>
          <w:rFonts w:ascii="SimSun" w:hAnsi="SimSun" w:hint="eastAsia"/>
          <w:sz w:val="21"/>
        </w:rPr>
        <w:t>的</w:t>
      </w:r>
      <w:r w:rsidRPr="00F15E6C">
        <w:rPr>
          <w:rFonts w:ascii="SimSun" w:hAnsi="SimSun" w:hint="eastAsia"/>
          <w:sz w:val="21"/>
        </w:rPr>
        <w:t>特别项目截至2016年底预算利用状况的最新情况</w:t>
      </w:r>
      <w:r w:rsidR="001C55EF">
        <w:rPr>
          <w:rFonts w:ascii="SimSun" w:hAnsi="SimSun" w:hint="eastAsia"/>
          <w:sz w:val="21"/>
        </w:rPr>
        <w:t>，以</w:t>
      </w:r>
      <w:r w:rsidRPr="00F15E6C">
        <w:rPr>
          <w:rFonts w:ascii="SimSun" w:hAnsi="SimSun" w:hint="eastAsia"/>
          <w:sz w:val="21"/>
        </w:rPr>
        <w:t>及2017年和2018/19两年期内的预计开支。</w:t>
      </w:r>
    </w:p>
    <w:tbl>
      <w:tblPr>
        <w:tblW w:w="9312" w:type="dxa"/>
        <w:jc w:val="center"/>
        <w:tblInd w:w="-1357" w:type="dxa"/>
        <w:tblLayout w:type="fixed"/>
        <w:tblLook w:val="04A0" w:firstRow="1" w:lastRow="0" w:firstColumn="1" w:lastColumn="0" w:noHBand="0" w:noVBand="1"/>
      </w:tblPr>
      <w:tblGrid>
        <w:gridCol w:w="9312"/>
      </w:tblGrid>
      <w:tr w:rsidR="00944DBE" w:rsidRPr="00F15E6C" w:rsidTr="008E5A15">
        <w:trPr>
          <w:trHeight w:val="510"/>
          <w:jc w:val="center"/>
        </w:trPr>
        <w:tc>
          <w:tcPr>
            <w:tcW w:w="9312" w:type="dxa"/>
            <w:tcBorders>
              <w:top w:val="nil"/>
            </w:tcBorders>
            <w:shd w:val="clear" w:color="000000" w:fill="C6D9F1" w:themeFill="text2" w:themeFillTint="33"/>
            <w:vAlign w:val="bottom"/>
          </w:tcPr>
          <w:p w:rsidR="00944DBE" w:rsidRPr="00F15E6C" w:rsidRDefault="00A464B2">
            <w:pPr>
              <w:jc w:val="center"/>
              <w:rPr>
                <w:rFonts w:ascii="SimSun" w:hAnsi="SimSun"/>
                <w:sz w:val="21"/>
              </w:rPr>
            </w:pPr>
            <w:r w:rsidRPr="00F15E6C">
              <w:rPr>
                <w:rFonts w:ascii="SimSun" w:hAnsi="SimSun" w:hint="eastAsia"/>
                <w:sz w:val="21"/>
              </w:rPr>
              <w:t>表</w:t>
            </w:r>
            <w:r w:rsidR="001C55EF">
              <w:rPr>
                <w:rFonts w:ascii="SimSun" w:hAnsi="SimSun" w:hint="eastAsia"/>
                <w:sz w:val="21"/>
              </w:rPr>
              <w:t>1</w:t>
            </w:r>
            <w:r w:rsidRPr="00F15E6C">
              <w:rPr>
                <w:rFonts w:ascii="SimSun" w:hAnsi="SimSun" w:hint="eastAsia"/>
                <w:sz w:val="21"/>
              </w:rPr>
              <w:t>：2014</w:t>
            </w:r>
            <w:r w:rsidR="0039745F">
              <w:rPr>
                <w:rFonts w:ascii="SimSun" w:hAnsi="SimSun" w:hint="eastAsia"/>
                <w:sz w:val="21"/>
              </w:rPr>
              <w:t>–</w:t>
            </w:r>
            <w:r w:rsidRPr="00F15E6C">
              <w:rPr>
                <w:rFonts w:ascii="SimSun" w:hAnsi="SimSun" w:hint="eastAsia"/>
                <w:sz w:val="21"/>
              </w:rPr>
              <w:t>2019年基建总计划项目及其他由储备金供资的特别项目进展状况</w:t>
            </w:r>
          </w:p>
          <w:p w:rsidR="00944DBE" w:rsidRPr="001C55EF" w:rsidRDefault="00A464B2">
            <w:pPr>
              <w:jc w:val="center"/>
              <w:rPr>
                <w:rFonts w:ascii="KaiTi" w:eastAsia="KaiTi" w:hAnsi="KaiTi"/>
                <w:b/>
                <w:color w:val="000000"/>
                <w:sz w:val="21"/>
                <w:szCs w:val="18"/>
                <w:lang w:eastAsia="en-US"/>
              </w:rPr>
            </w:pPr>
            <w:r w:rsidRPr="001C55EF">
              <w:rPr>
                <w:rFonts w:ascii="KaiTi" w:eastAsia="KaiTi" w:hAnsi="KaiTi" w:hint="eastAsia"/>
                <w:sz w:val="18"/>
              </w:rPr>
              <w:t>（</w:t>
            </w:r>
            <w:r w:rsidR="001C55EF" w:rsidRPr="001C55EF">
              <w:rPr>
                <w:rFonts w:ascii="KaiTi" w:eastAsia="KaiTi" w:hAnsi="KaiTi" w:hint="eastAsia"/>
                <w:sz w:val="18"/>
              </w:rPr>
              <w:t>单位：</w:t>
            </w:r>
            <w:proofErr w:type="gramStart"/>
            <w:r w:rsidRPr="001C55EF">
              <w:rPr>
                <w:rFonts w:ascii="KaiTi" w:eastAsia="KaiTi" w:hAnsi="KaiTi" w:hint="eastAsia"/>
                <w:sz w:val="18"/>
              </w:rPr>
              <w:t>千瑞郎</w:t>
            </w:r>
            <w:proofErr w:type="gramEnd"/>
            <w:r w:rsidRPr="001C55EF">
              <w:rPr>
                <w:rFonts w:ascii="KaiTi" w:eastAsia="KaiTi" w:hAnsi="KaiTi" w:hint="eastAsia"/>
                <w:sz w:val="18"/>
              </w:rPr>
              <w:t>）</w:t>
            </w:r>
          </w:p>
        </w:tc>
      </w:tr>
    </w:tbl>
    <w:p w:rsidR="00944DBE" w:rsidRPr="00F15E6C" w:rsidRDefault="00944DBE">
      <w:pPr>
        <w:rPr>
          <w:rFonts w:ascii="SimSun" w:hAnsi="SimSun"/>
          <w:sz w:val="8"/>
          <w:szCs w:val="8"/>
        </w:rPr>
      </w:pPr>
    </w:p>
    <w:p w:rsidR="00A464B2" w:rsidRDefault="008E5A15" w:rsidP="001C55EF">
      <w:pPr>
        <w:jc w:val="center"/>
        <w:rPr>
          <w:rFonts w:ascii="SimSun" w:hAnsi="SimSun"/>
          <w:sz w:val="21"/>
        </w:rPr>
      </w:pPr>
      <w:r w:rsidRPr="008E5A15">
        <w:rPr>
          <w:noProof/>
        </w:rPr>
        <w:drawing>
          <wp:inline distT="0" distB="0" distL="0" distR="0" wp14:anchorId="0D0B785D" wp14:editId="0C153F16">
            <wp:extent cx="5940425" cy="3311099"/>
            <wp:effectExtent l="0" t="0" r="3175"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311099"/>
                    </a:xfrm>
                    <a:prstGeom prst="rect">
                      <a:avLst/>
                    </a:prstGeom>
                    <a:noFill/>
                    <a:ln>
                      <a:noFill/>
                    </a:ln>
                  </pic:spPr>
                </pic:pic>
              </a:graphicData>
            </a:graphic>
          </wp:inline>
        </w:drawing>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截至2016年底，特别项目储备金余额为1,678.66</w:t>
      </w:r>
      <w:proofErr w:type="gramStart"/>
      <w:r w:rsidRPr="00F15E6C">
        <w:rPr>
          <w:rFonts w:ascii="SimSun" w:hAnsi="SimSun" w:hint="eastAsia"/>
          <w:sz w:val="21"/>
        </w:rPr>
        <w:t>万瑞</w:t>
      </w:r>
      <w:proofErr w:type="gramEnd"/>
      <w:r w:rsidRPr="00F15E6C">
        <w:rPr>
          <w:rFonts w:ascii="SimSun" w:hAnsi="SimSun" w:hint="eastAsia"/>
          <w:sz w:val="21"/>
        </w:rPr>
        <w:t>士法郎。据估计，总计343.5</w:t>
      </w:r>
      <w:proofErr w:type="gramStart"/>
      <w:r w:rsidRPr="00F15E6C">
        <w:rPr>
          <w:rFonts w:ascii="SimSun" w:hAnsi="SimSun" w:hint="eastAsia"/>
          <w:sz w:val="21"/>
        </w:rPr>
        <w:t>万瑞</w:t>
      </w:r>
      <w:proofErr w:type="gramEnd"/>
      <w:r w:rsidRPr="00F15E6C">
        <w:rPr>
          <w:rFonts w:ascii="SimSun" w:hAnsi="SimSun" w:hint="eastAsia"/>
          <w:sz w:val="21"/>
        </w:rPr>
        <w:t>郎的特别项目储备金可归还储备金，不再需要用于特别项目。其原因为：</w:t>
      </w:r>
      <w:r w:rsidR="001C55EF">
        <w:rPr>
          <w:rFonts w:ascii="SimSun" w:hAnsi="SimSun" w:hint="eastAsia"/>
          <w:sz w:val="21"/>
        </w:rPr>
        <w:t>(</w:t>
      </w:r>
      <w:proofErr w:type="spellStart"/>
      <w:r w:rsidRPr="00F15E6C">
        <w:rPr>
          <w:rFonts w:ascii="SimSun" w:hAnsi="SimSun" w:hint="eastAsia"/>
          <w:sz w:val="21"/>
        </w:rPr>
        <w:t>i</w:t>
      </w:r>
      <w:proofErr w:type="spellEnd"/>
      <w:r w:rsidR="001C55EF">
        <w:rPr>
          <w:rFonts w:ascii="SimSun" w:hAnsi="SimSun" w:hint="eastAsia"/>
          <w:sz w:val="21"/>
        </w:rPr>
        <w:t>)</w:t>
      </w:r>
      <w:r w:rsidRPr="00F15E6C">
        <w:rPr>
          <w:rFonts w:ascii="SimSun" w:hAnsi="SimSun" w:hint="eastAsia"/>
          <w:sz w:val="21"/>
        </w:rPr>
        <w:t>低于ERP项目原始估计成本；</w:t>
      </w:r>
      <w:r w:rsidR="001C55EF">
        <w:rPr>
          <w:rFonts w:ascii="SimSun" w:hAnsi="SimSun" w:hint="eastAsia"/>
          <w:sz w:val="21"/>
        </w:rPr>
        <w:t>(</w:t>
      </w:r>
      <w:r w:rsidRPr="00F15E6C">
        <w:rPr>
          <w:rFonts w:ascii="SimSun" w:hAnsi="SimSun" w:hint="eastAsia"/>
          <w:sz w:val="21"/>
        </w:rPr>
        <w:t>ii</w:t>
      </w:r>
      <w:r w:rsidR="001C55EF">
        <w:rPr>
          <w:rFonts w:ascii="SimSun" w:hAnsi="SimSun" w:hint="eastAsia"/>
          <w:sz w:val="21"/>
        </w:rPr>
        <w:t>)</w:t>
      </w:r>
      <w:r w:rsidRPr="00F15E6C">
        <w:rPr>
          <w:rFonts w:ascii="SimSun" w:hAnsi="SimSun" w:hint="eastAsia"/>
          <w:sz w:val="21"/>
        </w:rPr>
        <w:t>日内瓦湖水项目的支出低于预期；</w:t>
      </w:r>
      <w:r w:rsidR="001C55EF">
        <w:rPr>
          <w:rFonts w:ascii="SimSun" w:hAnsi="SimSun" w:hint="eastAsia"/>
          <w:sz w:val="21"/>
        </w:rPr>
        <w:t>(</w:t>
      </w:r>
      <w:r w:rsidRPr="00F15E6C">
        <w:rPr>
          <w:rFonts w:ascii="SimSun" w:hAnsi="SimSun" w:hint="eastAsia"/>
          <w:sz w:val="21"/>
        </w:rPr>
        <w:t>iii</w:t>
      </w:r>
      <w:r w:rsidR="001C55EF">
        <w:rPr>
          <w:rFonts w:ascii="SimSun" w:hAnsi="SimSun" w:hint="eastAsia"/>
          <w:sz w:val="21"/>
        </w:rPr>
        <w:t>)</w:t>
      </w:r>
      <w:r w:rsidRPr="00F15E6C">
        <w:rPr>
          <w:rFonts w:ascii="SimSun" w:hAnsi="SimSun" w:hint="eastAsia"/>
          <w:sz w:val="21"/>
        </w:rPr>
        <w:t>原拟定的AB</w:t>
      </w:r>
      <w:r w:rsidR="000E3C49">
        <w:rPr>
          <w:rFonts w:ascii="SimSun" w:hAnsi="SimSun" w:hint="eastAsia"/>
          <w:sz w:val="21"/>
        </w:rPr>
        <w:t>楼</w:t>
      </w:r>
      <w:r w:rsidRPr="00F15E6C">
        <w:rPr>
          <w:rFonts w:ascii="SimSun" w:hAnsi="SimSun" w:hint="eastAsia"/>
          <w:sz w:val="21"/>
        </w:rPr>
        <w:t>窗户更换项目被证明不可行。预计特别项目储备金余额中的1,335.1</w:t>
      </w:r>
      <w:proofErr w:type="gramStart"/>
      <w:r w:rsidRPr="00F15E6C">
        <w:rPr>
          <w:rFonts w:ascii="SimSun" w:hAnsi="SimSun" w:hint="eastAsia"/>
          <w:sz w:val="21"/>
        </w:rPr>
        <w:t>万瑞</w:t>
      </w:r>
      <w:proofErr w:type="gramEnd"/>
      <w:r w:rsidRPr="00F15E6C">
        <w:rPr>
          <w:rFonts w:ascii="SimSun" w:hAnsi="SimSun" w:hint="eastAsia"/>
          <w:sz w:val="21"/>
        </w:rPr>
        <w:t>郎将在2017</w:t>
      </w:r>
      <w:r w:rsidR="0039745F">
        <w:rPr>
          <w:rFonts w:ascii="SimSun" w:hAnsi="SimSun" w:hint="eastAsia"/>
          <w:sz w:val="21"/>
        </w:rPr>
        <w:t>–</w:t>
      </w:r>
      <w:r w:rsidRPr="00F15E6C">
        <w:rPr>
          <w:rFonts w:ascii="SimSun" w:hAnsi="SimSun" w:hint="eastAsia"/>
          <w:sz w:val="21"/>
        </w:rPr>
        <w:t>2019年间得到充分利用。</w:t>
      </w:r>
    </w:p>
    <w:p w:rsidR="00A464B2" w:rsidRDefault="00A464B2" w:rsidP="00A464B2">
      <w:pPr>
        <w:numPr>
          <w:ilvl w:val="0"/>
          <w:numId w:val="4"/>
        </w:numPr>
        <w:overflowPunct w:val="0"/>
        <w:spacing w:afterLines="50" w:after="120" w:line="340" w:lineRule="atLeast"/>
        <w:ind w:left="0" w:firstLine="0"/>
        <w:jc w:val="both"/>
        <w:rPr>
          <w:rFonts w:ascii="SimSun" w:hAnsi="SimSun"/>
          <w:b/>
          <w:bCs/>
          <w:caps/>
          <w:kern w:val="32"/>
          <w:sz w:val="21"/>
          <w:szCs w:val="32"/>
        </w:rPr>
      </w:pPr>
      <w:r w:rsidRPr="00F15E6C">
        <w:rPr>
          <w:rFonts w:ascii="SimSun" w:hAnsi="SimSun" w:hint="eastAsia"/>
          <w:sz w:val="21"/>
        </w:rPr>
        <w:t>请注意，PCT</w:t>
      </w:r>
      <w:r w:rsidR="000E3C49">
        <w:rPr>
          <w:rFonts w:ascii="SimSun" w:hAnsi="SimSun" w:hint="eastAsia"/>
          <w:sz w:val="21"/>
        </w:rPr>
        <w:t>楼</w:t>
      </w:r>
      <w:r w:rsidRPr="00F15E6C">
        <w:rPr>
          <w:rFonts w:ascii="SimSun" w:hAnsi="SimSun" w:hint="eastAsia"/>
          <w:sz w:val="21"/>
        </w:rPr>
        <w:t>改造项目将作为2018</w:t>
      </w:r>
      <w:r w:rsidR="0039745F">
        <w:rPr>
          <w:rFonts w:ascii="SimSun" w:hAnsi="SimSun" w:hint="eastAsia"/>
          <w:sz w:val="21"/>
        </w:rPr>
        <w:t>–</w:t>
      </w:r>
      <w:r w:rsidRPr="00F15E6C">
        <w:rPr>
          <w:rFonts w:ascii="SimSun" w:hAnsi="SimSun" w:hint="eastAsia"/>
          <w:sz w:val="21"/>
        </w:rPr>
        <w:t>2027年基本建设总计划的一部分，与2018/2019年间供资的附加电气和安全改进项目同时实施。合并项目可减少施工阶段工作人员流动的需求，避免在2014</w:t>
      </w:r>
      <w:r w:rsidR="0039745F">
        <w:rPr>
          <w:rFonts w:ascii="SimSun" w:hAnsi="SimSun" w:hint="eastAsia"/>
          <w:sz w:val="21"/>
        </w:rPr>
        <w:t>–</w:t>
      </w:r>
      <w:r w:rsidRPr="00F15E6C">
        <w:rPr>
          <w:rFonts w:ascii="SimSun" w:hAnsi="SimSun" w:hint="eastAsia"/>
          <w:sz w:val="21"/>
        </w:rPr>
        <w:t>2019年基本建设总计划完成后仅仅几年内</w:t>
      </w:r>
      <w:r w:rsidR="001C55EF">
        <w:rPr>
          <w:rFonts w:ascii="SimSun" w:hAnsi="SimSun" w:hint="eastAsia"/>
          <w:sz w:val="21"/>
        </w:rPr>
        <w:t>，</w:t>
      </w:r>
      <w:r w:rsidRPr="00F15E6C">
        <w:rPr>
          <w:rFonts w:ascii="SimSun" w:hAnsi="SimSun" w:hint="eastAsia"/>
          <w:sz w:val="21"/>
        </w:rPr>
        <w:t>又重新开放另一个大型工地，以提高成本效率和避免损失，并可更有效地整合各种新技术设备和系统。</w:t>
      </w:r>
    </w:p>
    <w:p w:rsidR="00A464B2" w:rsidRPr="00A464B2" w:rsidRDefault="00A464B2" w:rsidP="00A464B2">
      <w:pPr>
        <w:pStyle w:val="1"/>
        <w:overflowPunct w:val="0"/>
        <w:spacing w:beforeLines="100" w:afterLines="50" w:after="120" w:line="340" w:lineRule="atLeast"/>
        <w:rPr>
          <w:rFonts w:ascii="SimHei" w:eastAsia="SimHei" w:hAnsi="SimHei"/>
          <w:b w:val="0"/>
          <w:sz w:val="21"/>
        </w:rPr>
      </w:pPr>
      <w:r w:rsidRPr="00A464B2">
        <w:rPr>
          <w:rFonts w:ascii="SimHei" w:eastAsia="SimHei" w:hAnsi="SimHei" w:hint="eastAsia"/>
          <w:b w:val="0"/>
          <w:sz w:val="21"/>
        </w:rPr>
        <w:t>经修订的储备金政策</w:t>
      </w:r>
    </w:p>
    <w:p w:rsidR="00A464B2" w:rsidRDefault="00892A93" w:rsidP="00A464B2">
      <w:pPr>
        <w:numPr>
          <w:ilvl w:val="0"/>
          <w:numId w:val="4"/>
        </w:numPr>
        <w:overflowPunct w:val="0"/>
        <w:spacing w:afterLines="50" w:after="120" w:line="340" w:lineRule="atLeast"/>
        <w:ind w:left="0" w:firstLine="0"/>
        <w:jc w:val="both"/>
        <w:rPr>
          <w:rFonts w:ascii="SimSun" w:hAnsi="SimSun"/>
          <w:sz w:val="21"/>
        </w:rPr>
      </w:pPr>
      <w:r>
        <w:rPr>
          <w:rFonts w:ascii="SimSun" w:hAnsi="SimSun" w:hint="eastAsia"/>
          <w:sz w:val="21"/>
        </w:rPr>
        <w:t>PBC</w:t>
      </w:r>
      <w:r w:rsidR="00A464B2" w:rsidRPr="00F15E6C">
        <w:rPr>
          <w:rFonts w:ascii="SimSun" w:hAnsi="SimSun" w:hint="eastAsia"/>
          <w:sz w:val="21"/>
        </w:rPr>
        <w:t>在第二十三届会议上审议并向大会提出了经修订的储备</w:t>
      </w:r>
      <w:proofErr w:type="gramStart"/>
      <w:r w:rsidR="00A464B2" w:rsidRPr="00F15E6C">
        <w:rPr>
          <w:rFonts w:ascii="SimSun" w:hAnsi="SimSun" w:hint="eastAsia"/>
          <w:sz w:val="21"/>
        </w:rPr>
        <w:t>金政策</w:t>
      </w:r>
      <w:proofErr w:type="gramEnd"/>
      <w:r w:rsidR="00A464B2" w:rsidRPr="00F15E6C">
        <w:rPr>
          <w:rFonts w:ascii="SimSun" w:hAnsi="SimSun"/>
          <w:sz w:val="21"/>
          <w:vertAlign w:val="superscript"/>
        </w:rPr>
        <w:footnoteReference w:id="2"/>
      </w:r>
      <w:r w:rsidR="00A464B2" w:rsidRPr="00F15E6C">
        <w:rPr>
          <w:rFonts w:ascii="SimSun" w:hAnsi="SimSun" w:hint="eastAsia"/>
          <w:sz w:val="21"/>
        </w:rPr>
        <w:t>。新政策的目的是进一步加强财务与风险管理，为秘书处持续管理储备金提供更多指导，包括目标水平和流动性管理，并明确对储备</w:t>
      </w:r>
      <w:proofErr w:type="gramStart"/>
      <w:r w:rsidR="00A464B2" w:rsidRPr="00F15E6C">
        <w:rPr>
          <w:rFonts w:ascii="SimSun" w:hAnsi="SimSun" w:hint="eastAsia"/>
          <w:sz w:val="21"/>
        </w:rPr>
        <w:t>金报告</w:t>
      </w:r>
      <w:proofErr w:type="gramEnd"/>
      <w:r w:rsidR="00A464B2" w:rsidRPr="00F15E6C">
        <w:rPr>
          <w:rFonts w:ascii="SimSun" w:hAnsi="SimSun" w:hint="eastAsia"/>
          <w:sz w:val="21"/>
        </w:rPr>
        <w:t>的要求。经修订的政策包括经修订的储备金和周转基金（RWCF）使用系列原则，列于本文件附</w:t>
      </w:r>
      <w:r w:rsidR="001C55EF">
        <w:rPr>
          <w:rFonts w:ascii="SimSun" w:hAnsi="SimSun" w:hint="eastAsia"/>
          <w:sz w:val="21"/>
        </w:rPr>
        <w:t>件</w:t>
      </w:r>
      <w:r w:rsidR="00A464B2" w:rsidRPr="00F15E6C">
        <w:rPr>
          <w:rFonts w:ascii="SimSun" w:hAnsi="SimSun" w:hint="eastAsia"/>
          <w:sz w:val="21"/>
        </w:rPr>
        <w:t>一。</w:t>
      </w:r>
    </w:p>
    <w:p w:rsidR="00A464B2" w:rsidRPr="00A464B2" w:rsidRDefault="00A464B2" w:rsidP="00A464B2">
      <w:pPr>
        <w:pStyle w:val="1"/>
        <w:overflowPunct w:val="0"/>
        <w:spacing w:beforeLines="100" w:afterLines="50" w:after="120" w:line="340" w:lineRule="atLeast"/>
        <w:rPr>
          <w:rFonts w:ascii="SimHei" w:eastAsia="SimHei" w:hAnsi="SimHei"/>
          <w:b w:val="0"/>
          <w:sz w:val="21"/>
        </w:rPr>
      </w:pPr>
      <w:r w:rsidRPr="00A464B2">
        <w:rPr>
          <w:rFonts w:ascii="SimHei" w:eastAsia="SimHei" w:hAnsi="SimHei" w:hint="eastAsia"/>
          <w:b w:val="0"/>
          <w:sz w:val="21"/>
        </w:rPr>
        <w:lastRenderedPageBreak/>
        <w:t>2018</w:t>
      </w:r>
      <w:r w:rsidR="0039745F">
        <w:rPr>
          <w:rFonts w:ascii="SimHei" w:eastAsia="SimHei" w:hAnsi="SimHei" w:hint="eastAsia"/>
          <w:b w:val="0"/>
          <w:sz w:val="21"/>
        </w:rPr>
        <w:t>–</w:t>
      </w:r>
      <w:r w:rsidRPr="00A464B2">
        <w:rPr>
          <w:rFonts w:ascii="SimHei" w:eastAsia="SimHei" w:hAnsi="SimHei" w:hint="eastAsia"/>
          <w:b w:val="0"/>
          <w:sz w:val="21"/>
        </w:rPr>
        <w:t>2027年基本建设总计划（</w:t>
      </w:r>
      <w:r w:rsidR="004F7E15">
        <w:rPr>
          <w:rFonts w:ascii="SimHei" w:eastAsia="SimHei" w:hAnsi="SimHei" w:hint="eastAsia"/>
          <w:b w:val="0"/>
          <w:sz w:val="21"/>
        </w:rPr>
        <w:t>基建总计划</w:t>
      </w:r>
      <w:r w:rsidRPr="00A464B2">
        <w:rPr>
          <w:rFonts w:ascii="SimHei" w:eastAsia="SimHei" w:hAnsi="SimHei" w:hint="eastAsia"/>
          <w:b w:val="0"/>
          <w:sz w:val="21"/>
        </w:rPr>
        <w:t>）</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本组织需要在房舍、安全、安保以及信通技术方面进行持续的资本投资，以保持</w:t>
      </w:r>
      <w:r w:rsidR="00963E2A">
        <w:rPr>
          <w:rFonts w:ascii="SimSun" w:hAnsi="SimSun" w:hint="eastAsia"/>
          <w:sz w:val="21"/>
        </w:rPr>
        <w:t>胜任其职</w:t>
      </w:r>
      <w:r w:rsidRPr="00F15E6C">
        <w:rPr>
          <w:rFonts w:ascii="SimSun" w:hAnsi="SimSun" w:hint="eastAsia"/>
          <w:sz w:val="21"/>
        </w:rPr>
        <w:t>。目前已制定了一份基本建设总计划，概述了十年期所需要的主要建筑物及安全与安保相关资本投资。此外还确定了一些高度优先的</w:t>
      </w:r>
      <w:r w:rsidR="00963E2A">
        <w:rPr>
          <w:rFonts w:ascii="SimSun" w:hAnsi="SimSun" w:hint="eastAsia"/>
          <w:sz w:val="21"/>
        </w:rPr>
        <w:t>信通技术</w:t>
      </w:r>
      <w:r w:rsidRPr="00F15E6C">
        <w:rPr>
          <w:rFonts w:ascii="SimSun" w:hAnsi="SimSun" w:hint="eastAsia"/>
          <w:sz w:val="21"/>
        </w:rPr>
        <w:t>项目，以加强和保证国际注册体系的业务运作。</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储备</w:t>
      </w:r>
      <w:proofErr w:type="gramStart"/>
      <w:r w:rsidRPr="00F15E6C">
        <w:rPr>
          <w:rFonts w:ascii="SimSun" w:hAnsi="SimSun" w:hint="eastAsia"/>
          <w:sz w:val="21"/>
        </w:rPr>
        <w:t>金政策</w:t>
      </w:r>
      <w:proofErr w:type="gramEnd"/>
      <w:r w:rsidRPr="00F15E6C">
        <w:rPr>
          <w:rFonts w:ascii="SimSun" w:hAnsi="SimSun" w:hint="eastAsia"/>
          <w:sz w:val="21"/>
        </w:rPr>
        <w:t>原则3要求由储备金供资的项目为非常的一次性资本项目。原则3进一步规定，长期基本建设总计划下涵盖的项目可定义为与建设/翻新和信息通信技术有关的项目，此类项目通过显著扩建或增建来保持本组织设施与系统所需的适用性。根据经修订的储备</w:t>
      </w:r>
      <w:proofErr w:type="gramStart"/>
      <w:r w:rsidRPr="00F15E6C">
        <w:rPr>
          <w:rFonts w:ascii="SimSun" w:hAnsi="SimSun" w:hint="eastAsia"/>
          <w:sz w:val="21"/>
        </w:rPr>
        <w:t>金政策</w:t>
      </w:r>
      <w:proofErr w:type="gramEnd"/>
      <w:r w:rsidRPr="00F15E6C">
        <w:rPr>
          <w:rFonts w:ascii="SimSun" w:hAnsi="SimSun" w:hint="eastAsia"/>
          <w:sz w:val="21"/>
        </w:rPr>
        <w:t>原则3，基本建设总计划下不包括为继续提供现有服务而需要实施的所有设施持续维护项目</w:t>
      </w:r>
      <w:r w:rsidR="00963E2A">
        <w:rPr>
          <w:rFonts w:ascii="SimSun" w:hAnsi="SimSun" w:hint="eastAsia"/>
          <w:sz w:val="21"/>
        </w:rPr>
        <w:t>以</w:t>
      </w:r>
      <w:r w:rsidRPr="00F15E6C">
        <w:rPr>
          <w:rFonts w:ascii="SimSun" w:hAnsi="SimSun" w:hint="eastAsia"/>
          <w:sz w:val="21"/>
        </w:rPr>
        <w:t>及对建筑物或系统的小型改进，包括信息技术在内，因为此类项目不符合非常性和一次性资本项目的标准。</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2018</w:t>
      </w:r>
      <w:r w:rsidR="0039745F">
        <w:rPr>
          <w:rFonts w:ascii="SimSun" w:hAnsi="SimSun" w:hint="eastAsia"/>
          <w:sz w:val="21"/>
        </w:rPr>
        <w:t>–</w:t>
      </w:r>
      <w:r w:rsidRPr="00F15E6C">
        <w:rPr>
          <w:rFonts w:ascii="SimSun" w:hAnsi="SimSun" w:hint="eastAsia"/>
          <w:sz w:val="21"/>
        </w:rPr>
        <w:t>2027基本建设总计划下分为</w:t>
      </w:r>
      <w:r w:rsidR="00963E2A">
        <w:rPr>
          <w:rFonts w:ascii="SimSun" w:hAnsi="SimSun" w:hint="eastAsia"/>
          <w:sz w:val="21"/>
        </w:rPr>
        <w:t>(</w:t>
      </w:r>
      <w:proofErr w:type="spellStart"/>
      <w:r w:rsidRPr="00F15E6C">
        <w:rPr>
          <w:rFonts w:ascii="SimSun" w:hAnsi="SimSun" w:hint="eastAsia"/>
          <w:sz w:val="21"/>
        </w:rPr>
        <w:t>i</w:t>
      </w:r>
      <w:proofErr w:type="spellEnd"/>
      <w:r w:rsidR="00963E2A">
        <w:rPr>
          <w:rFonts w:ascii="SimSun" w:hAnsi="SimSun" w:hint="eastAsia"/>
          <w:sz w:val="21"/>
        </w:rPr>
        <w:t>)</w:t>
      </w:r>
      <w:r w:rsidRPr="00F15E6C">
        <w:rPr>
          <w:rFonts w:ascii="SimSun" w:hAnsi="SimSun" w:hint="eastAsia"/>
          <w:sz w:val="21"/>
        </w:rPr>
        <w:t>2018</w:t>
      </w:r>
      <w:r w:rsidR="0039745F">
        <w:rPr>
          <w:rFonts w:ascii="SimSun" w:hAnsi="SimSun" w:hint="eastAsia"/>
          <w:sz w:val="21"/>
        </w:rPr>
        <w:t>–</w:t>
      </w:r>
      <w:r w:rsidRPr="00F15E6C">
        <w:rPr>
          <w:rFonts w:ascii="SimSun" w:hAnsi="SimSun" w:hint="eastAsia"/>
          <w:sz w:val="21"/>
        </w:rPr>
        <w:t>2027年期间的房舍</w:t>
      </w:r>
      <w:r w:rsidR="00963E2A">
        <w:rPr>
          <w:rFonts w:ascii="SimSun" w:hAnsi="SimSun" w:hint="eastAsia"/>
          <w:sz w:val="21"/>
        </w:rPr>
        <w:t>、</w:t>
      </w:r>
      <w:r w:rsidRPr="00F15E6C">
        <w:rPr>
          <w:rFonts w:ascii="SimSun" w:hAnsi="SimSun" w:hint="eastAsia"/>
          <w:sz w:val="21"/>
        </w:rPr>
        <w:t>安全与安保相关项目的基本建设总计划，如附</w:t>
      </w:r>
      <w:r w:rsidR="00963E2A">
        <w:rPr>
          <w:rFonts w:ascii="SimSun" w:hAnsi="SimSun" w:hint="eastAsia"/>
          <w:sz w:val="21"/>
        </w:rPr>
        <w:t>件</w:t>
      </w:r>
      <w:r w:rsidRPr="00F15E6C">
        <w:rPr>
          <w:rFonts w:ascii="SimSun" w:hAnsi="SimSun" w:hint="eastAsia"/>
          <w:sz w:val="21"/>
        </w:rPr>
        <w:t>八所概述；以及</w:t>
      </w:r>
      <w:r w:rsidR="00963E2A">
        <w:rPr>
          <w:rFonts w:ascii="SimSun" w:hAnsi="SimSun" w:hint="eastAsia"/>
          <w:sz w:val="21"/>
        </w:rPr>
        <w:t>(</w:t>
      </w:r>
      <w:r w:rsidRPr="00F15E6C">
        <w:rPr>
          <w:rFonts w:ascii="SimSun" w:hAnsi="SimSun" w:hint="eastAsia"/>
          <w:sz w:val="21"/>
        </w:rPr>
        <w:t>ii</w:t>
      </w:r>
      <w:r w:rsidR="00963E2A">
        <w:rPr>
          <w:rFonts w:ascii="SimSun" w:hAnsi="SimSun" w:hint="eastAsia"/>
          <w:sz w:val="21"/>
        </w:rPr>
        <w:t>)</w:t>
      </w:r>
      <w:r w:rsidRPr="00F15E6C">
        <w:rPr>
          <w:rFonts w:ascii="SimSun" w:hAnsi="SimSun" w:hint="eastAsia"/>
          <w:sz w:val="21"/>
        </w:rPr>
        <w:t>2018</w:t>
      </w:r>
      <w:r w:rsidR="0039745F">
        <w:rPr>
          <w:rFonts w:ascii="SimSun" w:hAnsi="SimSun" w:hint="eastAsia"/>
          <w:sz w:val="21"/>
        </w:rPr>
        <w:t>–</w:t>
      </w:r>
      <w:r w:rsidRPr="00F15E6C">
        <w:rPr>
          <w:rFonts w:ascii="SimSun" w:hAnsi="SimSun" w:hint="eastAsia"/>
          <w:sz w:val="21"/>
        </w:rPr>
        <w:t>2019年期间实施的四个关键信息技术投资项目。</w:t>
      </w:r>
    </w:p>
    <w:p w:rsidR="00A464B2" w:rsidRPr="004F7E15" w:rsidRDefault="00A464B2" w:rsidP="004F7E15">
      <w:pPr>
        <w:pStyle w:val="2"/>
        <w:overflowPunct w:val="0"/>
        <w:spacing w:beforeLines="100" w:afterLines="50" w:after="120" w:line="340" w:lineRule="atLeast"/>
        <w:rPr>
          <w:rFonts w:ascii="KaiTi" w:eastAsia="KaiTi" w:hAnsi="KaiTi"/>
          <w:b/>
          <w:sz w:val="21"/>
        </w:rPr>
      </w:pPr>
      <w:r w:rsidRPr="004F7E15">
        <w:rPr>
          <w:rFonts w:ascii="KaiTi" w:eastAsia="KaiTi" w:hAnsi="KaiTi" w:hint="eastAsia"/>
          <w:b/>
          <w:sz w:val="21"/>
        </w:rPr>
        <w:t>2018</w:t>
      </w:r>
      <w:r w:rsidR="0039745F">
        <w:rPr>
          <w:rFonts w:ascii="KaiTi" w:eastAsia="KaiTi" w:hAnsi="KaiTi" w:hint="eastAsia"/>
          <w:b/>
          <w:sz w:val="21"/>
        </w:rPr>
        <w:t>–</w:t>
      </w:r>
      <w:r w:rsidRPr="004F7E15">
        <w:rPr>
          <w:rFonts w:ascii="KaiTi" w:eastAsia="KaiTi" w:hAnsi="KaiTi" w:hint="eastAsia"/>
          <w:b/>
          <w:sz w:val="21"/>
        </w:rPr>
        <w:t>2027年基本建设总计划驱动因素</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如下文所述，对2018</w:t>
      </w:r>
      <w:r w:rsidR="0039745F">
        <w:rPr>
          <w:rFonts w:ascii="SimSun" w:hAnsi="SimSun" w:hint="eastAsia"/>
          <w:sz w:val="21"/>
        </w:rPr>
        <w:t>–</w:t>
      </w:r>
      <w:r w:rsidRPr="00F15E6C">
        <w:rPr>
          <w:rFonts w:ascii="SimSun" w:hAnsi="SimSun" w:hint="eastAsia"/>
          <w:sz w:val="21"/>
        </w:rPr>
        <w:t>2017年基本建设总计划是在考虑了资本投资项目的主要驱动因素后具体制定的，旨在确保</w:t>
      </w:r>
      <w:r w:rsidR="004F7E15">
        <w:rPr>
          <w:rFonts w:ascii="SimSun" w:hAnsi="SimSun" w:hint="eastAsia"/>
          <w:sz w:val="21"/>
        </w:rPr>
        <w:t>产权组织</w:t>
      </w:r>
      <w:r w:rsidR="00963E2A">
        <w:rPr>
          <w:rFonts w:ascii="SimSun" w:hAnsi="SimSun" w:hint="eastAsia"/>
          <w:sz w:val="21"/>
        </w:rPr>
        <w:t>胜任其职</w:t>
      </w:r>
      <w:r w:rsidRPr="00F15E6C">
        <w:rPr>
          <w:rFonts w:ascii="SimSun" w:hAnsi="SimSun" w:hint="eastAsia"/>
          <w:sz w:val="21"/>
        </w:rPr>
        <w:t>。驱动因素也有利于评估项目是否符合修订后储备</w:t>
      </w:r>
      <w:proofErr w:type="gramStart"/>
      <w:r w:rsidRPr="00F15E6C">
        <w:rPr>
          <w:rFonts w:ascii="SimSun" w:hAnsi="SimSun" w:hint="eastAsia"/>
          <w:sz w:val="21"/>
        </w:rPr>
        <w:t>金政策</w:t>
      </w:r>
      <w:proofErr w:type="gramEnd"/>
      <w:r w:rsidRPr="00F15E6C">
        <w:rPr>
          <w:rFonts w:ascii="SimSun" w:hAnsi="SimSun" w:hint="eastAsia"/>
          <w:sz w:val="21"/>
        </w:rPr>
        <w:t>规定的原则。</w:t>
      </w:r>
    </w:p>
    <w:p w:rsidR="00A464B2" w:rsidRDefault="00A464B2" w:rsidP="0076194A">
      <w:pPr>
        <w:pStyle w:val="10"/>
        <w:numPr>
          <w:ilvl w:val="0"/>
          <w:numId w:val="6"/>
        </w:numPr>
        <w:spacing w:afterLines="50" w:after="120" w:line="340" w:lineRule="atLeast"/>
        <w:ind w:left="924" w:hanging="357"/>
        <w:contextualSpacing w:val="0"/>
        <w:jc w:val="both"/>
        <w:rPr>
          <w:rFonts w:ascii="SimSun" w:hAnsi="SimSun"/>
          <w:sz w:val="21"/>
        </w:rPr>
      </w:pPr>
      <w:r w:rsidRPr="00963E2A">
        <w:rPr>
          <w:rFonts w:ascii="KaiTi" w:eastAsia="KaiTi" w:hAnsi="KaiTi" w:hint="eastAsia"/>
          <w:iCs/>
          <w:sz w:val="21"/>
        </w:rPr>
        <w:t>生命周期</w:t>
      </w:r>
      <w:r w:rsidR="0076194A">
        <w:rPr>
          <w:rFonts w:ascii="KaiTi" w:eastAsia="KaiTi" w:hAnsi="KaiTi" w:hint="eastAsia"/>
          <w:iCs/>
          <w:sz w:val="21"/>
        </w:rPr>
        <w:t>–</w:t>
      </w:r>
      <w:r w:rsidRPr="00F15E6C">
        <w:rPr>
          <w:rFonts w:ascii="SimSun" w:hAnsi="SimSun" w:hint="eastAsia"/>
          <w:sz w:val="21"/>
        </w:rPr>
        <w:t>对设备和设施资产的生命周期</w:t>
      </w:r>
      <w:r w:rsidR="0076194A">
        <w:rPr>
          <w:rFonts w:ascii="SimSun" w:hAnsi="SimSun" w:hint="eastAsia"/>
          <w:sz w:val="21"/>
        </w:rPr>
        <w:t>进行</w:t>
      </w:r>
      <w:r w:rsidR="0076194A" w:rsidRPr="00F15E6C">
        <w:rPr>
          <w:rFonts w:ascii="SimSun" w:hAnsi="SimSun" w:hint="eastAsia"/>
          <w:sz w:val="21"/>
        </w:rPr>
        <w:t>有效</w:t>
      </w:r>
      <w:r w:rsidRPr="00F15E6C">
        <w:rPr>
          <w:rFonts w:ascii="SimSun" w:hAnsi="SimSun" w:hint="eastAsia"/>
          <w:sz w:val="21"/>
        </w:rPr>
        <w:t>管理，包括必要的翻新和改造工程或破损资产的更新，以防止与此类资产的安全性和不可操作性相关的风险。</w:t>
      </w:r>
    </w:p>
    <w:p w:rsidR="00944DBE" w:rsidRPr="00F15E6C" w:rsidRDefault="00A464B2" w:rsidP="0076194A">
      <w:pPr>
        <w:pStyle w:val="10"/>
        <w:numPr>
          <w:ilvl w:val="0"/>
          <w:numId w:val="6"/>
        </w:numPr>
        <w:spacing w:afterLines="50" w:after="120" w:line="340" w:lineRule="atLeast"/>
        <w:ind w:left="924" w:hanging="357"/>
        <w:contextualSpacing w:val="0"/>
        <w:jc w:val="both"/>
        <w:rPr>
          <w:rFonts w:ascii="SimSun" w:hAnsi="SimSun"/>
          <w:sz w:val="21"/>
        </w:rPr>
      </w:pPr>
      <w:r w:rsidRPr="00963E2A">
        <w:rPr>
          <w:rFonts w:ascii="KaiTi" w:eastAsia="KaiTi" w:hAnsi="KaiTi" w:hint="eastAsia"/>
          <w:sz w:val="21"/>
        </w:rPr>
        <w:t>监</w:t>
      </w:r>
      <w:r w:rsidRPr="00963E2A">
        <w:rPr>
          <w:rFonts w:ascii="KaiTi" w:eastAsia="KaiTi" w:hAnsi="KaiTi" w:hint="eastAsia"/>
          <w:iCs/>
          <w:sz w:val="21"/>
        </w:rPr>
        <w:t>管要求</w:t>
      </w:r>
      <w:r w:rsidR="0076194A">
        <w:rPr>
          <w:rFonts w:ascii="SimSun" w:hAnsi="SimSun" w:hint="eastAsia"/>
          <w:sz w:val="21"/>
        </w:rPr>
        <w:t>–</w:t>
      </w:r>
      <w:r w:rsidRPr="00F15E6C">
        <w:rPr>
          <w:rFonts w:ascii="SimSun" w:hAnsi="SimSun" w:hint="eastAsia"/>
          <w:sz w:val="21"/>
        </w:rPr>
        <w:t>实施项目以确保本组织符合瑞士联邦和地方监管框架，以及联合国通过的准则。</w:t>
      </w:r>
    </w:p>
    <w:p w:rsidR="00A464B2" w:rsidRDefault="00A464B2" w:rsidP="0076194A">
      <w:pPr>
        <w:pStyle w:val="10"/>
        <w:numPr>
          <w:ilvl w:val="0"/>
          <w:numId w:val="7"/>
        </w:numPr>
        <w:spacing w:afterLines="50" w:after="120" w:line="340" w:lineRule="atLeast"/>
        <w:ind w:left="924" w:hanging="357"/>
        <w:contextualSpacing w:val="0"/>
        <w:jc w:val="both"/>
        <w:rPr>
          <w:rFonts w:ascii="SimSun" w:hAnsi="SimSun"/>
          <w:sz w:val="21"/>
        </w:rPr>
      </w:pPr>
      <w:r w:rsidRPr="00963E2A">
        <w:rPr>
          <w:rFonts w:ascii="KaiTi" w:eastAsia="KaiTi" w:hAnsi="KaiTi" w:hint="eastAsia"/>
          <w:iCs/>
          <w:sz w:val="21"/>
        </w:rPr>
        <w:t>业务需求</w:t>
      </w:r>
      <w:r w:rsidR="0076194A">
        <w:rPr>
          <w:rFonts w:ascii="SimSun" w:hAnsi="SimSun" w:hint="eastAsia"/>
          <w:sz w:val="21"/>
        </w:rPr>
        <w:t>–</w:t>
      </w:r>
      <w:r w:rsidRPr="00F15E6C">
        <w:rPr>
          <w:rFonts w:ascii="SimSun" w:hAnsi="SimSun" w:hint="eastAsia"/>
          <w:sz w:val="21"/>
        </w:rPr>
        <w:t>建立或获得新的资产，使本组织能够改善或扩大向成员国和</w:t>
      </w:r>
      <w:r w:rsidR="004F7E15">
        <w:rPr>
          <w:rFonts w:ascii="SimSun" w:hAnsi="SimSun" w:hint="eastAsia"/>
          <w:sz w:val="21"/>
        </w:rPr>
        <w:t>产权组织</w:t>
      </w:r>
      <w:r w:rsidRPr="00F15E6C">
        <w:rPr>
          <w:rFonts w:ascii="SimSun" w:hAnsi="SimSun" w:hint="eastAsia"/>
          <w:sz w:val="21"/>
        </w:rPr>
        <w:t>客户提供的服务。</w:t>
      </w:r>
    </w:p>
    <w:p w:rsidR="00A464B2" w:rsidRDefault="00A464B2" w:rsidP="0076194A">
      <w:pPr>
        <w:pStyle w:val="10"/>
        <w:numPr>
          <w:ilvl w:val="0"/>
          <w:numId w:val="6"/>
        </w:numPr>
        <w:spacing w:afterLines="50" w:after="120" w:line="340" w:lineRule="atLeast"/>
        <w:ind w:left="924" w:hanging="357"/>
        <w:contextualSpacing w:val="0"/>
        <w:jc w:val="both"/>
        <w:rPr>
          <w:rFonts w:ascii="SimSun" w:hAnsi="SimSun"/>
          <w:sz w:val="21"/>
        </w:rPr>
      </w:pPr>
      <w:r w:rsidRPr="0076194A">
        <w:rPr>
          <w:rFonts w:ascii="KaiTi" w:eastAsia="KaiTi" w:hAnsi="KaiTi" w:hint="eastAsia"/>
          <w:iCs/>
          <w:sz w:val="21"/>
        </w:rPr>
        <w:t>环境</w:t>
      </w:r>
      <w:r w:rsidR="0076194A">
        <w:rPr>
          <w:rFonts w:ascii="SimSun" w:hAnsi="SimSun" w:hint="eastAsia"/>
          <w:sz w:val="21"/>
        </w:rPr>
        <w:t>–</w:t>
      </w:r>
      <w:r w:rsidRPr="00F15E6C">
        <w:rPr>
          <w:rFonts w:ascii="SimSun" w:hAnsi="SimSun" w:hint="eastAsia"/>
          <w:sz w:val="21"/>
        </w:rPr>
        <w:t>投资于可再生能源举措，可减少</w:t>
      </w:r>
      <w:r w:rsidR="004F7E15">
        <w:rPr>
          <w:rFonts w:ascii="SimSun" w:hAnsi="SimSun" w:hint="eastAsia"/>
          <w:sz w:val="21"/>
        </w:rPr>
        <w:t>产权组织</w:t>
      </w:r>
      <w:r w:rsidRPr="00F15E6C">
        <w:rPr>
          <w:rFonts w:ascii="SimSun" w:hAnsi="SimSun" w:hint="eastAsia"/>
          <w:sz w:val="21"/>
        </w:rPr>
        <w:t>的碳排放量。</w:t>
      </w:r>
    </w:p>
    <w:p w:rsidR="00A464B2" w:rsidRDefault="0076194A" w:rsidP="0076194A">
      <w:pPr>
        <w:pStyle w:val="10"/>
        <w:numPr>
          <w:ilvl w:val="0"/>
          <w:numId w:val="6"/>
        </w:numPr>
        <w:spacing w:afterLines="50" w:after="120" w:line="340" w:lineRule="atLeast"/>
        <w:ind w:left="924" w:hanging="357"/>
        <w:contextualSpacing w:val="0"/>
        <w:jc w:val="both"/>
        <w:rPr>
          <w:rFonts w:ascii="SimSun" w:hAnsi="SimSun"/>
          <w:sz w:val="21"/>
        </w:rPr>
      </w:pPr>
      <w:r>
        <w:rPr>
          <w:rFonts w:ascii="KaiTi" w:eastAsia="KaiTi" w:hAnsi="KaiTi" w:hint="eastAsia"/>
          <w:iCs/>
          <w:sz w:val="21"/>
        </w:rPr>
        <w:t>无障碍</w:t>
      </w:r>
      <w:r>
        <w:rPr>
          <w:rFonts w:ascii="SimSun" w:hAnsi="SimSun" w:hint="eastAsia"/>
          <w:sz w:val="21"/>
        </w:rPr>
        <w:t>–</w:t>
      </w:r>
      <w:r w:rsidR="00A464B2" w:rsidRPr="00F15E6C">
        <w:rPr>
          <w:rFonts w:ascii="SimSun" w:hAnsi="SimSun" w:hint="eastAsia"/>
          <w:sz w:val="21"/>
        </w:rPr>
        <w:t>投资于便于所有利益攸关方（包括残疾人）进入</w:t>
      </w:r>
      <w:r w:rsidR="004F7E15">
        <w:rPr>
          <w:rFonts w:ascii="SimSun" w:hAnsi="SimSun" w:hint="eastAsia"/>
          <w:sz w:val="21"/>
        </w:rPr>
        <w:t>产权组织</w:t>
      </w:r>
      <w:r w:rsidR="00A464B2" w:rsidRPr="00F15E6C">
        <w:rPr>
          <w:rFonts w:ascii="SimSun" w:hAnsi="SimSun" w:hint="eastAsia"/>
          <w:sz w:val="21"/>
        </w:rPr>
        <w:t>场所和服务的举措。</w:t>
      </w:r>
    </w:p>
    <w:p w:rsidR="00A464B2" w:rsidRDefault="00A464B2" w:rsidP="0076194A">
      <w:pPr>
        <w:pStyle w:val="10"/>
        <w:numPr>
          <w:ilvl w:val="0"/>
          <w:numId w:val="6"/>
        </w:numPr>
        <w:spacing w:afterLines="50" w:after="120" w:line="340" w:lineRule="atLeast"/>
        <w:ind w:left="924" w:hanging="357"/>
        <w:contextualSpacing w:val="0"/>
        <w:jc w:val="both"/>
        <w:rPr>
          <w:rFonts w:ascii="SimSun" w:hAnsi="SimSun"/>
          <w:sz w:val="21"/>
        </w:rPr>
      </w:pPr>
      <w:r w:rsidRPr="0076194A">
        <w:rPr>
          <w:rFonts w:ascii="KaiTi" w:eastAsia="KaiTi" w:hAnsi="KaiTi" w:hint="eastAsia"/>
          <w:iCs/>
          <w:sz w:val="21"/>
        </w:rPr>
        <w:t>成本效率</w:t>
      </w:r>
      <w:r w:rsidR="0076194A">
        <w:rPr>
          <w:rFonts w:ascii="SimSun" w:hAnsi="SimSun" w:hint="eastAsia"/>
          <w:sz w:val="21"/>
        </w:rPr>
        <w:t>–</w:t>
      </w:r>
      <w:r w:rsidRPr="00F15E6C">
        <w:rPr>
          <w:rFonts w:ascii="SimSun" w:hAnsi="SimSun" w:hint="eastAsia"/>
          <w:sz w:val="21"/>
        </w:rPr>
        <w:t>利用新技术、新设备和系统改进降低经常性运营费用。</w:t>
      </w:r>
    </w:p>
    <w:p w:rsidR="00A464B2" w:rsidRDefault="00A464B2" w:rsidP="0076194A">
      <w:pPr>
        <w:pStyle w:val="10"/>
        <w:numPr>
          <w:ilvl w:val="0"/>
          <w:numId w:val="6"/>
        </w:numPr>
        <w:spacing w:afterLines="50" w:after="120" w:line="340" w:lineRule="atLeast"/>
        <w:ind w:left="924" w:hanging="357"/>
        <w:contextualSpacing w:val="0"/>
        <w:jc w:val="both"/>
        <w:rPr>
          <w:rFonts w:ascii="SimSun" w:hAnsi="SimSun"/>
          <w:sz w:val="21"/>
        </w:rPr>
      </w:pPr>
      <w:r w:rsidRPr="0076194A">
        <w:rPr>
          <w:rFonts w:ascii="KaiTi" w:eastAsia="KaiTi" w:hAnsi="KaiTi" w:hint="eastAsia"/>
          <w:iCs/>
          <w:sz w:val="21"/>
        </w:rPr>
        <w:t>安全、安保与信息保证</w:t>
      </w:r>
      <w:r w:rsidR="0076194A">
        <w:rPr>
          <w:rFonts w:ascii="SimSun" w:hAnsi="SimSun" w:hint="eastAsia"/>
          <w:sz w:val="21"/>
        </w:rPr>
        <w:t>–</w:t>
      </w:r>
      <w:r w:rsidRPr="00F15E6C">
        <w:rPr>
          <w:rFonts w:ascii="SimSun" w:hAnsi="SimSun" w:hint="eastAsia"/>
          <w:sz w:val="21"/>
        </w:rPr>
        <w:t>实施预防和保护措施，以减少</w:t>
      </w:r>
      <w:r w:rsidR="004F7E15">
        <w:rPr>
          <w:rFonts w:ascii="SimSun" w:hAnsi="SimSun" w:hint="eastAsia"/>
          <w:sz w:val="21"/>
        </w:rPr>
        <w:t>产权组织</w:t>
      </w:r>
      <w:r w:rsidRPr="00F15E6C">
        <w:rPr>
          <w:rFonts w:ascii="SimSun" w:hAnsi="SimSun" w:hint="eastAsia"/>
          <w:sz w:val="21"/>
        </w:rPr>
        <w:t>面对威胁时的脆弱性，保护</w:t>
      </w:r>
      <w:r w:rsidR="004F7E15">
        <w:rPr>
          <w:rFonts w:ascii="SimSun" w:hAnsi="SimSun" w:hint="eastAsia"/>
          <w:sz w:val="21"/>
        </w:rPr>
        <w:t>产权组织</w:t>
      </w:r>
      <w:r w:rsidRPr="00F15E6C">
        <w:rPr>
          <w:rFonts w:ascii="SimSun" w:hAnsi="SimSun" w:hint="eastAsia"/>
          <w:sz w:val="21"/>
        </w:rPr>
        <w:t>工作人员、代表和访客及</w:t>
      </w:r>
      <w:r w:rsidR="004F7E15">
        <w:rPr>
          <w:rFonts w:ascii="SimSun" w:hAnsi="SimSun" w:hint="eastAsia"/>
          <w:sz w:val="21"/>
        </w:rPr>
        <w:t>产权组织</w:t>
      </w:r>
      <w:r w:rsidRPr="00F15E6C">
        <w:rPr>
          <w:rFonts w:ascii="SimSun" w:hAnsi="SimSun" w:hint="eastAsia"/>
          <w:sz w:val="21"/>
        </w:rPr>
        <w:t>实体和信息资产的安全。</w:t>
      </w:r>
    </w:p>
    <w:p w:rsidR="00A464B2" w:rsidRPr="004F7E15" w:rsidRDefault="00A464B2" w:rsidP="004F7E15">
      <w:pPr>
        <w:pStyle w:val="2"/>
        <w:overflowPunct w:val="0"/>
        <w:spacing w:beforeLines="100" w:afterLines="50" w:after="120" w:line="340" w:lineRule="atLeast"/>
        <w:rPr>
          <w:rFonts w:ascii="KaiTi" w:eastAsia="KaiTi" w:hAnsi="KaiTi"/>
          <w:b/>
          <w:sz w:val="21"/>
        </w:rPr>
      </w:pPr>
      <w:r w:rsidRPr="004F7E15">
        <w:rPr>
          <w:rFonts w:ascii="KaiTi" w:eastAsia="KaiTi" w:hAnsi="KaiTi" w:hint="eastAsia"/>
          <w:b/>
          <w:sz w:val="21"/>
        </w:rPr>
        <w:t>2018</w:t>
      </w:r>
      <w:r w:rsidR="0039745F">
        <w:rPr>
          <w:rFonts w:ascii="KaiTi" w:eastAsia="KaiTi" w:hAnsi="KaiTi" w:hint="eastAsia"/>
          <w:b/>
          <w:sz w:val="21"/>
        </w:rPr>
        <w:t>–</w:t>
      </w:r>
      <w:r w:rsidRPr="004F7E15">
        <w:rPr>
          <w:rFonts w:ascii="KaiTi" w:eastAsia="KaiTi" w:hAnsi="KaiTi" w:hint="eastAsia"/>
          <w:b/>
          <w:sz w:val="21"/>
        </w:rPr>
        <w:t>2027年基本建设总计划概要</w:t>
      </w:r>
    </w:p>
    <w:p w:rsidR="00944DBE" w:rsidRPr="00F15E6C"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表2汇总了2018</w:t>
      </w:r>
      <w:r w:rsidR="0039745F">
        <w:rPr>
          <w:rFonts w:ascii="SimSun" w:hAnsi="SimSun" w:hint="eastAsia"/>
          <w:sz w:val="21"/>
        </w:rPr>
        <w:t>–</w:t>
      </w:r>
      <w:r w:rsidRPr="00F15E6C">
        <w:rPr>
          <w:rFonts w:ascii="SimSun" w:hAnsi="SimSun" w:hint="eastAsia"/>
          <w:sz w:val="21"/>
        </w:rPr>
        <w:t>2027年期间的基本建设总计划项目、实施时间表和预计一次性费用。</w:t>
      </w:r>
    </w:p>
    <w:tbl>
      <w:tblPr>
        <w:tblW w:w="9312" w:type="dxa"/>
        <w:jc w:val="center"/>
        <w:tblInd w:w="-1357" w:type="dxa"/>
        <w:tblLayout w:type="fixed"/>
        <w:tblLook w:val="04A0" w:firstRow="1" w:lastRow="0" w:firstColumn="1" w:lastColumn="0" w:noHBand="0" w:noVBand="1"/>
      </w:tblPr>
      <w:tblGrid>
        <w:gridCol w:w="9312"/>
      </w:tblGrid>
      <w:tr w:rsidR="00944DBE" w:rsidRPr="00F15E6C" w:rsidTr="008E5A15">
        <w:trPr>
          <w:trHeight w:val="510"/>
          <w:jc w:val="center"/>
        </w:trPr>
        <w:tc>
          <w:tcPr>
            <w:tcW w:w="9312" w:type="dxa"/>
            <w:tcBorders>
              <w:top w:val="nil"/>
            </w:tcBorders>
            <w:shd w:val="clear" w:color="000000" w:fill="C6D9F1" w:themeFill="text2" w:themeFillTint="33"/>
            <w:vAlign w:val="bottom"/>
          </w:tcPr>
          <w:p w:rsidR="00944DBE" w:rsidRPr="00F15E6C" w:rsidRDefault="00A464B2" w:rsidP="0076194A">
            <w:pPr>
              <w:keepNext/>
              <w:jc w:val="center"/>
              <w:rPr>
                <w:rFonts w:ascii="SimSun" w:hAnsi="SimSun"/>
                <w:sz w:val="21"/>
              </w:rPr>
            </w:pPr>
            <w:r w:rsidRPr="00F15E6C">
              <w:rPr>
                <w:rFonts w:ascii="SimSun" w:hAnsi="SimSun" w:hint="eastAsia"/>
                <w:sz w:val="21"/>
              </w:rPr>
              <w:lastRenderedPageBreak/>
              <w:t>表</w:t>
            </w:r>
            <w:r w:rsidRPr="00F15E6C">
              <w:rPr>
                <w:rFonts w:ascii="SimSun" w:hAnsi="SimSun"/>
                <w:sz w:val="21"/>
              </w:rPr>
              <w:t>2</w:t>
            </w:r>
            <w:r w:rsidRPr="00F15E6C">
              <w:rPr>
                <w:rFonts w:ascii="SimSun" w:hAnsi="SimSun" w:hint="eastAsia"/>
                <w:sz w:val="21"/>
              </w:rPr>
              <w:t>：2018</w:t>
            </w:r>
            <w:r w:rsidR="0039745F">
              <w:rPr>
                <w:rFonts w:ascii="SimSun" w:hAnsi="SimSun" w:hint="eastAsia"/>
                <w:sz w:val="21"/>
              </w:rPr>
              <w:t>–</w:t>
            </w:r>
            <w:r w:rsidRPr="00F15E6C">
              <w:rPr>
                <w:rFonts w:ascii="SimSun" w:hAnsi="SimSun" w:hint="eastAsia"/>
                <w:sz w:val="21"/>
              </w:rPr>
              <w:t>2027年基本建设总计划概要</w:t>
            </w:r>
          </w:p>
          <w:p w:rsidR="00944DBE" w:rsidRPr="00F15E6C" w:rsidRDefault="00A464B2" w:rsidP="0076194A">
            <w:pPr>
              <w:keepNext/>
              <w:jc w:val="center"/>
              <w:rPr>
                <w:rFonts w:ascii="SimSun" w:hAnsi="SimSun"/>
                <w:i/>
                <w:sz w:val="21"/>
              </w:rPr>
            </w:pPr>
            <w:r w:rsidRPr="0076194A">
              <w:rPr>
                <w:rFonts w:ascii="KaiTi" w:eastAsia="KaiTi" w:hAnsi="KaiTi" w:cstheme="minorHAnsi" w:hint="eastAsia"/>
                <w:color w:val="000000"/>
                <w:sz w:val="18"/>
                <w:szCs w:val="18"/>
              </w:rPr>
              <w:t>（单位：</w:t>
            </w:r>
            <w:proofErr w:type="gramStart"/>
            <w:r w:rsidRPr="0076194A">
              <w:rPr>
                <w:rFonts w:ascii="KaiTi" w:eastAsia="KaiTi" w:hAnsi="KaiTi" w:cstheme="minorHAnsi" w:hint="eastAsia"/>
                <w:color w:val="000000"/>
                <w:sz w:val="18"/>
                <w:szCs w:val="18"/>
              </w:rPr>
              <w:t>千瑞郎</w:t>
            </w:r>
            <w:proofErr w:type="gramEnd"/>
            <w:r w:rsidRPr="0076194A">
              <w:rPr>
                <w:rFonts w:ascii="KaiTi" w:eastAsia="KaiTi" w:hAnsi="KaiTi" w:cstheme="minorHAnsi" w:hint="eastAsia"/>
                <w:color w:val="000000"/>
                <w:sz w:val="18"/>
                <w:szCs w:val="18"/>
              </w:rPr>
              <w:t>）</w:t>
            </w:r>
          </w:p>
        </w:tc>
      </w:tr>
    </w:tbl>
    <w:p w:rsidR="00944DBE" w:rsidRPr="00F15E6C" w:rsidRDefault="00944DBE" w:rsidP="0076194A">
      <w:pPr>
        <w:keepNext/>
        <w:rPr>
          <w:rFonts w:ascii="SimSun" w:hAnsi="SimSun"/>
          <w:sz w:val="8"/>
          <w:szCs w:val="8"/>
        </w:rPr>
      </w:pPr>
    </w:p>
    <w:p w:rsidR="00A464B2" w:rsidRPr="00865A54" w:rsidRDefault="008E5A15" w:rsidP="0076194A">
      <w:pPr>
        <w:jc w:val="center"/>
        <w:rPr>
          <w:rFonts w:ascii="SimSun" w:hAnsi="SimSun"/>
          <w:sz w:val="21"/>
          <w:lang w:val="en-GB"/>
        </w:rPr>
      </w:pPr>
      <w:r w:rsidRPr="008E5A15">
        <w:rPr>
          <w:noProof/>
        </w:rPr>
        <w:drawing>
          <wp:inline distT="0" distB="0" distL="0" distR="0" wp14:anchorId="423783A7" wp14:editId="66C2824B">
            <wp:extent cx="5940425" cy="4394180"/>
            <wp:effectExtent l="0" t="0" r="3175"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4394180"/>
                    </a:xfrm>
                    <a:prstGeom prst="rect">
                      <a:avLst/>
                    </a:prstGeom>
                    <a:noFill/>
                    <a:ln>
                      <a:noFill/>
                    </a:ln>
                  </pic:spPr>
                </pic:pic>
              </a:graphicData>
            </a:graphic>
          </wp:inline>
        </w:drawing>
      </w:r>
    </w:p>
    <w:p w:rsidR="00944DBE" w:rsidRPr="00865A54" w:rsidRDefault="00A464B2">
      <w:pPr>
        <w:rPr>
          <w:rFonts w:ascii="KaiTi" w:eastAsia="KaiTi" w:hAnsi="KaiTi"/>
          <w:sz w:val="16"/>
          <w:szCs w:val="16"/>
          <w:lang w:val="en-GB"/>
        </w:rPr>
      </w:pPr>
      <w:r w:rsidRPr="00865A54">
        <w:rPr>
          <w:rFonts w:ascii="KaiTi" w:eastAsia="KaiTi" w:hAnsi="KaiTi" w:hint="eastAsia"/>
          <w:sz w:val="16"/>
          <w:szCs w:val="16"/>
        </w:rPr>
        <w:t>注：</w:t>
      </w:r>
      <w:r w:rsidRPr="00865A54">
        <w:rPr>
          <w:rFonts w:ascii="KaiTi" w:eastAsia="KaiTi" w:hAnsi="KaiTi"/>
          <w:sz w:val="16"/>
          <w:szCs w:val="16"/>
          <w:lang w:val="en-GB"/>
        </w:rPr>
        <w:t>x</w:t>
      </w:r>
      <w:r w:rsidRPr="00865A54">
        <w:rPr>
          <w:rFonts w:ascii="KaiTi" w:eastAsia="KaiTi" w:hAnsi="KaiTi" w:hint="eastAsia"/>
          <w:sz w:val="16"/>
          <w:szCs w:val="16"/>
        </w:rPr>
        <w:t>系指待确定成本。</w:t>
      </w:r>
    </w:p>
    <w:p w:rsidR="00A464B2" w:rsidRDefault="00A464B2" w:rsidP="00A464B2">
      <w:pPr>
        <w:numPr>
          <w:ilvl w:val="0"/>
          <w:numId w:val="4"/>
        </w:numPr>
        <w:overflowPunct w:val="0"/>
        <w:spacing w:afterLines="50" w:after="120" w:line="340" w:lineRule="atLeast"/>
        <w:ind w:left="0" w:firstLine="0"/>
        <w:jc w:val="both"/>
        <w:rPr>
          <w:rFonts w:ascii="SimSun" w:hAnsi="SimSun"/>
          <w:sz w:val="21"/>
          <w:lang w:val="en-GB"/>
        </w:rPr>
      </w:pPr>
      <w:r w:rsidRPr="00F15E6C">
        <w:rPr>
          <w:rFonts w:ascii="SimSun" w:hAnsi="SimSun" w:hint="eastAsia"/>
          <w:sz w:val="21"/>
        </w:rPr>
        <w:t>2018</w:t>
      </w:r>
      <w:r w:rsidR="0039745F">
        <w:rPr>
          <w:rFonts w:ascii="SimSun" w:hAnsi="SimSun" w:hint="eastAsia"/>
          <w:sz w:val="21"/>
        </w:rPr>
        <w:t>–</w:t>
      </w:r>
      <w:r w:rsidRPr="00F15E6C">
        <w:rPr>
          <w:rFonts w:ascii="SimSun" w:hAnsi="SimSun" w:hint="eastAsia"/>
          <w:sz w:val="21"/>
        </w:rPr>
        <w:t>2027年基本建设总计划</w:t>
      </w:r>
      <w:r w:rsidRPr="00F15E6C">
        <w:rPr>
          <w:rFonts w:ascii="SimSun" w:hAnsi="SimSun" w:hint="eastAsia"/>
          <w:sz w:val="21"/>
          <w:lang w:val="en-GB"/>
        </w:rPr>
        <w:t>是一项资本投资项目的滚动计划，每两年更新一次</w:t>
      </w:r>
      <w:r w:rsidR="00865A54">
        <w:rPr>
          <w:rFonts w:ascii="SimSun" w:hAnsi="SimSun" w:hint="eastAsia"/>
          <w:sz w:val="21"/>
          <w:lang w:val="en-GB"/>
        </w:rPr>
        <w:t>，</w:t>
      </w:r>
      <w:r w:rsidRPr="00F15E6C">
        <w:rPr>
          <w:rFonts w:ascii="SimSun" w:hAnsi="SimSun" w:hint="eastAsia"/>
          <w:sz w:val="21"/>
          <w:lang w:val="en-GB"/>
        </w:rPr>
        <w:t>并提交给</w:t>
      </w:r>
      <w:r w:rsidRPr="00F15E6C">
        <w:rPr>
          <w:rFonts w:ascii="SimSun" w:hAnsi="SimSun" w:hint="eastAsia"/>
          <w:sz w:val="21"/>
        </w:rPr>
        <w:t>成</w:t>
      </w:r>
      <w:r w:rsidRPr="00F15E6C">
        <w:rPr>
          <w:rFonts w:ascii="SimSun" w:hAnsi="SimSun" w:hint="eastAsia"/>
          <w:sz w:val="21"/>
          <w:lang w:val="en-GB"/>
        </w:rPr>
        <w:t>员国，</w:t>
      </w:r>
      <w:r w:rsidRPr="00F15E6C">
        <w:rPr>
          <w:rFonts w:ascii="SimSun" w:hAnsi="SimSun" w:hint="eastAsia"/>
          <w:sz w:val="21"/>
        </w:rPr>
        <w:t>计划包括</w:t>
      </w:r>
      <w:r w:rsidRPr="00F15E6C">
        <w:rPr>
          <w:rFonts w:ascii="SimSun" w:hAnsi="SimSun" w:hint="eastAsia"/>
          <w:sz w:val="21"/>
          <w:lang w:val="en-GB"/>
        </w:rPr>
        <w:t>每个项目的</w:t>
      </w:r>
      <w:r w:rsidRPr="00F15E6C">
        <w:rPr>
          <w:rFonts w:ascii="SimSun" w:hAnsi="SimSun" w:hint="eastAsia"/>
          <w:sz w:val="21"/>
        </w:rPr>
        <w:t>精确</w:t>
      </w:r>
      <w:r w:rsidRPr="00F15E6C">
        <w:rPr>
          <w:rFonts w:ascii="SimSun" w:hAnsi="SimSun" w:hint="eastAsia"/>
          <w:sz w:val="21"/>
          <w:lang w:val="en-GB"/>
        </w:rPr>
        <w:t>范围和成本估算。</w:t>
      </w:r>
    </w:p>
    <w:p w:rsidR="00A464B2" w:rsidRPr="00A464B2" w:rsidRDefault="00A464B2" w:rsidP="00A464B2">
      <w:pPr>
        <w:pStyle w:val="1"/>
        <w:overflowPunct w:val="0"/>
        <w:spacing w:beforeLines="100" w:afterLines="50" w:after="120" w:line="340" w:lineRule="atLeast"/>
        <w:rPr>
          <w:rFonts w:ascii="SimHei" w:eastAsia="SimHei" w:hAnsi="SimHei"/>
          <w:b w:val="0"/>
          <w:sz w:val="21"/>
        </w:rPr>
      </w:pPr>
      <w:r w:rsidRPr="00A464B2">
        <w:rPr>
          <w:rFonts w:ascii="SimHei" w:eastAsia="SimHei" w:hAnsi="SimHei" w:hint="eastAsia"/>
          <w:b w:val="0"/>
          <w:sz w:val="21"/>
        </w:rPr>
        <w:t>关于2018/19两年期间</w:t>
      </w:r>
      <w:r w:rsidR="004F7E15">
        <w:rPr>
          <w:rFonts w:ascii="SimHei" w:eastAsia="SimHei" w:hAnsi="SimHei" w:hint="eastAsia"/>
          <w:b w:val="0"/>
          <w:sz w:val="21"/>
        </w:rPr>
        <w:t>基建总计划</w:t>
      </w:r>
      <w:r w:rsidRPr="00A464B2">
        <w:rPr>
          <w:rFonts w:ascii="SimHei" w:eastAsia="SimHei" w:hAnsi="SimHei" w:hint="eastAsia"/>
          <w:b w:val="0"/>
          <w:sz w:val="21"/>
        </w:rPr>
        <w:t>项目</w:t>
      </w:r>
      <w:r w:rsidR="00865A54">
        <w:rPr>
          <w:rFonts w:ascii="SimHei" w:eastAsia="SimHei" w:hAnsi="SimHei" w:hint="eastAsia"/>
          <w:b w:val="0"/>
          <w:sz w:val="21"/>
        </w:rPr>
        <w:t>用</w:t>
      </w:r>
      <w:r w:rsidRPr="00A464B2">
        <w:rPr>
          <w:rFonts w:ascii="SimHei" w:eastAsia="SimHei" w:hAnsi="SimHei" w:hint="eastAsia"/>
          <w:b w:val="0"/>
          <w:sz w:val="21"/>
        </w:rPr>
        <w:t>储备金出资的建议</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根据</w:t>
      </w:r>
      <w:r w:rsidR="004F7E15">
        <w:rPr>
          <w:rFonts w:ascii="SimSun" w:hAnsi="SimSun" w:hint="eastAsia"/>
          <w:sz w:val="21"/>
        </w:rPr>
        <w:t>2018</w:t>
      </w:r>
      <w:r w:rsidR="0039745F">
        <w:rPr>
          <w:rFonts w:ascii="SimSun" w:hAnsi="SimSun" w:hint="eastAsia"/>
          <w:sz w:val="21"/>
        </w:rPr>
        <w:t>–</w:t>
      </w:r>
      <w:r w:rsidR="004F7E15">
        <w:rPr>
          <w:rFonts w:ascii="SimSun" w:hAnsi="SimSun" w:hint="eastAsia"/>
          <w:sz w:val="21"/>
        </w:rPr>
        <w:t>27年基建总计划</w:t>
      </w:r>
      <w:r w:rsidRPr="00F15E6C">
        <w:rPr>
          <w:rFonts w:ascii="SimSun" w:hAnsi="SimSun" w:hint="eastAsia"/>
          <w:sz w:val="21"/>
        </w:rPr>
        <w:t>，拟议在2018/19两年期间从储备金出资的项目如表3所概述。</w:t>
      </w:r>
    </w:p>
    <w:tbl>
      <w:tblPr>
        <w:tblW w:w="5482" w:type="dxa"/>
        <w:jc w:val="center"/>
        <w:tblInd w:w="1687" w:type="dxa"/>
        <w:tblLayout w:type="fixed"/>
        <w:tblLook w:val="04A0" w:firstRow="1" w:lastRow="0" w:firstColumn="1" w:lastColumn="0" w:noHBand="0" w:noVBand="1"/>
      </w:tblPr>
      <w:tblGrid>
        <w:gridCol w:w="5482"/>
      </w:tblGrid>
      <w:tr w:rsidR="00944DBE" w:rsidRPr="00F15E6C">
        <w:trPr>
          <w:trHeight w:val="255"/>
          <w:jc w:val="center"/>
        </w:trPr>
        <w:tc>
          <w:tcPr>
            <w:tcW w:w="5482" w:type="dxa"/>
            <w:shd w:val="clear" w:color="auto" w:fill="C6D9F1" w:themeFill="text2" w:themeFillTint="33"/>
            <w:vAlign w:val="center"/>
          </w:tcPr>
          <w:p w:rsidR="00944DBE" w:rsidRPr="00F15E6C" w:rsidRDefault="00A464B2" w:rsidP="00865A54">
            <w:pPr>
              <w:keepNext/>
              <w:jc w:val="center"/>
              <w:rPr>
                <w:rFonts w:ascii="SimSun" w:hAnsi="SimSun"/>
                <w:sz w:val="21"/>
              </w:rPr>
            </w:pPr>
            <w:r w:rsidRPr="00F15E6C">
              <w:rPr>
                <w:rFonts w:ascii="SimSun" w:hAnsi="SimSun" w:hint="eastAsia"/>
                <w:sz w:val="21"/>
              </w:rPr>
              <w:lastRenderedPageBreak/>
              <w:t>表</w:t>
            </w:r>
            <w:r w:rsidRPr="00F15E6C">
              <w:rPr>
                <w:rFonts w:ascii="SimSun" w:hAnsi="SimSun"/>
                <w:sz w:val="21"/>
              </w:rPr>
              <w:t>3</w:t>
            </w:r>
            <w:r w:rsidRPr="00F15E6C">
              <w:rPr>
                <w:rFonts w:ascii="SimSun" w:hAnsi="SimSun" w:hint="eastAsia"/>
                <w:sz w:val="21"/>
              </w:rPr>
              <w:t>：2018</w:t>
            </w:r>
            <w:r w:rsidR="0039745F">
              <w:rPr>
                <w:rFonts w:ascii="SimSun" w:hAnsi="SimSun" w:hint="eastAsia"/>
                <w:sz w:val="21"/>
              </w:rPr>
              <w:t>–</w:t>
            </w:r>
            <w:r w:rsidRPr="00F15E6C">
              <w:rPr>
                <w:rFonts w:ascii="SimSun" w:hAnsi="SimSun" w:hint="eastAsia"/>
                <w:sz w:val="21"/>
              </w:rPr>
              <w:t>2019年基本建设总计划项目</w:t>
            </w:r>
          </w:p>
          <w:p w:rsidR="00944DBE" w:rsidRPr="00F15E6C" w:rsidRDefault="00A464B2" w:rsidP="00865A54">
            <w:pPr>
              <w:keepNext/>
              <w:jc w:val="center"/>
              <w:rPr>
                <w:rFonts w:ascii="SimSun" w:hAnsi="SimSun" w:cstheme="minorHAnsi"/>
                <w:i/>
                <w:color w:val="000000"/>
                <w:sz w:val="21"/>
                <w:szCs w:val="18"/>
                <w:lang w:eastAsia="en-US"/>
              </w:rPr>
            </w:pPr>
            <w:r w:rsidRPr="00865A54">
              <w:rPr>
                <w:rFonts w:ascii="KaiTi" w:eastAsia="KaiTi" w:hAnsi="KaiTi" w:cstheme="minorHAnsi" w:hint="eastAsia"/>
                <w:color w:val="000000"/>
                <w:sz w:val="18"/>
                <w:szCs w:val="18"/>
              </w:rPr>
              <w:t>（单位：</w:t>
            </w:r>
            <w:proofErr w:type="gramStart"/>
            <w:r w:rsidRPr="00865A54">
              <w:rPr>
                <w:rFonts w:ascii="KaiTi" w:eastAsia="KaiTi" w:hAnsi="KaiTi" w:cstheme="minorHAnsi" w:hint="eastAsia"/>
                <w:color w:val="000000"/>
                <w:sz w:val="18"/>
                <w:szCs w:val="18"/>
              </w:rPr>
              <w:t>千瑞郎</w:t>
            </w:r>
            <w:proofErr w:type="gramEnd"/>
            <w:r w:rsidRPr="00865A54">
              <w:rPr>
                <w:rFonts w:ascii="KaiTi" w:eastAsia="KaiTi" w:hAnsi="KaiTi" w:cstheme="minorHAnsi" w:hint="eastAsia"/>
                <w:color w:val="000000"/>
                <w:sz w:val="18"/>
                <w:szCs w:val="18"/>
              </w:rPr>
              <w:t>）</w:t>
            </w:r>
          </w:p>
        </w:tc>
      </w:tr>
    </w:tbl>
    <w:p w:rsidR="00944DBE" w:rsidRPr="00F15E6C" w:rsidRDefault="00944DBE" w:rsidP="00865A54">
      <w:pPr>
        <w:keepNext/>
        <w:jc w:val="center"/>
        <w:rPr>
          <w:rFonts w:ascii="SimSun" w:hAnsi="SimSun"/>
          <w:sz w:val="8"/>
          <w:szCs w:val="8"/>
        </w:rPr>
      </w:pPr>
    </w:p>
    <w:p w:rsidR="00A464B2" w:rsidRPr="00865A54" w:rsidRDefault="008E5A15">
      <w:pPr>
        <w:jc w:val="center"/>
        <w:rPr>
          <w:rFonts w:ascii="SimSun" w:hAnsi="SimSun"/>
          <w:sz w:val="21"/>
        </w:rPr>
      </w:pPr>
      <w:r w:rsidRPr="008E5A15">
        <w:rPr>
          <w:noProof/>
        </w:rPr>
        <w:drawing>
          <wp:inline distT="0" distB="0" distL="0" distR="0">
            <wp:extent cx="3498850" cy="3999230"/>
            <wp:effectExtent l="0" t="0" r="6350"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8850" cy="3999230"/>
                    </a:xfrm>
                    <a:prstGeom prst="rect">
                      <a:avLst/>
                    </a:prstGeom>
                    <a:noFill/>
                    <a:ln>
                      <a:noFill/>
                    </a:ln>
                  </pic:spPr>
                </pic:pic>
              </a:graphicData>
            </a:graphic>
          </wp:inline>
        </w:drawing>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2018/19年度拟议的重点优先项目的预计一次性费用总额为2,550</w:t>
      </w:r>
      <w:proofErr w:type="gramStart"/>
      <w:r w:rsidRPr="00F15E6C">
        <w:rPr>
          <w:rFonts w:ascii="SimSun" w:hAnsi="SimSun" w:hint="eastAsia"/>
          <w:sz w:val="21"/>
        </w:rPr>
        <w:t>万瑞</w:t>
      </w:r>
      <w:proofErr w:type="gramEnd"/>
      <w:r w:rsidRPr="00F15E6C">
        <w:rPr>
          <w:rFonts w:ascii="SimSun" w:hAnsi="SimSun" w:hint="eastAsia"/>
          <w:sz w:val="21"/>
        </w:rPr>
        <w:t>郎。项目在2018/19两年期间没有运营/经常性费用。</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每个拟议的项目/项目阶段都是独立的。因此，批准在2018/19年度实施的项目并不能预判后续两年期对项目/项目阶段的未来供资决定。每个由储备金供资的拟议项目之详细说明载于附件二至七。</w:t>
      </w:r>
    </w:p>
    <w:p w:rsidR="00A464B2" w:rsidRPr="004F7E15" w:rsidRDefault="00A464B2" w:rsidP="004F7E15">
      <w:pPr>
        <w:pStyle w:val="2"/>
        <w:overflowPunct w:val="0"/>
        <w:spacing w:beforeLines="100" w:afterLines="50" w:after="120" w:line="340" w:lineRule="atLeast"/>
        <w:rPr>
          <w:rFonts w:ascii="KaiTi" w:eastAsia="KaiTi" w:hAnsi="KaiTi"/>
          <w:b/>
          <w:sz w:val="21"/>
        </w:rPr>
      </w:pPr>
      <w:r w:rsidRPr="004F7E15">
        <w:rPr>
          <w:rFonts w:ascii="KaiTi" w:eastAsia="KaiTi" w:hAnsi="KaiTi" w:hint="eastAsia"/>
          <w:b/>
          <w:sz w:val="21"/>
        </w:rPr>
        <w:t>储备</w:t>
      </w:r>
      <w:proofErr w:type="gramStart"/>
      <w:r w:rsidRPr="004F7E15">
        <w:rPr>
          <w:rFonts w:ascii="KaiTi" w:eastAsia="KaiTi" w:hAnsi="KaiTi" w:hint="eastAsia"/>
          <w:b/>
          <w:sz w:val="21"/>
        </w:rPr>
        <w:t>金利用</w:t>
      </w:r>
      <w:proofErr w:type="gramEnd"/>
      <w:r w:rsidRPr="004F7E15">
        <w:rPr>
          <w:rFonts w:ascii="KaiTi" w:eastAsia="KaiTi" w:hAnsi="KaiTi" w:hint="eastAsia"/>
          <w:b/>
          <w:sz w:val="21"/>
        </w:rPr>
        <w:t>状况</w:t>
      </w:r>
    </w:p>
    <w:p w:rsidR="00944DBE" w:rsidRPr="00F15E6C"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关于储备金使用的第一项原则（原则1）涉及高于储备</w:t>
      </w:r>
      <w:proofErr w:type="gramStart"/>
      <w:r w:rsidRPr="00F15E6C">
        <w:rPr>
          <w:rFonts w:ascii="SimSun" w:hAnsi="SimSun" w:hint="eastAsia"/>
          <w:sz w:val="21"/>
        </w:rPr>
        <w:t>金目标</w:t>
      </w:r>
      <w:proofErr w:type="gramEnd"/>
      <w:r w:rsidRPr="00F15E6C">
        <w:rPr>
          <w:rFonts w:ascii="SimSun" w:hAnsi="SimSun" w:hint="eastAsia"/>
          <w:sz w:val="21"/>
        </w:rPr>
        <w:t>水平的数额之可用性。截至2017年底，预计超过规定储备</w:t>
      </w:r>
      <w:proofErr w:type="gramStart"/>
      <w:r w:rsidRPr="00F15E6C">
        <w:rPr>
          <w:rFonts w:ascii="SimSun" w:hAnsi="SimSun" w:hint="eastAsia"/>
          <w:sz w:val="21"/>
        </w:rPr>
        <w:t>金目标</w:t>
      </w:r>
      <w:proofErr w:type="gramEnd"/>
      <w:r w:rsidRPr="00F15E6C">
        <w:rPr>
          <w:rFonts w:ascii="SimSun" w:hAnsi="SimSun" w:hint="eastAsia"/>
          <w:sz w:val="21"/>
        </w:rPr>
        <w:t>水平和特别项目储备金的储备金余额为8,910</w:t>
      </w:r>
      <w:proofErr w:type="gramStart"/>
      <w:r w:rsidRPr="00F15E6C">
        <w:rPr>
          <w:rFonts w:ascii="SimSun" w:hAnsi="SimSun" w:hint="eastAsia"/>
          <w:sz w:val="21"/>
        </w:rPr>
        <w:t>万瑞</w:t>
      </w:r>
      <w:proofErr w:type="gramEnd"/>
      <w:r w:rsidRPr="00F15E6C">
        <w:rPr>
          <w:rFonts w:ascii="SimSun" w:hAnsi="SimSun" w:hint="eastAsia"/>
          <w:sz w:val="21"/>
        </w:rPr>
        <w:t>郎</w:t>
      </w:r>
      <w:r w:rsidRPr="00F15E6C">
        <w:rPr>
          <w:rFonts w:ascii="SimSun" w:hAnsi="SimSun"/>
          <w:sz w:val="21"/>
          <w:vertAlign w:val="superscript"/>
        </w:rPr>
        <w:footnoteReference w:id="3"/>
      </w:r>
      <w:r w:rsidRPr="00F15E6C">
        <w:rPr>
          <w:rFonts w:ascii="SimSun" w:hAnsi="SimSun" w:hint="eastAsia"/>
          <w:sz w:val="21"/>
        </w:rPr>
        <w:t>。为审慎起见，可用储备金的计算不包括</w:t>
      </w:r>
      <w:r w:rsidR="00865A54">
        <w:rPr>
          <w:rFonts w:ascii="SimSun" w:hAnsi="SimSun" w:hint="eastAsia"/>
          <w:sz w:val="21"/>
        </w:rPr>
        <w:t>(</w:t>
      </w:r>
      <w:proofErr w:type="spellStart"/>
      <w:r w:rsidRPr="00F15E6C">
        <w:rPr>
          <w:rFonts w:ascii="SimSun" w:hAnsi="SimSun" w:hint="eastAsia"/>
          <w:sz w:val="21"/>
        </w:rPr>
        <w:t>i</w:t>
      </w:r>
      <w:proofErr w:type="spellEnd"/>
      <w:r w:rsidR="00865A54">
        <w:rPr>
          <w:rFonts w:ascii="SimSun" w:hAnsi="SimSun" w:hint="eastAsia"/>
          <w:sz w:val="21"/>
        </w:rPr>
        <w:t>)</w:t>
      </w:r>
      <w:r w:rsidRPr="00F15E6C">
        <w:rPr>
          <w:rFonts w:ascii="SimSun" w:hAnsi="SimSun" w:hint="eastAsia"/>
          <w:sz w:val="21"/>
        </w:rPr>
        <w:t>修订后储备</w:t>
      </w:r>
      <w:proofErr w:type="gramStart"/>
      <w:r w:rsidRPr="00F15E6C">
        <w:rPr>
          <w:rFonts w:ascii="SimSun" w:hAnsi="SimSun" w:hint="eastAsia"/>
          <w:sz w:val="21"/>
        </w:rPr>
        <w:t>金政策</w:t>
      </w:r>
      <w:proofErr w:type="gramEnd"/>
      <w:r w:rsidRPr="00F15E6C">
        <w:rPr>
          <w:rFonts w:ascii="SimSun" w:hAnsi="SimSun" w:hint="eastAsia"/>
          <w:sz w:val="21"/>
        </w:rPr>
        <w:t>原则2下的周转基金和重估储备金盈余；</w:t>
      </w:r>
      <w:r w:rsidR="00865A54">
        <w:rPr>
          <w:rFonts w:ascii="SimSun" w:hAnsi="SimSun" w:hint="eastAsia"/>
          <w:sz w:val="21"/>
        </w:rPr>
        <w:t>(</w:t>
      </w:r>
      <w:r w:rsidRPr="00F15E6C">
        <w:rPr>
          <w:rFonts w:ascii="SimSun" w:hAnsi="SimSun" w:hint="eastAsia"/>
          <w:sz w:val="21"/>
        </w:rPr>
        <w:t>ii</w:t>
      </w:r>
      <w:r w:rsidR="00865A54">
        <w:rPr>
          <w:rFonts w:ascii="SimSun" w:hAnsi="SimSun" w:hint="eastAsia"/>
          <w:sz w:val="21"/>
        </w:rPr>
        <w:t>)</w:t>
      </w:r>
      <w:r w:rsidRPr="00F15E6C">
        <w:rPr>
          <w:rFonts w:ascii="SimSun" w:hAnsi="SimSun" w:hint="eastAsia"/>
          <w:sz w:val="21"/>
        </w:rPr>
        <w:t>2017年储备金支出后的预期总体结果。</w:t>
      </w:r>
    </w:p>
    <w:tbl>
      <w:tblPr>
        <w:tblW w:w="8612" w:type="dxa"/>
        <w:jc w:val="center"/>
        <w:tblLayout w:type="fixed"/>
        <w:tblLook w:val="04A0" w:firstRow="1" w:lastRow="0" w:firstColumn="1" w:lastColumn="0" w:noHBand="0" w:noVBand="1"/>
      </w:tblPr>
      <w:tblGrid>
        <w:gridCol w:w="7448"/>
        <w:gridCol w:w="1164"/>
      </w:tblGrid>
      <w:tr w:rsidR="00944DBE" w:rsidRPr="00F15E6C" w:rsidTr="003F4D41">
        <w:trPr>
          <w:jc w:val="center"/>
        </w:trPr>
        <w:tc>
          <w:tcPr>
            <w:tcW w:w="8612" w:type="dxa"/>
            <w:gridSpan w:val="2"/>
            <w:tcBorders>
              <w:top w:val="nil"/>
            </w:tcBorders>
            <w:shd w:val="clear" w:color="000000" w:fill="C6D9F1" w:themeFill="text2" w:themeFillTint="33"/>
            <w:vAlign w:val="bottom"/>
          </w:tcPr>
          <w:p w:rsidR="00944DBE" w:rsidRPr="00F15E6C" w:rsidRDefault="00A464B2" w:rsidP="003F4D41">
            <w:pPr>
              <w:keepNext/>
              <w:jc w:val="center"/>
              <w:rPr>
                <w:rFonts w:ascii="SimSun" w:hAnsi="SimSun"/>
                <w:sz w:val="21"/>
              </w:rPr>
            </w:pPr>
            <w:r w:rsidRPr="00F15E6C">
              <w:rPr>
                <w:rFonts w:ascii="SimSun" w:hAnsi="SimSun" w:hint="eastAsia"/>
                <w:sz w:val="21"/>
              </w:rPr>
              <w:lastRenderedPageBreak/>
              <w:t>表</w:t>
            </w:r>
            <w:r w:rsidRPr="00F15E6C">
              <w:rPr>
                <w:rFonts w:ascii="SimSun" w:hAnsi="SimSun"/>
                <w:sz w:val="21"/>
              </w:rPr>
              <w:t>4</w:t>
            </w:r>
            <w:r w:rsidRPr="00F15E6C">
              <w:rPr>
                <w:rFonts w:ascii="SimSun" w:hAnsi="SimSun" w:hint="eastAsia"/>
                <w:sz w:val="21"/>
              </w:rPr>
              <w:t>：2017年底的预计储备金状况</w:t>
            </w:r>
          </w:p>
          <w:p w:rsidR="00944DBE" w:rsidRPr="00F15E6C" w:rsidRDefault="00865A54" w:rsidP="003F4D41">
            <w:pPr>
              <w:keepNext/>
              <w:jc w:val="center"/>
              <w:rPr>
                <w:rFonts w:ascii="SimSun" w:hAnsi="SimSun"/>
                <w:b/>
                <w:color w:val="000000"/>
                <w:sz w:val="21"/>
                <w:szCs w:val="18"/>
                <w:lang w:eastAsia="en-US"/>
              </w:rPr>
            </w:pPr>
            <w:r w:rsidRPr="00865A54">
              <w:rPr>
                <w:rFonts w:ascii="KaiTi" w:eastAsia="KaiTi" w:hAnsi="KaiTi" w:hint="eastAsia"/>
                <w:color w:val="000000"/>
                <w:sz w:val="18"/>
                <w:szCs w:val="18"/>
              </w:rPr>
              <w:t>（单位：百</w:t>
            </w:r>
            <w:proofErr w:type="gramStart"/>
            <w:r w:rsidRPr="00865A54">
              <w:rPr>
                <w:rFonts w:ascii="KaiTi" w:eastAsia="KaiTi" w:hAnsi="KaiTi" w:hint="eastAsia"/>
                <w:color w:val="000000"/>
                <w:sz w:val="18"/>
                <w:szCs w:val="18"/>
              </w:rPr>
              <w:t>万瑞</w:t>
            </w:r>
            <w:proofErr w:type="gramEnd"/>
            <w:r w:rsidRPr="00865A54">
              <w:rPr>
                <w:rFonts w:ascii="KaiTi" w:eastAsia="KaiTi" w:hAnsi="KaiTi" w:hint="eastAsia"/>
                <w:color w:val="000000"/>
                <w:sz w:val="18"/>
                <w:szCs w:val="18"/>
              </w:rPr>
              <w:t>郎）</w:t>
            </w:r>
          </w:p>
        </w:tc>
      </w:tr>
      <w:tr w:rsidR="00865A54" w:rsidRPr="00865A54" w:rsidTr="003F4D41">
        <w:trPr>
          <w:jc w:val="center"/>
        </w:trPr>
        <w:tc>
          <w:tcPr>
            <w:tcW w:w="7448" w:type="dxa"/>
            <w:tcBorders>
              <w:top w:val="nil"/>
              <w:left w:val="nil"/>
              <w:bottom w:val="single" w:sz="4" w:space="0" w:color="BFBFBF" w:themeColor="background1" w:themeShade="BF"/>
              <w:right w:val="nil"/>
            </w:tcBorders>
            <w:shd w:val="clear" w:color="auto" w:fill="auto"/>
            <w:vAlign w:val="bottom"/>
          </w:tcPr>
          <w:p w:rsidR="00944DBE" w:rsidRPr="00865A54" w:rsidRDefault="00944DBE" w:rsidP="003F4D41">
            <w:pPr>
              <w:keepNext/>
              <w:rPr>
                <w:sz w:val="18"/>
                <w:szCs w:val="18"/>
                <w:lang w:eastAsia="en-US"/>
              </w:rPr>
            </w:pPr>
          </w:p>
        </w:tc>
        <w:tc>
          <w:tcPr>
            <w:tcW w:w="1164" w:type="dxa"/>
            <w:tcBorders>
              <w:top w:val="nil"/>
              <w:left w:val="nil"/>
              <w:bottom w:val="single" w:sz="4" w:space="0" w:color="BFBFBF" w:themeColor="background1" w:themeShade="BF"/>
              <w:right w:val="nil"/>
            </w:tcBorders>
            <w:shd w:val="clear" w:color="auto" w:fill="auto"/>
            <w:vAlign w:val="bottom"/>
          </w:tcPr>
          <w:p w:rsidR="00944DBE" w:rsidRPr="00865A54" w:rsidRDefault="00944DBE">
            <w:pPr>
              <w:jc w:val="right"/>
              <w:rPr>
                <w:sz w:val="18"/>
                <w:szCs w:val="18"/>
                <w:lang w:eastAsia="en-US"/>
              </w:rPr>
            </w:pPr>
          </w:p>
        </w:tc>
      </w:tr>
      <w:tr w:rsidR="00865A54" w:rsidRPr="00865A54" w:rsidTr="003F4D41">
        <w:trPr>
          <w:jc w:val="center"/>
        </w:trPr>
        <w:tc>
          <w:tcPr>
            <w:tcW w:w="7448" w:type="dxa"/>
            <w:tcBorders>
              <w:top w:val="single" w:sz="4" w:space="0" w:color="BFBFBF" w:themeColor="background1" w:themeShade="BF"/>
              <w:left w:val="single" w:sz="4" w:space="0" w:color="BFBFBF" w:themeColor="background1" w:themeShade="BF"/>
            </w:tcBorders>
            <w:shd w:val="clear" w:color="auto" w:fill="auto"/>
            <w:vAlign w:val="bottom"/>
          </w:tcPr>
          <w:p w:rsidR="00944DBE" w:rsidRPr="00865A54" w:rsidRDefault="00A464B2" w:rsidP="003F4D41">
            <w:pPr>
              <w:keepNext/>
              <w:rPr>
                <w:sz w:val="18"/>
                <w:szCs w:val="18"/>
              </w:rPr>
            </w:pPr>
            <w:r w:rsidRPr="00865A54">
              <w:rPr>
                <w:rFonts w:hint="eastAsia"/>
                <w:sz w:val="18"/>
                <w:szCs w:val="18"/>
              </w:rPr>
              <w:t>储备金总额</w:t>
            </w:r>
            <w:r w:rsidRPr="00865A54">
              <w:rPr>
                <w:sz w:val="18"/>
                <w:szCs w:val="18"/>
              </w:rPr>
              <w:t>*</w:t>
            </w:r>
            <w:r w:rsidRPr="00865A54">
              <w:rPr>
                <w:rFonts w:hint="eastAsia"/>
                <w:sz w:val="18"/>
                <w:szCs w:val="18"/>
              </w:rPr>
              <w:t>，</w:t>
            </w:r>
            <w:r w:rsidRPr="00865A54">
              <w:rPr>
                <w:rFonts w:hint="eastAsia"/>
                <w:sz w:val="18"/>
                <w:szCs w:val="18"/>
              </w:rPr>
              <w:t>2016</w:t>
            </w:r>
            <w:r w:rsidRPr="00865A54">
              <w:rPr>
                <w:rFonts w:hint="eastAsia"/>
                <w:sz w:val="18"/>
                <w:szCs w:val="18"/>
              </w:rPr>
              <w:t>年</w:t>
            </w:r>
            <w:r w:rsidRPr="00865A54">
              <w:rPr>
                <w:rFonts w:hint="eastAsia"/>
                <w:sz w:val="18"/>
                <w:szCs w:val="18"/>
              </w:rPr>
              <w:t>12</w:t>
            </w:r>
            <w:r w:rsidRPr="00865A54">
              <w:rPr>
                <w:rFonts w:hint="eastAsia"/>
                <w:sz w:val="18"/>
                <w:szCs w:val="18"/>
              </w:rPr>
              <w:t>月</w:t>
            </w:r>
            <w:r w:rsidRPr="00865A54">
              <w:rPr>
                <w:rFonts w:hint="eastAsia"/>
                <w:sz w:val="18"/>
                <w:szCs w:val="18"/>
              </w:rPr>
              <w:t>31</w:t>
            </w:r>
            <w:r w:rsidRPr="00865A54">
              <w:rPr>
                <w:rFonts w:hint="eastAsia"/>
                <w:sz w:val="18"/>
                <w:szCs w:val="18"/>
              </w:rPr>
              <w:t>日期末余额</w:t>
            </w:r>
          </w:p>
        </w:tc>
        <w:tc>
          <w:tcPr>
            <w:tcW w:w="1164" w:type="dxa"/>
            <w:tcBorders>
              <w:top w:val="single" w:sz="4" w:space="0" w:color="BFBFBF" w:themeColor="background1" w:themeShade="BF"/>
              <w:right w:val="single" w:sz="4" w:space="0" w:color="BFBFBF" w:themeColor="background1" w:themeShade="BF"/>
            </w:tcBorders>
            <w:shd w:val="clear" w:color="auto" w:fill="auto"/>
            <w:vAlign w:val="bottom"/>
          </w:tcPr>
          <w:p w:rsidR="00944DBE" w:rsidRPr="00865A54" w:rsidRDefault="00A464B2">
            <w:pPr>
              <w:jc w:val="right"/>
              <w:rPr>
                <w:sz w:val="18"/>
                <w:szCs w:val="18"/>
                <w:lang w:eastAsia="en-US"/>
              </w:rPr>
            </w:pPr>
            <w:r w:rsidRPr="00865A54">
              <w:rPr>
                <w:sz w:val="18"/>
                <w:szCs w:val="18"/>
                <w:lang w:eastAsia="en-US"/>
              </w:rPr>
              <w:t>287.7</w:t>
            </w:r>
          </w:p>
        </w:tc>
      </w:tr>
      <w:tr w:rsidR="00865A54" w:rsidRPr="00865A54" w:rsidTr="003F4D41">
        <w:trPr>
          <w:jc w:val="center"/>
        </w:trPr>
        <w:tc>
          <w:tcPr>
            <w:tcW w:w="7448" w:type="dxa"/>
            <w:tcBorders>
              <w:left w:val="single" w:sz="4" w:space="0" w:color="BFBFBF" w:themeColor="background1" w:themeShade="BF"/>
            </w:tcBorders>
            <w:shd w:val="clear" w:color="auto" w:fill="auto"/>
            <w:vAlign w:val="bottom"/>
          </w:tcPr>
          <w:p w:rsidR="003F4D41" w:rsidRPr="003F4D41" w:rsidRDefault="003F4D41" w:rsidP="003F4D41">
            <w:pPr>
              <w:keepNext/>
              <w:rPr>
                <w:rFonts w:eastAsia="KaiTi"/>
                <w:sz w:val="6"/>
                <w:szCs w:val="18"/>
              </w:rPr>
            </w:pPr>
          </w:p>
          <w:p w:rsidR="00944DBE" w:rsidRPr="00865A54" w:rsidRDefault="00A464B2" w:rsidP="003F4D41">
            <w:pPr>
              <w:keepNext/>
              <w:rPr>
                <w:sz w:val="18"/>
                <w:szCs w:val="18"/>
              </w:rPr>
            </w:pPr>
            <w:r w:rsidRPr="00865A54">
              <w:rPr>
                <w:rFonts w:eastAsia="KaiTi" w:hint="eastAsia"/>
                <w:sz w:val="18"/>
                <w:szCs w:val="18"/>
              </w:rPr>
              <w:t>其中</w:t>
            </w:r>
            <w:r w:rsidRPr="00865A54">
              <w:rPr>
                <w:rFonts w:hint="eastAsia"/>
                <w:sz w:val="18"/>
                <w:szCs w:val="18"/>
              </w:rPr>
              <w:t>：</w:t>
            </w:r>
          </w:p>
          <w:p w:rsidR="00944DBE" w:rsidRPr="00865A54" w:rsidRDefault="00A464B2" w:rsidP="003F4D41">
            <w:pPr>
              <w:keepNext/>
              <w:rPr>
                <w:sz w:val="18"/>
                <w:szCs w:val="18"/>
              </w:rPr>
            </w:pPr>
            <w:r w:rsidRPr="00865A54">
              <w:rPr>
                <w:sz w:val="18"/>
                <w:szCs w:val="18"/>
              </w:rPr>
              <w:tab/>
            </w:r>
            <w:r w:rsidRPr="00865A54">
              <w:rPr>
                <w:rFonts w:hint="eastAsia"/>
                <w:sz w:val="18"/>
                <w:szCs w:val="18"/>
              </w:rPr>
              <w:t>累计盈</w:t>
            </w:r>
            <w:r w:rsidRPr="00865A54">
              <w:rPr>
                <w:rFonts w:hint="eastAsia"/>
                <w:sz w:val="18"/>
                <w:szCs w:val="18"/>
                <w:u w:val="dotted"/>
              </w:rPr>
              <w:t>余，</w:t>
            </w:r>
            <w:r w:rsidRPr="00865A54">
              <w:rPr>
                <w:rFonts w:hint="eastAsia"/>
                <w:sz w:val="18"/>
                <w:szCs w:val="18"/>
              </w:rPr>
              <w:t>2016</w:t>
            </w:r>
            <w:r w:rsidRPr="00865A54">
              <w:rPr>
                <w:rFonts w:hint="eastAsia"/>
                <w:sz w:val="18"/>
                <w:szCs w:val="18"/>
              </w:rPr>
              <w:t>年</w:t>
            </w:r>
            <w:r w:rsidRPr="00865A54">
              <w:rPr>
                <w:rFonts w:hint="eastAsia"/>
                <w:sz w:val="18"/>
                <w:szCs w:val="18"/>
              </w:rPr>
              <w:t>12</w:t>
            </w:r>
            <w:r w:rsidRPr="00865A54">
              <w:rPr>
                <w:rFonts w:hint="eastAsia"/>
                <w:sz w:val="18"/>
                <w:szCs w:val="18"/>
              </w:rPr>
              <w:t>月</w:t>
            </w:r>
            <w:r w:rsidRPr="00865A54">
              <w:rPr>
                <w:rFonts w:hint="eastAsia"/>
                <w:sz w:val="18"/>
                <w:szCs w:val="18"/>
              </w:rPr>
              <w:t>31</w:t>
            </w:r>
            <w:r w:rsidRPr="00865A54">
              <w:rPr>
                <w:rFonts w:hint="eastAsia"/>
                <w:sz w:val="18"/>
                <w:szCs w:val="18"/>
              </w:rPr>
              <w:t>日期末余额</w:t>
            </w:r>
          </w:p>
        </w:tc>
        <w:tc>
          <w:tcPr>
            <w:tcW w:w="1164" w:type="dxa"/>
            <w:tcBorders>
              <w:right w:val="single" w:sz="4" w:space="0" w:color="BFBFBF" w:themeColor="background1" w:themeShade="BF"/>
            </w:tcBorders>
            <w:shd w:val="clear" w:color="auto" w:fill="auto"/>
            <w:vAlign w:val="bottom"/>
          </w:tcPr>
          <w:p w:rsidR="00944DBE" w:rsidRPr="00865A54" w:rsidRDefault="00A464B2">
            <w:pPr>
              <w:jc w:val="right"/>
              <w:rPr>
                <w:sz w:val="18"/>
                <w:szCs w:val="18"/>
                <w:lang w:eastAsia="en-US"/>
              </w:rPr>
            </w:pPr>
            <w:r w:rsidRPr="00865A54">
              <w:rPr>
                <w:sz w:val="18"/>
                <w:szCs w:val="18"/>
                <w:lang w:eastAsia="en-US"/>
              </w:rPr>
              <w:t>270.9</w:t>
            </w:r>
          </w:p>
        </w:tc>
      </w:tr>
      <w:tr w:rsidR="00865A54" w:rsidRPr="00865A54" w:rsidTr="003F4D41">
        <w:trPr>
          <w:jc w:val="center"/>
        </w:trPr>
        <w:tc>
          <w:tcPr>
            <w:tcW w:w="7448" w:type="dxa"/>
            <w:tcBorders>
              <w:left w:val="single" w:sz="4" w:space="0" w:color="BFBFBF" w:themeColor="background1" w:themeShade="BF"/>
            </w:tcBorders>
            <w:shd w:val="clear" w:color="auto" w:fill="auto"/>
            <w:vAlign w:val="bottom"/>
          </w:tcPr>
          <w:p w:rsidR="00944DBE" w:rsidRPr="00865A54" w:rsidRDefault="00944DBE" w:rsidP="003F4D41">
            <w:pPr>
              <w:keepNext/>
              <w:rPr>
                <w:sz w:val="18"/>
                <w:szCs w:val="12"/>
                <w:lang w:eastAsia="en-US"/>
              </w:rPr>
            </w:pPr>
          </w:p>
        </w:tc>
        <w:tc>
          <w:tcPr>
            <w:tcW w:w="1164" w:type="dxa"/>
            <w:tcBorders>
              <w:right w:val="single" w:sz="4" w:space="0" w:color="BFBFBF" w:themeColor="background1" w:themeShade="BF"/>
            </w:tcBorders>
            <w:shd w:val="clear" w:color="auto" w:fill="auto"/>
            <w:vAlign w:val="bottom"/>
          </w:tcPr>
          <w:p w:rsidR="00944DBE" w:rsidRPr="00865A54" w:rsidRDefault="00944DBE">
            <w:pPr>
              <w:jc w:val="right"/>
              <w:rPr>
                <w:sz w:val="18"/>
                <w:szCs w:val="18"/>
                <w:lang w:eastAsia="en-US"/>
              </w:rPr>
            </w:pPr>
          </w:p>
        </w:tc>
      </w:tr>
      <w:tr w:rsidR="00865A54" w:rsidRPr="00865A54" w:rsidTr="003F4D41">
        <w:trPr>
          <w:jc w:val="center"/>
        </w:trPr>
        <w:tc>
          <w:tcPr>
            <w:tcW w:w="7448" w:type="dxa"/>
            <w:tcBorders>
              <w:left w:val="single" w:sz="4" w:space="0" w:color="BFBFBF" w:themeColor="background1" w:themeShade="BF"/>
            </w:tcBorders>
            <w:shd w:val="clear" w:color="auto" w:fill="auto"/>
            <w:vAlign w:val="bottom"/>
          </w:tcPr>
          <w:p w:rsidR="00944DBE" w:rsidRPr="00865A54" w:rsidRDefault="00A464B2" w:rsidP="003F4D41">
            <w:pPr>
              <w:keepNext/>
              <w:spacing w:after="60"/>
              <w:rPr>
                <w:sz w:val="18"/>
                <w:szCs w:val="18"/>
              </w:rPr>
            </w:pPr>
            <w:r w:rsidRPr="00865A54">
              <w:rPr>
                <w:sz w:val="18"/>
                <w:szCs w:val="18"/>
              </w:rPr>
              <w:tab/>
            </w:r>
            <w:r w:rsidRPr="00865A54">
              <w:rPr>
                <w:rFonts w:hint="eastAsia"/>
                <w:sz w:val="18"/>
                <w:szCs w:val="18"/>
              </w:rPr>
              <w:t>特别项目储备金，</w:t>
            </w:r>
            <w:r w:rsidRPr="00865A54">
              <w:rPr>
                <w:rFonts w:hint="eastAsia"/>
                <w:sz w:val="18"/>
                <w:szCs w:val="18"/>
              </w:rPr>
              <w:t>2016</w:t>
            </w:r>
            <w:r w:rsidRPr="00865A54">
              <w:rPr>
                <w:rFonts w:hint="eastAsia"/>
                <w:sz w:val="18"/>
                <w:szCs w:val="18"/>
              </w:rPr>
              <w:t>年</w:t>
            </w:r>
            <w:r w:rsidRPr="00865A54">
              <w:rPr>
                <w:rFonts w:hint="eastAsia"/>
                <w:sz w:val="18"/>
                <w:szCs w:val="18"/>
              </w:rPr>
              <w:t>12</w:t>
            </w:r>
            <w:r w:rsidRPr="00865A54">
              <w:rPr>
                <w:rFonts w:hint="eastAsia"/>
                <w:sz w:val="18"/>
                <w:szCs w:val="18"/>
              </w:rPr>
              <w:t>月</w:t>
            </w:r>
            <w:r w:rsidRPr="00865A54">
              <w:rPr>
                <w:rFonts w:hint="eastAsia"/>
                <w:sz w:val="18"/>
                <w:szCs w:val="18"/>
              </w:rPr>
              <w:t>31</w:t>
            </w:r>
            <w:r w:rsidRPr="00865A54">
              <w:rPr>
                <w:rFonts w:hint="eastAsia"/>
                <w:sz w:val="18"/>
                <w:szCs w:val="18"/>
              </w:rPr>
              <w:t>日期末余额</w:t>
            </w:r>
          </w:p>
        </w:tc>
        <w:tc>
          <w:tcPr>
            <w:tcW w:w="1164" w:type="dxa"/>
            <w:tcBorders>
              <w:right w:val="single" w:sz="4" w:space="0" w:color="BFBFBF" w:themeColor="background1" w:themeShade="BF"/>
            </w:tcBorders>
            <w:shd w:val="clear" w:color="auto" w:fill="auto"/>
            <w:vAlign w:val="bottom"/>
          </w:tcPr>
          <w:p w:rsidR="00944DBE" w:rsidRPr="00865A54" w:rsidRDefault="00A464B2">
            <w:pPr>
              <w:spacing w:after="60"/>
              <w:jc w:val="right"/>
              <w:rPr>
                <w:sz w:val="18"/>
                <w:szCs w:val="18"/>
                <w:lang w:eastAsia="en-US"/>
              </w:rPr>
            </w:pPr>
            <w:r w:rsidRPr="00865A54">
              <w:rPr>
                <w:sz w:val="18"/>
                <w:szCs w:val="18"/>
                <w:lang w:eastAsia="en-US"/>
              </w:rPr>
              <w:t>16.8</w:t>
            </w:r>
          </w:p>
        </w:tc>
      </w:tr>
      <w:tr w:rsidR="00865A54" w:rsidRPr="00865A54" w:rsidTr="003F4D41">
        <w:trPr>
          <w:jc w:val="center"/>
        </w:trPr>
        <w:tc>
          <w:tcPr>
            <w:tcW w:w="7448" w:type="dxa"/>
            <w:tcBorders>
              <w:top w:val="single" w:sz="4" w:space="0" w:color="BFBFBF" w:themeColor="background1" w:themeShade="BF"/>
              <w:bottom w:val="single" w:sz="4" w:space="0" w:color="BFBFBF" w:themeColor="background1" w:themeShade="BF"/>
            </w:tcBorders>
            <w:shd w:val="clear" w:color="auto" w:fill="auto"/>
            <w:vAlign w:val="bottom"/>
          </w:tcPr>
          <w:p w:rsidR="00944DBE" w:rsidRPr="00865A54" w:rsidRDefault="00944DBE" w:rsidP="003F4D41">
            <w:pPr>
              <w:keepNext/>
              <w:rPr>
                <w:sz w:val="18"/>
                <w:szCs w:val="12"/>
                <w:lang w:eastAsia="en-US"/>
              </w:rPr>
            </w:pPr>
          </w:p>
        </w:tc>
        <w:tc>
          <w:tcPr>
            <w:tcW w:w="1164" w:type="dxa"/>
            <w:tcBorders>
              <w:top w:val="single" w:sz="4" w:space="0" w:color="BFBFBF" w:themeColor="background1" w:themeShade="BF"/>
              <w:bottom w:val="single" w:sz="4" w:space="0" w:color="BFBFBF" w:themeColor="background1" w:themeShade="BF"/>
            </w:tcBorders>
            <w:shd w:val="clear" w:color="auto" w:fill="auto"/>
            <w:vAlign w:val="bottom"/>
          </w:tcPr>
          <w:p w:rsidR="00944DBE" w:rsidRPr="00865A54" w:rsidRDefault="00944DBE">
            <w:pPr>
              <w:jc w:val="right"/>
              <w:rPr>
                <w:sz w:val="18"/>
                <w:szCs w:val="18"/>
                <w:lang w:eastAsia="en-US"/>
              </w:rPr>
            </w:pPr>
          </w:p>
        </w:tc>
      </w:tr>
      <w:tr w:rsidR="00865A54" w:rsidRPr="00865A54" w:rsidTr="003F4D41">
        <w:trPr>
          <w:jc w:val="center"/>
        </w:trPr>
        <w:tc>
          <w:tcPr>
            <w:tcW w:w="7448" w:type="dxa"/>
            <w:tcBorders>
              <w:top w:val="single" w:sz="4" w:space="0" w:color="BFBFBF" w:themeColor="background1" w:themeShade="BF"/>
              <w:left w:val="single" w:sz="4" w:space="0" w:color="BFBFBF" w:themeColor="background1" w:themeShade="BF"/>
            </w:tcBorders>
            <w:shd w:val="clear" w:color="auto" w:fill="auto"/>
            <w:vAlign w:val="bottom"/>
          </w:tcPr>
          <w:p w:rsidR="00944DBE" w:rsidRPr="00865A54" w:rsidRDefault="00A464B2" w:rsidP="003F4D41">
            <w:pPr>
              <w:keepNext/>
              <w:rPr>
                <w:sz w:val="18"/>
                <w:szCs w:val="18"/>
              </w:rPr>
            </w:pPr>
            <w:r w:rsidRPr="00865A54">
              <w:rPr>
                <w:rFonts w:hint="eastAsia"/>
                <w:sz w:val="18"/>
                <w:szCs w:val="18"/>
              </w:rPr>
              <w:t>不再需要的特别项目储备金</w:t>
            </w:r>
          </w:p>
        </w:tc>
        <w:tc>
          <w:tcPr>
            <w:tcW w:w="1164" w:type="dxa"/>
            <w:tcBorders>
              <w:top w:val="single" w:sz="4" w:space="0" w:color="BFBFBF" w:themeColor="background1" w:themeShade="BF"/>
              <w:right w:val="single" w:sz="4" w:space="0" w:color="BFBFBF" w:themeColor="background1" w:themeShade="BF"/>
            </w:tcBorders>
            <w:shd w:val="clear" w:color="auto" w:fill="auto"/>
            <w:vAlign w:val="bottom"/>
          </w:tcPr>
          <w:p w:rsidR="00944DBE" w:rsidRPr="00865A54" w:rsidRDefault="00A464B2">
            <w:pPr>
              <w:jc w:val="right"/>
              <w:rPr>
                <w:sz w:val="18"/>
                <w:szCs w:val="18"/>
                <w:u w:val="single"/>
                <w:lang w:eastAsia="en-US"/>
              </w:rPr>
            </w:pPr>
            <w:r w:rsidRPr="00865A54">
              <w:rPr>
                <w:sz w:val="18"/>
                <w:szCs w:val="18"/>
                <w:u w:val="single"/>
                <w:lang w:eastAsia="en-US"/>
              </w:rPr>
              <w:t>(3.4)</w:t>
            </w:r>
          </w:p>
        </w:tc>
      </w:tr>
      <w:tr w:rsidR="00865A54" w:rsidRPr="00865A54" w:rsidTr="003F4D41">
        <w:trPr>
          <w:jc w:val="center"/>
        </w:trPr>
        <w:tc>
          <w:tcPr>
            <w:tcW w:w="7448" w:type="dxa"/>
            <w:tcBorders>
              <w:left w:val="single" w:sz="4" w:space="0" w:color="BFBFBF" w:themeColor="background1" w:themeShade="BF"/>
            </w:tcBorders>
            <w:shd w:val="clear" w:color="auto" w:fill="auto"/>
            <w:vAlign w:val="bottom"/>
          </w:tcPr>
          <w:p w:rsidR="00944DBE" w:rsidRPr="00865A54" w:rsidRDefault="00944DBE" w:rsidP="003F4D41">
            <w:pPr>
              <w:keepNext/>
              <w:rPr>
                <w:sz w:val="18"/>
                <w:szCs w:val="12"/>
              </w:rPr>
            </w:pPr>
          </w:p>
          <w:p w:rsidR="00944DBE" w:rsidRPr="00865A54" w:rsidRDefault="00A464B2" w:rsidP="003F4D41">
            <w:pPr>
              <w:keepNext/>
              <w:rPr>
                <w:sz w:val="18"/>
                <w:szCs w:val="18"/>
              </w:rPr>
            </w:pPr>
            <w:r w:rsidRPr="00865A54">
              <w:rPr>
                <w:sz w:val="18"/>
                <w:szCs w:val="18"/>
              </w:rPr>
              <w:t>2014</w:t>
            </w:r>
            <w:r w:rsidR="0039745F">
              <w:rPr>
                <w:sz w:val="18"/>
                <w:szCs w:val="18"/>
              </w:rPr>
              <w:t>–</w:t>
            </w:r>
            <w:r w:rsidRPr="00865A54">
              <w:rPr>
                <w:sz w:val="18"/>
                <w:szCs w:val="18"/>
              </w:rPr>
              <w:t>19</w:t>
            </w:r>
            <w:r w:rsidR="004F7E15" w:rsidRPr="00865A54">
              <w:rPr>
                <w:rFonts w:hint="eastAsia"/>
                <w:sz w:val="18"/>
                <w:szCs w:val="18"/>
              </w:rPr>
              <w:t>年基建总计划</w:t>
            </w:r>
            <w:r w:rsidRPr="00865A54">
              <w:rPr>
                <w:rFonts w:hint="eastAsia"/>
                <w:sz w:val="18"/>
                <w:szCs w:val="18"/>
              </w:rPr>
              <w:t>及由储备金供资的其他实施中特别项目的特别项目储备金余额</w:t>
            </w:r>
          </w:p>
        </w:tc>
        <w:tc>
          <w:tcPr>
            <w:tcW w:w="1164" w:type="dxa"/>
            <w:tcBorders>
              <w:right w:val="single" w:sz="4" w:space="0" w:color="BFBFBF" w:themeColor="background1" w:themeShade="BF"/>
            </w:tcBorders>
            <w:shd w:val="clear" w:color="auto" w:fill="auto"/>
            <w:vAlign w:val="bottom"/>
          </w:tcPr>
          <w:p w:rsidR="00944DBE" w:rsidRPr="00865A54" w:rsidRDefault="00A464B2">
            <w:pPr>
              <w:jc w:val="right"/>
              <w:rPr>
                <w:sz w:val="18"/>
                <w:szCs w:val="18"/>
                <w:lang w:eastAsia="en-US"/>
              </w:rPr>
            </w:pPr>
            <w:r w:rsidRPr="00865A54">
              <w:rPr>
                <w:sz w:val="18"/>
                <w:szCs w:val="18"/>
                <w:lang w:eastAsia="en-US"/>
              </w:rPr>
              <w:t>13.4</w:t>
            </w:r>
          </w:p>
        </w:tc>
      </w:tr>
      <w:tr w:rsidR="00865A54" w:rsidRPr="00865A54" w:rsidTr="003F4D41">
        <w:trPr>
          <w:jc w:val="center"/>
        </w:trPr>
        <w:tc>
          <w:tcPr>
            <w:tcW w:w="7448" w:type="dxa"/>
            <w:tcBorders>
              <w:left w:val="single" w:sz="4" w:space="0" w:color="BFBFBF" w:themeColor="background1" w:themeShade="BF"/>
            </w:tcBorders>
            <w:shd w:val="clear" w:color="auto" w:fill="auto"/>
            <w:vAlign w:val="bottom"/>
          </w:tcPr>
          <w:p w:rsidR="00944DBE" w:rsidRPr="00865A54" w:rsidRDefault="00944DBE">
            <w:pPr>
              <w:rPr>
                <w:sz w:val="18"/>
                <w:szCs w:val="12"/>
              </w:rPr>
            </w:pPr>
          </w:p>
          <w:p w:rsidR="00944DBE" w:rsidRPr="00865A54" w:rsidRDefault="00A464B2">
            <w:pPr>
              <w:rPr>
                <w:sz w:val="18"/>
                <w:szCs w:val="18"/>
              </w:rPr>
            </w:pPr>
            <w:r w:rsidRPr="00865A54">
              <w:rPr>
                <w:sz w:val="18"/>
                <w:szCs w:val="18"/>
              </w:rPr>
              <w:t>2018</w:t>
            </w:r>
            <w:r w:rsidR="0039745F">
              <w:rPr>
                <w:sz w:val="18"/>
                <w:szCs w:val="18"/>
              </w:rPr>
              <w:t>–</w:t>
            </w:r>
            <w:r w:rsidRPr="00865A54">
              <w:rPr>
                <w:sz w:val="18"/>
                <w:szCs w:val="18"/>
              </w:rPr>
              <w:t>19</w:t>
            </w:r>
            <w:r w:rsidR="004F7E15" w:rsidRPr="00865A54">
              <w:rPr>
                <w:rFonts w:hint="eastAsia"/>
                <w:sz w:val="18"/>
                <w:szCs w:val="18"/>
              </w:rPr>
              <w:t>年基建总计划</w:t>
            </w:r>
            <w:r w:rsidRPr="00865A54">
              <w:rPr>
                <w:rFonts w:hint="eastAsia"/>
                <w:sz w:val="18"/>
                <w:szCs w:val="18"/>
              </w:rPr>
              <w:t>项目批准后的预计特别项目储备金</w:t>
            </w:r>
          </w:p>
        </w:tc>
        <w:tc>
          <w:tcPr>
            <w:tcW w:w="1164" w:type="dxa"/>
            <w:tcBorders>
              <w:right w:val="single" w:sz="4" w:space="0" w:color="BFBFBF" w:themeColor="background1" w:themeShade="BF"/>
            </w:tcBorders>
            <w:shd w:val="clear" w:color="auto" w:fill="auto"/>
            <w:vAlign w:val="bottom"/>
          </w:tcPr>
          <w:p w:rsidR="00944DBE" w:rsidRPr="00865A54" w:rsidRDefault="00A464B2">
            <w:pPr>
              <w:jc w:val="right"/>
              <w:rPr>
                <w:sz w:val="18"/>
                <w:szCs w:val="18"/>
                <w:u w:val="single"/>
                <w:lang w:eastAsia="en-US"/>
              </w:rPr>
            </w:pPr>
            <w:r w:rsidRPr="00865A54">
              <w:rPr>
                <w:sz w:val="18"/>
                <w:szCs w:val="18"/>
                <w:u w:val="single"/>
                <w:lang w:eastAsia="en-US"/>
              </w:rPr>
              <w:t>25.5</w:t>
            </w:r>
          </w:p>
        </w:tc>
      </w:tr>
      <w:tr w:rsidR="00865A54" w:rsidRPr="00865A54" w:rsidTr="003F4D41">
        <w:trPr>
          <w:jc w:val="center"/>
        </w:trPr>
        <w:tc>
          <w:tcPr>
            <w:tcW w:w="7448" w:type="dxa"/>
            <w:tcBorders>
              <w:left w:val="single" w:sz="4" w:space="0" w:color="BFBFBF" w:themeColor="background1" w:themeShade="BF"/>
              <w:bottom w:val="single" w:sz="4" w:space="0" w:color="BFBFBF" w:themeColor="background1" w:themeShade="BF"/>
            </w:tcBorders>
            <w:shd w:val="clear" w:color="auto" w:fill="auto"/>
            <w:vAlign w:val="bottom"/>
          </w:tcPr>
          <w:p w:rsidR="00944DBE" w:rsidRPr="00865A54" w:rsidRDefault="00944DBE">
            <w:pPr>
              <w:rPr>
                <w:sz w:val="18"/>
                <w:szCs w:val="12"/>
              </w:rPr>
            </w:pPr>
          </w:p>
          <w:p w:rsidR="00944DBE" w:rsidRPr="00865A54" w:rsidRDefault="00A464B2" w:rsidP="004F7E15">
            <w:pPr>
              <w:spacing w:after="60"/>
              <w:rPr>
                <w:sz w:val="18"/>
                <w:szCs w:val="12"/>
              </w:rPr>
            </w:pPr>
            <w:r w:rsidRPr="00865A54">
              <w:rPr>
                <w:rFonts w:hint="eastAsia"/>
                <w:sz w:val="18"/>
                <w:szCs w:val="18"/>
              </w:rPr>
              <w:t>包括</w:t>
            </w:r>
            <w:r w:rsidRPr="00865A54">
              <w:rPr>
                <w:sz w:val="18"/>
                <w:szCs w:val="18"/>
              </w:rPr>
              <w:t>2018</w:t>
            </w:r>
            <w:r w:rsidR="0039745F">
              <w:rPr>
                <w:sz w:val="18"/>
                <w:szCs w:val="18"/>
              </w:rPr>
              <w:t>–</w:t>
            </w:r>
            <w:r w:rsidRPr="00865A54">
              <w:rPr>
                <w:sz w:val="18"/>
                <w:szCs w:val="18"/>
              </w:rPr>
              <w:t>19</w:t>
            </w:r>
            <w:r w:rsidR="004F7E15" w:rsidRPr="00865A54">
              <w:rPr>
                <w:rFonts w:hint="eastAsia"/>
                <w:sz w:val="18"/>
                <w:szCs w:val="18"/>
              </w:rPr>
              <w:t>年基建总计划</w:t>
            </w:r>
            <w:r w:rsidRPr="00865A54">
              <w:rPr>
                <w:rFonts w:hint="eastAsia"/>
                <w:sz w:val="18"/>
                <w:szCs w:val="18"/>
              </w:rPr>
              <w:t>在内的预计特别项目储备金总额</w:t>
            </w:r>
          </w:p>
        </w:tc>
        <w:tc>
          <w:tcPr>
            <w:tcW w:w="1164" w:type="dxa"/>
            <w:tcBorders>
              <w:bottom w:val="single" w:sz="4" w:space="0" w:color="BFBFBF" w:themeColor="background1" w:themeShade="BF"/>
              <w:right w:val="single" w:sz="4" w:space="0" w:color="BFBFBF" w:themeColor="background1" w:themeShade="BF"/>
            </w:tcBorders>
            <w:shd w:val="clear" w:color="auto" w:fill="auto"/>
            <w:vAlign w:val="bottom"/>
          </w:tcPr>
          <w:p w:rsidR="00944DBE" w:rsidRPr="00865A54" w:rsidRDefault="00A464B2" w:rsidP="003F4D41">
            <w:pPr>
              <w:spacing w:after="60"/>
              <w:jc w:val="right"/>
              <w:rPr>
                <w:sz w:val="18"/>
                <w:szCs w:val="18"/>
                <w:lang w:eastAsia="en-US"/>
              </w:rPr>
            </w:pPr>
            <w:r w:rsidRPr="00865A54">
              <w:rPr>
                <w:sz w:val="18"/>
                <w:szCs w:val="18"/>
                <w:lang w:eastAsia="en-US"/>
              </w:rPr>
              <w:t>38.9</w:t>
            </w:r>
          </w:p>
        </w:tc>
      </w:tr>
      <w:tr w:rsidR="00865A54" w:rsidRPr="00865A54" w:rsidTr="003F4D41">
        <w:trPr>
          <w:jc w:val="center"/>
        </w:trPr>
        <w:tc>
          <w:tcPr>
            <w:tcW w:w="7448" w:type="dxa"/>
            <w:tcBorders>
              <w:top w:val="single" w:sz="4" w:space="0" w:color="BFBFBF" w:themeColor="background1" w:themeShade="BF"/>
              <w:bottom w:val="single" w:sz="4" w:space="0" w:color="BFBFBF" w:themeColor="background1" w:themeShade="BF"/>
            </w:tcBorders>
            <w:shd w:val="clear" w:color="auto" w:fill="auto"/>
            <w:vAlign w:val="bottom"/>
          </w:tcPr>
          <w:p w:rsidR="00944DBE" w:rsidRPr="00865A54" w:rsidRDefault="00944DBE">
            <w:pPr>
              <w:rPr>
                <w:sz w:val="18"/>
                <w:szCs w:val="18"/>
                <w:lang w:eastAsia="en-US"/>
              </w:rPr>
            </w:pPr>
          </w:p>
        </w:tc>
        <w:tc>
          <w:tcPr>
            <w:tcW w:w="1164" w:type="dxa"/>
            <w:tcBorders>
              <w:top w:val="single" w:sz="4" w:space="0" w:color="BFBFBF" w:themeColor="background1" w:themeShade="BF"/>
              <w:bottom w:val="single" w:sz="4" w:space="0" w:color="BFBFBF" w:themeColor="background1" w:themeShade="BF"/>
            </w:tcBorders>
            <w:shd w:val="clear" w:color="auto" w:fill="auto"/>
            <w:vAlign w:val="bottom"/>
          </w:tcPr>
          <w:p w:rsidR="00944DBE" w:rsidRPr="00865A54" w:rsidRDefault="00944DBE">
            <w:pPr>
              <w:jc w:val="right"/>
              <w:rPr>
                <w:sz w:val="18"/>
                <w:szCs w:val="18"/>
                <w:lang w:eastAsia="en-US"/>
              </w:rPr>
            </w:pPr>
          </w:p>
        </w:tc>
      </w:tr>
      <w:tr w:rsidR="00865A54" w:rsidRPr="00865A54" w:rsidTr="003F4D41">
        <w:trPr>
          <w:jc w:val="center"/>
        </w:trPr>
        <w:tc>
          <w:tcPr>
            <w:tcW w:w="7448" w:type="dxa"/>
            <w:tcBorders>
              <w:top w:val="single" w:sz="4" w:space="0" w:color="BFBFBF" w:themeColor="background1" w:themeShade="BF"/>
              <w:left w:val="single" w:sz="4" w:space="0" w:color="BFBFBF" w:themeColor="background1" w:themeShade="BF"/>
            </w:tcBorders>
            <w:shd w:val="clear" w:color="auto" w:fill="auto"/>
            <w:vAlign w:val="bottom"/>
          </w:tcPr>
          <w:p w:rsidR="00944DBE" w:rsidRPr="00865A54" w:rsidRDefault="00A464B2" w:rsidP="004F7E15">
            <w:pPr>
              <w:rPr>
                <w:sz w:val="18"/>
                <w:szCs w:val="18"/>
              </w:rPr>
            </w:pPr>
            <w:r w:rsidRPr="00865A54">
              <w:rPr>
                <w:rFonts w:hint="eastAsia"/>
                <w:sz w:val="18"/>
                <w:szCs w:val="18"/>
              </w:rPr>
              <w:t>储备金总额，不含包括</w:t>
            </w:r>
            <w:r w:rsidRPr="00865A54">
              <w:rPr>
                <w:sz w:val="18"/>
                <w:szCs w:val="18"/>
              </w:rPr>
              <w:t>2018</w:t>
            </w:r>
            <w:r w:rsidR="0039745F">
              <w:rPr>
                <w:sz w:val="18"/>
                <w:szCs w:val="18"/>
              </w:rPr>
              <w:t>–</w:t>
            </w:r>
            <w:r w:rsidRPr="00865A54">
              <w:rPr>
                <w:sz w:val="18"/>
                <w:szCs w:val="18"/>
              </w:rPr>
              <w:t>19</w:t>
            </w:r>
            <w:r w:rsidR="004F7E15" w:rsidRPr="00865A54">
              <w:rPr>
                <w:rFonts w:hint="eastAsia"/>
                <w:sz w:val="18"/>
                <w:szCs w:val="18"/>
              </w:rPr>
              <w:t>年基建总计划</w:t>
            </w:r>
            <w:r w:rsidRPr="00865A54">
              <w:rPr>
                <w:rFonts w:hint="eastAsia"/>
                <w:sz w:val="18"/>
                <w:szCs w:val="18"/>
              </w:rPr>
              <w:t>在内的预计特别项目储备金总额</w:t>
            </w:r>
          </w:p>
        </w:tc>
        <w:tc>
          <w:tcPr>
            <w:tcW w:w="1164" w:type="dxa"/>
            <w:tcBorders>
              <w:top w:val="single" w:sz="4" w:space="0" w:color="BFBFBF" w:themeColor="background1" w:themeShade="BF"/>
              <w:right w:val="single" w:sz="4" w:space="0" w:color="BFBFBF" w:themeColor="background1" w:themeShade="BF"/>
            </w:tcBorders>
            <w:shd w:val="clear" w:color="auto" w:fill="auto"/>
            <w:vAlign w:val="bottom"/>
          </w:tcPr>
          <w:p w:rsidR="00944DBE" w:rsidRPr="00865A54" w:rsidRDefault="00A464B2">
            <w:pPr>
              <w:jc w:val="right"/>
              <w:rPr>
                <w:sz w:val="18"/>
                <w:szCs w:val="18"/>
                <w:lang w:eastAsia="en-US"/>
              </w:rPr>
            </w:pPr>
            <w:r w:rsidRPr="00865A54">
              <w:rPr>
                <w:sz w:val="18"/>
                <w:szCs w:val="18"/>
                <w:lang w:eastAsia="en-US"/>
              </w:rPr>
              <w:t>248.9</w:t>
            </w:r>
          </w:p>
        </w:tc>
      </w:tr>
      <w:tr w:rsidR="00865A54" w:rsidRPr="00865A54" w:rsidTr="003F4D41">
        <w:trPr>
          <w:jc w:val="center"/>
        </w:trPr>
        <w:tc>
          <w:tcPr>
            <w:tcW w:w="7448" w:type="dxa"/>
            <w:tcBorders>
              <w:left w:val="single" w:sz="4" w:space="0" w:color="BFBFBF" w:themeColor="background1" w:themeShade="BF"/>
            </w:tcBorders>
            <w:shd w:val="clear" w:color="auto" w:fill="auto"/>
            <w:vAlign w:val="center"/>
          </w:tcPr>
          <w:p w:rsidR="00944DBE" w:rsidRPr="00865A54" w:rsidRDefault="00944DBE">
            <w:pPr>
              <w:rPr>
                <w:sz w:val="18"/>
                <w:szCs w:val="12"/>
                <w:lang w:eastAsia="en-US"/>
              </w:rPr>
            </w:pPr>
          </w:p>
          <w:p w:rsidR="00944DBE" w:rsidRPr="00865A54" w:rsidRDefault="00A464B2" w:rsidP="003F4D41">
            <w:pPr>
              <w:spacing w:after="60"/>
              <w:rPr>
                <w:sz w:val="18"/>
                <w:szCs w:val="18"/>
                <w:lang w:eastAsia="en-US"/>
              </w:rPr>
            </w:pPr>
            <w:r w:rsidRPr="00865A54">
              <w:rPr>
                <w:sz w:val="18"/>
                <w:szCs w:val="18"/>
                <w:lang w:eastAsia="en-US"/>
              </w:rPr>
              <w:t>2018/19</w:t>
            </w:r>
            <w:r w:rsidR="003F4D41">
              <w:rPr>
                <w:rFonts w:hint="eastAsia"/>
                <w:sz w:val="18"/>
                <w:szCs w:val="18"/>
              </w:rPr>
              <w:t>年</w:t>
            </w:r>
            <w:r w:rsidRPr="00865A54">
              <w:rPr>
                <w:rFonts w:hint="eastAsia"/>
                <w:sz w:val="18"/>
                <w:szCs w:val="18"/>
              </w:rPr>
              <w:t>的</w:t>
            </w:r>
            <w:r w:rsidRPr="00865A54">
              <w:rPr>
                <w:sz w:val="18"/>
                <w:szCs w:val="18"/>
                <w:lang w:eastAsia="en-US"/>
              </w:rPr>
              <w:t>RWCF</w:t>
            </w:r>
            <w:r w:rsidRPr="00865A54">
              <w:rPr>
                <w:rFonts w:hint="eastAsia"/>
                <w:sz w:val="18"/>
                <w:szCs w:val="18"/>
              </w:rPr>
              <w:t>目标</w:t>
            </w:r>
            <w:r w:rsidRPr="00865A54">
              <w:rPr>
                <w:sz w:val="18"/>
                <w:szCs w:val="18"/>
                <w:lang w:eastAsia="en-US"/>
              </w:rPr>
              <w:t>**</w:t>
            </w:r>
          </w:p>
        </w:tc>
        <w:tc>
          <w:tcPr>
            <w:tcW w:w="1164" w:type="dxa"/>
            <w:tcBorders>
              <w:right w:val="single" w:sz="4" w:space="0" w:color="BFBFBF" w:themeColor="background1" w:themeShade="BF"/>
            </w:tcBorders>
            <w:shd w:val="clear" w:color="auto" w:fill="auto"/>
            <w:vAlign w:val="center"/>
          </w:tcPr>
          <w:p w:rsidR="00944DBE" w:rsidRPr="00865A54" w:rsidRDefault="00944DBE">
            <w:pPr>
              <w:jc w:val="right"/>
              <w:rPr>
                <w:sz w:val="18"/>
                <w:szCs w:val="12"/>
                <w:u w:val="single"/>
                <w:lang w:eastAsia="en-US"/>
              </w:rPr>
            </w:pPr>
          </w:p>
          <w:p w:rsidR="00944DBE" w:rsidRPr="00865A54" w:rsidRDefault="00A464B2">
            <w:pPr>
              <w:spacing w:after="60"/>
              <w:jc w:val="right"/>
              <w:rPr>
                <w:sz w:val="18"/>
                <w:szCs w:val="18"/>
                <w:u w:val="single"/>
                <w:lang w:eastAsia="en-US"/>
              </w:rPr>
            </w:pPr>
            <w:r w:rsidRPr="00865A54">
              <w:rPr>
                <w:sz w:val="18"/>
                <w:szCs w:val="18"/>
                <w:u w:val="single"/>
                <w:lang w:eastAsia="en-US"/>
              </w:rPr>
              <w:t>159.8</w:t>
            </w:r>
          </w:p>
        </w:tc>
      </w:tr>
      <w:tr w:rsidR="00865A54" w:rsidRPr="00865A54" w:rsidTr="003F4D41">
        <w:trPr>
          <w:jc w:val="center"/>
        </w:trPr>
        <w:tc>
          <w:tcPr>
            <w:tcW w:w="7448" w:type="dxa"/>
            <w:tcBorders>
              <w:left w:val="single" w:sz="4" w:space="0" w:color="BFBFBF" w:themeColor="background1" w:themeShade="BF"/>
            </w:tcBorders>
            <w:shd w:val="clear" w:color="auto" w:fill="C6D9F1" w:themeFill="text2" w:themeFillTint="33"/>
            <w:tcMar>
              <w:top w:w="57" w:type="dxa"/>
            </w:tcMar>
          </w:tcPr>
          <w:p w:rsidR="00944DBE" w:rsidRPr="00865A54" w:rsidRDefault="00A464B2">
            <w:pPr>
              <w:rPr>
                <w:b/>
                <w:bCs/>
                <w:sz w:val="18"/>
                <w:szCs w:val="18"/>
              </w:rPr>
            </w:pPr>
            <w:r w:rsidRPr="00865A54">
              <w:rPr>
                <w:rFonts w:hint="eastAsia"/>
                <w:b/>
                <w:bCs/>
                <w:sz w:val="18"/>
                <w:szCs w:val="18"/>
              </w:rPr>
              <w:t>超出储备</w:t>
            </w:r>
            <w:proofErr w:type="gramStart"/>
            <w:r w:rsidRPr="00865A54">
              <w:rPr>
                <w:rFonts w:hint="eastAsia"/>
                <w:b/>
                <w:bCs/>
                <w:sz w:val="18"/>
                <w:szCs w:val="18"/>
              </w:rPr>
              <w:t>金目标</w:t>
            </w:r>
            <w:proofErr w:type="gramEnd"/>
            <w:r w:rsidRPr="00865A54">
              <w:rPr>
                <w:rFonts w:hint="eastAsia"/>
                <w:b/>
                <w:bCs/>
                <w:sz w:val="18"/>
                <w:szCs w:val="18"/>
              </w:rPr>
              <w:t>水平的储备金余额</w:t>
            </w:r>
            <w:r w:rsidRPr="00865A54">
              <w:rPr>
                <w:b/>
                <w:bCs/>
                <w:sz w:val="18"/>
                <w:szCs w:val="18"/>
              </w:rPr>
              <w:t>***</w:t>
            </w:r>
          </w:p>
        </w:tc>
        <w:tc>
          <w:tcPr>
            <w:tcW w:w="1164" w:type="dxa"/>
            <w:tcBorders>
              <w:right w:val="single" w:sz="4" w:space="0" w:color="BFBFBF" w:themeColor="background1" w:themeShade="BF"/>
            </w:tcBorders>
            <w:shd w:val="clear" w:color="auto" w:fill="C6D9F1" w:themeFill="text2" w:themeFillTint="33"/>
          </w:tcPr>
          <w:p w:rsidR="00944DBE" w:rsidRPr="00865A54" w:rsidRDefault="00A464B2">
            <w:pPr>
              <w:jc w:val="right"/>
              <w:rPr>
                <w:b/>
                <w:bCs/>
                <w:sz w:val="18"/>
                <w:szCs w:val="18"/>
                <w:lang w:eastAsia="en-US"/>
              </w:rPr>
            </w:pPr>
            <w:r w:rsidRPr="00865A54">
              <w:rPr>
                <w:b/>
                <w:bCs/>
                <w:sz w:val="18"/>
                <w:szCs w:val="18"/>
                <w:lang w:eastAsia="en-US"/>
              </w:rPr>
              <w:t>89.1</w:t>
            </w:r>
          </w:p>
        </w:tc>
      </w:tr>
      <w:tr w:rsidR="00944DBE" w:rsidRPr="00F15E6C" w:rsidTr="003F4D41">
        <w:trPr>
          <w:jc w:val="center"/>
        </w:trPr>
        <w:tc>
          <w:tcPr>
            <w:tcW w:w="8612" w:type="dxa"/>
            <w:gridSpan w:val="2"/>
            <w:tcBorders>
              <w:top w:val="single" w:sz="4" w:space="0" w:color="BFBFBF" w:themeColor="background1" w:themeShade="BF"/>
            </w:tcBorders>
            <w:shd w:val="clear" w:color="auto" w:fill="auto"/>
            <w:vAlign w:val="bottom"/>
          </w:tcPr>
          <w:p w:rsidR="00944DBE" w:rsidRPr="003F4D41" w:rsidRDefault="00944DBE">
            <w:pPr>
              <w:rPr>
                <w:rFonts w:ascii="KaiTi" w:eastAsia="KaiTi" w:hAnsi="KaiTi"/>
                <w:color w:val="000000"/>
                <w:sz w:val="13"/>
                <w:szCs w:val="8"/>
              </w:rPr>
            </w:pPr>
          </w:p>
          <w:p w:rsidR="00944DBE" w:rsidRPr="003F4D41" w:rsidRDefault="00A464B2">
            <w:pPr>
              <w:rPr>
                <w:rFonts w:ascii="KaiTi" w:eastAsia="KaiTi" w:hAnsi="KaiTi"/>
                <w:color w:val="000000"/>
                <w:sz w:val="16"/>
                <w:szCs w:val="16"/>
              </w:rPr>
            </w:pPr>
            <w:r w:rsidRPr="003F4D41">
              <w:rPr>
                <w:rFonts w:ascii="KaiTi" w:eastAsia="KaiTi" w:hAnsi="KaiTi"/>
                <w:color w:val="000000"/>
                <w:sz w:val="16"/>
                <w:szCs w:val="16"/>
              </w:rPr>
              <w:t>*</w:t>
            </w:r>
            <w:r w:rsidRPr="003F4D41">
              <w:rPr>
                <w:rFonts w:ascii="KaiTi" w:eastAsia="KaiTi" w:hAnsi="KaiTi" w:cs="SimSun" w:hint="eastAsia"/>
                <w:color w:val="000000"/>
                <w:sz w:val="16"/>
                <w:szCs w:val="16"/>
              </w:rPr>
              <w:t>不包括周转基金（</w:t>
            </w:r>
            <w:r w:rsidRPr="003F4D41">
              <w:rPr>
                <w:rFonts w:ascii="KaiTi" w:eastAsia="KaiTi" w:hAnsi="KaiTi" w:hint="eastAsia"/>
                <w:color w:val="000000"/>
                <w:sz w:val="16"/>
                <w:szCs w:val="16"/>
              </w:rPr>
              <w:t>WCF</w:t>
            </w:r>
            <w:r w:rsidRPr="003F4D41">
              <w:rPr>
                <w:rFonts w:ascii="KaiTi" w:eastAsia="KaiTi" w:hAnsi="KaiTi" w:cs="SimSun" w:hint="eastAsia"/>
                <w:color w:val="000000"/>
                <w:sz w:val="16"/>
                <w:szCs w:val="16"/>
              </w:rPr>
              <w:t>）和重估储备</w:t>
            </w:r>
            <w:r w:rsidRPr="003F4D41">
              <w:rPr>
                <w:rFonts w:ascii="KaiTi" w:eastAsia="KaiTi" w:hAnsi="KaiTi" w:hint="eastAsia"/>
                <w:color w:val="000000"/>
                <w:sz w:val="16"/>
                <w:szCs w:val="16"/>
              </w:rPr>
              <w:t>金盈余</w:t>
            </w:r>
          </w:p>
          <w:p w:rsidR="00944DBE" w:rsidRPr="003F4D41" w:rsidRDefault="00A464B2">
            <w:pPr>
              <w:rPr>
                <w:rFonts w:ascii="KaiTi" w:eastAsia="KaiTi" w:hAnsi="KaiTi"/>
                <w:color w:val="000000"/>
                <w:sz w:val="16"/>
                <w:szCs w:val="16"/>
              </w:rPr>
            </w:pPr>
            <w:r w:rsidRPr="003F4D41">
              <w:rPr>
                <w:rFonts w:ascii="KaiTi" w:eastAsia="KaiTi" w:hAnsi="KaiTi"/>
                <w:color w:val="000000"/>
                <w:sz w:val="16"/>
                <w:szCs w:val="16"/>
              </w:rPr>
              <w:t>**</w:t>
            </w:r>
            <w:r w:rsidRPr="003F4D41">
              <w:rPr>
                <w:rFonts w:ascii="KaiTi" w:eastAsia="KaiTi" w:hAnsi="KaiTi" w:cs="SimSun" w:hint="eastAsia"/>
                <w:color w:val="000000"/>
                <w:sz w:val="16"/>
                <w:szCs w:val="16"/>
              </w:rPr>
              <w:t>储备</w:t>
            </w:r>
            <w:proofErr w:type="gramStart"/>
            <w:r w:rsidRPr="003F4D41">
              <w:rPr>
                <w:rFonts w:ascii="KaiTi" w:eastAsia="KaiTi" w:hAnsi="KaiTi" w:cs="SimSun" w:hint="eastAsia"/>
                <w:color w:val="000000"/>
                <w:sz w:val="16"/>
                <w:szCs w:val="16"/>
              </w:rPr>
              <w:t>金目标</w:t>
            </w:r>
            <w:proofErr w:type="gramEnd"/>
            <w:r w:rsidRPr="003F4D41">
              <w:rPr>
                <w:rFonts w:ascii="KaiTi" w:eastAsia="KaiTi" w:hAnsi="KaiTi" w:cs="SimSun" w:hint="eastAsia"/>
                <w:color w:val="000000"/>
                <w:sz w:val="16"/>
                <w:szCs w:val="16"/>
              </w:rPr>
              <w:t>是根据修订</w:t>
            </w:r>
            <w:r w:rsidRPr="003F4D41">
              <w:rPr>
                <w:rFonts w:ascii="KaiTi" w:eastAsia="KaiTi" w:hAnsi="KaiTi" w:hint="eastAsia"/>
                <w:color w:val="000000"/>
                <w:sz w:val="16"/>
                <w:szCs w:val="16"/>
              </w:rPr>
              <w:t>后</w:t>
            </w:r>
            <w:r w:rsidRPr="003F4D41">
              <w:rPr>
                <w:rFonts w:ascii="KaiTi" w:eastAsia="KaiTi" w:hAnsi="KaiTi" w:cs="SimSun" w:hint="eastAsia"/>
                <w:color w:val="000000"/>
                <w:sz w:val="16"/>
                <w:szCs w:val="16"/>
              </w:rPr>
              <w:t>储备</w:t>
            </w:r>
            <w:proofErr w:type="gramStart"/>
            <w:r w:rsidRPr="003F4D41">
              <w:rPr>
                <w:rFonts w:ascii="KaiTi" w:eastAsia="KaiTi" w:hAnsi="KaiTi" w:cs="SimSun" w:hint="eastAsia"/>
                <w:color w:val="000000"/>
                <w:sz w:val="16"/>
                <w:szCs w:val="16"/>
              </w:rPr>
              <w:t>金政策</w:t>
            </w:r>
            <w:proofErr w:type="gramEnd"/>
            <w:r w:rsidRPr="003F4D41">
              <w:rPr>
                <w:rFonts w:ascii="KaiTi" w:eastAsia="KaiTi" w:hAnsi="KaiTi" w:hint="eastAsia"/>
                <w:color w:val="000000"/>
                <w:sz w:val="16"/>
                <w:szCs w:val="16"/>
              </w:rPr>
              <w:t>中为</w:t>
            </w:r>
            <w:r w:rsidR="003F4D41">
              <w:rPr>
                <w:rFonts w:ascii="KaiTi" w:eastAsia="KaiTi" w:hAnsi="KaiTi" w:hint="eastAsia"/>
                <w:color w:val="000000"/>
                <w:sz w:val="16"/>
                <w:szCs w:val="16"/>
              </w:rPr>
              <w:t>各</w:t>
            </w:r>
            <w:r w:rsidRPr="003F4D41">
              <w:rPr>
                <w:rFonts w:ascii="KaiTi" w:eastAsia="KaiTi" w:hAnsi="KaiTi" w:hint="eastAsia"/>
                <w:color w:val="000000"/>
                <w:sz w:val="16"/>
                <w:szCs w:val="16"/>
              </w:rPr>
              <w:t>联盟</w:t>
            </w:r>
            <w:r w:rsidRPr="003F4D41">
              <w:rPr>
                <w:rFonts w:ascii="KaiTi" w:eastAsia="KaiTi" w:hAnsi="KaiTi" w:cs="SimSun" w:hint="eastAsia"/>
                <w:color w:val="000000"/>
                <w:sz w:val="16"/>
                <w:szCs w:val="16"/>
              </w:rPr>
              <w:t>确定的目标</w:t>
            </w:r>
            <w:r w:rsidRPr="003F4D41">
              <w:rPr>
                <w:rFonts w:ascii="KaiTi" w:eastAsia="KaiTi" w:hAnsi="KaiTi" w:hint="eastAsia"/>
                <w:color w:val="000000"/>
                <w:sz w:val="16"/>
                <w:szCs w:val="16"/>
              </w:rPr>
              <w:t>制定的，</w:t>
            </w:r>
            <w:r w:rsidRPr="003F4D41">
              <w:rPr>
                <w:rFonts w:ascii="KaiTi" w:eastAsia="KaiTi" w:hAnsi="KaiTi" w:cs="SimSun" w:hint="eastAsia"/>
                <w:color w:val="000000"/>
                <w:sz w:val="16"/>
                <w:szCs w:val="16"/>
              </w:rPr>
              <w:t>即</w:t>
            </w:r>
            <w:r w:rsidRPr="003F4D41">
              <w:rPr>
                <w:rFonts w:ascii="KaiTi" w:eastAsia="KaiTi" w:hAnsi="KaiTi" w:hint="eastAsia"/>
                <w:color w:val="000000"/>
                <w:sz w:val="16"/>
                <w:szCs w:val="16"/>
              </w:rPr>
              <w:t>2018/19</w:t>
            </w:r>
            <w:r w:rsidRPr="003F4D41">
              <w:rPr>
                <w:rFonts w:ascii="KaiTi" w:eastAsia="KaiTi" w:hAnsi="KaiTi" w:cs="SimSun" w:hint="eastAsia"/>
                <w:color w:val="000000"/>
                <w:sz w:val="16"/>
                <w:szCs w:val="16"/>
              </w:rPr>
              <w:t>两年期预算总额</w:t>
            </w:r>
            <w:r w:rsidRPr="003F4D41">
              <w:rPr>
                <w:rFonts w:ascii="KaiTi" w:eastAsia="KaiTi" w:hAnsi="KaiTi" w:hint="eastAsia"/>
                <w:color w:val="000000"/>
                <w:sz w:val="16"/>
                <w:szCs w:val="16"/>
              </w:rPr>
              <w:t>7.25</w:t>
            </w:r>
            <w:r w:rsidRPr="003F4D41">
              <w:rPr>
                <w:rFonts w:ascii="KaiTi" w:eastAsia="KaiTi" w:hAnsi="KaiTi" w:cs="SimSun" w:hint="eastAsia"/>
                <w:color w:val="000000"/>
                <w:sz w:val="16"/>
                <w:szCs w:val="16"/>
              </w:rPr>
              <w:t>亿瑞士法郎的</w:t>
            </w:r>
            <w:r w:rsidRPr="003F4D41">
              <w:rPr>
                <w:rFonts w:ascii="KaiTi" w:eastAsia="KaiTi" w:hAnsi="KaiTi" w:hint="eastAsia"/>
                <w:color w:val="000000"/>
                <w:sz w:val="16"/>
                <w:szCs w:val="16"/>
              </w:rPr>
              <w:t>22</w:t>
            </w:r>
            <w:r w:rsidR="003F4D41">
              <w:rPr>
                <w:rFonts w:ascii="KaiTi" w:eastAsia="KaiTi" w:hAnsi="KaiTi" w:cs="SimSun" w:hint="eastAsia"/>
                <w:color w:val="000000"/>
                <w:sz w:val="16"/>
                <w:szCs w:val="16"/>
              </w:rPr>
              <w:t>%</w:t>
            </w:r>
            <w:r w:rsidRPr="003F4D41">
              <w:rPr>
                <w:rFonts w:ascii="KaiTi" w:eastAsia="KaiTi" w:hAnsi="KaiTi" w:hint="eastAsia"/>
                <w:color w:val="000000"/>
                <w:sz w:val="16"/>
                <w:szCs w:val="16"/>
              </w:rPr>
              <w:t>。</w:t>
            </w:r>
          </w:p>
          <w:p w:rsidR="00944DBE" w:rsidRPr="003F4D41" w:rsidRDefault="00A464B2">
            <w:pPr>
              <w:rPr>
                <w:rFonts w:ascii="SimSun" w:hAnsi="SimSun"/>
                <w:color w:val="000000"/>
                <w:sz w:val="16"/>
                <w:szCs w:val="18"/>
              </w:rPr>
            </w:pPr>
            <w:r w:rsidRPr="003F4D41">
              <w:rPr>
                <w:rFonts w:ascii="KaiTi" w:eastAsia="KaiTi" w:hAnsi="KaiTi"/>
                <w:color w:val="000000"/>
                <w:sz w:val="16"/>
                <w:szCs w:val="16"/>
              </w:rPr>
              <w:t>***</w:t>
            </w:r>
            <w:r w:rsidRPr="003F4D41">
              <w:rPr>
                <w:rFonts w:ascii="KaiTi" w:eastAsia="KaiTi" w:hAnsi="KaiTi" w:cs="SimSun" w:hint="eastAsia"/>
                <w:color w:val="000000"/>
                <w:sz w:val="16"/>
                <w:szCs w:val="16"/>
              </w:rPr>
              <w:t>不考虑</w:t>
            </w:r>
            <w:r w:rsidRPr="003F4D41">
              <w:rPr>
                <w:rFonts w:ascii="KaiTi" w:eastAsia="KaiTi" w:hAnsi="KaiTi" w:hint="eastAsia"/>
                <w:color w:val="000000"/>
                <w:sz w:val="16"/>
                <w:szCs w:val="16"/>
              </w:rPr>
              <w:t>总额2</w:t>
            </w:r>
            <w:r w:rsidR="008E5A15">
              <w:rPr>
                <w:rFonts w:ascii="KaiTi" w:eastAsia="KaiTi" w:hAnsi="KaiTi" w:hint="eastAsia"/>
                <w:color w:val="000000"/>
                <w:sz w:val="16"/>
                <w:szCs w:val="16"/>
              </w:rPr>
              <w:t>,</w:t>
            </w:r>
            <w:r w:rsidRPr="003F4D41">
              <w:rPr>
                <w:rFonts w:ascii="KaiTi" w:eastAsia="KaiTi" w:hAnsi="KaiTi" w:hint="eastAsia"/>
                <w:color w:val="000000"/>
                <w:sz w:val="16"/>
                <w:szCs w:val="16"/>
              </w:rPr>
              <w:t>430</w:t>
            </w:r>
            <w:proofErr w:type="gramStart"/>
            <w:r w:rsidRPr="003F4D41">
              <w:rPr>
                <w:rFonts w:ascii="KaiTi" w:eastAsia="KaiTi" w:hAnsi="KaiTi" w:cs="SimSun" w:hint="eastAsia"/>
                <w:color w:val="000000"/>
                <w:sz w:val="16"/>
                <w:szCs w:val="16"/>
              </w:rPr>
              <w:t>万瑞</w:t>
            </w:r>
            <w:proofErr w:type="gramEnd"/>
            <w:r w:rsidRPr="003F4D41">
              <w:rPr>
                <w:rFonts w:ascii="KaiTi" w:eastAsia="KaiTi" w:hAnsi="KaiTi" w:cs="SimSun" w:hint="eastAsia"/>
                <w:color w:val="000000"/>
                <w:sz w:val="16"/>
                <w:szCs w:val="16"/>
              </w:rPr>
              <w:t>郎</w:t>
            </w:r>
            <w:r w:rsidRPr="003F4D41">
              <w:rPr>
                <w:rFonts w:ascii="KaiTi" w:eastAsia="KaiTi" w:hAnsi="KaiTi" w:hint="eastAsia"/>
                <w:color w:val="000000"/>
                <w:sz w:val="16"/>
                <w:szCs w:val="16"/>
              </w:rPr>
              <w:t>的2017</w:t>
            </w:r>
            <w:r w:rsidRPr="003F4D41">
              <w:rPr>
                <w:rFonts w:ascii="KaiTi" w:eastAsia="KaiTi" w:hAnsi="KaiTi" w:cs="SimSun" w:hint="eastAsia"/>
                <w:color w:val="000000"/>
                <w:sz w:val="16"/>
                <w:szCs w:val="16"/>
              </w:rPr>
              <w:t>年储备支出</w:t>
            </w:r>
            <w:r w:rsidRPr="003F4D41">
              <w:rPr>
                <w:rFonts w:ascii="KaiTi" w:eastAsia="KaiTi" w:hAnsi="KaiTi" w:hint="eastAsia"/>
                <w:color w:val="000000"/>
                <w:sz w:val="16"/>
                <w:szCs w:val="16"/>
              </w:rPr>
              <w:t>后</w:t>
            </w:r>
            <w:r w:rsidRPr="003F4D41">
              <w:rPr>
                <w:rFonts w:ascii="KaiTi" w:eastAsia="KaiTi" w:hAnsi="KaiTi" w:cs="SimSun" w:hint="eastAsia"/>
                <w:color w:val="000000"/>
                <w:sz w:val="16"/>
                <w:szCs w:val="16"/>
              </w:rPr>
              <w:t>的预期总体</w:t>
            </w:r>
            <w:r w:rsidRPr="003F4D41">
              <w:rPr>
                <w:rFonts w:ascii="KaiTi" w:eastAsia="KaiTi" w:hAnsi="KaiTi" w:hint="eastAsia"/>
                <w:color w:val="000000"/>
                <w:sz w:val="16"/>
                <w:szCs w:val="16"/>
              </w:rPr>
              <w:t>结果。</w:t>
            </w:r>
          </w:p>
        </w:tc>
      </w:tr>
    </w:tbl>
    <w:p w:rsidR="00944DBE" w:rsidRPr="00F15E6C" w:rsidRDefault="00944DBE">
      <w:pPr>
        <w:rPr>
          <w:rFonts w:ascii="SimSun" w:hAnsi="SimSun"/>
          <w:sz w:val="21"/>
        </w:rPr>
      </w:pP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如表4所示，拟议为2018</w:t>
      </w:r>
      <w:r w:rsidR="0039745F">
        <w:rPr>
          <w:rFonts w:ascii="SimSun" w:hAnsi="SimSun" w:hint="eastAsia"/>
          <w:sz w:val="21"/>
        </w:rPr>
        <w:t>–</w:t>
      </w:r>
      <w:r w:rsidRPr="00F15E6C">
        <w:rPr>
          <w:rFonts w:ascii="SimSun" w:hAnsi="SimSun" w:hint="eastAsia"/>
          <w:sz w:val="21"/>
        </w:rPr>
        <w:t>19</w:t>
      </w:r>
      <w:r w:rsidR="004F7E15">
        <w:rPr>
          <w:rFonts w:ascii="SimSun" w:hAnsi="SimSun" w:hint="eastAsia"/>
          <w:color w:val="000000"/>
          <w:sz w:val="21"/>
          <w:szCs w:val="18"/>
        </w:rPr>
        <w:t>年基建总计划</w:t>
      </w:r>
      <w:r w:rsidRPr="00F15E6C">
        <w:rPr>
          <w:rFonts w:ascii="SimSun" w:hAnsi="SimSun" w:hint="eastAsia"/>
          <w:sz w:val="21"/>
        </w:rPr>
        <w:t>提供的2,550</w:t>
      </w:r>
      <w:proofErr w:type="gramStart"/>
      <w:r w:rsidRPr="00F15E6C">
        <w:rPr>
          <w:rFonts w:ascii="SimSun" w:hAnsi="SimSun" w:hint="eastAsia"/>
          <w:sz w:val="21"/>
        </w:rPr>
        <w:t>万瑞</w:t>
      </w:r>
      <w:proofErr w:type="gramEnd"/>
      <w:r w:rsidRPr="00F15E6C">
        <w:rPr>
          <w:rFonts w:ascii="SimSun" w:hAnsi="SimSun" w:hint="eastAsia"/>
          <w:sz w:val="21"/>
        </w:rPr>
        <w:t>郎资金</w:t>
      </w:r>
      <w:r w:rsidR="00DB30F6">
        <w:rPr>
          <w:rFonts w:ascii="SimSun" w:hAnsi="SimSun" w:hint="eastAsia"/>
          <w:sz w:val="21"/>
        </w:rPr>
        <w:t>，</w:t>
      </w:r>
      <w:r w:rsidRPr="00F15E6C">
        <w:rPr>
          <w:rFonts w:ascii="SimSun" w:hAnsi="SimSun" w:hint="eastAsia"/>
          <w:sz w:val="21"/>
        </w:rPr>
        <w:t>可以在不影响所需储备</w:t>
      </w:r>
      <w:proofErr w:type="gramStart"/>
      <w:r w:rsidRPr="00F15E6C">
        <w:rPr>
          <w:rFonts w:ascii="SimSun" w:hAnsi="SimSun" w:hint="eastAsia"/>
          <w:sz w:val="21"/>
        </w:rPr>
        <w:t>金目标</w:t>
      </w:r>
      <w:proofErr w:type="gramEnd"/>
      <w:r w:rsidRPr="00F15E6C">
        <w:rPr>
          <w:rFonts w:ascii="SimSun" w:hAnsi="SimSun" w:hint="eastAsia"/>
          <w:sz w:val="21"/>
        </w:rPr>
        <w:t>水平的情况下被吸收，因为预计余额可以谨慎地应对拟议项目的支出。</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应该指出的是，由于本组织的财务报表是按照</w:t>
      </w:r>
      <w:r w:rsidR="00DB30F6">
        <w:rPr>
          <w:rFonts w:ascii="SimSun" w:hAnsi="SimSun" w:hint="eastAsia"/>
          <w:sz w:val="21"/>
        </w:rPr>
        <w:t>国际公共部门会计标准（IPSAS）</w:t>
      </w:r>
      <w:r w:rsidRPr="00F15E6C">
        <w:rPr>
          <w:rFonts w:ascii="SimSun" w:hAnsi="SimSun" w:hint="eastAsia"/>
          <w:sz w:val="21"/>
        </w:rPr>
        <w:t>编制的，信息技术（IT）项目的支出在满足所需确认标准的情况下</w:t>
      </w:r>
      <w:r w:rsidR="00DB30F6">
        <w:rPr>
          <w:rFonts w:ascii="SimSun" w:hAnsi="SimSun" w:hint="eastAsia"/>
          <w:sz w:val="21"/>
        </w:rPr>
        <w:t>，</w:t>
      </w:r>
      <w:r w:rsidRPr="00F15E6C">
        <w:rPr>
          <w:rFonts w:ascii="SimSun" w:hAnsi="SimSun" w:hint="eastAsia"/>
          <w:sz w:val="21"/>
        </w:rPr>
        <w:t>可予以资本化。同样，延长使用寿命或提高相关建筑价值的建筑项目支出也将被资本化。对于每个项目，将在获得有关成本和实施进度的详细信息后，根据</w:t>
      </w:r>
      <w:r w:rsidR="00DB30F6">
        <w:rPr>
          <w:rFonts w:ascii="SimSun" w:hAnsi="SimSun" w:hint="eastAsia"/>
          <w:sz w:val="21"/>
        </w:rPr>
        <w:t>IPSAS</w:t>
      </w:r>
      <w:r w:rsidRPr="00F15E6C">
        <w:rPr>
          <w:rFonts w:ascii="SimSun" w:hAnsi="SimSun" w:hint="eastAsia"/>
          <w:sz w:val="21"/>
        </w:rPr>
        <w:t>确定是否允许资本化。</w:t>
      </w:r>
      <w:proofErr w:type="gramStart"/>
      <w:r w:rsidRPr="00F15E6C">
        <w:rPr>
          <w:rFonts w:ascii="SimSun" w:hAnsi="SimSun" w:hint="eastAsia"/>
          <w:sz w:val="21"/>
        </w:rPr>
        <w:t>若项目</w:t>
      </w:r>
      <w:proofErr w:type="gramEnd"/>
      <w:r w:rsidRPr="00F15E6C">
        <w:rPr>
          <w:rFonts w:ascii="SimSun" w:hAnsi="SimSun" w:hint="eastAsia"/>
          <w:sz w:val="21"/>
        </w:rPr>
        <w:t>被资本化，在项目完工并可供使用后</w:t>
      </w:r>
      <w:r w:rsidR="00DB30F6">
        <w:rPr>
          <w:rFonts w:ascii="SimSun" w:hAnsi="SimSun" w:hint="eastAsia"/>
          <w:sz w:val="21"/>
        </w:rPr>
        <w:t>，</w:t>
      </w:r>
      <w:r w:rsidRPr="00F15E6C">
        <w:rPr>
          <w:rFonts w:ascii="SimSun" w:hAnsi="SimSun" w:hint="eastAsia"/>
          <w:sz w:val="21"/>
        </w:rPr>
        <w:t>即在相关资产使用寿命内确认按期分摊支出。在此情形下，支出对本组织储备金的影响通过年度摊销或折旧费在较长</w:t>
      </w:r>
      <w:proofErr w:type="gramStart"/>
      <w:r w:rsidRPr="00F15E6C">
        <w:rPr>
          <w:rFonts w:ascii="SimSun" w:hAnsi="SimSun" w:hint="eastAsia"/>
          <w:sz w:val="21"/>
        </w:rPr>
        <w:t>时间内递延</w:t>
      </w:r>
      <w:proofErr w:type="gramEnd"/>
      <w:r w:rsidRPr="00F15E6C">
        <w:rPr>
          <w:rFonts w:ascii="SimSun" w:hAnsi="SimSun" w:hint="eastAsia"/>
          <w:sz w:val="21"/>
        </w:rPr>
        <w:t>，而非在项目实施时产生直接影响。</w:t>
      </w:r>
    </w:p>
    <w:p w:rsidR="00A464B2" w:rsidRPr="004F7E15" w:rsidRDefault="00A464B2" w:rsidP="004F7E15">
      <w:pPr>
        <w:pStyle w:val="2"/>
        <w:overflowPunct w:val="0"/>
        <w:spacing w:beforeLines="100" w:afterLines="50" w:after="120" w:line="340" w:lineRule="atLeast"/>
        <w:rPr>
          <w:rFonts w:ascii="KaiTi" w:eastAsia="KaiTi" w:hAnsi="KaiTi"/>
          <w:b/>
          <w:sz w:val="21"/>
        </w:rPr>
      </w:pPr>
      <w:r w:rsidRPr="004F7E15">
        <w:rPr>
          <w:rFonts w:ascii="KaiTi" w:eastAsia="KaiTi" w:hAnsi="KaiTi" w:hint="eastAsia"/>
          <w:b/>
          <w:sz w:val="21"/>
        </w:rPr>
        <w:t>拟议</w:t>
      </w:r>
      <w:r w:rsidR="004F7E15" w:rsidRPr="004F7E15">
        <w:rPr>
          <w:rFonts w:ascii="KaiTi" w:eastAsia="KaiTi" w:hAnsi="KaiTi" w:hint="eastAsia"/>
          <w:b/>
          <w:sz w:val="21"/>
        </w:rPr>
        <w:t>的</w:t>
      </w:r>
      <w:r w:rsidRPr="004F7E15">
        <w:rPr>
          <w:rFonts w:ascii="KaiTi" w:eastAsia="KaiTi" w:hAnsi="KaiTi" w:hint="eastAsia"/>
          <w:b/>
          <w:sz w:val="21"/>
        </w:rPr>
        <w:t>2018</w:t>
      </w:r>
      <w:r w:rsidR="0039745F">
        <w:rPr>
          <w:rFonts w:ascii="KaiTi" w:eastAsia="KaiTi" w:hAnsi="KaiTi" w:hint="eastAsia"/>
          <w:b/>
          <w:sz w:val="21"/>
        </w:rPr>
        <w:t>–</w:t>
      </w:r>
      <w:r w:rsidRPr="004F7E15">
        <w:rPr>
          <w:rFonts w:ascii="KaiTi" w:eastAsia="KaiTi" w:hAnsi="KaiTi" w:hint="eastAsia"/>
          <w:b/>
          <w:sz w:val="21"/>
        </w:rPr>
        <w:t>19</w:t>
      </w:r>
      <w:r w:rsidR="004F7E15" w:rsidRPr="004F7E15">
        <w:rPr>
          <w:rFonts w:ascii="KaiTi" w:eastAsia="KaiTi" w:hAnsi="KaiTi" w:hint="eastAsia"/>
          <w:b/>
          <w:sz w:val="21"/>
        </w:rPr>
        <w:t>年基建总计划</w:t>
      </w:r>
      <w:r w:rsidRPr="004F7E15">
        <w:rPr>
          <w:rFonts w:ascii="KaiTi" w:eastAsia="KaiTi" w:hAnsi="KaiTi" w:hint="eastAsia"/>
          <w:b/>
          <w:sz w:val="21"/>
        </w:rPr>
        <w:t>项目在各联盟间的分配</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拟在2018/19年度由储备金供资的</w:t>
      </w:r>
      <w:r w:rsidR="004F7E15">
        <w:rPr>
          <w:rFonts w:ascii="SimSun" w:hAnsi="SimSun" w:hint="eastAsia"/>
          <w:sz w:val="21"/>
        </w:rPr>
        <w:t>基建总计划</w:t>
      </w:r>
      <w:r w:rsidRPr="00F15E6C">
        <w:rPr>
          <w:rFonts w:ascii="SimSun" w:hAnsi="SimSun" w:hint="eastAsia"/>
          <w:sz w:val="21"/>
        </w:rPr>
        <w:t>项目</w:t>
      </w:r>
      <w:r w:rsidR="00DB30F6">
        <w:rPr>
          <w:rFonts w:ascii="SimSun" w:hAnsi="SimSun" w:hint="eastAsia"/>
          <w:sz w:val="21"/>
        </w:rPr>
        <w:t>，</w:t>
      </w:r>
      <w:r w:rsidRPr="00F15E6C">
        <w:rPr>
          <w:rFonts w:ascii="SimSun" w:hAnsi="SimSun" w:hint="eastAsia"/>
          <w:sz w:val="21"/>
        </w:rPr>
        <w:t>根据其直接或间接使各联盟受益的程度分配到各联盟：</w:t>
      </w:r>
    </w:p>
    <w:p w:rsidR="00944DBE" w:rsidRPr="00F15E6C" w:rsidRDefault="00A464B2" w:rsidP="00DB30F6">
      <w:pPr>
        <w:pStyle w:val="10"/>
        <w:spacing w:line="340" w:lineRule="atLeast"/>
        <w:ind w:left="567"/>
        <w:contextualSpacing w:val="0"/>
        <w:rPr>
          <w:rFonts w:ascii="SimSun" w:hAnsi="SimSun"/>
          <w:sz w:val="21"/>
        </w:rPr>
      </w:pPr>
      <w:r w:rsidRPr="00F15E6C">
        <w:rPr>
          <w:rFonts w:ascii="SimSun" w:hAnsi="SimSun" w:hint="eastAsia"/>
          <w:iCs/>
          <w:sz w:val="21"/>
        </w:rPr>
        <w:t>全球知识产权平台</w:t>
      </w:r>
    </w:p>
    <w:p w:rsidR="00944DBE" w:rsidRPr="00F15E6C" w:rsidRDefault="00A464B2" w:rsidP="00DB30F6">
      <w:pPr>
        <w:pStyle w:val="10"/>
        <w:numPr>
          <w:ilvl w:val="1"/>
          <w:numId w:val="8"/>
        </w:numPr>
        <w:ind w:left="1491" w:hanging="357"/>
        <w:rPr>
          <w:rFonts w:ascii="SimSun" w:hAnsi="SimSun"/>
          <w:sz w:val="21"/>
        </w:rPr>
      </w:pPr>
      <w:r w:rsidRPr="00F15E6C">
        <w:rPr>
          <w:rFonts w:ascii="SimSun" w:hAnsi="SimSun" w:hint="eastAsia"/>
          <w:sz w:val="21"/>
        </w:rPr>
        <w:t>间接惠及</w:t>
      </w:r>
      <w:r w:rsidR="00032E26">
        <w:rPr>
          <w:rFonts w:ascii="SimSun" w:hAnsi="SimSun" w:hint="eastAsia"/>
          <w:iCs/>
          <w:sz w:val="21"/>
        </w:rPr>
        <w:t>收</w:t>
      </w:r>
      <w:r w:rsidRPr="00F15E6C">
        <w:rPr>
          <w:rFonts w:ascii="SimSun" w:hAnsi="SimSun" w:hint="eastAsia"/>
          <w:sz w:val="21"/>
        </w:rPr>
        <w:t>费供资联盟</w:t>
      </w:r>
    </w:p>
    <w:p w:rsidR="00A464B2" w:rsidRDefault="00A464B2" w:rsidP="00DB30F6">
      <w:pPr>
        <w:pStyle w:val="10"/>
        <w:numPr>
          <w:ilvl w:val="1"/>
          <w:numId w:val="8"/>
        </w:numPr>
        <w:spacing w:afterLines="50" w:after="120"/>
        <w:ind w:left="1491" w:hanging="357"/>
        <w:contextualSpacing w:val="0"/>
        <w:rPr>
          <w:rFonts w:ascii="SimSun" w:hAnsi="SimSun"/>
          <w:sz w:val="21"/>
        </w:rPr>
      </w:pPr>
      <w:r w:rsidRPr="00F15E6C">
        <w:rPr>
          <w:rFonts w:ascii="SimSun" w:hAnsi="SimSun" w:hint="eastAsia"/>
          <w:iCs/>
          <w:sz w:val="21"/>
        </w:rPr>
        <w:t>将成本作为间接联盟</w:t>
      </w:r>
      <w:proofErr w:type="gramStart"/>
      <w:r w:rsidRPr="00F15E6C">
        <w:rPr>
          <w:rFonts w:ascii="SimSun" w:hAnsi="SimSun" w:hint="eastAsia"/>
          <w:iCs/>
          <w:sz w:val="21"/>
        </w:rPr>
        <w:t>支出分</w:t>
      </w:r>
      <w:proofErr w:type="gramEnd"/>
      <w:r w:rsidRPr="00F15E6C">
        <w:rPr>
          <w:rFonts w:ascii="SimSun" w:hAnsi="SimSun" w:hint="eastAsia"/>
          <w:iCs/>
          <w:sz w:val="21"/>
        </w:rPr>
        <w:t>配给</w:t>
      </w:r>
      <w:r w:rsidR="00032E26">
        <w:rPr>
          <w:rFonts w:ascii="SimSun" w:hAnsi="SimSun" w:hint="eastAsia"/>
          <w:iCs/>
          <w:sz w:val="21"/>
        </w:rPr>
        <w:t>收</w:t>
      </w:r>
      <w:r w:rsidRPr="00F15E6C">
        <w:rPr>
          <w:rFonts w:ascii="SimSun" w:hAnsi="SimSun" w:hint="eastAsia"/>
          <w:iCs/>
          <w:sz w:val="21"/>
        </w:rPr>
        <w:t>费供资联盟</w:t>
      </w:r>
      <w:r w:rsidR="00DB30F6">
        <w:rPr>
          <w:rFonts w:ascii="SimSun" w:hAnsi="SimSun"/>
          <w:iCs/>
          <w:sz w:val="21"/>
        </w:rPr>
        <w:br/>
      </w:r>
      <w:r w:rsidRPr="00963E2A">
        <w:rPr>
          <w:rFonts w:ascii="KaiTi" w:eastAsia="KaiTi" w:hAnsi="KaiTi" w:hint="eastAsia"/>
          <w:sz w:val="21"/>
        </w:rPr>
        <w:t>（支付能力原则）</w:t>
      </w:r>
    </w:p>
    <w:p w:rsidR="00944DBE" w:rsidRPr="00F15E6C" w:rsidRDefault="00A464B2" w:rsidP="00DB30F6">
      <w:pPr>
        <w:pStyle w:val="10"/>
        <w:spacing w:line="340" w:lineRule="atLeast"/>
        <w:ind w:left="567"/>
        <w:contextualSpacing w:val="0"/>
        <w:rPr>
          <w:rFonts w:ascii="SimSun" w:hAnsi="SimSun"/>
          <w:iCs/>
          <w:sz w:val="21"/>
        </w:rPr>
      </w:pPr>
      <w:r w:rsidRPr="00F15E6C">
        <w:rPr>
          <w:rFonts w:ascii="SimSun" w:hAnsi="SimSun" w:hint="eastAsia"/>
          <w:sz w:val="21"/>
        </w:rPr>
        <w:t>PCT</w:t>
      </w:r>
      <w:r w:rsidR="00865A54">
        <w:rPr>
          <w:rFonts w:ascii="SimSun" w:hAnsi="SimSun" w:hint="eastAsia"/>
          <w:sz w:val="21"/>
        </w:rPr>
        <w:t>复原</w:t>
      </w:r>
      <w:proofErr w:type="gramStart"/>
      <w:r w:rsidR="00865A54">
        <w:rPr>
          <w:rFonts w:ascii="SimSun" w:hAnsi="SimSun" w:hint="eastAsia"/>
          <w:sz w:val="21"/>
        </w:rPr>
        <w:t>力</w:t>
      </w:r>
      <w:r w:rsidRPr="00F15E6C">
        <w:rPr>
          <w:rFonts w:ascii="SimSun" w:hAnsi="SimSun" w:hint="eastAsia"/>
          <w:iCs/>
          <w:sz w:val="21"/>
        </w:rPr>
        <w:t>安全</w:t>
      </w:r>
      <w:proofErr w:type="gramEnd"/>
      <w:r w:rsidRPr="00F15E6C">
        <w:rPr>
          <w:rFonts w:ascii="SimSun" w:hAnsi="SimSun" w:hint="eastAsia"/>
          <w:iCs/>
          <w:sz w:val="21"/>
        </w:rPr>
        <w:t>平台</w:t>
      </w:r>
    </w:p>
    <w:p w:rsidR="00944DBE" w:rsidRPr="00F15E6C" w:rsidRDefault="00A464B2" w:rsidP="00DB30F6">
      <w:pPr>
        <w:pStyle w:val="10"/>
        <w:numPr>
          <w:ilvl w:val="1"/>
          <w:numId w:val="8"/>
        </w:numPr>
        <w:ind w:left="1491" w:hanging="357"/>
        <w:rPr>
          <w:rFonts w:ascii="SimSun" w:hAnsi="SimSun"/>
          <w:sz w:val="21"/>
        </w:rPr>
      </w:pPr>
      <w:r w:rsidRPr="00F15E6C">
        <w:rPr>
          <w:rFonts w:ascii="SimSun" w:hAnsi="SimSun" w:hint="eastAsia"/>
          <w:sz w:val="21"/>
        </w:rPr>
        <w:t>直接惠及PCT联盟</w:t>
      </w:r>
    </w:p>
    <w:p w:rsidR="00A464B2" w:rsidRDefault="00A464B2" w:rsidP="00DB30F6">
      <w:pPr>
        <w:pStyle w:val="10"/>
        <w:numPr>
          <w:ilvl w:val="1"/>
          <w:numId w:val="8"/>
        </w:numPr>
        <w:spacing w:afterLines="50" w:after="120"/>
        <w:ind w:left="1491" w:hanging="357"/>
        <w:contextualSpacing w:val="0"/>
        <w:rPr>
          <w:rFonts w:ascii="SimSun" w:hAnsi="SimSun"/>
          <w:sz w:val="21"/>
        </w:rPr>
      </w:pPr>
      <w:r w:rsidRPr="00F15E6C">
        <w:rPr>
          <w:rFonts w:ascii="SimSun" w:hAnsi="SimSun" w:hint="eastAsia"/>
          <w:sz w:val="21"/>
        </w:rPr>
        <w:t>将成本作为直接联盟支出分配到PCT联盟</w:t>
      </w:r>
    </w:p>
    <w:p w:rsidR="00944DBE" w:rsidRPr="00F15E6C" w:rsidRDefault="00A464B2" w:rsidP="00DB30F6">
      <w:pPr>
        <w:pStyle w:val="10"/>
        <w:spacing w:line="340" w:lineRule="atLeast"/>
        <w:ind w:left="567"/>
        <w:contextualSpacing w:val="0"/>
        <w:rPr>
          <w:rFonts w:ascii="SimSun" w:hAnsi="SimSun"/>
          <w:sz w:val="21"/>
        </w:rPr>
      </w:pPr>
      <w:r w:rsidRPr="00F15E6C">
        <w:rPr>
          <w:rFonts w:ascii="SimSun" w:hAnsi="SimSun" w:hint="eastAsia"/>
          <w:sz w:val="21"/>
        </w:rPr>
        <w:t>马德里</w:t>
      </w:r>
      <w:r w:rsidRPr="00DB30F6">
        <w:rPr>
          <w:rFonts w:ascii="SimSun" w:hAnsi="SimSun" w:hint="eastAsia"/>
          <w:iCs/>
          <w:sz w:val="21"/>
        </w:rPr>
        <w:t>信息技术</w:t>
      </w:r>
      <w:r w:rsidRPr="00F15E6C">
        <w:rPr>
          <w:rFonts w:ascii="SimSun" w:hAnsi="SimSun" w:hint="eastAsia"/>
          <w:sz w:val="21"/>
        </w:rPr>
        <w:t>平台</w:t>
      </w:r>
    </w:p>
    <w:p w:rsidR="00944DBE" w:rsidRPr="00F15E6C" w:rsidRDefault="00A464B2" w:rsidP="00DB30F6">
      <w:pPr>
        <w:pStyle w:val="10"/>
        <w:numPr>
          <w:ilvl w:val="1"/>
          <w:numId w:val="8"/>
        </w:numPr>
        <w:ind w:left="1491" w:hanging="357"/>
        <w:rPr>
          <w:rFonts w:ascii="SimSun" w:hAnsi="SimSun"/>
          <w:sz w:val="21"/>
        </w:rPr>
      </w:pPr>
      <w:r w:rsidRPr="00F15E6C">
        <w:rPr>
          <w:rFonts w:ascii="SimSun" w:hAnsi="SimSun" w:hint="eastAsia"/>
          <w:sz w:val="21"/>
        </w:rPr>
        <w:t>直接惠及马德里联盟</w:t>
      </w:r>
    </w:p>
    <w:p w:rsidR="00A464B2" w:rsidRDefault="00A464B2" w:rsidP="00DB30F6">
      <w:pPr>
        <w:pStyle w:val="10"/>
        <w:numPr>
          <w:ilvl w:val="1"/>
          <w:numId w:val="8"/>
        </w:numPr>
        <w:spacing w:afterLines="50" w:after="120"/>
        <w:ind w:left="1491" w:hanging="357"/>
        <w:contextualSpacing w:val="0"/>
        <w:rPr>
          <w:rFonts w:ascii="SimSun" w:hAnsi="SimSun"/>
          <w:sz w:val="21"/>
        </w:rPr>
      </w:pPr>
      <w:r w:rsidRPr="00F15E6C">
        <w:rPr>
          <w:rFonts w:ascii="SimSun" w:hAnsi="SimSun" w:hint="eastAsia"/>
          <w:sz w:val="21"/>
        </w:rPr>
        <w:t>将成本作为直接联盟支出分配到</w:t>
      </w:r>
      <w:r w:rsidRPr="00DB30F6">
        <w:rPr>
          <w:rFonts w:ascii="SimSun" w:hAnsi="SimSun" w:hint="eastAsia"/>
          <w:iCs/>
          <w:sz w:val="21"/>
        </w:rPr>
        <w:t>马德里</w:t>
      </w:r>
      <w:r w:rsidRPr="00F15E6C">
        <w:rPr>
          <w:rFonts w:ascii="SimSun" w:hAnsi="SimSun" w:hint="eastAsia"/>
          <w:sz w:val="21"/>
        </w:rPr>
        <w:t>联盟</w:t>
      </w:r>
    </w:p>
    <w:p w:rsidR="00944DBE" w:rsidRPr="00F15E6C" w:rsidRDefault="00A464B2" w:rsidP="00DB30F6">
      <w:pPr>
        <w:pStyle w:val="10"/>
        <w:keepNext/>
        <w:spacing w:line="340" w:lineRule="atLeast"/>
        <w:ind w:left="567"/>
        <w:contextualSpacing w:val="0"/>
        <w:rPr>
          <w:rFonts w:ascii="SimSun" w:hAnsi="SimSun"/>
          <w:sz w:val="21"/>
        </w:rPr>
      </w:pPr>
      <w:r w:rsidRPr="00F15E6C">
        <w:rPr>
          <w:rFonts w:ascii="SimSun" w:hAnsi="SimSun" w:hint="eastAsia"/>
          <w:sz w:val="21"/>
        </w:rPr>
        <w:lastRenderedPageBreak/>
        <w:t>会议注册系统</w:t>
      </w:r>
    </w:p>
    <w:p w:rsidR="00944DBE" w:rsidRPr="00F15E6C" w:rsidRDefault="00A464B2" w:rsidP="00DB30F6">
      <w:pPr>
        <w:pStyle w:val="10"/>
        <w:numPr>
          <w:ilvl w:val="1"/>
          <w:numId w:val="8"/>
        </w:numPr>
        <w:ind w:left="1491" w:hanging="357"/>
        <w:rPr>
          <w:rFonts w:ascii="SimSun" w:hAnsi="SimSun"/>
          <w:sz w:val="21"/>
        </w:rPr>
      </w:pPr>
      <w:r w:rsidRPr="00F15E6C">
        <w:rPr>
          <w:rFonts w:ascii="SimSun" w:hAnsi="SimSun" w:hint="eastAsia"/>
          <w:sz w:val="21"/>
        </w:rPr>
        <w:t>间接惠及所有联盟</w:t>
      </w:r>
    </w:p>
    <w:p w:rsidR="00944DBE" w:rsidRPr="00F15E6C" w:rsidRDefault="00A464B2" w:rsidP="00DB30F6">
      <w:pPr>
        <w:pStyle w:val="10"/>
        <w:numPr>
          <w:ilvl w:val="1"/>
          <w:numId w:val="8"/>
        </w:numPr>
        <w:ind w:left="1491" w:hanging="357"/>
        <w:rPr>
          <w:rFonts w:ascii="SimSun" w:hAnsi="SimSun"/>
          <w:sz w:val="21"/>
        </w:rPr>
      </w:pPr>
      <w:r w:rsidRPr="00F15E6C">
        <w:rPr>
          <w:rFonts w:ascii="SimSun" w:hAnsi="SimSun" w:hint="eastAsia"/>
          <w:sz w:val="21"/>
        </w:rPr>
        <w:t>将成本作为间接管理支出分配到所有联盟</w:t>
      </w:r>
    </w:p>
    <w:p w:rsidR="00A464B2" w:rsidRDefault="00A464B2" w:rsidP="00DB30F6">
      <w:pPr>
        <w:pStyle w:val="10"/>
        <w:spacing w:afterLines="50" w:after="120"/>
        <w:ind w:left="1440"/>
        <w:contextualSpacing w:val="0"/>
        <w:rPr>
          <w:rFonts w:ascii="SimSun" w:hAnsi="SimSun"/>
          <w:sz w:val="21"/>
        </w:rPr>
      </w:pPr>
      <w:r w:rsidRPr="00963E2A">
        <w:rPr>
          <w:rFonts w:ascii="KaiTi" w:eastAsia="KaiTi" w:hAnsi="KaiTi" w:hint="eastAsia"/>
          <w:sz w:val="21"/>
        </w:rPr>
        <w:t>（支付能力原则）</w:t>
      </w:r>
    </w:p>
    <w:p w:rsidR="00944DBE" w:rsidRPr="00F15E6C" w:rsidRDefault="00A464B2" w:rsidP="00DB30F6">
      <w:pPr>
        <w:pStyle w:val="10"/>
        <w:spacing w:line="340" w:lineRule="atLeast"/>
        <w:ind w:left="567"/>
        <w:contextualSpacing w:val="0"/>
        <w:rPr>
          <w:rFonts w:ascii="SimSun" w:hAnsi="SimSun"/>
          <w:sz w:val="21"/>
        </w:rPr>
      </w:pPr>
      <w:r w:rsidRPr="00F15E6C">
        <w:rPr>
          <w:rFonts w:ascii="SimSun" w:hAnsi="SimSun" w:hint="eastAsia"/>
          <w:sz w:val="21"/>
        </w:rPr>
        <w:t>建筑及安保和安全相关项目</w:t>
      </w:r>
    </w:p>
    <w:p w:rsidR="00944DBE" w:rsidRPr="00F15E6C" w:rsidRDefault="00A464B2" w:rsidP="00DB30F6">
      <w:pPr>
        <w:pStyle w:val="10"/>
        <w:numPr>
          <w:ilvl w:val="1"/>
          <w:numId w:val="8"/>
        </w:numPr>
        <w:ind w:left="1491" w:hanging="357"/>
        <w:rPr>
          <w:rFonts w:ascii="SimSun" w:hAnsi="SimSun"/>
          <w:sz w:val="21"/>
        </w:rPr>
      </w:pPr>
      <w:r w:rsidRPr="00F15E6C">
        <w:rPr>
          <w:rFonts w:ascii="SimSun" w:hAnsi="SimSun" w:hint="eastAsia"/>
          <w:sz w:val="21"/>
        </w:rPr>
        <w:t>间接惠及所有联盟</w:t>
      </w:r>
    </w:p>
    <w:p w:rsidR="00944DBE" w:rsidRPr="00F15E6C" w:rsidRDefault="00A464B2" w:rsidP="00DB30F6">
      <w:pPr>
        <w:pStyle w:val="10"/>
        <w:numPr>
          <w:ilvl w:val="1"/>
          <w:numId w:val="8"/>
        </w:numPr>
        <w:ind w:left="1491" w:hanging="357"/>
        <w:rPr>
          <w:rFonts w:ascii="SimSun" w:hAnsi="SimSun"/>
          <w:sz w:val="21"/>
        </w:rPr>
      </w:pPr>
      <w:r w:rsidRPr="00F15E6C">
        <w:rPr>
          <w:rFonts w:ascii="SimSun" w:hAnsi="SimSun" w:hint="eastAsia"/>
          <w:sz w:val="21"/>
        </w:rPr>
        <w:t>将成本作为间接管理支出分配到所有联盟</w:t>
      </w:r>
    </w:p>
    <w:p w:rsidR="00A464B2" w:rsidRPr="00963E2A" w:rsidRDefault="00A464B2" w:rsidP="00DB30F6">
      <w:pPr>
        <w:pStyle w:val="10"/>
        <w:spacing w:afterLines="50" w:after="120"/>
        <w:ind w:left="1440"/>
        <w:contextualSpacing w:val="0"/>
        <w:rPr>
          <w:rFonts w:ascii="KaiTi" w:eastAsia="KaiTi" w:hAnsi="KaiTi"/>
          <w:sz w:val="21"/>
        </w:rPr>
      </w:pPr>
      <w:r w:rsidRPr="00963E2A">
        <w:rPr>
          <w:rFonts w:ascii="KaiTi" w:eastAsia="KaiTi" w:hAnsi="KaiTi" w:hint="eastAsia"/>
          <w:sz w:val="21"/>
        </w:rPr>
        <w:t>（支付能力原则）</w:t>
      </w:r>
    </w:p>
    <w:p w:rsidR="00944DBE" w:rsidRPr="00F15E6C"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表5概述了拟议项目费用</w:t>
      </w:r>
      <w:r w:rsidR="00032E26">
        <w:rPr>
          <w:rFonts w:ascii="SimSun" w:hAnsi="SimSun" w:hint="eastAsia"/>
          <w:sz w:val="21"/>
        </w:rPr>
        <w:t>对各</w:t>
      </w:r>
      <w:r w:rsidR="00032E26" w:rsidRPr="00F15E6C">
        <w:rPr>
          <w:rFonts w:ascii="SimSun" w:hAnsi="SimSun" w:hint="eastAsia"/>
          <w:sz w:val="21"/>
        </w:rPr>
        <w:t>联盟</w:t>
      </w:r>
      <w:r w:rsidR="00032E26">
        <w:rPr>
          <w:rFonts w:ascii="SimSun" w:hAnsi="SimSun" w:hint="eastAsia"/>
          <w:sz w:val="21"/>
        </w:rPr>
        <w:t>的</w:t>
      </w:r>
      <w:r w:rsidRPr="00F15E6C">
        <w:rPr>
          <w:rFonts w:ascii="SimSun" w:hAnsi="SimSun" w:hint="eastAsia"/>
          <w:sz w:val="21"/>
        </w:rPr>
        <w:t>分配情况。由于海牙和里斯本的储备金余额在2016年底出现赤字，费用被分配给由会费出资的（CF）联盟、PCT联盟和马德里联盟。这些联盟的储备金余额超过了2018/19年度的目标，这表明联盟未受到2018//19年拟议</w:t>
      </w:r>
      <w:r w:rsidR="004F7E15">
        <w:rPr>
          <w:rFonts w:ascii="SimSun" w:hAnsi="SimSun" w:hint="eastAsia"/>
          <w:sz w:val="21"/>
        </w:rPr>
        <w:t>基建总计划</w:t>
      </w:r>
      <w:r w:rsidRPr="00F15E6C">
        <w:rPr>
          <w:rFonts w:ascii="SimSun" w:hAnsi="SimSun" w:hint="eastAsia"/>
          <w:sz w:val="21"/>
        </w:rPr>
        <w:t>项目的负面影响。</w:t>
      </w:r>
    </w:p>
    <w:tbl>
      <w:tblPr>
        <w:tblW w:w="9276" w:type="dxa"/>
        <w:jc w:val="center"/>
        <w:tblLayout w:type="fixed"/>
        <w:tblLook w:val="04A0" w:firstRow="1" w:lastRow="0" w:firstColumn="1" w:lastColumn="0" w:noHBand="0" w:noVBand="1"/>
      </w:tblPr>
      <w:tblGrid>
        <w:gridCol w:w="9276"/>
      </w:tblGrid>
      <w:tr w:rsidR="00944DBE" w:rsidRPr="00F15E6C" w:rsidTr="00587956">
        <w:trPr>
          <w:jc w:val="center"/>
        </w:trPr>
        <w:tc>
          <w:tcPr>
            <w:tcW w:w="9276" w:type="dxa"/>
            <w:shd w:val="clear" w:color="auto" w:fill="C6D9F1" w:themeFill="text2" w:themeFillTint="33"/>
            <w:vAlign w:val="center"/>
          </w:tcPr>
          <w:p w:rsidR="00944DBE" w:rsidRPr="00F15E6C" w:rsidRDefault="00A464B2">
            <w:pPr>
              <w:jc w:val="center"/>
              <w:rPr>
                <w:rFonts w:ascii="SimSun" w:hAnsi="SimSun"/>
                <w:sz w:val="21"/>
              </w:rPr>
            </w:pPr>
            <w:r w:rsidRPr="00F15E6C">
              <w:rPr>
                <w:rFonts w:ascii="SimSun" w:hAnsi="SimSun" w:hint="eastAsia"/>
                <w:sz w:val="21"/>
              </w:rPr>
              <w:t>表</w:t>
            </w:r>
            <w:r w:rsidRPr="00F15E6C">
              <w:rPr>
                <w:rFonts w:ascii="SimSun" w:hAnsi="SimSun"/>
                <w:sz w:val="21"/>
              </w:rPr>
              <w:t>5</w:t>
            </w:r>
            <w:r w:rsidRPr="00F15E6C">
              <w:rPr>
                <w:rFonts w:ascii="SimSun" w:hAnsi="SimSun" w:hint="eastAsia"/>
                <w:sz w:val="21"/>
              </w:rPr>
              <w:t>：截至2017年底</w:t>
            </w:r>
            <w:r w:rsidR="004943E0">
              <w:rPr>
                <w:rFonts w:ascii="SimSun" w:hAnsi="SimSun" w:hint="eastAsia"/>
                <w:sz w:val="21"/>
              </w:rPr>
              <w:t>各</w:t>
            </w:r>
            <w:r w:rsidRPr="00F15E6C">
              <w:rPr>
                <w:rFonts w:ascii="SimSun" w:hAnsi="SimSun" w:hint="eastAsia"/>
                <w:sz w:val="21"/>
              </w:rPr>
              <w:t>联盟的预计储备金状况</w:t>
            </w:r>
          </w:p>
          <w:p w:rsidR="00944DBE" w:rsidRPr="00F15E6C" w:rsidRDefault="00A464B2">
            <w:pPr>
              <w:jc w:val="center"/>
              <w:rPr>
                <w:rFonts w:ascii="SimSun" w:hAnsi="SimSun" w:cstheme="minorHAnsi"/>
                <w:i/>
                <w:color w:val="000000"/>
                <w:sz w:val="21"/>
                <w:szCs w:val="18"/>
                <w:lang w:eastAsia="en-US"/>
              </w:rPr>
            </w:pPr>
            <w:r w:rsidRPr="004943E0">
              <w:rPr>
                <w:rFonts w:ascii="KaiTi" w:eastAsia="KaiTi" w:hAnsi="KaiTi" w:cstheme="minorHAnsi" w:hint="eastAsia"/>
                <w:color w:val="000000"/>
                <w:sz w:val="18"/>
                <w:szCs w:val="18"/>
              </w:rPr>
              <w:t>（单位：</w:t>
            </w:r>
            <w:proofErr w:type="gramStart"/>
            <w:r w:rsidRPr="004943E0">
              <w:rPr>
                <w:rFonts w:ascii="KaiTi" w:eastAsia="KaiTi" w:hAnsi="KaiTi" w:cstheme="minorHAnsi" w:hint="eastAsia"/>
                <w:color w:val="000000"/>
                <w:sz w:val="18"/>
                <w:szCs w:val="18"/>
              </w:rPr>
              <w:t>千瑞郎</w:t>
            </w:r>
            <w:proofErr w:type="gramEnd"/>
            <w:r w:rsidRPr="004943E0">
              <w:rPr>
                <w:rFonts w:ascii="KaiTi" w:eastAsia="KaiTi" w:hAnsi="KaiTi" w:cstheme="minorHAnsi" w:hint="eastAsia"/>
                <w:color w:val="000000"/>
                <w:sz w:val="18"/>
                <w:szCs w:val="18"/>
              </w:rPr>
              <w:t>）</w:t>
            </w:r>
          </w:p>
        </w:tc>
      </w:tr>
    </w:tbl>
    <w:p w:rsidR="00944DBE" w:rsidRPr="00963E2A" w:rsidRDefault="00944DBE">
      <w:pPr>
        <w:jc w:val="center"/>
        <w:rPr>
          <w:rFonts w:ascii="KaiTi" w:eastAsia="KaiTi" w:hAnsi="KaiTi" w:cstheme="minorHAnsi"/>
          <w:color w:val="000000"/>
          <w:sz w:val="8"/>
          <w:szCs w:val="8"/>
          <w:lang w:eastAsia="en-US"/>
        </w:rPr>
      </w:pPr>
    </w:p>
    <w:p w:rsidR="00A464B2" w:rsidRDefault="004943E0" w:rsidP="004943E0">
      <w:pPr>
        <w:jc w:val="center"/>
        <w:rPr>
          <w:rFonts w:ascii="SimSun" w:hAnsi="SimSun"/>
          <w:sz w:val="21"/>
        </w:rPr>
      </w:pPr>
      <w:r w:rsidRPr="004943E0">
        <w:rPr>
          <w:noProof/>
        </w:rPr>
        <w:drawing>
          <wp:inline distT="0" distB="0" distL="0" distR="0" wp14:anchorId="4BDDECAD" wp14:editId="1BCD7E91">
            <wp:extent cx="5940425" cy="2567393"/>
            <wp:effectExtent l="0" t="0" r="3175"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2567393"/>
                    </a:xfrm>
                    <a:prstGeom prst="rect">
                      <a:avLst/>
                    </a:prstGeom>
                    <a:noFill/>
                    <a:ln>
                      <a:noFill/>
                    </a:ln>
                  </pic:spPr>
                </pic:pic>
              </a:graphicData>
            </a:graphic>
          </wp:inline>
        </w:drawing>
      </w:r>
    </w:p>
    <w:p w:rsidR="00944DBE" w:rsidRPr="004943E0" w:rsidRDefault="00A464B2">
      <w:pPr>
        <w:rPr>
          <w:rFonts w:ascii="KaiTi" w:eastAsia="KaiTi" w:hAnsi="KaiTi"/>
          <w:color w:val="000000"/>
          <w:sz w:val="15"/>
          <w:szCs w:val="14"/>
        </w:rPr>
      </w:pPr>
      <w:r w:rsidRPr="004943E0">
        <w:rPr>
          <w:rFonts w:ascii="KaiTi" w:eastAsia="KaiTi" w:hAnsi="KaiTi" w:hint="eastAsia"/>
          <w:color w:val="000000"/>
          <w:sz w:val="15"/>
          <w:szCs w:val="14"/>
        </w:rPr>
        <w:t>*不包括周转基金（WCF）和重估储备金盈余</w:t>
      </w:r>
      <w:r w:rsidR="004943E0" w:rsidRPr="004943E0">
        <w:rPr>
          <w:rFonts w:ascii="KaiTi" w:eastAsia="KaiTi" w:hAnsi="KaiTi" w:hint="eastAsia"/>
          <w:color w:val="000000"/>
          <w:sz w:val="15"/>
          <w:szCs w:val="14"/>
        </w:rPr>
        <w:t>。</w:t>
      </w:r>
    </w:p>
    <w:p w:rsidR="00944DBE" w:rsidRPr="004943E0" w:rsidRDefault="00A464B2">
      <w:pPr>
        <w:rPr>
          <w:rFonts w:ascii="KaiTi" w:eastAsia="KaiTi" w:hAnsi="KaiTi"/>
          <w:color w:val="000000"/>
          <w:sz w:val="15"/>
          <w:szCs w:val="14"/>
        </w:rPr>
      </w:pPr>
      <w:r w:rsidRPr="004943E0">
        <w:rPr>
          <w:rFonts w:ascii="KaiTi" w:eastAsia="KaiTi" w:hAnsi="KaiTi" w:hint="eastAsia"/>
          <w:color w:val="000000"/>
          <w:sz w:val="15"/>
          <w:szCs w:val="14"/>
        </w:rPr>
        <w:t>**储备</w:t>
      </w:r>
      <w:proofErr w:type="gramStart"/>
      <w:r w:rsidRPr="004943E0">
        <w:rPr>
          <w:rFonts w:ascii="KaiTi" w:eastAsia="KaiTi" w:hAnsi="KaiTi" w:hint="eastAsia"/>
          <w:color w:val="000000"/>
          <w:sz w:val="15"/>
          <w:szCs w:val="14"/>
        </w:rPr>
        <w:t>金目标</w:t>
      </w:r>
      <w:proofErr w:type="gramEnd"/>
      <w:r w:rsidRPr="004943E0">
        <w:rPr>
          <w:rFonts w:ascii="KaiTi" w:eastAsia="KaiTi" w:hAnsi="KaiTi" w:hint="eastAsia"/>
          <w:color w:val="000000"/>
          <w:sz w:val="15"/>
          <w:szCs w:val="14"/>
        </w:rPr>
        <w:t>是根据修订后储备</w:t>
      </w:r>
      <w:proofErr w:type="gramStart"/>
      <w:r w:rsidRPr="004943E0">
        <w:rPr>
          <w:rFonts w:ascii="KaiTi" w:eastAsia="KaiTi" w:hAnsi="KaiTi" w:hint="eastAsia"/>
          <w:color w:val="000000"/>
          <w:sz w:val="15"/>
          <w:szCs w:val="14"/>
        </w:rPr>
        <w:t>金政策</w:t>
      </w:r>
      <w:proofErr w:type="gramEnd"/>
      <w:r w:rsidRPr="004943E0">
        <w:rPr>
          <w:rFonts w:ascii="KaiTi" w:eastAsia="KaiTi" w:hAnsi="KaiTi" w:hint="eastAsia"/>
          <w:color w:val="000000"/>
          <w:sz w:val="15"/>
          <w:szCs w:val="14"/>
        </w:rPr>
        <w:t>中为</w:t>
      </w:r>
      <w:r w:rsidR="004943E0" w:rsidRPr="004943E0">
        <w:rPr>
          <w:rFonts w:ascii="KaiTi" w:eastAsia="KaiTi" w:hAnsi="KaiTi" w:hint="eastAsia"/>
          <w:color w:val="000000"/>
          <w:sz w:val="15"/>
          <w:szCs w:val="14"/>
        </w:rPr>
        <w:t>各</w:t>
      </w:r>
      <w:r w:rsidRPr="004943E0">
        <w:rPr>
          <w:rFonts w:ascii="KaiTi" w:eastAsia="KaiTi" w:hAnsi="KaiTi" w:hint="eastAsia"/>
          <w:color w:val="000000"/>
          <w:sz w:val="15"/>
          <w:szCs w:val="14"/>
        </w:rPr>
        <w:t>联盟确定的目标制定的，即2018/19两年期预算总额7.25亿瑞士法郎的22</w:t>
      </w:r>
      <w:r w:rsidR="003F4D41" w:rsidRPr="004943E0">
        <w:rPr>
          <w:rFonts w:ascii="KaiTi" w:eastAsia="KaiTi" w:hAnsi="KaiTi" w:hint="eastAsia"/>
          <w:color w:val="000000"/>
          <w:sz w:val="15"/>
          <w:szCs w:val="14"/>
        </w:rPr>
        <w:t>%</w:t>
      </w:r>
      <w:r w:rsidRPr="004943E0">
        <w:rPr>
          <w:rFonts w:ascii="KaiTi" w:eastAsia="KaiTi" w:hAnsi="KaiTi" w:hint="eastAsia"/>
          <w:color w:val="000000"/>
          <w:sz w:val="15"/>
          <w:szCs w:val="14"/>
        </w:rPr>
        <w:t>。</w:t>
      </w:r>
    </w:p>
    <w:p w:rsidR="00944DBE" w:rsidRPr="004943E0" w:rsidRDefault="00A464B2">
      <w:pPr>
        <w:rPr>
          <w:rFonts w:ascii="KaiTi" w:eastAsia="KaiTi" w:hAnsi="KaiTi"/>
          <w:color w:val="000000"/>
          <w:sz w:val="15"/>
          <w:szCs w:val="14"/>
        </w:rPr>
      </w:pPr>
      <w:r w:rsidRPr="004943E0">
        <w:rPr>
          <w:rFonts w:ascii="KaiTi" w:eastAsia="KaiTi" w:hAnsi="KaiTi" w:hint="eastAsia"/>
          <w:color w:val="000000"/>
          <w:sz w:val="15"/>
          <w:szCs w:val="14"/>
        </w:rPr>
        <w:t>***不考虑总额2</w:t>
      </w:r>
      <w:r w:rsidR="008E5A15">
        <w:rPr>
          <w:rFonts w:ascii="KaiTi" w:eastAsia="KaiTi" w:hAnsi="KaiTi" w:hint="eastAsia"/>
          <w:color w:val="000000"/>
          <w:sz w:val="15"/>
          <w:szCs w:val="14"/>
        </w:rPr>
        <w:t>,</w:t>
      </w:r>
      <w:r w:rsidRPr="004943E0">
        <w:rPr>
          <w:rFonts w:ascii="KaiTi" w:eastAsia="KaiTi" w:hAnsi="KaiTi" w:hint="eastAsia"/>
          <w:color w:val="000000"/>
          <w:sz w:val="15"/>
          <w:szCs w:val="14"/>
        </w:rPr>
        <w:t>430</w:t>
      </w:r>
      <w:proofErr w:type="gramStart"/>
      <w:r w:rsidRPr="004943E0">
        <w:rPr>
          <w:rFonts w:ascii="KaiTi" w:eastAsia="KaiTi" w:hAnsi="KaiTi" w:hint="eastAsia"/>
          <w:color w:val="000000"/>
          <w:sz w:val="15"/>
          <w:szCs w:val="14"/>
        </w:rPr>
        <w:t>万瑞</w:t>
      </w:r>
      <w:proofErr w:type="gramEnd"/>
      <w:r w:rsidRPr="004943E0">
        <w:rPr>
          <w:rFonts w:ascii="KaiTi" w:eastAsia="KaiTi" w:hAnsi="KaiTi" w:hint="eastAsia"/>
          <w:color w:val="000000"/>
          <w:sz w:val="15"/>
          <w:szCs w:val="14"/>
        </w:rPr>
        <w:t>郎的2017年储备支出后的预期总体成果。</w:t>
      </w:r>
    </w:p>
    <w:p w:rsidR="00A464B2" w:rsidRPr="004943E0" w:rsidRDefault="00A464B2">
      <w:pPr>
        <w:rPr>
          <w:rFonts w:ascii="KaiTi" w:eastAsia="KaiTi" w:hAnsi="KaiTi"/>
          <w:color w:val="000000"/>
          <w:sz w:val="15"/>
          <w:szCs w:val="14"/>
        </w:rPr>
      </w:pPr>
      <w:r w:rsidRPr="004943E0">
        <w:rPr>
          <w:rFonts w:ascii="KaiTi" w:eastAsia="KaiTi" w:hAnsi="KaiTi" w:hint="eastAsia"/>
          <w:color w:val="000000"/>
          <w:sz w:val="15"/>
          <w:szCs w:val="14"/>
        </w:rPr>
        <w:t>注：联盟所采用的收入与支出分配方法与编制2018/19计划和预算采用的方法相同（与2016/17年</w:t>
      </w:r>
      <w:r w:rsidR="004943E0">
        <w:rPr>
          <w:rFonts w:ascii="KaiTi" w:eastAsia="KaiTi" w:hAnsi="KaiTi" w:hint="eastAsia"/>
          <w:color w:val="000000"/>
          <w:sz w:val="15"/>
          <w:szCs w:val="14"/>
        </w:rPr>
        <w:t>相比</w:t>
      </w:r>
      <w:r w:rsidRPr="004943E0">
        <w:rPr>
          <w:rFonts w:ascii="KaiTi" w:eastAsia="KaiTi" w:hAnsi="KaiTi" w:hint="eastAsia"/>
          <w:color w:val="000000"/>
          <w:sz w:val="15"/>
          <w:szCs w:val="14"/>
        </w:rPr>
        <w:t>无变更）。</w:t>
      </w:r>
    </w:p>
    <w:p w:rsidR="00A464B2" w:rsidRPr="00A464B2" w:rsidRDefault="00A464B2" w:rsidP="00A464B2">
      <w:pPr>
        <w:pStyle w:val="1"/>
        <w:overflowPunct w:val="0"/>
        <w:spacing w:beforeLines="100" w:afterLines="50" w:after="120" w:line="340" w:lineRule="atLeast"/>
        <w:rPr>
          <w:rFonts w:ascii="SimHei" w:eastAsia="SimHei" w:hAnsi="SimHei"/>
          <w:b w:val="0"/>
          <w:sz w:val="21"/>
        </w:rPr>
      </w:pPr>
      <w:r w:rsidRPr="00A464B2">
        <w:rPr>
          <w:rFonts w:ascii="SimHei" w:eastAsia="SimHei" w:hAnsi="SimHei" w:hint="eastAsia"/>
          <w:b w:val="0"/>
          <w:sz w:val="21"/>
        </w:rPr>
        <w:t>对现金流量和储备金流动性的影响</w:t>
      </w:r>
    </w:p>
    <w:p w:rsidR="00A464B2" w:rsidRDefault="004F7E15" w:rsidP="00A464B2">
      <w:pPr>
        <w:numPr>
          <w:ilvl w:val="0"/>
          <w:numId w:val="4"/>
        </w:numPr>
        <w:overflowPunct w:val="0"/>
        <w:spacing w:afterLines="50" w:after="120" w:line="340" w:lineRule="atLeast"/>
        <w:ind w:left="0" w:firstLine="0"/>
        <w:jc w:val="both"/>
        <w:rPr>
          <w:rFonts w:ascii="SimSun" w:hAnsi="SimSun"/>
          <w:sz w:val="21"/>
        </w:rPr>
      </w:pPr>
      <w:r>
        <w:rPr>
          <w:rFonts w:ascii="SimSun" w:hAnsi="SimSun" w:hint="eastAsia"/>
          <w:sz w:val="21"/>
        </w:rPr>
        <w:t>产权组织</w:t>
      </w:r>
      <w:r w:rsidR="00A464B2" w:rsidRPr="00F15E6C">
        <w:rPr>
          <w:rFonts w:ascii="SimSun" w:hAnsi="SimSun" w:hint="eastAsia"/>
          <w:sz w:val="21"/>
        </w:rPr>
        <w:t>的可用现金及其储备金的流动性要素足以充分满足2018</w:t>
      </w:r>
      <w:r w:rsidR="0039745F">
        <w:rPr>
          <w:rFonts w:ascii="SimSun" w:hAnsi="SimSun" w:hint="eastAsia"/>
          <w:sz w:val="21"/>
        </w:rPr>
        <w:t>–</w:t>
      </w:r>
      <w:r w:rsidR="00A464B2" w:rsidRPr="00F15E6C">
        <w:rPr>
          <w:rFonts w:ascii="SimSun" w:hAnsi="SimSun" w:hint="eastAsia"/>
          <w:sz w:val="21"/>
        </w:rPr>
        <w:t>19</w:t>
      </w:r>
      <w:r>
        <w:rPr>
          <w:rFonts w:ascii="SimSun" w:hAnsi="SimSun" w:hint="eastAsia"/>
          <w:color w:val="000000"/>
          <w:sz w:val="21"/>
          <w:szCs w:val="18"/>
        </w:rPr>
        <w:t>年基建总计划</w:t>
      </w:r>
      <w:r w:rsidR="00A464B2" w:rsidRPr="00F15E6C">
        <w:rPr>
          <w:rFonts w:ascii="SimSun" w:hAnsi="SimSun" w:hint="eastAsia"/>
          <w:sz w:val="21"/>
        </w:rPr>
        <w:t>下提出的现金流出水平</w:t>
      </w:r>
      <w:r w:rsidR="004943E0">
        <w:rPr>
          <w:rFonts w:ascii="SimSun" w:hAnsi="SimSun" w:hint="eastAsia"/>
          <w:sz w:val="21"/>
        </w:rPr>
        <w:t>，</w:t>
      </w:r>
      <w:r w:rsidR="00A464B2" w:rsidRPr="00F15E6C">
        <w:rPr>
          <w:rFonts w:ascii="SimSun" w:hAnsi="SimSun" w:hint="eastAsia"/>
          <w:sz w:val="21"/>
        </w:rPr>
        <w:t>以及2014</w:t>
      </w:r>
      <w:r w:rsidR="0039745F">
        <w:rPr>
          <w:rFonts w:ascii="SimSun" w:hAnsi="SimSun" w:hint="eastAsia"/>
          <w:sz w:val="21"/>
        </w:rPr>
        <w:t>–</w:t>
      </w:r>
      <w:r w:rsidR="00A464B2" w:rsidRPr="00F15E6C">
        <w:rPr>
          <w:rFonts w:ascii="SimSun" w:hAnsi="SimSun" w:hint="eastAsia"/>
          <w:sz w:val="21"/>
        </w:rPr>
        <w:t>19</w:t>
      </w:r>
      <w:r>
        <w:rPr>
          <w:rFonts w:ascii="SimSun" w:hAnsi="SimSun" w:hint="eastAsia"/>
          <w:color w:val="000000"/>
          <w:sz w:val="21"/>
          <w:szCs w:val="18"/>
        </w:rPr>
        <w:t>年基建总计划</w:t>
      </w:r>
      <w:r w:rsidR="00A464B2" w:rsidRPr="00F15E6C">
        <w:rPr>
          <w:rFonts w:ascii="SimSun" w:hAnsi="SimSun" w:hint="eastAsia"/>
          <w:sz w:val="21"/>
        </w:rPr>
        <w:t>的余额和其他由储备金供资的特别项目。</w:t>
      </w:r>
    </w:p>
    <w:p w:rsidR="00A464B2" w:rsidRPr="004F7E15" w:rsidRDefault="00A464B2" w:rsidP="004F7E15">
      <w:pPr>
        <w:pStyle w:val="2"/>
        <w:overflowPunct w:val="0"/>
        <w:spacing w:beforeLines="100" w:afterLines="50" w:after="120" w:line="340" w:lineRule="atLeast"/>
        <w:rPr>
          <w:rFonts w:ascii="KaiTi" w:eastAsia="KaiTi" w:hAnsi="KaiTi"/>
          <w:sz w:val="21"/>
        </w:rPr>
      </w:pPr>
      <w:r w:rsidRPr="004F7E15">
        <w:rPr>
          <w:rFonts w:ascii="KaiTi" w:eastAsia="KaiTi" w:hAnsi="KaiTi" w:hint="eastAsia"/>
          <w:sz w:val="21"/>
        </w:rPr>
        <w:t>对现金流量的影响</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在留出占2016/17</w:t>
      </w:r>
      <w:r w:rsidR="004943E0">
        <w:rPr>
          <w:rFonts w:ascii="SimSun" w:hAnsi="SimSun" w:hint="eastAsia"/>
          <w:sz w:val="21"/>
        </w:rPr>
        <w:t>年</w:t>
      </w:r>
      <w:r w:rsidRPr="00F15E6C">
        <w:rPr>
          <w:rFonts w:ascii="SimSun" w:hAnsi="SimSun" w:hint="eastAsia"/>
          <w:sz w:val="21"/>
        </w:rPr>
        <w:t>计划和预算22%（1.57亿瑞郎）的</w:t>
      </w:r>
      <w:r w:rsidR="00694474">
        <w:rPr>
          <w:rFonts w:ascii="SimSun" w:hAnsi="SimSun" w:hint="eastAsia"/>
          <w:sz w:val="21"/>
        </w:rPr>
        <w:t>周转</w:t>
      </w:r>
      <w:r w:rsidRPr="00F15E6C">
        <w:rPr>
          <w:rFonts w:ascii="SimSun" w:hAnsi="SimSun" w:hint="eastAsia"/>
          <w:sz w:val="21"/>
        </w:rPr>
        <w:t>储备金目标及为ASHI负债资金设立的储备金（战略现金，总额为1</w:t>
      </w:r>
      <w:r w:rsidR="008E5A15">
        <w:rPr>
          <w:rFonts w:ascii="SimSun" w:hAnsi="SimSun" w:hint="eastAsia"/>
          <w:sz w:val="21"/>
        </w:rPr>
        <w:t>.</w:t>
      </w:r>
      <w:r w:rsidRPr="00F15E6C">
        <w:rPr>
          <w:rFonts w:ascii="SimSun" w:hAnsi="SimSun" w:hint="eastAsia"/>
          <w:sz w:val="21"/>
        </w:rPr>
        <w:t>086</w:t>
      </w:r>
      <w:r w:rsidR="008E5A15">
        <w:rPr>
          <w:rFonts w:ascii="SimSun" w:hAnsi="SimSun" w:hint="eastAsia"/>
          <w:sz w:val="21"/>
        </w:rPr>
        <w:t>亿</w:t>
      </w:r>
      <w:r w:rsidRPr="00F15E6C">
        <w:rPr>
          <w:rFonts w:ascii="SimSun" w:hAnsi="SimSun" w:hint="eastAsia"/>
          <w:sz w:val="21"/>
        </w:rPr>
        <w:t>瑞郎）后，包括特别项目储备金在内的核心现金余额如下：</w:t>
      </w:r>
    </w:p>
    <w:tbl>
      <w:tblPr>
        <w:tblW w:w="6425" w:type="dxa"/>
        <w:jc w:val="center"/>
        <w:tblLayout w:type="fixed"/>
        <w:tblLook w:val="04A0" w:firstRow="1" w:lastRow="0" w:firstColumn="1" w:lastColumn="0" w:noHBand="0" w:noVBand="1"/>
      </w:tblPr>
      <w:tblGrid>
        <w:gridCol w:w="3780"/>
        <w:gridCol w:w="283"/>
        <w:gridCol w:w="1039"/>
        <w:gridCol w:w="237"/>
        <w:gridCol w:w="1086"/>
      </w:tblGrid>
      <w:tr w:rsidR="00944DBE" w:rsidRPr="00F15E6C" w:rsidTr="00587956">
        <w:trPr>
          <w:trHeight w:val="255"/>
          <w:jc w:val="center"/>
        </w:trPr>
        <w:tc>
          <w:tcPr>
            <w:tcW w:w="6425" w:type="dxa"/>
            <w:gridSpan w:val="5"/>
            <w:shd w:val="clear" w:color="auto" w:fill="C6D9F1" w:themeFill="text2" w:themeFillTint="33"/>
            <w:vAlign w:val="center"/>
          </w:tcPr>
          <w:p w:rsidR="00944DBE" w:rsidRPr="00F15E6C" w:rsidRDefault="00A464B2">
            <w:pPr>
              <w:keepNext/>
              <w:keepLines/>
              <w:jc w:val="center"/>
              <w:rPr>
                <w:rFonts w:ascii="SimSun" w:hAnsi="SimSun"/>
                <w:sz w:val="21"/>
              </w:rPr>
            </w:pPr>
            <w:r w:rsidRPr="00F15E6C">
              <w:rPr>
                <w:rFonts w:ascii="SimSun" w:hAnsi="SimSun" w:hint="eastAsia"/>
                <w:sz w:val="21"/>
              </w:rPr>
              <w:lastRenderedPageBreak/>
              <w:t>表6：根据投资政策的储备金</w:t>
            </w:r>
          </w:p>
          <w:p w:rsidR="00944DBE" w:rsidRPr="00F15E6C" w:rsidRDefault="00A464B2">
            <w:pPr>
              <w:keepNext/>
              <w:keepLines/>
              <w:jc w:val="center"/>
              <w:rPr>
                <w:rFonts w:ascii="SimSun" w:hAnsi="SimSun" w:cstheme="minorHAnsi"/>
                <w:i/>
                <w:color w:val="000000"/>
                <w:sz w:val="21"/>
                <w:szCs w:val="18"/>
                <w:lang w:eastAsia="en-US"/>
              </w:rPr>
            </w:pPr>
            <w:r w:rsidRPr="004943E0">
              <w:rPr>
                <w:rFonts w:ascii="KaiTi" w:eastAsia="KaiTi" w:hAnsi="KaiTi" w:cstheme="minorHAnsi" w:hint="eastAsia"/>
                <w:color w:val="000000"/>
                <w:sz w:val="18"/>
                <w:szCs w:val="18"/>
              </w:rPr>
              <w:t>（单位：百</w:t>
            </w:r>
            <w:proofErr w:type="gramStart"/>
            <w:r w:rsidRPr="004943E0">
              <w:rPr>
                <w:rFonts w:ascii="KaiTi" w:eastAsia="KaiTi" w:hAnsi="KaiTi" w:cstheme="minorHAnsi" w:hint="eastAsia"/>
                <w:color w:val="000000"/>
                <w:sz w:val="18"/>
                <w:szCs w:val="18"/>
              </w:rPr>
              <w:t>万瑞</w:t>
            </w:r>
            <w:proofErr w:type="gramEnd"/>
            <w:r w:rsidRPr="004943E0">
              <w:rPr>
                <w:rFonts w:ascii="KaiTi" w:eastAsia="KaiTi" w:hAnsi="KaiTi" w:cstheme="minorHAnsi" w:hint="eastAsia"/>
                <w:color w:val="000000"/>
                <w:sz w:val="18"/>
                <w:szCs w:val="18"/>
              </w:rPr>
              <w:t>郎）</w:t>
            </w:r>
          </w:p>
        </w:tc>
      </w:tr>
      <w:tr w:rsidR="00944DBE" w:rsidRPr="004943E0" w:rsidTr="00587956">
        <w:trPr>
          <w:jc w:val="center"/>
        </w:trPr>
        <w:tc>
          <w:tcPr>
            <w:tcW w:w="3780" w:type="dxa"/>
            <w:shd w:val="clear" w:color="auto" w:fill="FFFFFF" w:themeFill="background1"/>
            <w:vAlign w:val="center"/>
          </w:tcPr>
          <w:p w:rsidR="00944DBE" w:rsidRPr="004943E0" w:rsidRDefault="00944DBE">
            <w:pPr>
              <w:keepNext/>
              <w:keepLines/>
              <w:rPr>
                <w:rFonts w:ascii="SimSun" w:hAnsi="SimSun"/>
                <w:b/>
                <w:color w:val="000000"/>
                <w:sz w:val="18"/>
                <w:szCs w:val="8"/>
                <w:lang w:eastAsia="en-US"/>
              </w:rPr>
            </w:pPr>
          </w:p>
        </w:tc>
        <w:tc>
          <w:tcPr>
            <w:tcW w:w="1322" w:type="dxa"/>
            <w:gridSpan w:val="2"/>
            <w:shd w:val="clear" w:color="auto" w:fill="FFFFFF" w:themeFill="background1"/>
            <w:vAlign w:val="bottom"/>
          </w:tcPr>
          <w:p w:rsidR="00944DBE" w:rsidRPr="004943E0" w:rsidRDefault="00944DBE">
            <w:pPr>
              <w:keepNext/>
              <w:keepLines/>
              <w:jc w:val="center"/>
              <w:rPr>
                <w:rFonts w:ascii="SimSun" w:hAnsi="SimSun"/>
                <w:color w:val="000000"/>
                <w:sz w:val="18"/>
                <w:szCs w:val="18"/>
                <w:lang w:eastAsia="en-US"/>
              </w:rPr>
            </w:pPr>
          </w:p>
        </w:tc>
        <w:tc>
          <w:tcPr>
            <w:tcW w:w="1323" w:type="dxa"/>
            <w:gridSpan w:val="2"/>
            <w:shd w:val="clear" w:color="auto" w:fill="FFFFFF" w:themeFill="background1"/>
            <w:vAlign w:val="bottom"/>
          </w:tcPr>
          <w:p w:rsidR="00944DBE" w:rsidRPr="004943E0" w:rsidRDefault="00944DBE">
            <w:pPr>
              <w:keepNext/>
              <w:keepLines/>
              <w:jc w:val="center"/>
              <w:rPr>
                <w:rFonts w:ascii="SimSun" w:hAnsi="SimSun"/>
                <w:color w:val="000000"/>
                <w:sz w:val="18"/>
                <w:szCs w:val="18"/>
                <w:lang w:eastAsia="en-US"/>
              </w:rPr>
            </w:pPr>
          </w:p>
        </w:tc>
      </w:tr>
      <w:tr w:rsidR="004943E0" w:rsidRPr="004943E0" w:rsidTr="00587956">
        <w:trPr>
          <w:jc w:val="center"/>
        </w:trPr>
        <w:tc>
          <w:tcPr>
            <w:tcW w:w="3780" w:type="dxa"/>
            <w:shd w:val="clear" w:color="auto" w:fill="C6D9F1" w:themeFill="text2" w:themeFillTint="33"/>
            <w:vAlign w:val="center"/>
          </w:tcPr>
          <w:p w:rsidR="00944DBE" w:rsidRPr="004943E0" w:rsidRDefault="00944DBE">
            <w:pPr>
              <w:keepNext/>
              <w:keepLines/>
              <w:rPr>
                <w:b/>
                <w:sz w:val="18"/>
                <w:szCs w:val="18"/>
                <w:lang w:eastAsia="en-US"/>
              </w:rPr>
            </w:pPr>
          </w:p>
        </w:tc>
        <w:tc>
          <w:tcPr>
            <w:tcW w:w="1322" w:type="dxa"/>
            <w:gridSpan w:val="2"/>
            <w:shd w:val="clear" w:color="auto" w:fill="C6D9F1" w:themeFill="text2" w:themeFillTint="33"/>
            <w:vAlign w:val="bottom"/>
          </w:tcPr>
          <w:p w:rsidR="004943E0" w:rsidRPr="004943E0" w:rsidRDefault="00A464B2">
            <w:pPr>
              <w:keepNext/>
              <w:keepLines/>
              <w:jc w:val="center"/>
              <w:rPr>
                <w:sz w:val="18"/>
                <w:szCs w:val="18"/>
              </w:rPr>
            </w:pPr>
            <w:r w:rsidRPr="004943E0">
              <w:rPr>
                <w:rFonts w:hint="eastAsia"/>
                <w:sz w:val="18"/>
                <w:szCs w:val="18"/>
              </w:rPr>
              <w:t>2017</w:t>
            </w:r>
            <w:r w:rsidRPr="004943E0">
              <w:rPr>
                <w:rFonts w:hint="eastAsia"/>
                <w:sz w:val="18"/>
                <w:szCs w:val="18"/>
              </w:rPr>
              <w:t>年</w:t>
            </w:r>
          </w:p>
          <w:p w:rsidR="00944DBE" w:rsidRPr="004943E0" w:rsidRDefault="00A464B2">
            <w:pPr>
              <w:keepNext/>
              <w:keepLines/>
              <w:jc w:val="center"/>
              <w:rPr>
                <w:sz w:val="18"/>
                <w:szCs w:val="18"/>
                <w:lang w:eastAsia="en-US"/>
              </w:rPr>
            </w:pPr>
            <w:r w:rsidRPr="004943E0">
              <w:rPr>
                <w:rFonts w:hint="eastAsia"/>
                <w:sz w:val="18"/>
                <w:szCs w:val="18"/>
              </w:rPr>
              <w:t>4</w:t>
            </w:r>
            <w:r w:rsidRPr="004943E0">
              <w:rPr>
                <w:rFonts w:hint="eastAsia"/>
                <w:sz w:val="18"/>
                <w:szCs w:val="18"/>
              </w:rPr>
              <w:t>月</w:t>
            </w:r>
            <w:r w:rsidRPr="004943E0">
              <w:rPr>
                <w:rFonts w:hint="eastAsia"/>
                <w:sz w:val="18"/>
                <w:szCs w:val="18"/>
              </w:rPr>
              <w:t>30</w:t>
            </w:r>
            <w:r w:rsidRPr="004943E0">
              <w:rPr>
                <w:rFonts w:hint="eastAsia"/>
                <w:sz w:val="18"/>
                <w:szCs w:val="18"/>
              </w:rPr>
              <w:t>日</w:t>
            </w:r>
          </w:p>
        </w:tc>
        <w:tc>
          <w:tcPr>
            <w:tcW w:w="1323" w:type="dxa"/>
            <w:gridSpan w:val="2"/>
            <w:shd w:val="clear" w:color="auto" w:fill="C6D9F1" w:themeFill="text2" w:themeFillTint="33"/>
            <w:vAlign w:val="bottom"/>
          </w:tcPr>
          <w:p w:rsidR="004943E0" w:rsidRPr="004943E0" w:rsidRDefault="00A464B2">
            <w:pPr>
              <w:keepNext/>
              <w:keepLines/>
              <w:jc w:val="center"/>
              <w:rPr>
                <w:sz w:val="18"/>
                <w:szCs w:val="18"/>
              </w:rPr>
            </w:pPr>
            <w:r w:rsidRPr="004943E0">
              <w:rPr>
                <w:rFonts w:hint="eastAsia"/>
                <w:sz w:val="18"/>
                <w:szCs w:val="18"/>
              </w:rPr>
              <w:t>2016</w:t>
            </w:r>
            <w:r w:rsidRPr="004943E0">
              <w:rPr>
                <w:rFonts w:hint="eastAsia"/>
                <w:sz w:val="18"/>
                <w:szCs w:val="18"/>
              </w:rPr>
              <w:t>年</w:t>
            </w:r>
          </w:p>
          <w:p w:rsidR="00944DBE" w:rsidRPr="004943E0" w:rsidRDefault="00A464B2">
            <w:pPr>
              <w:keepNext/>
              <w:keepLines/>
              <w:jc w:val="center"/>
              <w:rPr>
                <w:sz w:val="18"/>
                <w:szCs w:val="18"/>
                <w:lang w:eastAsia="en-US"/>
              </w:rPr>
            </w:pPr>
            <w:r w:rsidRPr="004943E0">
              <w:rPr>
                <w:rFonts w:hint="eastAsia"/>
                <w:sz w:val="18"/>
                <w:szCs w:val="18"/>
              </w:rPr>
              <w:t>12</w:t>
            </w:r>
            <w:r w:rsidRPr="004943E0">
              <w:rPr>
                <w:rFonts w:hint="eastAsia"/>
                <w:sz w:val="18"/>
                <w:szCs w:val="18"/>
              </w:rPr>
              <w:t>月</w:t>
            </w:r>
            <w:r w:rsidRPr="004943E0">
              <w:rPr>
                <w:rFonts w:hint="eastAsia"/>
                <w:sz w:val="18"/>
                <w:szCs w:val="18"/>
              </w:rPr>
              <w:t>31</w:t>
            </w:r>
            <w:r w:rsidRPr="004943E0">
              <w:rPr>
                <w:rFonts w:hint="eastAsia"/>
                <w:sz w:val="18"/>
                <w:szCs w:val="18"/>
              </w:rPr>
              <w:t>日</w:t>
            </w:r>
          </w:p>
        </w:tc>
      </w:tr>
      <w:tr w:rsidR="004943E0" w:rsidRPr="004943E0" w:rsidTr="00587956">
        <w:trPr>
          <w:jc w:val="center"/>
        </w:trPr>
        <w:tc>
          <w:tcPr>
            <w:tcW w:w="3780" w:type="dxa"/>
            <w:shd w:val="clear" w:color="auto" w:fill="auto"/>
            <w:vAlign w:val="bottom"/>
          </w:tcPr>
          <w:p w:rsidR="00944DBE" w:rsidRPr="004943E0" w:rsidRDefault="00944DBE">
            <w:pPr>
              <w:keepNext/>
              <w:keepLines/>
              <w:rPr>
                <w:sz w:val="18"/>
                <w:szCs w:val="18"/>
              </w:rPr>
            </w:pPr>
          </w:p>
          <w:p w:rsidR="00944DBE" w:rsidRPr="004943E0" w:rsidRDefault="00A464B2">
            <w:pPr>
              <w:keepNext/>
              <w:keepLines/>
              <w:rPr>
                <w:sz w:val="18"/>
                <w:szCs w:val="18"/>
              </w:rPr>
            </w:pPr>
            <w:r w:rsidRPr="004943E0">
              <w:rPr>
                <w:rFonts w:hint="eastAsia"/>
                <w:sz w:val="18"/>
                <w:szCs w:val="18"/>
              </w:rPr>
              <w:t>现金及投资总额（包括存款）</w:t>
            </w:r>
          </w:p>
        </w:tc>
        <w:tc>
          <w:tcPr>
            <w:tcW w:w="1322" w:type="dxa"/>
            <w:gridSpan w:val="2"/>
            <w:shd w:val="clear" w:color="auto" w:fill="auto"/>
            <w:vAlign w:val="bottom"/>
          </w:tcPr>
          <w:p w:rsidR="00944DBE" w:rsidRPr="004943E0" w:rsidRDefault="00A464B2">
            <w:pPr>
              <w:keepNext/>
              <w:keepLines/>
              <w:jc w:val="center"/>
              <w:rPr>
                <w:sz w:val="18"/>
                <w:szCs w:val="18"/>
                <w:lang w:eastAsia="en-US"/>
              </w:rPr>
            </w:pPr>
            <w:r w:rsidRPr="004943E0">
              <w:rPr>
                <w:sz w:val="18"/>
                <w:szCs w:val="18"/>
                <w:lang w:eastAsia="en-US"/>
              </w:rPr>
              <w:t>473.2</w:t>
            </w:r>
          </w:p>
        </w:tc>
        <w:tc>
          <w:tcPr>
            <w:tcW w:w="1323" w:type="dxa"/>
            <w:gridSpan w:val="2"/>
            <w:shd w:val="clear" w:color="auto" w:fill="auto"/>
            <w:vAlign w:val="bottom"/>
          </w:tcPr>
          <w:p w:rsidR="00944DBE" w:rsidRPr="004943E0" w:rsidRDefault="00A464B2">
            <w:pPr>
              <w:keepNext/>
              <w:keepLines/>
              <w:jc w:val="center"/>
              <w:rPr>
                <w:sz w:val="18"/>
                <w:szCs w:val="18"/>
                <w:lang w:eastAsia="en-US"/>
              </w:rPr>
            </w:pPr>
            <w:r w:rsidRPr="004943E0">
              <w:rPr>
                <w:sz w:val="18"/>
                <w:szCs w:val="18"/>
                <w:lang w:eastAsia="en-US"/>
              </w:rPr>
              <w:t>542.3</w:t>
            </w:r>
          </w:p>
        </w:tc>
      </w:tr>
      <w:tr w:rsidR="004943E0" w:rsidRPr="004943E0" w:rsidTr="00587956">
        <w:trPr>
          <w:jc w:val="center"/>
        </w:trPr>
        <w:tc>
          <w:tcPr>
            <w:tcW w:w="3780" w:type="dxa"/>
            <w:shd w:val="clear" w:color="auto" w:fill="auto"/>
            <w:vAlign w:val="bottom"/>
          </w:tcPr>
          <w:p w:rsidR="00944DBE" w:rsidRPr="004943E0" w:rsidRDefault="00944DBE">
            <w:pPr>
              <w:keepNext/>
              <w:keepLines/>
              <w:rPr>
                <w:sz w:val="18"/>
                <w:szCs w:val="18"/>
              </w:rPr>
            </w:pPr>
          </w:p>
          <w:p w:rsidR="00944DBE" w:rsidRPr="004943E0" w:rsidRDefault="00694474">
            <w:pPr>
              <w:keepNext/>
              <w:keepLines/>
              <w:rPr>
                <w:sz w:val="18"/>
                <w:szCs w:val="18"/>
              </w:rPr>
            </w:pPr>
            <w:r>
              <w:rPr>
                <w:rFonts w:hint="eastAsia"/>
                <w:sz w:val="18"/>
                <w:szCs w:val="18"/>
              </w:rPr>
              <w:t>周转</w:t>
            </w:r>
            <w:r w:rsidR="00A464B2" w:rsidRPr="004943E0">
              <w:rPr>
                <w:rFonts w:hint="eastAsia"/>
                <w:sz w:val="18"/>
                <w:szCs w:val="18"/>
              </w:rPr>
              <w:t>储备金</w:t>
            </w:r>
          </w:p>
          <w:p w:rsidR="00944DBE" w:rsidRPr="004943E0" w:rsidRDefault="004943E0">
            <w:pPr>
              <w:keepNext/>
              <w:keepLines/>
              <w:rPr>
                <w:sz w:val="18"/>
                <w:szCs w:val="18"/>
              </w:rPr>
            </w:pPr>
            <w:r>
              <w:rPr>
                <w:rFonts w:hint="eastAsia"/>
                <w:sz w:val="18"/>
                <w:szCs w:val="18"/>
              </w:rPr>
              <w:t>（</w:t>
            </w:r>
            <w:r w:rsidR="00A464B2" w:rsidRPr="004943E0">
              <w:rPr>
                <w:sz w:val="18"/>
                <w:szCs w:val="18"/>
              </w:rPr>
              <w:t>2016/17RWCF</w:t>
            </w:r>
            <w:r w:rsidR="00A464B2" w:rsidRPr="004943E0">
              <w:rPr>
                <w:rFonts w:hint="eastAsia"/>
                <w:sz w:val="18"/>
                <w:szCs w:val="18"/>
              </w:rPr>
              <w:t>目标</w:t>
            </w:r>
            <w:r>
              <w:rPr>
                <w:rFonts w:hint="eastAsia"/>
                <w:sz w:val="18"/>
                <w:szCs w:val="18"/>
              </w:rPr>
              <w:t>）</w:t>
            </w:r>
          </w:p>
        </w:tc>
        <w:tc>
          <w:tcPr>
            <w:tcW w:w="1322" w:type="dxa"/>
            <w:gridSpan w:val="2"/>
            <w:shd w:val="clear" w:color="auto" w:fill="auto"/>
            <w:vAlign w:val="bottom"/>
          </w:tcPr>
          <w:p w:rsidR="00944DBE" w:rsidRPr="004943E0" w:rsidRDefault="00A464B2">
            <w:pPr>
              <w:keepNext/>
              <w:keepLines/>
              <w:jc w:val="center"/>
              <w:rPr>
                <w:sz w:val="18"/>
                <w:szCs w:val="18"/>
                <w:lang w:eastAsia="en-US"/>
              </w:rPr>
            </w:pPr>
            <w:r w:rsidRPr="004943E0">
              <w:rPr>
                <w:sz w:val="18"/>
                <w:szCs w:val="18"/>
                <w:lang w:eastAsia="en-US"/>
              </w:rPr>
              <w:t>157.0</w:t>
            </w:r>
          </w:p>
        </w:tc>
        <w:tc>
          <w:tcPr>
            <w:tcW w:w="1323" w:type="dxa"/>
            <w:gridSpan w:val="2"/>
            <w:shd w:val="clear" w:color="auto" w:fill="auto"/>
            <w:vAlign w:val="bottom"/>
          </w:tcPr>
          <w:p w:rsidR="00944DBE" w:rsidRPr="004943E0" w:rsidRDefault="00A464B2">
            <w:pPr>
              <w:keepNext/>
              <w:keepLines/>
              <w:jc w:val="center"/>
              <w:rPr>
                <w:sz w:val="18"/>
                <w:szCs w:val="18"/>
                <w:lang w:eastAsia="en-US"/>
              </w:rPr>
            </w:pPr>
            <w:r w:rsidRPr="004943E0">
              <w:rPr>
                <w:sz w:val="18"/>
                <w:szCs w:val="18"/>
                <w:lang w:eastAsia="en-US"/>
              </w:rPr>
              <w:t>157.0</w:t>
            </w:r>
          </w:p>
        </w:tc>
      </w:tr>
      <w:tr w:rsidR="004943E0" w:rsidRPr="004943E0" w:rsidTr="00587956">
        <w:trPr>
          <w:jc w:val="center"/>
        </w:trPr>
        <w:tc>
          <w:tcPr>
            <w:tcW w:w="3780" w:type="dxa"/>
            <w:shd w:val="clear" w:color="auto" w:fill="auto"/>
            <w:vAlign w:val="bottom"/>
          </w:tcPr>
          <w:p w:rsidR="00944DBE" w:rsidRPr="004943E0" w:rsidRDefault="00944DBE">
            <w:pPr>
              <w:keepNext/>
              <w:keepLines/>
              <w:rPr>
                <w:sz w:val="18"/>
                <w:szCs w:val="18"/>
                <w:lang w:eastAsia="en-US"/>
              </w:rPr>
            </w:pPr>
          </w:p>
          <w:p w:rsidR="00944DBE" w:rsidRPr="004943E0" w:rsidRDefault="00A464B2">
            <w:pPr>
              <w:keepNext/>
              <w:keepLines/>
              <w:rPr>
                <w:sz w:val="18"/>
                <w:szCs w:val="18"/>
                <w:lang w:eastAsia="en-US"/>
              </w:rPr>
            </w:pPr>
            <w:r w:rsidRPr="004943E0">
              <w:rPr>
                <w:rFonts w:hint="eastAsia"/>
                <w:sz w:val="18"/>
                <w:szCs w:val="18"/>
              </w:rPr>
              <w:t>战略现金</w:t>
            </w:r>
          </w:p>
        </w:tc>
        <w:tc>
          <w:tcPr>
            <w:tcW w:w="1322" w:type="dxa"/>
            <w:gridSpan w:val="2"/>
            <w:shd w:val="clear" w:color="auto" w:fill="auto"/>
            <w:vAlign w:val="bottom"/>
          </w:tcPr>
          <w:p w:rsidR="00944DBE" w:rsidRPr="004943E0" w:rsidRDefault="00A464B2">
            <w:pPr>
              <w:keepNext/>
              <w:keepLines/>
              <w:jc w:val="center"/>
              <w:rPr>
                <w:sz w:val="18"/>
                <w:szCs w:val="18"/>
                <w:u w:val="single"/>
                <w:lang w:eastAsia="en-US"/>
              </w:rPr>
            </w:pPr>
            <w:r w:rsidRPr="004943E0">
              <w:rPr>
                <w:sz w:val="18"/>
                <w:szCs w:val="18"/>
                <w:u w:val="single"/>
                <w:lang w:eastAsia="en-US"/>
              </w:rPr>
              <w:t>108.6</w:t>
            </w:r>
          </w:p>
        </w:tc>
        <w:tc>
          <w:tcPr>
            <w:tcW w:w="1323" w:type="dxa"/>
            <w:gridSpan w:val="2"/>
            <w:shd w:val="clear" w:color="auto" w:fill="auto"/>
            <w:vAlign w:val="bottom"/>
          </w:tcPr>
          <w:p w:rsidR="00944DBE" w:rsidRPr="004943E0" w:rsidRDefault="00A464B2">
            <w:pPr>
              <w:keepNext/>
              <w:keepLines/>
              <w:jc w:val="center"/>
              <w:rPr>
                <w:sz w:val="18"/>
                <w:szCs w:val="18"/>
                <w:u w:val="single"/>
                <w:lang w:eastAsia="en-US"/>
              </w:rPr>
            </w:pPr>
            <w:r w:rsidRPr="004943E0">
              <w:rPr>
                <w:sz w:val="18"/>
                <w:szCs w:val="18"/>
                <w:u w:val="single"/>
                <w:lang w:eastAsia="en-US"/>
              </w:rPr>
              <w:t>108.6</w:t>
            </w:r>
          </w:p>
        </w:tc>
      </w:tr>
      <w:tr w:rsidR="004943E0" w:rsidRPr="004943E0" w:rsidTr="00587956">
        <w:trPr>
          <w:jc w:val="center"/>
        </w:trPr>
        <w:tc>
          <w:tcPr>
            <w:tcW w:w="3780" w:type="dxa"/>
            <w:shd w:val="clear" w:color="auto" w:fill="auto"/>
            <w:vAlign w:val="bottom"/>
          </w:tcPr>
          <w:p w:rsidR="00944DBE" w:rsidRPr="004943E0" w:rsidRDefault="00A464B2">
            <w:pPr>
              <w:keepNext/>
              <w:keepLines/>
              <w:rPr>
                <w:sz w:val="18"/>
                <w:szCs w:val="18"/>
                <w:lang w:eastAsia="en-US"/>
              </w:rPr>
            </w:pPr>
            <w:r w:rsidRPr="004943E0">
              <w:rPr>
                <w:rFonts w:hint="eastAsia"/>
                <w:sz w:val="18"/>
                <w:szCs w:val="18"/>
              </w:rPr>
              <w:t>核心现金</w:t>
            </w:r>
            <w:r w:rsidRPr="004943E0">
              <w:rPr>
                <w:sz w:val="18"/>
                <w:szCs w:val="18"/>
                <w:lang w:eastAsia="en-US"/>
              </w:rPr>
              <w:t>*</w:t>
            </w:r>
          </w:p>
        </w:tc>
        <w:tc>
          <w:tcPr>
            <w:tcW w:w="1322" w:type="dxa"/>
            <w:gridSpan w:val="2"/>
            <w:shd w:val="clear" w:color="auto" w:fill="auto"/>
            <w:vAlign w:val="bottom"/>
          </w:tcPr>
          <w:p w:rsidR="00944DBE" w:rsidRPr="004943E0" w:rsidRDefault="00A464B2">
            <w:pPr>
              <w:keepNext/>
              <w:keepLines/>
              <w:jc w:val="center"/>
              <w:rPr>
                <w:sz w:val="18"/>
                <w:szCs w:val="18"/>
                <w:lang w:eastAsia="en-US"/>
              </w:rPr>
            </w:pPr>
            <w:r w:rsidRPr="004943E0">
              <w:rPr>
                <w:sz w:val="18"/>
                <w:szCs w:val="18"/>
                <w:lang w:eastAsia="en-US"/>
              </w:rPr>
              <w:t>207.6</w:t>
            </w:r>
          </w:p>
        </w:tc>
        <w:tc>
          <w:tcPr>
            <w:tcW w:w="1323" w:type="dxa"/>
            <w:gridSpan w:val="2"/>
            <w:shd w:val="clear" w:color="auto" w:fill="auto"/>
            <w:vAlign w:val="bottom"/>
          </w:tcPr>
          <w:p w:rsidR="00944DBE" w:rsidRPr="004943E0" w:rsidRDefault="00A464B2">
            <w:pPr>
              <w:keepNext/>
              <w:keepLines/>
              <w:jc w:val="center"/>
              <w:rPr>
                <w:sz w:val="18"/>
                <w:szCs w:val="18"/>
                <w:lang w:eastAsia="en-US"/>
              </w:rPr>
            </w:pPr>
            <w:r w:rsidRPr="004943E0">
              <w:rPr>
                <w:sz w:val="18"/>
                <w:szCs w:val="18"/>
                <w:lang w:eastAsia="en-US"/>
              </w:rPr>
              <w:t>276.7</w:t>
            </w:r>
          </w:p>
        </w:tc>
      </w:tr>
      <w:tr w:rsidR="004943E0" w:rsidRPr="004943E0" w:rsidTr="00587956">
        <w:trPr>
          <w:jc w:val="center"/>
        </w:trPr>
        <w:tc>
          <w:tcPr>
            <w:tcW w:w="4063" w:type="dxa"/>
            <w:gridSpan w:val="2"/>
            <w:shd w:val="clear" w:color="auto" w:fill="C6D9F1" w:themeFill="text2" w:themeFillTint="33"/>
            <w:vAlign w:val="bottom"/>
          </w:tcPr>
          <w:p w:rsidR="00944DBE" w:rsidRPr="004943E0" w:rsidRDefault="00944DBE">
            <w:pPr>
              <w:keepNext/>
              <w:keepLines/>
              <w:rPr>
                <w:sz w:val="18"/>
                <w:szCs w:val="18"/>
                <w:lang w:eastAsia="en-US"/>
              </w:rPr>
            </w:pPr>
          </w:p>
        </w:tc>
        <w:tc>
          <w:tcPr>
            <w:tcW w:w="1276" w:type="dxa"/>
            <w:gridSpan w:val="2"/>
            <w:shd w:val="clear" w:color="auto" w:fill="C6D9F1" w:themeFill="text2" w:themeFillTint="33"/>
            <w:vAlign w:val="bottom"/>
          </w:tcPr>
          <w:p w:rsidR="00944DBE" w:rsidRPr="004943E0" w:rsidRDefault="00944DBE">
            <w:pPr>
              <w:keepNext/>
              <w:keepLines/>
              <w:jc w:val="right"/>
              <w:rPr>
                <w:sz w:val="18"/>
                <w:szCs w:val="18"/>
                <w:lang w:eastAsia="en-US"/>
              </w:rPr>
            </w:pPr>
          </w:p>
        </w:tc>
        <w:tc>
          <w:tcPr>
            <w:tcW w:w="1086" w:type="dxa"/>
            <w:shd w:val="clear" w:color="auto" w:fill="C6D9F1" w:themeFill="text2" w:themeFillTint="33"/>
            <w:vAlign w:val="bottom"/>
          </w:tcPr>
          <w:p w:rsidR="00944DBE" w:rsidRPr="004943E0" w:rsidRDefault="00944DBE">
            <w:pPr>
              <w:keepNext/>
              <w:keepLines/>
              <w:jc w:val="right"/>
              <w:rPr>
                <w:sz w:val="18"/>
                <w:szCs w:val="18"/>
                <w:lang w:eastAsia="en-US"/>
              </w:rPr>
            </w:pPr>
          </w:p>
        </w:tc>
      </w:tr>
    </w:tbl>
    <w:p w:rsidR="00A464B2" w:rsidRPr="00963E2A" w:rsidRDefault="00A464B2" w:rsidP="00694474">
      <w:pPr>
        <w:pStyle w:val="10"/>
        <w:spacing w:before="60"/>
        <w:ind w:firstLine="840"/>
        <w:rPr>
          <w:rFonts w:ascii="KaiTi" w:eastAsia="KaiTi" w:hAnsi="KaiTi"/>
          <w:sz w:val="16"/>
          <w:szCs w:val="16"/>
        </w:rPr>
      </w:pPr>
      <w:r w:rsidRPr="00963E2A">
        <w:rPr>
          <w:rFonts w:ascii="KaiTi" w:eastAsia="KaiTi" w:hAnsi="KaiTi"/>
          <w:sz w:val="16"/>
          <w:szCs w:val="16"/>
        </w:rPr>
        <w:t>*</w:t>
      </w:r>
      <w:r w:rsidRPr="00963E2A">
        <w:rPr>
          <w:rFonts w:ascii="KaiTi" w:eastAsia="KaiTi" w:hAnsi="KaiTi" w:hint="eastAsia"/>
          <w:sz w:val="16"/>
          <w:szCs w:val="16"/>
        </w:rPr>
        <w:t>核心现金包括特别项目储备金</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从2016年12月31日至2017年4月30日的现金减少</w:t>
      </w:r>
      <w:r w:rsidR="00694474">
        <w:rPr>
          <w:rFonts w:ascii="SimSun" w:hAnsi="SimSun" w:hint="eastAsia"/>
          <w:sz w:val="21"/>
        </w:rPr>
        <w:t>，</w:t>
      </w:r>
      <w:r w:rsidRPr="00F15E6C">
        <w:rPr>
          <w:rFonts w:ascii="SimSun" w:hAnsi="SimSun" w:hint="eastAsia"/>
          <w:sz w:val="21"/>
        </w:rPr>
        <w:t>是由于实施了限制目前瑞士法郎负利率影响的策略，据此</w:t>
      </w:r>
      <w:r w:rsidR="004F7E15">
        <w:rPr>
          <w:rFonts w:ascii="SimSun" w:hAnsi="SimSun" w:hint="eastAsia"/>
          <w:sz w:val="21"/>
        </w:rPr>
        <w:t>产权组织</w:t>
      </w:r>
      <w:r w:rsidRPr="00F15E6C">
        <w:rPr>
          <w:rFonts w:ascii="SimSun" w:hAnsi="SimSun" w:hint="eastAsia"/>
          <w:sz w:val="21"/>
        </w:rPr>
        <w:t>提前偿还州立银行提供的建设项目贷款，金额为8,210</w:t>
      </w:r>
      <w:proofErr w:type="gramStart"/>
      <w:r w:rsidRPr="00F15E6C">
        <w:rPr>
          <w:rFonts w:ascii="SimSun" w:hAnsi="SimSun" w:hint="eastAsia"/>
          <w:sz w:val="21"/>
        </w:rPr>
        <w:t>万瑞</w:t>
      </w:r>
      <w:proofErr w:type="gramEnd"/>
      <w:r w:rsidRPr="00F15E6C">
        <w:rPr>
          <w:rFonts w:ascii="SimSun" w:hAnsi="SimSun" w:hint="eastAsia"/>
          <w:sz w:val="21"/>
        </w:rPr>
        <w:t>郎。2017年的现金流入净额足以使</w:t>
      </w:r>
      <w:r w:rsidR="004F7E15">
        <w:rPr>
          <w:rFonts w:ascii="SimSun" w:hAnsi="SimSun" w:hint="eastAsia"/>
          <w:sz w:val="21"/>
        </w:rPr>
        <w:t>产权组织</w:t>
      </w:r>
      <w:r w:rsidRPr="00F15E6C">
        <w:rPr>
          <w:rFonts w:ascii="SimSun" w:hAnsi="SimSun" w:hint="eastAsia"/>
          <w:sz w:val="21"/>
        </w:rPr>
        <w:t>吸收偿还建筑贷款的影响，并仍可保留可用于现金需求的充分流动性。</w:t>
      </w:r>
    </w:p>
    <w:p w:rsidR="00944DBE" w:rsidRPr="00694474" w:rsidRDefault="00A464B2" w:rsidP="00694474">
      <w:pPr>
        <w:numPr>
          <w:ilvl w:val="0"/>
          <w:numId w:val="4"/>
        </w:numPr>
        <w:overflowPunct w:val="0"/>
        <w:spacing w:afterLines="50" w:after="120" w:line="340" w:lineRule="atLeast"/>
        <w:ind w:left="0" w:firstLine="0"/>
        <w:jc w:val="both"/>
        <w:rPr>
          <w:rFonts w:ascii="SimSun" w:hAnsi="SimSun"/>
          <w:sz w:val="21"/>
        </w:rPr>
      </w:pPr>
      <w:r w:rsidRPr="00694474">
        <w:rPr>
          <w:rFonts w:ascii="SimSun" w:hAnsi="SimSun" w:hint="eastAsia"/>
          <w:sz w:val="21"/>
        </w:rPr>
        <w:t>根据</w:t>
      </w:r>
      <w:r w:rsidR="004F7E15" w:rsidRPr="00694474">
        <w:rPr>
          <w:rFonts w:ascii="SimSun" w:hAnsi="SimSun" w:hint="eastAsia"/>
          <w:sz w:val="21"/>
        </w:rPr>
        <w:t>产权组织</w:t>
      </w:r>
      <w:r w:rsidRPr="00694474">
        <w:rPr>
          <w:rFonts w:ascii="SimSun" w:hAnsi="SimSun" w:hint="eastAsia"/>
          <w:sz w:val="21"/>
        </w:rPr>
        <w:t>的投资政策，在确保提供足够现金应付突发事件的同时，核心现金余额将于2017年用于投资。此外，</w:t>
      </w:r>
      <w:r w:rsidR="004F7E15" w:rsidRPr="00694474">
        <w:rPr>
          <w:rFonts w:ascii="SimSun" w:hAnsi="SimSun" w:hint="eastAsia"/>
          <w:sz w:val="21"/>
        </w:rPr>
        <w:t>产权组织</w:t>
      </w:r>
      <w:r w:rsidRPr="00694474">
        <w:rPr>
          <w:rFonts w:ascii="SimSun" w:hAnsi="SimSun" w:hint="eastAsia"/>
          <w:sz w:val="21"/>
        </w:rPr>
        <w:t>的现金余额每年可从运营盈余中得到补充。</w:t>
      </w:r>
    </w:p>
    <w:p w:rsidR="00A464B2" w:rsidRPr="004F7E15" w:rsidRDefault="00A464B2" w:rsidP="004F7E15">
      <w:pPr>
        <w:pStyle w:val="2"/>
        <w:overflowPunct w:val="0"/>
        <w:spacing w:beforeLines="100" w:afterLines="50" w:after="120" w:line="340" w:lineRule="atLeast"/>
        <w:rPr>
          <w:rFonts w:ascii="KaiTi" w:eastAsia="KaiTi" w:hAnsi="KaiTi"/>
          <w:sz w:val="21"/>
        </w:rPr>
      </w:pPr>
      <w:r w:rsidRPr="004F7E15">
        <w:rPr>
          <w:rFonts w:ascii="KaiTi" w:eastAsia="KaiTi" w:hAnsi="KaiTi" w:hint="eastAsia"/>
          <w:sz w:val="21"/>
        </w:rPr>
        <w:t>储备金的流动性水平</w:t>
      </w:r>
    </w:p>
    <w:p w:rsidR="00A464B2" w:rsidRDefault="004F7E15" w:rsidP="00A464B2">
      <w:pPr>
        <w:numPr>
          <w:ilvl w:val="0"/>
          <w:numId w:val="4"/>
        </w:numPr>
        <w:overflowPunct w:val="0"/>
        <w:spacing w:afterLines="50" w:after="120" w:line="340" w:lineRule="atLeast"/>
        <w:ind w:left="0" w:firstLine="0"/>
        <w:jc w:val="both"/>
        <w:rPr>
          <w:rFonts w:ascii="SimSun" w:hAnsi="SimSun"/>
          <w:sz w:val="21"/>
        </w:rPr>
      </w:pPr>
      <w:r>
        <w:rPr>
          <w:rFonts w:ascii="SimSun" w:hAnsi="SimSun" w:hint="eastAsia"/>
          <w:sz w:val="21"/>
        </w:rPr>
        <w:t>产权组织</w:t>
      </w:r>
      <w:r w:rsidR="00A464B2" w:rsidRPr="00F15E6C">
        <w:rPr>
          <w:rFonts w:ascii="SimSun" w:hAnsi="SimSun" w:hint="eastAsia"/>
          <w:sz w:val="21"/>
        </w:rPr>
        <w:t>净资产的流动部分定义为</w:t>
      </w:r>
      <w:r w:rsidR="00694474">
        <w:rPr>
          <w:rFonts w:ascii="SimSun" w:hAnsi="SimSun" w:hint="eastAsia"/>
          <w:sz w:val="21"/>
        </w:rPr>
        <w:t>，</w:t>
      </w:r>
      <w:r w:rsidR="00A464B2" w:rsidRPr="00F15E6C">
        <w:rPr>
          <w:rFonts w:ascii="SimSun" w:hAnsi="SimSun" w:hint="eastAsia"/>
          <w:sz w:val="21"/>
        </w:rPr>
        <w:t>根据</w:t>
      </w:r>
      <w:r w:rsidR="00DB30F6">
        <w:rPr>
          <w:rFonts w:ascii="SimSun" w:hAnsi="SimSun" w:hint="eastAsia"/>
          <w:sz w:val="21"/>
        </w:rPr>
        <w:t>IPSAS</w:t>
      </w:r>
      <w:r w:rsidR="00A464B2" w:rsidRPr="00F15E6C">
        <w:rPr>
          <w:rFonts w:ascii="SimSun" w:hAnsi="SimSun" w:hint="eastAsia"/>
          <w:sz w:val="21"/>
        </w:rPr>
        <w:t>的要求</w:t>
      </w:r>
      <w:r w:rsidR="00694474">
        <w:rPr>
          <w:rFonts w:ascii="SimSun" w:hAnsi="SimSun" w:hint="eastAsia"/>
          <w:sz w:val="21"/>
        </w:rPr>
        <w:t>，</w:t>
      </w:r>
      <w:r w:rsidR="00A464B2" w:rsidRPr="00F15E6C">
        <w:rPr>
          <w:rFonts w:ascii="SimSun" w:hAnsi="SimSun" w:hint="eastAsia"/>
          <w:sz w:val="21"/>
        </w:rPr>
        <w:t>对流动资产和负债中包含的要素进行某些调整后，其流动资产超过当期负债的金额。根据年度财务报表（未经审计的2016年报表），净资产的流动部分从2015年底的8,440</w:t>
      </w:r>
      <w:proofErr w:type="gramStart"/>
      <w:r w:rsidR="00A464B2" w:rsidRPr="00F15E6C">
        <w:rPr>
          <w:rFonts w:ascii="SimSun" w:hAnsi="SimSun" w:hint="eastAsia"/>
          <w:sz w:val="21"/>
        </w:rPr>
        <w:t>万瑞郎增长</w:t>
      </w:r>
      <w:proofErr w:type="gramEnd"/>
      <w:r w:rsidR="00A464B2" w:rsidRPr="00F15E6C">
        <w:rPr>
          <w:rFonts w:ascii="SimSun" w:hAnsi="SimSun" w:hint="eastAsia"/>
          <w:sz w:val="21"/>
        </w:rPr>
        <w:t>至2016年底的1.356亿瑞士法郎。</w:t>
      </w:r>
    </w:p>
    <w:p w:rsidR="00944DBE" w:rsidRPr="00F15E6C"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根据</w:t>
      </w:r>
      <w:r w:rsidR="00DB30F6">
        <w:rPr>
          <w:rFonts w:ascii="SimSun" w:hAnsi="SimSun" w:hint="eastAsia"/>
          <w:sz w:val="21"/>
        </w:rPr>
        <w:t>IPSAS</w:t>
      </w:r>
      <w:r w:rsidRPr="00F15E6C">
        <w:rPr>
          <w:rFonts w:ascii="SimSun" w:hAnsi="SimSun" w:hint="eastAsia"/>
          <w:sz w:val="21"/>
        </w:rPr>
        <w:t>要求</w:t>
      </w:r>
      <w:r w:rsidR="00694474">
        <w:rPr>
          <w:rFonts w:ascii="SimSun" w:hAnsi="SimSun" w:hint="eastAsia"/>
          <w:sz w:val="21"/>
        </w:rPr>
        <w:t>，</w:t>
      </w:r>
      <w:r w:rsidRPr="00F15E6C">
        <w:rPr>
          <w:rFonts w:ascii="SimSun" w:hAnsi="SimSun" w:hint="eastAsia"/>
          <w:sz w:val="21"/>
        </w:rPr>
        <w:t>对包含在流动资产和负债中的要素进行调整，导致预计净资产的流动部分如下：</w:t>
      </w:r>
    </w:p>
    <w:p w:rsidR="00A464B2" w:rsidRDefault="00A464B2" w:rsidP="001E233D">
      <w:pPr>
        <w:pStyle w:val="10"/>
        <w:numPr>
          <w:ilvl w:val="0"/>
          <w:numId w:val="10"/>
        </w:numPr>
        <w:overflowPunct w:val="0"/>
        <w:spacing w:afterLines="50" w:after="120" w:line="340" w:lineRule="atLeast"/>
        <w:ind w:left="1134" w:hanging="567"/>
        <w:contextualSpacing w:val="0"/>
        <w:jc w:val="both"/>
        <w:rPr>
          <w:rFonts w:ascii="SimSun" w:hAnsi="SimSun"/>
          <w:sz w:val="21"/>
        </w:rPr>
      </w:pPr>
      <w:r w:rsidRPr="00F15E6C">
        <w:rPr>
          <w:rFonts w:ascii="SimSun" w:hAnsi="SimSun" w:hint="eastAsia"/>
          <w:sz w:val="21"/>
        </w:rPr>
        <w:t>流动资产存货为已印刷但未分发或出售的出版物的价值。由于该要素大部分不会导致现金收入，在计算净流动余额时不将其包括在流动资产中。</w:t>
      </w:r>
    </w:p>
    <w:p w:rsidR="00944DBE" w:rsidRPr="00F15E6C" w:rsidRDefault="00A464B2" w:rsidP="001E233D">
      <w:pPr>
        <w:pStyle w:val="10"/>
        <w:numPr>
          <w:ilvl w:val="0"/>
          <w:numId w:val="10"/>
        </w:numPr>
        <w:overflowPunct w:val="0"/>
        <w:spacing w:afterLines="50" w:after="120" w:line="340" w:lineRule="atLeast"/>
        <w:ind w:left="1134" w:hanging="567"/>
        <w:contextualSpacing w:val="0"/>
        <w:jc w:val="both"/>
        <w:rPr>
          <w:rFonts w:ascii="SimSun" w:hAnsi="SimSun"/>
          <w:sz w:val="21"/>
        </w:rPr>
      </w:pPr>
      <w:r w:rsidRPr="00F15E6C">
        <w:rPr>
          <w:rFonts w:ascii="SimSun" w:hAnsi="SimSun" w:hint="eastAsia"/>
          <w:sz w:val="21"/>
        </w:rPr>
        <w:t>扣除流动资产应收账款PCT后的预收</w:t>
      </w:r>
      <w:r w:rsidR="001E233D">
        <w:rPr>
          <w:rFonts w:ascii="SimSun" w:hAnsi="SimSun" w:hint="eastAsia"/>
          <w:sz w:val="21"/>
        </w:rPr>
        <w:t>，</w:t>
      </w:r>
      <w:r w:rsidRPr="00F15E6C">
        <w:rPr>
          <w:rFonts w:ascii="SimSun" w:hAnsi="SimSun" w:hint="eastAsia"/>
          <w:sz w:val="21"/>
        </w:rPr>
        <w:t>代表</w:t>
      </w:r>
      <w:r w:rsidR="004F7E15">
        <w:rPr>
          <w:rFonts w:ascii="SimSun" w:hAnsi="SimSun" w:hint="eastAsia"/>
          <w:sz w:val="21"/>
        </w:rPr>
        <w:t>产权组织</w:t>
      </w:r>
      <w:r w:rsidRPr="00F15E6C">
        <w:rPr>
          <w:rFonts w:ascii="SimSun" w:hAnsi="SimSun" w:hint="eastAsia"/>
          <w:sz w:val="21"/>
        </w:rPr>
        <w:t>现已收到的以现金支付的PCT和马德里/海牙</w:t>
      </w:r>
      <w:proofErr w:type="gramStart"/>
      <w:r w:rsidRPr="00F15E6C">
        <w:rPr>
          <w:rFonts w:ascii="SimSun" w:hAnsi="SimSun" w:hint="eastAsia"/>
          <w:sz w:val="21"/>
        </w:rPr>
        <w:t>规</w:t>
      </w:r>
      <w:proofErr w:type="gramEnd"/>
      <w:r w:rsidRPr="00F15E6C">
        <w:rPr>
          <w:rFonts w:ascii="SimSun" w:hAnsi="SimSun" w:hint="eastAsia"/>
          <w:sz w:val="21"/>
        </w:rPr>
        <w:t>费，但相关公布尚未完成的部分。根据</w:t>
      </w:r>
      <w:r w:rsidR="00DB30F6">
        <w:rPr>
          <w:rFonts w:ascii="SimSun" w:hAnsi="SimSun" w:hint="eastAsia"/>
          <w:sz w:val="21"/>
        </w:rPr>
        <w:t>IPSAS</w:t>
      </w:r>
      <w:r w:rsidRPr="00F15E6C">
        <w:rPr>
          <w:rFonts w:ascii="SimSun" w:hAnsi="SimSun" w:hint="eastAsia"/>
          <w:sz w:val="21"/>
        </w:rPr>
        <w:t>，这些资金被视为预收的未实现收入，直到公布完成之日才反映在收入中。然而与其他负债不同的是，预收款代表已获得现金的递延收入，将在12个月或更短的时间内构成</w:t>
      </w:r>
      <w:r w:rsidR="004F7E15">
        <w:rPr>
          <w:rFonts w:ascii="SimSun" w:hAnsi="SimSun" w:hint="eastAsia"/>
          <w:sz w:val="21"/>
        </w:rPr>
        <w:t>产权组织</w:t>
      </w:r>
      <w:r w:rsidRPr="00F15E6C">
        <w:rPr>
          <w:rFonts w:ascii="SimSun" w:hAnsi="SimSun" w:hint="eastAsia"/>
          <w:sz w:val="21"/>
        </w:rPr>
        <w:t>收入和盈余的一部分。因此，预收款的现金部分</w:t>
      </w:r>
      <w:proofErr w:type="gramStart"/>
      <w:r w:rsidRPr="00F15E6C">
        <w:rPr>
          <w:rFonts w:ascii="SimSun" w:hAnsi="SimSun" w:hint="eastAsia"/>
          <w:sz w:val="21"/>
        </w:rPr>
        <w:t>不</w:t>
      </w:r>
      <w:proofErr w:type="gramEnd"/>
      <w:r w:rsidRPr="00F15E6C">
        <w:rPr>
          <w:rFonts w:ascii="SimSun" w:hAnsi="SimSun" w:hint="eastAsia"/>
          <w:sz w:val="21"/>
        </w:rPr>
        <w:t>视为对</w:t>
      </w:r>
      <w:r w:rsidR="004F7E15">
        <w:rPr>
          <w:rFonts w:ascii="SimSun" w:hAnsi="SimSun" w:hint="eastAsia"/>
          <w:sz w:val="21"/>
        </w:rPr>
        <w:t>产权组织</w:t>
      </w:r>
      <w:r w:rsidRPr="00F15E6C">
        <w:rPr>
          <w:rFonts w:ascii="SimSun" w:hAnsi="SimSun" w:hint="eastAsia"/>
          <w:sz w:val="21"/>
        </w:rPr>
        <w:t>流动资产的抵消，因为不会导致现金资源流出。</w:t>
      </w:r>
    </w:p>
    <w:tbl>
      <w:tblPr>
        <w:tblW w:w="8601" w:type="dxa"/>
        <w:jc w:val="center"/>
        <w:tblInd w:w="-772" w:type="dxa"/>
        <w:tblLayout w:type="fixed"/>
        <w:tblLook w:val="04A0" w:firstRow="1" w:lastRow="0" w:firstColumn="1" w:lastColumn="0" w:noHBand="0" w:noVBand="1"/>
      </w:tblPr>
      <w:tblGrid>
        <w:gridCol w:w="8601"/>
      </w:tblGrid>
      <w:tr w:rsidR="00944DBE" w:rsidRPr="00F15E6C">
        <w:trPr>
          <w:trHeight w:val="255"/>
          <w:jc w:val="center"/>
        </w:trPr>
        <w:tc>
          <w:tcPr>
            <w:tcW w:w="8601" w:type="dxa"/>
            <w:shd w:val="clear" w:color="auto" w:fill="C6D9F1" w:themeFill="text2" w:themeFillTint="33"/>
            <w:vAlign w:val="center"/>
          </w:tcPr>
          <w:p w:rsidR="00944DBE" w:rsidRPr="00F15E6C" w:rsidRDefault="00A464B2">
            <w:pPr>
              <w:keepNext/>
              <w:keepLines/>
              <w:jc w:val="center"/>
              <w:rPr>
                <w:rFonts w:ascii="SimSun" w:hAnsi="SimSun"/>
                <w:sz w:val="21"/>
              </w:rPr>
            </w:pPr>
            <w:r w:rsidRPr="001E233D">
              <w:rPr>
                <w:rFonts w:ascii="SimSun" w:hAnsi="SimSun" w:hint="eastAsia"/>
                <w:sz w:val="21"/>
              </w:rPr>
              <w:lastRenderedPageBreak/>
              <w:t>表</w:t>
            </w:r>
            <w:r w:rsidRPr="00F15E6C">
              <w:rPr>
                <w:rFonts w:ascii="SimSun" w:hAnsi="SimSun"/>
                <w:sz w:val="21"/>
              </w:rPr>
              <w:t>7</w:t>
            </w:r>
            <w:r w:rsidRPr="00F15E6C">
              <w:rPr>
                <w:rFonts w:ascii="SimSun" w:hAnsi="SimSun" w:hint="eastAsia"/>
                <w:sz w:val="21"/>
              </w:rPr>
              <w:t>：</w:t>
            </w:r>
            <w:proofErr w:type="gramStart"/>
            <w:r w:rsidRPr="00F15E6C">
              <w:rPr>
                <w:rFonts w:ascii="SimSun" w:hAnsi="SimSun" w:hint="eastAsia"/>
                <w:sz w:val="21"/>
              </w:rPr>
              <w:t>储备金净流动性</w:t>
            </w:r>
            <w:proofErr w:type="gramEnd"/>
            <w:r w:rsidRPr="00F15E6C">
              <w:rPr>
                <w:rFonts w:ascii="SimSun" w:hAnsi="SimSun" w:hint="eastAsia"/>
                <w:sz w:val="21"/>
              </w:rPr>
              <w:t>变化</w:t>
            </w:r>
          </w:p>
          <w:p w:rsidR="00944DBE" w:rsidRPr="00F15E6C" w:rsidRDefault="00A464B2">
            <w:pPr>
              <w:keepNext/>
              <w:keepLines/>
              <w:jc w:val="center"/>
              <w:rPr>
                <w:rFonts w:ascii="SimSun" w:hAnsi="SimSun" w:cstheme="minorHAnsi"/>
                <w:i/>
                <w:color w:val="000000"/>
                <w:sz w:val="21"/>
                <w:szCs w:val="18"/>
                <w:lang w:eastAsia="en-US"/>
              </w:rPr>
            </w:pPr>
            <w:r w:rsidRPr="001E233D">
              <w:rPr>
                <w:rFonts w:ascii="KaiTi" w:eastAsia="KaiTi" w:hAnsi="KaiTi" w:cstheme="minorHAnsi" w:hint="eastAsia"/>
                <w:color w:val="000000"/>
                <w:sz w:val="18"/>
                <w:szCs w:val="18"/>
              </w:rPr>
              <w:t>（单位：百</w:t>
            </w:r>
            <w:proofErr w:type="gramStart"/>
            <w:r w:rsidRPr="001E233D">
              <w:rPr>
                <w:rFonts w:ascii="KaiTi" w:eastAsia="KaiTi" w:hAnsi="KaiTi" w:cstheme="minorHAnsi" w:hint="eastAsia"/>
                <w:color w:val="000000"/>
                <w:sz w:val="18"/>
                <w:szCs w:val="18"/>
              </w:rPr>
              <w:t>万瑞</w:t>
            </w:r>
            <w:proofErr w:type="gramEnd"/>
            <w:r w:rsidRPr="001E233D">
              <w:rPr>
                <w:rFonts w:ascii="KaiTi" w:eastAsia="KaiTi" w:hAnsi="KaiTi" w:cstheme="minorHAnsi" w:hint="eastAsia"/>
                <w:color w:val="000000"/>
                <w:sz w:val="18"/>
                <w:szCs w:val="18"/>
              </w:rPr>
              <w:t>郎）</w:t>
            </w:r>
          </w:p>
        </w:tc>
      </w:tr>
    </w:tbl>
    <w:p w:rsidR="00944DBE" w:rsidRPr="00F15E6C" w:rsidRDefault="00944DBE">
      <w:pPr>
        <w:keepNext/>
        <w:keepLines/>
        <w:rPr>
          <w:rFonts w:ascii="SimSun" w:hAnsi="SimSun"/>
          <w:sz w:val="8"/>
          <w:szCs w:val="8"/>
        </w:rPr>
      </w:pPr>
    </w:p>
    <w:tbl>
      <w:tblPr>
        <w:tblW w:w="8568" w:type="dxa"/>
        <w:jc w:val="center"/>
        <w:tblLayout w:type="fixed"/>
        <w:tblLook w:val="04A0" w:firstRow="1" w:lastRow="0" w:firstColumn="1" w:lastColumn="0" w:noHBand="0" w:noVBand="1"/>
      </w:tblPr>
      <w:tblGrid>
        <w:gridCol w:w="3576"/>
        <w:gridCol w:w="1134"/>
        <w:gridCol w:w="1417"/>
        <w:gridCol w:w="1135"/>
        <w:gridCol w:w="1306"/>
      </w:tblGrid>
      <w:tr w:rsidR="00944DBE" w:rsidRPr="001E233D" w:rsidTr="00587956">
        <w:trPr>
          <w:jc w:val="center"/>
        </w:trPr>
        <w:tc>
          <w:tcPr>
            <w:tcW w:w="3576" w:type="dxa"/>
            <w:shd w:val="clear" w:color="auto" w:fill="C6D9F1" w:themeFill="text2" w:themeFillTint="33"/>
            <w:tcMar>
              <w:top w:w="57" w:type="dxa"/>
              <w:bottom w:w="57" w:type="dxa"/>
            </w:tcMar>
            <w:vAlign w:val="bottom"/>
          </w:tcPr>
          <w:p w:rsidR="00944DBE" w:rsidRPr="001E233D" w:rsidRDefault="00944DBE">
            <w:pPr>
              <w:keepNext/>
              <w:keepLines/>
              <w:rPr>
                <w:color w:val="000000"/>
                <w:sz w:val="18"/>
                <w:szCs w:val="18"/>
                <w:lang w:eastAsia="en-US"/>
              </w:rPr>
            </w:pPr>
          </w:p>
        </w:tc>
        <w:tc>
          <w:tcPr>
            <w:tcW w:w="1134" w:type="dxa"/>
            <w:shd w:val="clear" w:color="auto" w:fill="C6D9F1" w:themeFill="text2" w:themeFillTint="33"/>
            <w:tcMar>
              <w:top w:w="57" w:type="dxa"/>
              <w:bottom w:w="57" w:type="dxa"/>
            </w:tcMar>
            <w:vAlign w:val="center"/>
          </w:tcPr>
          <w:p w:rsidR="001E233D" w:rsidRDefault="00A464B2">
            <w:pPr>
              <w:keepNext/>
              <w:keepLines/>
              <w:jc w:val="center"/>
              <w:rPr>
                <w:color w:val="000000"/>
                <w:sz w:val="18"/>
                <w:szCs w:val="18"/>
              </w:rPr>
            </w:pPr>
            <w:r w:rsidRPr="001E233D">
              <w:rPr>
                <w:rFonts w:hint="eastAsia"/>
                <w:color w:val="000000"/>
                <w:sz w:val="18"/>
                <w:szCs w:val="18"/>
              </w:rPr>
              <w:t>2016</w:t>
            </w:r>
            <w:r w:rsidRPr="001E233D">
              <w:rPr>
                <w:rFonts w:hint="eastAsia"/>
                <w:color w:val="000000"/>
                <w:sz w:val="18"/>
                <w:szCs w:val="18"/>
              </w:rPr>
              <w:t>年</w:t>
            </w:r>
          </w:p>
          <w:p w:rsidR="00944DBE" w:rsidRPr="001E233D" w:rsidRDefault="00A464B2">
            <w:pPr>
              <w:keepNext/>
              <w:keepLines/>
              <w:jc w:val="center"/>
              <w:rPr>
                <w:color w:val="000000"/>
                <w:sz w:val="18"/>
                <w:szCs w:val="18"/>
                <w:lang w:eastAsia="en-US"/>
              </w:rPr>
            </w:pPr>
            <w:r w:rsidRPr="001E233D">
              <w:rPr>
                <w:rFonts w:hint="eastAsia"/>
                <w:color w:val="000000"/>
                <w:sz w:val="18"/>
                <w:szCs w:val="18"/>
              </w:rPr>
              <w:t>12</w:t>
            </w:r>
            <w:r w:rsidRPr="001E233D">
              <w:rPr>
                <w:rFonts w:hint="eastAsia"/>
                <w:color w:val="000000"/>
                <w:sz w:val="18"/>
                <w:szCs w:val="18"/>
              </w:rPr>
              <w:t>月</w:t>
            </w:r>
            <w:r w:rsidRPr="001E233D">
              <w:rPr>
                <w:rFonts w:hint="eastAsia"/>
                <w:color w:val="000000"/>
                <w:sz w:val="18"/>
                <w:szCs w:val="18"/>
              </w:rPr>
              <w:t>31</w:t>
            </w:r>
            <w:r w:rsidRPr="001E233D">
              <w:rPr>
                <w:rFonts w:hint="eastAsia"/>
                <w:color w:val="000000"/>
                <w:sz w:val="18"/>
                <w:szCs w:val="18"/>
              </w:rPr>
              <w:t>日</w:t>
            </w:r>
          </w:p>
        </w:tc>
        <w:tc>
          <w:tcPr>
            <w:tcW w:w="1417" w:type="dxa"/>
            <w:shd w:val="clear" w:color="auto" w:fill="C6D9F1" w:themeFill="text2" w:themeFillTint="33"/>
            <w:vAlign w:val="center"/>
          </w:tcPr>
          <w:p w:rsidR="00944DBE" w:rsidRPr="001E233D" w:rsidRDefault="00A464B2">
            <w:pPr>
              <w:keepNext/>
              <w:keepLines/>
              <w:jc w:val="center"/>
              <w:rPr>
                <w:color w:val="000000"/>
                <w:sz w:val="18"/>
                <w:szCs w:val="18"/>
                <w:lang w:eastAsia="en-US"/>
              </w:rPr>
            </w:pPr>
            <w:r w:rsidRPr="001E233D">
              <w:rPr>
                <w:rFonts w:hint="eastAsia"/>
                <w:color w:val="000000"/>
                <w:sz w:val="18"/>
                <w:szCs w:val="18"/>
              </w:rPr>
              <w:t>调整后状况</w:t>
            </w:r>
          </w:p>
          <w:p w:rsidR="001E233D" w:rsidRDefault="00A464B2">
            <w:pPr>
              <w:keepNext/>
              <w:keepLines/>
              <w:jc w:val="center"/>
              <w:rPr>
                <w:color w:val="000000"/>
                <w:sz w:val="18"/>
                <w:szCs w:val="18"/>
              </w:rPr>
            </w:pPr>
            <w:r w:rsidRPr="001E233D">
              <w:rPr>
                <w:rFonts w:hint="eastAsia"/>
                <w:color w:val="000000"/>
                <w:sz w:val="18"/>
                <w:szCs w:val="18"/>
              </w:rPr>
              <w:t>2016</w:t>
            </w:r>
            <w:r w:rsidRPr="001E233D">
              <w:rPr>
                <w:rFonts w:hint="eastAsia"/>
                <w:color w:val="000000"/>
                <w:sz w:val="18"/>
                <w:szCs w:val="18"/>
              </w:rPr>
              <w:t>年</w:t>
            </w:r>
          </w:p>
          <w:p w:rsidR="00944DBE" w:rsidRPr="001E233D" w:rsidRDefault="00A464B2">
            <w:pPr>
              <w:keepNext/>
              <w:keepLines/>
              <w:jc w:val="center"/>
              <w:rPr>
                <w:color w:val="000000"/>
                <w:sz w:val="18"/>
                <w:szCs w:val="18"/>
                <w:lang w:eastAsia="en-US"/>
              </w:rPr>
            </w:pPr>
            <w:r w:rsidRPr="001E233D">
              <w:rPr>
                <w:rFonts w:hint="eastAsia"/>
                <w:color w:val="000000"/>
                <w:sz w:val="18"/>
                <w:szCs w:val="18"/>
              </w:rPr>
              <w:t>12</w:t>
            </w:r>
            <w:r w:rsidRPr="001E233D">
              <w:rPr>
                <w:rFonts w:hint="eastAsia"/>
                <w:color w:val="000000"/>
                <w:sz w:val="18"/>
                <w:szCs w:val="18"/>
              </w:rPr>
              <w:t>月</w:t>
            </w:r>
            <w:r w:rsidRPr="001E233D">
              <w:rPr>
                <w:rFonts w:hint="eastAsia"/>
                <w:color w:val="000000"/>
                <w:sz w:val="18"/>
                <w:szCs w:val="18"/>
              </w:rPr>
              <w:t>31</w:t>
            </w:r>
            <w:r w:rsidRPr="001E233D">
              <w:rPr>
                <w:rFonts w:hint="eastAsia"/>
                <w:color w:val="000000"/>
                <w:sz w:val="18"/>
                <w:szCs w:val="18"/>
              </w:rPr>
              <w:t>日</w:t>
            </w:r>
          </w:p>
        </w:tc>
        <w:tc>
          <w:tcPr>
            <w:tcW w:w="1135" w:type="dxa"/>
            <w:shd w:val="clear" w:color="auto" w:fill="C6D9F1" w:themeFill="text2" w:themeFillTint="33"/>
            <w:vAlign w:val="center"/>
          </w:tcPr>
          <w:p w:rsidR="001E233D" w:rsidRDefault="00A464B2">
            <w:pPr>
              <w:keepNext/>
              <w:keepLines/>
              <w:jc w:val="center"/>
              <w:rPr>
                <w:color w:val="000000"/>
                <w:sz w:val="18"/>
                <w:szCs w:val="18"/>
              </w:rPr>
            </w:pPr>
            <w:r w:rsidRPr="001E233D">
              <w:rPr>
                <w:rFonts w:hint="eastAsia"/>
                <w:color w:val="000000"/>
                <w:sz w:val="18"/>
                <w:szCs w:val="18"/>
              </w:rPr>
              <w:t>2015</w:t>
            </w:r>
            <w:r w:rsidRPr="001E233D">
              <w:rPr>
                <w:rFonts w:hint="eastAsia"/>
                <w:color w:val="000000"/>
                <w:sz w:val="18"/>
                <w:szCs w:val="18"/>
              </w:rPr>
              <w:t>年</w:t>
            </w:r>
          </w:p>
          <w:p w:rsidR="00944DBE" w:rsidRPr="001E233D" w:rsidRDefault="00A464B2">
            <w:pPr>
              <w:keepNext/>
              <w:keepLines/>
              <w:jc w:val="center"/>
              <w:rPr>
                <w:color w:val="000000"/>
                <w:sz w:val="18"/>
                <w:szCs w:val="18"/>
                <w:lang w:eastAsia="en-US"/>
              </w:rPr>
            </w:pPr>
            <w:r w:rsidRPr="001E233D">
              <w:rPr>
                <w:rFonts w:hint="eastAsia"/>
                <w:color w:val="000000"/>
                <w:sz w:val="18"/>
                <w:szCs w:val="18"/>
              </w:rPr>
              <w:t>12</w:t>
            </w:r>
            <w:r w:rsidRPr="001E233D">
              <w:rPr>
                <w:rFonts w:hint="eastAsia"/>
                <w:color w:val="000000"/>
                <w:sz w:val="18"/>
                <w:szCs w:val="18"/>
              </w:rPr>
              <w:t>月</w:t>
            </w:r>
            <w:r w:rsidRPr="001E233D">
              <w:rPr>
                <w:rFonts w:hint="eastAsia"/>
                <w:color w:val="000000"/>
                <w:sz w:val="18"/>
                <w:szCs w:val="18"/>
              </w:rPr>
              <w:t>31</w:t>
            </w:r>
            <w:r w:rsidRPr="001E233D">
              <w:rPr>
                <w:rFonts w:hint="eastAsia"/>
                <w:color w:val="000000"/>
                <w:sz w:val="18"/>
                <w:szCs w:val="18"/>
              </w:rPr>
              <w:t>日</w:t>
            </w:r>
          </w:p>
        </w:tc>
        <w:tc>
          <w:tcPr>
            <w:tcW w:w="1306" w:type="dxa"/>
            <w:shd w:val="clear" w:color="auto" w:fill="C6D9F1" w:themeFill="text2" w:themeFillTint="33"/>
            <w:vAlign w:val="center"/>
          </w:tcPr>
          <w:p w:rsidR="00944DBE" w:rsidRPr="001E233D" w:rsidRDefault="00A464B2">
            <w:pPr>
              <w:keepNext/>
              <w:keepLines/>
              <w:jc w:val="center"/>
              <w:rPr>
                <w:color w:val="000000"/>
                <w:sz w:val="18"/>
                <w:szCs w:val="18"/>
                <w:lang w:eastAsia="en-US"/>
              </w:rPr>
            </w:pPr>
            <w:r w:rsidRPr="001E233D">
              <w:rPr>
                <w:rFonts w:hint="eastAsia"/>
                <w:color w:val="000000"/>
                <w:sz w:val="18"/>
                <w:szCs w:val="18"/>
              </w:rPr>
              <w:t>调整后状况</w:t>
            </w:r>
          </w:p>
          <w:p w:rsidR="001E233D" w:rsidRDefault="00A464B2">
            <w:pPr>
              <w:keepNext/>
              <w:keepLines/>
              <w:jc w:val="center"/>
              <w:rPr>
                <w:color w:val="000000"/>
                <w:sz w:val="18"/>
                <w:szCs w:val="18"/>
              </w:rPr>
            </w:pPr>
            <w:r w:rsidRPr="001E233D">
              <w:rPr>
                <w:rFonts w:hint="eastAsia"/>
                <w:color w:val="000000"/>
                <w:sz w:val="18"/>
                <w:szCs w:val="18"/>
              </w:rPr>
              <w:t>2015</w:t>
            </w:r>
            <w:r w:rsidRPr="001E233D">
              <w:rPr>
                <w:rFonts w:hint="eastAsia"/>
                <w:color w:val="000000"/>
                <w:sz w:val="18"/>
                <w:szCs w:val="18"/>
              </w:rPr>
              <w:t>年</w:t>
            </w:r>
          </w:p>
          <w:p w:rsidR="00944DBE" w:rsidRPr="001E233D" w:rsidRDefault="00A464B2">
            <w:pPr>
              <w:keepNext/>
              <w:keepLines/>
              <w:jc w:val="center"/>
              <w:rPr>
                <w:color w:val="000000"/>
                <w:sz w:val="18"/>
                <w:szCs w:val="18"/>
                <w:lang w:eastAsia="en-US"/>
              </w:rPr>
            </w:pPr>
            <w:r w:rsidRPr="001E233D">
              <w:rPr>
                <w:rFonts w:hint="eastAsia"/>
                <w:color w:val="000000"/>
                <w:sz w:val="18"/>
                <w:szCs w:val="18"/>
              </w:rPr>
              <w:t>12</w:t>
            </w:r>
            <w:r w:rsidRPr="001E233D">
              <w:rPr>
                <w:rFonts w:hint="eastAsia"/>
                <w:color w:val="000000"/>
                <w:sz w:val="18"/>
                <w:szCs w:val="18"/>
              </w:rPr>
              <w:t>月</w:t>
            </w:r>
            <w:r w:rsidRPr="001E233D">
              <w:rPr>
                <w:rFonts w:hint="eastAsia"/>
                <w:color w:val="000000"/>
                <w:sz w:val="18"/>
                <w:szCs w:val="18"/>
              </w:rPr>
              <w:t>31</w:t>
            </w:r>
            <w:r w:rsidRPr="001E233D">
              <w:rPr>
                <w:rFonts w:hint="eastAsia"/>
                <w:color w:val="000000"/>
                <w:sz w:val="18"/>
                <w:szCs w:val="18"/>
              </w:rPr>
              <w:t>日</w:t>
            </w:r>
          </w:p>
        </w:tc>
      </w:tr>
      <w:tr w:rsidR="00944DBE" w:rsidRPr="001E233D" w:rsidTr="00587956">
        <w:trPr>
          <w:jc w:val="center"/>
        </w:trPr>
        <w:tc>
          <w:tcPr>
            <w:tcW w:w="3576" w:type="dxa"/>
            <w:shd w:val="clear" w:color="auto" w:fill="auto"/>
            <w:tcMar>
              <w:top w:w="57" w:type="dxa"/>
              <w:bottom w:w="57" w:type="dxa"/>
            </w:tcMar>
            <w:vAlign w:val="center"/>
          </w:tcPr>
          <w:p w:rsidR="00944DBE" w:rsidRPr="001E233D" w:rsidRDefault="00A464B2">
            <w:pPr>
              <w:keepNext/>
              <w:keepLines/>
              <w:rPr>
                <w:color w:val="000000"/>
                <w:sz w:val="18"/>
                <w:szCs w:val="18"/>
                <w:lang w:eastAsia="en-US"/>
              </w:rPr>
            </w:pPr>
            <w:r w:rsidRPr="001E233D">
              <w:rPr>
                <w:rFonts w:hint="eastAsia"/>
                <w:color w:val="000000"/>
                <w:sz w:val="18"/>
                <w:szCs w:val="18"/>
              </w:rPr>
              <w:t>流动资产</w:t>
            </w:r>
          </w:p>
        </w:tc>
        <w:tc>
          <w:tcPr>
            <w:tcW w:w="1134" w:type="dxa"/>
            <w:shd w:val="clear" w:color="auto" w:fill="auto"/>
            <w:tcMar>
              <w:top w:w="57" w:type="dxa"/>
              <w:bottom w:w="57" w:type="dxa"/>
            </w:tcMar>
            <w:vAlign w:val="center"/>
          </w:tcPr>
          <w:p w:rsidR="00944DBE" w:rsidRPr="001E233D" w:rsidRDefault="00A464B2">
            <w:pPr>
              <w:keepNext/>
              <w:keepLines/>
              <w:jc w:val="right"/>
              <w:rPr>
                <w:color w:val="000000"/>
                <w:sz w:val="18"/>
                <w:szCs w:val="18"/>
                <w:lang w:eastAsia="en-US"/>
              </w:rPr>
            </w:pPr>
            <w:r w:rsidRPr="001E233D">
              <w:rPr>
                <w:color w:val="000000"/>
                <w:sz w:val="18"/>
                <w:szCs w:val="18"/>
                <w:lang w:eastAsia="en-US"/>
              </w:rPr>
              <w:t>604.4</w:t>
            </w:r>
          </w:p>
        </w:tc>
        <w:tc>
          <w:tcPr>
            <w:tcW w:w="1417" w:type="dxa"/>
            <w:vAlign w:val="center"/>
          </w:tcPr>
          <w:p w:rsidR="00944DBE" w:rsidRPr="001E233D" w:rsidRDefault="00944DBE">
            <w:pPr>
              <w:keepNext/>
              <w:keepLines/>
              <w:jc w:val="right"/>
              <w:rPr>
                <w:color w:val="000000"/>
                <w:sz w:val="18"/>
                <w:szCs w:val="18"/>
                <w:lang w:eastAsia="en-US"/>
              </w:rPr>
            </w:pPr>
          </w:p>
        </w:tc>
        <w:tc>
          <w:tcPr>
            <w:tcW w:w="1135" w:type="dxa"/>
            <w:vAlign w:val="center"/>
          </w:tcPr>
          <w:p w:rsidR="00944DBE" w:rsidRPr="001E233D" w:rsidRDefault="00A464B2">
            <w:pPr>
              <w:keepNext/>
              <w:keepLines/>
              <w:jc w:val="right"/>
              <w:rPr>
                <w:color w:val="000000"/>
                <w:sz w:val="18"/>
                <w:szCs w:val="18"/>
                <w:lang w:eastAsia="en-US"/>
              </w:rPr>
            </w:pPr>
            <w:r w:rsidRPr="001E233D">
              <w:rPr>
                <w:color w:val="000000"/>
                <w:sz w:val="18"/>
                <w:szCs w:val="18"/>
                <w:lang w:eastAsia="en-US"/>
              </w:rPr>
              <w:t>544.9</w:t>
            </w:r>
          </w:p>
        </w:tc>
        <w:tc>
          <w:tcPr>
            <w:tcW w:w="1306" w:type="dxa"/>
            <w:vAlign w:val="center"/>
          </w:tcPr>
          <w:p w:rsidR="00944DBE" w:rsidRPr="001E233D" w:rsidRDefault="00944DBE">
            <w:pPr>
              <w:keepNext/>
              <w:keepLines/>
              <w:jc w:val="right"/>
              <w:rPr>
                <w:color w:val="000000"/>
                <w:sz w:val="18"/>
                <w:szCs w:val="18"/>
                <w:lang w:eastAsia="en-US"/>
              </w:rPr>
            </w:pPr>
          </w:p>
        </w:tc>
      </w:tr>
      <w:tr w:rsidR="00944DBE" w:rsidRPr="001E233D" w:rsidTr="00587956">
        <w:trPr>
          <w:jc w:val="center"/>
        </w:trPr>
        <w:tc>
          <w:tcPr>
            <w:tcW w:w="3576" w:type="dxa"/>
            <w:shd w:val="clear" w:color="auto" w:fill="auto"/>
            <w:tcMar>
              <w:top w:w="57" w:type="dxa"/>
              <w:bottom w:w="57" w:type="dxa"/>
            </w:tcMar>
            <w:vAlign w:val="center"/>
          </w:tcPr>
          <w:p w:rsidR="00944DBE" w:rsidRPr="001E233D" w:rsidRDefault="00A464B2" w:rsidP="001E233D">
            <w:pPr>
              <w:keepNext/>
              <w:keepLines/>
              <w:rPr>
                <w:color w:val="000000"/>
                <w:sz w:val="18"/>
                <w:szCs w:val="18"/>
                <w:lang w:eastAsia="en-US"/>
              </w:rPr>
            </w:pPr>
            <w:r w:rsidRPr="001E233D">
              <w:rPr>
                <w:color w:val="000000"/>
                <w:sz w:val="18"/>
                <w:szCs w:val="18"/>
                <w:lang w:eastAsia="en-US"/>
              </w:rPr>
              <w:tab/>
            </w:r>
            <w:r w:rsidR="001E233D" w:rsidRPr="001E233D">
              <w:rPr>
                <w:color w:val="000000"/>
                <w:sz w:val="18"/>
                <w:szCs w:val="18"/>
                <w:lang w:eastAsia="en-US"/>
              </w:rPr>
              <w:t>PCT</w:t>
            </w:r>
            <w:r w:rsidRPr="001E233D">
              <w:rPr>
                <w:rFonts w:hint="eastAsia"/>
                <w:color w:val="000000"/>
                <w:sz w:val="18"/>
                <w:szCs w:val="18"/>
              </w:rPr>
              <w:t>应收账款</w:t>
            </w:r>
          </w:p>
        </w:tc>
        <w:tc>
          <w:tcPr>
            <w:tcW w:w="1134" w:type="dxa"/>
            <w:shd w:val="clear" w:color="auto" w:fill="auto"/>
            <w:tcMar>
              <w:top w:w="57" w:type="dxa"/>
              <w:bottom w:w="57" w:type="dxa"/>
            </w:tcMar>
            <w:vAlign w:val="center"/>
          </w:tcPr>
          <w:p w:rsidR="00944DBE" w:rsidRPr="001E233D" w:rsidRDefault="00944DBE">
            <w:pPr>
              <w:keepNext/>
              <w:keepLines/>
              <w:jc w:val="right"/>
              <w:rPr>
                <w:color w:val="000000"/>
                <w:sz w:val="18"/>
                <w:szCs w:val="18"/>
                <w:lang w:eastAsia="en-US"/>
              </w:rPr>
            </w:pPr>
          </w:p>
        </w:tc>
        <w:tc>
          <w:tcPr>
            <w:tcW w:w="1417" w:type="dxa"/>
            <w:vAlign w:val="center"/>
          </w:tcPr>
          <w:p w:rsidR="00944DBE" w:rsidRPr="001E233D" w:rsidRDefault="00A464B2">
            <w:pPr>
              <w:keepNext/>
              <w:keepLines/>
              <w:jc w:val="right"/>
              <w:rPr>
                <w:color w:val="000000"/>
                <w:sz w:val="18"/>
                <w:szCs w:val="18"/>
                <w:lang w:eastAsia="en-US"/>
              </w:rPr>
            </w:pPr>
            <w:r w:rsidRPr="001E233D">
              <w:rPr>
                <w:color w:val="000000"/>
                <w:sz w:val="18"/>
                <w:szCs w:val="18"/>
                <w:lang w:eastAsia="en-US"/>
              </w:rPr>
              <w:t>(46.0)</w:t>
            </w:r>
          </w:p>
        </w:tc>
        <w:tc>
          <w:tcPr>
            <w:tcW w:w="1135" w:type="dxa"/>
            <w:vAlign w:val="center"/>
          </w:tcPr>
          <w:p w:rsidR="00944DBE" w:rsidRPr="001E233D" w:rsidRDefault="00944DBE">
            <w:pPr>
              <w:keepNext/>
              <w:keepLines/>
              <w:jc w:val="right"/>
              <w:rPr>
                <w:color w:val="000000"/>
                <w:sz w:val="18"/>
                <w:szCs w:val="18"/>
                <w:lang w:eastAsia="en-US"/>
              </w:rPr>
            </w:pPr>
          </w:p>
        </w:tc>
        <w:tc>
          <w:tcPr>
            <w:tcW w:w="1306" w:type="dxa"/>
            <w:vAlign w:val="center"/>
          </w:tcPr>
          <w:p w:rsidR="00944DBE" w:rsidRPr="001E233D" w:rsidRDefault="00A464B2">
            <w:pPr>
              <w:keepNext/>
              <w:keepLines/>
              <w:jc w:val="right"/>
              <w:rPr>
                <w:color w:val="000000"/>
                <w:sz w:val="18"/>
                <w:szCs w:val="18"/>
                <w:lang w:eastAsia="en-US"/>
              </w:rPr>
            </w:pPr>
            <w:r w:rsidRPr="001E233D">
              <w:rPr>
                <w:color w:val="000000"/>
                <w:sz w:val="18"/>
                <w:szCs w:val="18"/>
                <w:lang w:eastAsia="en-US"/>
              </w:rPr>
              <w:t>(36.5)</w:t>
            </w:r>
          </w:p>
        </w:tc>
      </w:tr>
      <w:tr w:rsidR="00944DBE" w:rsidRPr="001E233D" w:rsidTr="00587956">
        <w:trPr>
          <w:jc w:val="center"/>
        </w:trPr>
        <w:tc>
          <w:tcPr>
            <w:tcW w:w="3576" w:type="dxa"/>
            <w:shd w:val="clear" w:color="auto" w:fill="auto"/>
            <w:tcMar>
              <w:top w:w="57" w:type="dxa"/>
              <w:bottom w:w="57" w:type="dxa"/>
            </w:tcMar>
            <w:vAlign w:val="center"/>
          </w:tcPr>
          <w:p w:rsidR="00944DBE" w:rsidRPr="001E233D" w:rsidRDefault="00A464B2">
            <w:pPr>
              <w:keepNext/>
              <w:keepLines/>
              <w:rPr>
                <w:color w:val="000000"/>
                <w:sz w:val="18"/>
                <w:szCs w:val="18"/>
                <w:lang w:eastAsia="en-US"/>
              </w:rPr>
            </w:pPr>
            <w:r w:rsidRPr="001E233D">
              <w:rPr>
                <w:color w:val="000000"/>
                <w:sz w:val="18"/>
                <w:szCs w:val="18"/>
                <w:lang w:eastAsia="en-US"/>
              </w:rPr>
              <w:tab/>
            </w:r>
            <w:r w:rsidRPr="001E233D">
              <w:rPr>
                <w:rFonts w:hint="eastAsia"/>
                <w:color w:val="000000"/>
                <w:sz w:val="18"/>
                <w:szCs w:val="18"/>
              </w:rPr>
              <w:t>存货调整</w:t>
            </w:r>
          </w:p>
        </w:tc>
        <w:tc>
          <w:tcPr>
            <w:tcW w:w="1134" w:type="dxa"/>
            <w:shd w:val="clear" w:color="auto" w:fill="auto"/>
            <w:tcMar>
              <w:top w:w="57" w:type="dxa"/>
              <w:bottom w:w="57" w:type="dxa"/>
            </w:tcMar>
            <w:vAlign w:val="center"/>
          </w:tcPr>
          <w:p w:rsidR="00944DBE" w:rsidRPr="001E233D" w:rsidRDefault="00944DBE">
            <w:pPr>
              <w:keepNext/>
              <w:keepLines/>
              <w:jc w:val="right"/>
              <w:rPr>
                <w:color w:val="000000"/>
                <w:sz w:val="18"/>
                <w:szCs w:val="18"/>
                <w:lang w:eastAsia="en-US"/>
              </w:rPr>
            </w:pPr>
          </w:p>
        </w:tc>
        <w:tc>
          <w:tcPr>
            <w:tcW w:w="1417" w:type="dxa"/>
            <w:vAlign w:val="center"/>
          </w:tcPr>
          <w:p w:rsidR="00944DBE" w:rsidRPr="001E233D" w:rsidRDefault="00A464B2">
            <w:pPr>
              <w:keepNext/>
              <w:keepLines/>
              <w:jc w:val="right"/>
              <w:rPr>
                <w:color w:val="000000"/>
                <w:sz w:val="18"/>
                <w:szCs w:val="18"/>
                <w:u w:val="single"/>
                <w:lang w:eastAsia="en-US"/>
              </w:rPr>
            </w:pPr>
            <w:r w:rsidRPr="001E233D">
              <w:rPr>
                <w:color w:val="000000"/>
                <w:sz w:val="18"/>
                <w:szCs w:val="18"/>
                <w:u w:val="single"/>
                <w:lang w:eastAsia="en-US"/>
              </w:rPr>
              <w:t>(1.5)</w:t>
            </w:r>
          </w:p>
        </w:tc>
        <w:tc>
          <w:tcPr>
            <w:tcW w:w="1135" w:type="dxa"/>
            <w:vAlign w:val="center"/>
          </w:tcPr>
          <w:p w:rsidR="00944DBE" w:rsidRPr="001E233D" w:rsidRDefault="00944DBE">
            <w:pPr>
              <w:keepNext/>
              <w:keepLines/>
              <w:jc w:val="right"/>
              <w:rPr>
                <w:color w:val="000000"/>
                <w:sz w:val="18"/>
                <w:szCs w:val="18"/>
                <w:lang w:eastAsia="en-US"/>
              </w:rPr>
            </w:pPr>
          </w:p>
        </w:tc>
        <w:tc>
          <w:tcPr>
            <w:tcW w:w="1306" w:type="dxa"/>
            <w:vAlign w:val="center"/>
          </w:tcPr>
          <w:p w:rsidR="00944DBE" w:rsidRPr="001E233D" w:rsidRDefault="00A464B2">
            <w:pPr>
              <w:keepNext/>
              <w:keepLines/>
              <w:jc w:val="right"/>
              <w:rPr>
                <w:color w:val="000000"/>
                <w:sz w:val="18"/>
                <w:szCs w:val="18"/>
                <w:u w:val="single"/>
                <w:lang w:eastAsia="en-US"/>
              </w:rPr>
            </w:pPr>
            <w:r w:rsidRPr="001E233D">
              <w:rPr>
                <w:color w:val="000000"/>
                <w:sz w:val="18"/>
                <w:szCs w:val="18"/>
                <w:u w:val="single"/>
                <w:lang w:eastAsia="en-US"/>
              </w:rPr>
              <w:t>(1.6)</w:t>
            </w:r>
          </w:p>
        </w:tc>
      </w:tr>
      <w:tr w:rsidR="00944DBE" w:rsidRPr="001E233D" w:rsidTr="00587956">
        <w:trPr>
          <w:jc w:val="center"/>
        </w:trPr>
        <w:tc>
          <w:tcPr>
            <w:tcW w:w="3576" w:type="dxa"/>
            <w:shd w:val="clear" w:color="auto" w:fill="auto"/>
            <w:tcMar>
              <w:top w:w="57" w:type="dxa"/>
              <w:bottom w:w="57" w:type="dxa"/>
            </w:tcMar>
            <w:vAlign w:val="center"/>
          </w:tcPr>
          <w:p w:rsidR="00944DBE" w:rsidRPr="001E233D" w:rsidRDefault="00A464B2">
            <w:pPr>
              <w:keepNext/>
              <w:keepLines/>
              <w:rPr>
                <w:color w:val="000000"/>
                <w:sz w:val="18"/>
                <w:szCs w:val="18"/>
                <w:lang w:eastAsia="en-US"/>
              </w:rPr>
            </w:pPr>
            <w:r w:rsidRPr="001E233D">
              <w:rPr>
                <w:rFonts w:hint="eastAsia"/>
                <w:color w:val="000000"/>
                <w:sz w:val="18"/>
                <w:szCs w:val="18"/>
              </w:rPr>
              <w:t>流动资产净流动性</w:t>
            </w:r>
          </w:p>
        </w:tc>
        <w:tc>
          <w:tcPr>
            <w:tcW w:w="1134" w:type="dxa"/>
            <w:shd w:val="clear" w:color="auto" w:fill="auto"/>
            <w:tcMar>
              <w:top w:w="57" w:type="dxa"/>
              <w:bottom w:w="57" w:type="dxa"/>
            </w:tcMar>
            <w:vAlign w:val="center"/>
          </w:tcPr>
          <w:p w:rsidR="00944DBE" w:rsidRPr="001E233D" w:rsidRDefault="00944DBE">
            <w:pPr>
              <w:keepNext/>
              <w:keepLines/>
              <w:jc w:val="right"/>
              <w:rPr>
                <w:color w:val="000000"/>
                <w:sz w:val="18"/>
                <w:szCs w:val="18"/>
                <w:lang w:eastAsia="en-US"/>
              </w:rPr>
            </w:pPr>
          </w:p>
        </w:tc>
        <w:tc>
          <w:tcPr>
            <w:tcW w:w="1417" w:type="dxa"/>
            <w:vAlign w:val="center"/>
          </w:tcPr>
          <w:p w:rsidR="00944DBE" w:rsidRPr="001E233D" w:rsidRDefault="00A464B2">
            <w:pPr>
              <w:keepNext/>
              <w:keepLines/>
              <w:jc w:val="right"/>
              <w:rPr>
                <w:color w:val="000000"/>
                <w:sz w:val="18"/>
                <w:szCs w:val="18"/>
                <w:lang w:eastAsia="en-US"/>
              </w:rPr>
            </w:pPr>
            <w:r w:rsidRPr="001E233D">
              <w:rPr>
                <w:color w:val="000000"/>
                <w:sz w:val="18"/>
                <w:szCs w:val="18"/>
                <w:lang w:eastAsia="en-US"/>
              </w:rPr>
              <w:t>556.9</w:t>
            </w:r>
          </w:p>
        </w:tc>
        <w:tc>
          <w:tcPr>
            <w:tcW w:w="1135" w:type="dxa"/>
            <w:vAlign w:val="center"/>
          </w:tcPr>
          <w:p w:rsidR="00944DBE" w:rsidRPr="001E233D" w:rsidRDefault="00944DBE">
            <w:pPr>
              <w:keepNext/>
              <w:keepLines/>
              <w:jc w:val="right"/>
              <w:rPr>
                <w:color w:val="000000"/>
                <w:sz w:val="18"/>
                <w:szCs w:val="18"/>
                <w:u w:val="single"/>
                <w:lang w:eastAsia="en-US"/>
              </w:rPr>
            </w:pPr>
          </w:p>
        </w:tc>
        <w:tc>
          <w:tcPr>
            <w:tcW w:w="1306" w:type="dxa"/>
            <w:vAlign w:val="center"/>
          </w:tcPr>
          <w:p w:rsidR="00944DBE" w:rsidRPr="001E233D" w:rsidRDefault="00A464B2">
            <w:pPr>
              <w:keepNext/>
              <w:keepLines/>
              <w:jc w:val="right"/>
              <w:rPr>
                <w:color w:val="000000"/>
                <w:sz w:val="18"/>
                <w:szCs w:val="18"/>
                <w:lang w:eastAsia="en-US"/>
              </w:rPr>
            </w:pPr>
            <w:r w:rsidRPr="001E233D">
              <w:rPr>
                <w:color w:val="000000"/>
                <w:sz w:val="18"/>
                <w:szCs w:val="18"/>
                <w:lang w:eastAsia="en-US"/>
              </w:rPr>
              <w:t>506.8</w:t>
            </w:r>
          </w:p>
        </w:tc>
      </w:tr>
      <w:tr w:rsidR="00944DBE" w:rsidRPr="001E233D" w:rsidTr="00587956">
        <w:trPr>
          <w:jc w:val="center"/>
        </w:trPr>
        <w:tc>
          <w:tcPr>
            <w:tcW w:w="3576" w:type="dxa"/>
            <w:shd w:val="clear" w:color="auto" w:fill="auto"/>
            <w:tcMar>
              <w:top w:w="57" w:type="dxa"/>
              <w:bottom w:w="57" w:type="dxa"/>
            </w:tcMar>
            <w:vAlign w:val="center"/>
          </w:tcPr>
          <w:p w:rsidR="00944DBE" w:rsidRPr="001E233D" w:rsidRDefault="00A464B2">
            <w:pPr>
              <w:keepNext/>
              <w:keepLines/>
              <w:rPr>
                <w:color w:val="000000"/>
                <w:sz w:val="18"/>
                <w:szCs w:val="18"/>
                <w:lang w:eastAsia="en-US"/>
              </w:rPr>
            </w:pPr>
            <w:r w:rsidRPr="001E233D">
              <w:rPr>
                <w:rFonts w:hint="eastAsia"/>
                <w:color w:val="000000"/>
                <w:sz w:val="18"/>
                <w:szCs w:val="18"/>
              </w:rPr>
              <w:t>流动负债</w:t>
            </w:r>
          </w:p>
        </w:tc>
        <w:tc>
          <w:tcPr>
            <w:tcW w:w="1134" w:type="dxa"/>
            <w:shd w:val="clear" w:color="auto" w:fill="auto"/>
            <w:tcMar>
              <w:top w:w="57" w:type="dxa"/>
              <w:bottom w:w="57" w:type="dxa"/>
            </w:tcMar>
            <w:vAlign w:val="center"/>
          </w:tcPr>
          <w:p w:rsidR="00944DBE" w:rsidRPr="001E233D" w:rsidRDefault="00A464B2">
            <w:pPr>
              <w:keepNext/>
              <w:keepLines/>
              <w:jc w:val="right"/>
              <w:rPr>
                <w:color w:val="000000"/>
                <w:sz w:val="18"/>
                <w:szCs w:val="18"/>
                <w:lang w:eastAsia="en-US"/>
              </w:rPr>
            </w:pPr>
            <w:r w:rsidRPr="001E233D">
              <w:rPr>
                <w:color w:val="000000"/>
                <w:sz w:val="18"/>
                <w:szCs w:val="18"/>
                <w:lang w:eastAsia="en-US"/>
              </w:rPr>
              <w:t>468.8</w:t>
            </w:r>
          </w:p>
        </w:tc>
        <w:tc>
          <w:tcPr>
            <w:tcW w:w="1417" w:type="dxa"/>
            <w:vAlign w:val="center"/>
          </w:tcPr>
          <w:p w:rsidR="00944DBE" w:rsidRPr="001E233D" w:rsidRDefault="00944DBE">
            <w:pPr>
              <w:keepNext/>
              <w:keepLines/>
              <w:jc w:val="right"/>
              <w:rPr>
                <w:color w:val="000000"/>
                <w:sz w:val="18"/>
                <w:szCs w:val="18"/>
                <w:u w:val="single"/>
                <w:lang w:eastAsia="en-US"/>
              </w:rPr>
            </w:pPr>
          </w:p>
        </w:tc>
        <w:tc>
          <w:tcPr>
            <w:tcW w:w="1135" w:type="dxa"/>
            <w:vAlign w:val="center"/>
          </w:tcPr>
          <w:p w:rsidR="00944DBE" w:rsidRPr="001E233D" w:rsidRDefault="00A464B2">
            <w:pPr>
              <w:keepNext/>
              <w:keepLines/>
              <w:jc w:val="right"/>
              <w:rPr>
                <w:color w:val="000000"/>
                <w:sz w:val="18"/>
                <w:szCs w:val="18"/>
                <w:lang w:eastAsia="en-US"/>
              </w:rPr>
            </w:pPr>
            <w:r w:rsidRPr="001E233D">
              <w:rPr>
                <w:color w:val="000000"/>
                <w:sz w:val="18"/>
                <w:szCs w:val="18"/>
                <w:lang w:eastAsia="en-US"/>
              </w:rPr>
              <w:t>456.5</w:t>
            </w:r>
          </w:p>
        </w:tc>
        <w:tc>
          <w:tcPr>
            <w:tcW w:w="1306" w:type="dxa"/>
            <w:vAlign w:val="center"/>
          </w:tcPr>
          <w:p w:rsidR="00944DBE" w:rsidRPr="001E233D" w:rsidRDefault="00944DBE">
            <w:pPr>
              <w:keepNext/>
              <w:keepLines/>
              <w:jc w:val="right"/>
              <w:rPr>
                <w:color w:val="000000"/>
                <w:sz w:val="18"/>
                <w:szCs w:val="18"/>
                <w:u w:val="single"/>
                <w:lang w:eastAsia="en-US"/>
              </w:rPr>
            </w:pPr>
          </w:p>
        </w:tc>
      </w:tr>
      <w:tr w:rsidR="00944DBE" w:rsidRPr="001E233D" w:rsidTr="00587956">
        <w:trPr>
          <w:jc w:val="center"/>
        </w:trPr>
        <w:tc>
          <w:tcPr>
            <w:tcW w:w="3576" w:type="dxa"/>
            <w:shd w:val="clear" w:color="auto" w:fill="auto"/>
            <w:tcMar>
              <w:top w:w="57" w:type="dxa"/>
              <w:bottom w:w="57" w:type="dxa"/>
            </w:tcMar>
            <w:vAlign w:val="center"/>
          </w:tcPr>
          <w:p w:rsidR="00944DBE" w:rsidRPr="001E233D" w:rsidRDefault="00A464B2">
            <w:pPr>
              <w:keepNext/>
              <w:keepLines/>
              <w:rPr>
                <w:color w:val="000000"/>
                <w:sz w:val="18"/>
                <w:szCs w:val="18"/>
                <w:lang w:eastAsia="en-US"/>
              </w:rPr>
            </w:pPr>
            <w:r w:rsidRPr="001E233D">
              <w:rPr>
                <w:color w:val="000000"/>
                <w:sz w:val="18"/>
                <w:szCs w:val="18"/>
                <w:lang w:eastAsia="en-US"/>
              </w:rPr>
              <w:tab/>
            </w:r>
            <w:r w:rsidRPr="001E233D">
              <w:rPr>
                <w:rFonts w:hint="eastAsia"/>
                <w:color w:val="000000"/>
                <w:sz w:val="18"/>
                <w:szCs w:val="18"/>
              </w:rPr>
              <w:t>预收</w:t>
            </w:r>
            <w:proofErr w:type="gramStart"/>
            <w:r w:rsidRPr="001E233D">
              <w:rPr>
                <w:rFonts w:hint="eastAsia"/>
                <w:color w:val="000000"/>
                <w:sz w:val="18"/>
                <w:szCs w:val="18"/>
              </w:rPr>
              <w:t>入调整</w:t>
            </w:r>
            <w:proofErr w:type="gramEnd"/>
          </w:p>
        </w:tc>
        <w:tc>
          <w:tcPr>
            <w:tcW w:w="1134" w:type="dxa"/>
            <w:shd w:val="clear" w:color="auto" w:fill="auto"/>
            <w:tcMar>
              <w:top w:w="57" w:type="dxa"/>
              <w:bottom w:w="57" w:type="dxa"/>
            </w:tcMar>
            <w:vAlign w:val="center"/>
          </w:tcPr>
          <w:p w:rsidR="00944DBE" w:rsidRPr="001E233D" w:rsidRDefault="00944DBE">
            <w:pPr>
              <w:keepNext/>
              <w:keepLines/>
              <w:jc w:val="right"/>
              <w:rPr>
                <w:color w:val="000000"/>
                <w:sz w:val="18"/>
                <w:szCs w:val="18"/>
                <w:lang w:eastAsia="en-US"/>
              </w:rPr>
            </w:pPr>
          </w:p>
        </w:tc>
        <w:tc>
          <w:tcPr>
            <w:tcW w:w="1417" w:type="dxa"/>
            <w:vAlign w:val="center"/>
          </w:tcPr>
          <w:p w:rsidR="00944DBE" w:rsidRPr="001E233D" w:rsidRDefault="00A464B2">
            <w:pPr>
              <w:keepNext/>
              <w:keepLines/>
              <w:jc w:val="right"/>
              <w:rPr>
                <w:color w:val="000000"/>
                <w:sz w:val="18"/>
                <w:szCs w:val="18"/>
                <w:u w:val="single"/>
                <w:lang w:eastAsia="en-US"/>
              </w:rPr>
            </w:pPr>
            <w:r w:rsidRPr="001E233D">
              <w:rPr>
                <w:color w:val="000000"/>
                <w:sz w:val="18"/>
                <w:szCs w:val="18"/>
                <w:u w:val="single"/>
                <w:lang w:eastAsia="en-US"/>
              </w:rPr>
              <w:t>(269.6)</w:t>
            </w:r>
          </w:p>
        </w:tc>
        <w:tc>
          <w:tcPr>
            <w:tcW w:w="1135" w:type="dxa"/>
            <w:vAlign w:val="center"/>
          </w:tcPr>
          <w:p w:rsidR="00944DBE" w:rsidRPr="001E233D" w:rsidRDefault="00944DBE">
            <w:pPr>
              <w:keepNext/>
              <w:keepLines/>
              <w:jc w:val="right"/>
              <w:rPr>
                <w:color w:val="000000"/>
                <w:sz w:val="18"/>
                <w:szCs w:val="18"/>
                <w:u w:val="single"/>
                <w:lang w:eastAsia="en-US"/>
              </w:rPr>
            </w:pPr>
          </w:p>
        </w:tc>
        <w:tc>
          <w:tcPr>
            <w:tcW w:w="1306" w:type="dxa"/>
            <w:vAlign w:val="center"/>
          </w:tcPr>
          <w:p w:rsidR="00944DBE" w:rsidRPr="001E233D" w:rsidRDefault="00A464B2">
            <w:pPr>
              <w:keepNext/>
              <w:keepLines/>
              <w:jc w:val="right"/>
              <w:rPr>
                <w:color w:val="000000"/>
                <w:sz w:val="18"/>
                <w:szCs w:val="18"/>
                <w:u w:val="single"/>
                <w:lang w:eastAsia="en-US"/>
              </w:rPr>
            </w:pPr>
            <w:r w:rsidRPr="001E233D">
              <w:rPr>
                <w:color w:val="000000"/>
                <w:sz w:val="18"/>
                <w:szCs w:val="18"/>
                <w:u w:val="single"/>
                <w:lang w:eastAsia="en-US"/>
              </w:rPr>
              <w:t>(249.4)</w:t>
            </w:r>
          </w:p>
        </w:tc>
      </w:tr>
      <w:tr w:rsidR="00944DBE" w:rsidRPr="001E233D" w:rsidTr="00587956">
        <w:trPr>
          <w:jc w:val="center"/>
        </w:trPr>
        <w:tc>
          <w:tcPr>
            <w:tcW w:w="3576" w:type="dxa"/>
            <w:shd w:val="clear" w:color="auto" w:fill="auto"/>
            <w:tcMar>
              <w:top w:w="57" w:type="dxa"/>
              <w:bottom w:w="57" w:type="dxa"/>
            </w:tcMar>
            <w:vAlign w:val="center"/>
          </w:tcPr>
          <w:p w:rsidR="00944DBE" w:rsidRPr="001E233D" w:rsidRDefault="00A464B2">
            <w:pPr>
              <w:keepNext/>
              <w:keepLines/>
              <w:rPr>
                <w:color w:val="000000"/>
                <w:sz w:val="18"/>
                <w:szCs w:val="18"/>
                <w:lang w:eastAsia="en-US"/>
              </w:rPr>
            </w:pPr>
            <w:r w:rsidRPr="001E233D">
              <w:rPr>
                <w:rFonts w:hint="eastAsia"/>
                <w:color w:val="000000"/>
                <w:sz w:val="18"/>
                <w:szCs w:val="18"/>
              </w:rPr>
              <w:t>流动负债净流动</w:t>
            </w:r>
            <w:r w:rsidRPr="001E233D">
              <w:rPr>
                <w:rFonts w:hint="eastAsia"/>
                <w:color w:val="000000"/>
                <w:sz w:val="18"/>
                <w:szCs w:val="18"/>
                <w:u w:val="dotted"/>
              </w:rPr>
              <w:t>性</w:t>
            </w:r>
          </w:p>
        </w:tc>
        <w:tc>
          <w:tcPr>
            <w:tcW w:w="1134" w:type="dxa"/>
            <w:shd w:val="clear" w:color="auto" w:fill="auto"/>
            <w:tcMar>
              <w:top w:w="57" w:type="dxa"/>
              <w:bottom w:w="57" w:type="dxa"/>
            </w:tcMar>
            <w:vAlign w:val="center"/>
          </w:tcPr>
          <w:p w:rsidR="00944DBE" w:rsidRPr="001E233D" w:rsidRDefault="00944DBE">
            <w:pPr>
              <w:keepNext/>
              <w:keepLines/>
              <w:jc w:val="right"/>
              <w:rPr>
                <w:color w:val="000000"/>
                <w:sz w:val="18"/>
                <w:szCs w:val="18"/>
                <w:u w:val="single"/>
                <w:lang w:eastAsia="en-US"/>
              </w:rPr>
            </w:pPr>
          </w:p>
        </w:tc>
        <w:tc>
          <w:tcPr>
            <w:tcW w:w="1417" w:type="dxa"/>
            <w:vAlign w:val="center"/>
          </w:tcPr>
          <w:p w:rsidR="00944DBE" w:rsidRPr="001E233D" w:rsidRDefault="00A464B2">
            <w:pPr>
              <w:keepNext/>
              <w:keepLines/>
              <w:jc w:val="right"/>
              <w:rPr>
                <w:color w:val="000000"/>
                <w:sz w:val="18"/>
                <w:szCs w:val="18"/>
                <w:lang w:eastAsia="en-US"/>
              </w:rPr>
            </w:pPr>
            <w:r w:rsidRPr="001E233D">
              <w:rPr>
                <w:color w:val="000000"/>
                <w:sz w:val="18"/>
                <w:szCs w:val="18"/>
                <w:lang w:eastAsia="en-US"/>
              </w:rPr>
              <w:t>199.2</w:t>
            </w:r>
          </w:p>
        </w:tc>
        <w:tc>
          <w:tcPr>
            <w:tcW w:w="1135" w:type="dxa"/>
            <w:vAlign w:val="center"/>
          </w:tcPr>
          <w:p w:rsidR="00944DBE" w:rsidRPr="001E233D" w:rsidRDefault="00944DBE">
            <w:pPr>
              <w:keepNext/>
              <w:keepLines/>
              <w:jc w:val="right"/>
              <w:rPr>
                <w:color w:val="000000"/>
                <w:sz w:val="18"/>
                <w:szCs w:val="18"/>
                <w:u w:val="single"/>
                <w:lang w:eastAsia="en-US"/>
              </w:rPr>
            </w:pPr>
          </w:p>
        </w:tc>
        <w:tc>
          <w:tcPr>
            <w:tcW w:w="1306" w:type="dxa"/>
            <w:vAlign w:val="center"/>
          </w:tcPr>
          <w:p w:rsidR="00944DBE" w:rsidRPr="001E233D" w:rsidRDefault="00A464B2">
            <w:pPr>
              <w:keepNext/>
              <w:keepLines/>
              <w:jc w:val="right"/>
              <w:rPr>
                <w:color w:val="000000"/>
                <w:sz w:val="18"/>
                <w:szCs w:val="18"/>
                <w:lang w:eastAsia="en-US"/>
              </w:rPr>
            </w:pPr>
            <w:r w:rsidRPr="001E233D">
              <w:rPr>
                <w:color w:val="000000"/>
                <w:sz w:val="18"/>
                <w:szCs w:val="18"/>
                <w:lang w:eastAsia="en-US"/>
              </w:rPr>
              <w:t>207.1</w:t>
            </w:r>
          </w:p>
        </w:tc>
      </w:tr>
      <w:tr w:rsidR="00944DBE" w:rsidRPr="001E233D" w:rsidTr="00587956">
        <w:trPr>
          <w:jc w:val="center"/>
        </w:trPr>
        <w:tc>
          <w:tcPr>
            <w:tcW w:w="3576" w:type="dxa"/>
            <w:shd w:val="clear" w:color="auto" w:fill="auto"/>
            <w:tcMar>
              <w:top w:w="57" w:type="dxa"/>
              <w:bottom w:w="57" w:type="dxa"/>
            </w:tcMar>
            <w:vAlign w:val="center"/>
          </w:tcPr>
          <w:p w:rsidR="00944DBE" w:rsidRPr="001E233D" w:rsidRDefault="00A464B2">
            <w:pPr>
              <w:keepNext/>
              <w:keepLines/>
              <w:rPr>
                <w:color w:val="000000"/>
                <w:sz w:val="18"/>
                <w:szCs w:val="18"/>
                <w:lang w:eastAsia="en-US"/>
              </w:rPr>
            </w:pPr>
            <w:r w:rsidRPr="001E233D">
              <w:rPr>
                <w:rFonts w:hint="eastAsia"/>
                <w:color w:val="000000"/>
                <w:sz w:val="18"/>
                <w:szCs w:val="18"/>
              </w:rPr>
              <w:t>流动资产净值</w:t>
            </w:r>
            <w:r w:rsidRPr="001E233D">
              <w:rPr>
                <w:color w:val="000000"/>
                <w:sz w:val="18"/>
                <w:szCs w:val="18"/>
                <w:lang w:eastAsia="en-US"/>
              </w:rPr>
              <w:t>*</w:t>
            </w:r>
          </w:p>
        </w:tc>
        <w:tc>
          <w:tcPr>
            <w:tcW w:w="1134" w:type="dxa"/>
            <w:shd w:val="clear" w:color="auto" w:fill="auto"/>
            <w:tcMar>
              <w:top w:w="57" w:type="dxa"/>
              <w:bottom w:w="57" w:type="dxa"/>
            </w:tcMar>
            <w:vAlign w:val="center"/>
          </w:tcPr>
          <w:p w:rsidR="00944DBE" w:rsidRPr="001E233D" w:rsidRDefault="00A464B2">
            <w:pPr>
              <w:keepNext/>
              <w:keepLines/>
              <w:jc w:val="right"/>
              <w:rPr>
                <w:color w:val="000000"/>
                <w:sz w:val="18"/>
                <w:szCs w:val="18"/>
                <w:lang w:eastAsia="en-US"/>
              </w:rPr>
            </w:pPr>
            <w:r w:rsidRPr="001E233D">
              <w:rPr>
                <w:color w:val="000000"/>
                <w:sz w:val="18"/>
                <w:szCs w:val="18"/>
                <w:lang w:eastAsia="en-US"/>
              </w:rPr>
              <w:t>135.6</w:t>
            </w:r>
          </w:p>
        </w:tc>
        <w:tc>
          <w:tcPr>
            <w:tcW w:w="1417" w:type="dxa"/>
            <w:vAlign w:val="center"/>
          </w:tcPr>
          <w:p w:rsidR="00944DBE" w:rsidRPr="001E233D" w:rsidRDefault="00944DBE">
            <w:pPr>
              <w:keepNext/>
              <w:keepLines/>
              <w:jc w:val="right"/>
              <w:rPr>
                <w:color w:val="000000"/>
                <w:sz w:val="18"/>
                <w:szCs w:val="18"/>
                <w:lang w:eastAsia="en-US"/>
              </w:rPr>
            </w:pPr>
          </w:p>
        </w:tc>
        <w:tc>
          <w:tcPr>
            <w:tcW w:w="1135" w:type="dxa"/>
            <w:vAlign w:val="center"/>
          </w:tcPr>
          <w:p w:rsidR="00944DBE" w:rsidRPr="001E233D" w:rsidRDefault="00A464B2">
            <w:pPr>
              <w:keepNext/>
              <w:keepLines/>
              <w:jc w:val="right"/>
              <w:rPr>
                <w:color w:val="000000"/>
                <w:sz w:val="18"/>
                <w:szCs w:val="18"/>
                <w:lang w:eastAsia="en-US"/>
              </w:rPr>
            </w:pPr>
            <w:r w:rsidRPr="001E233D">
              <w:rPr>
                <w:color w:val="000000"/>
                <w:sz w:val="18"/>
                <w:szCs w:val="18"/>
                <w:lang w:eastAsia="en-US"/>
              </w:rPr>
              <w:t>88.4</w:t>
            </w:r>
          </w:p>
        </w:tc>
        <w:tc>
          <w:tcPr>
            <w:tcW w:w="1306" w:type="dxa"/>
            <w:vAlign w:val="center"/>
          </w:tcPr>
          <w:p w:rsidR="00944DBE" w:rsidRPr="001E233D" w:rsidRDefault="00944DBE">
            <w:pPr>
              <w:keepNext/>
              <w:keepLines/>
              <w:jc w:val="right"/>
              <w:rPr>
                <w:color w:val="000000"/>
                <w:sz w:val="18"/>
                <w:szCs w:val="18"/>
                <w:lang w:eastAsia="en-US"/>
              </w:rPr>
            </w:pPr>
          </w:p>
        </w:tc>
      </w:tr>
      <w:tr w:rsidR="00944DBE" w:rsidRPr="001E233D" w:rsidTr="00587956">
        <w:trPr>
          <w:jc w:val="center"/>
        </w:trPr>
        <w:tc>
          <w:tcPr>
            <w:tcW w:w="3576" w:type="dxa"/>
            <w:shd w:val="clear" w:color="auto" w:fill="auto"/>
            <w:tcMar>
              <w:top w:w="57" w:type="dxa"/>
              <w:bottom w:w="57" w:type="dxa"/>
            </w:tcMar>
            <w:vAlign w:val="center"/>
          </w:tcPr>
          <w:p w:rsidR="00944DBE" w:rsidRPr="001E233D" w:rsidRDefault="00A464B2">
            <w:pPr>
              <w:keepNext/>
              <w:keepLines/>
              <w:rPr>
                <w:color w:val="000000"/>
                <w:sz w:val="18"/>
                <w:szCs w:val="18"/>
                <w:lang w:eastAsia="en-US"/>
              </w:rPr>
            </w:pPr>
            <w:r w:rsidRPr="001E233D">
              <w:rPr>
                <w:rFonts w:hint="eastAsia"/>
                <w:color w:val="000000"/>
                <w:sz w:val="18"/>
                <w:szCs w:val="18"/>
              </w:rPr>
              <w:t>净资产流动性部分</w:t>
            </w:r>
          </w:p>
        </w:tc>
        <w:tc>
          <w:tcPr>
            <w:tcW w:w="1134" w:type="dxa"/>
            <w:shd w:val="clear" w:color="auto" w:fill="auto"/>
            <w:tcMar>
              <w:top w:w="57" w:type="dxa"/>
              <w:bottom w:w="57" w:type="dxa"/>
            </w:tcMar>
            <w:vAlign w:val="center"/>
          </w:tcPr>
          <w:p w:rsidR="00944DBE" w:rsidRPr="001E233D" w:rsidRDefault="00944DBE">
            <w:pPr>
              <w:keepNext/>
              <w:keepLines/>
              <w:jc w:val="right"/>
              <w:rPr>
                <w:color w:val="000000"/>
                <w:sz w:val="18"/>
                <w:szCs w:val="18"/>
                <w:lang w:eastAsia="en-US"/>
              </w:rPr>
            </w:pPr>
          </w:p>
        </w:tc>
        <w:tc>
          <w:tcPr>
            <w:tcW w:w="1417" w:type="dxa"/>
            <w:vAlign w:val="center"/>
          </w:tcPr>
          <w:p w:rsidR="00944DBE" w:rsidRPr="001E233D" w:rsidRDefault="00A464B2">
            <w:pPr>
              <w:keepNext/>
              <w:keepLines/>
              <w:jc w:val="right"/>
              <w:rPr>
                <w:color w:val="000000"/>
                <w:sz w:val="18"/>
                <w:szCs w:val="18"/>
                <w:lang w:eastAsia="en-US"/>
              </w:rPr>
            </w:pPr>
            <w:r w:rsidRPr="001E233D">
              <w:rPr>
                <w:color w:val="000000"/>
                <w:sz w:val="18"/>
                <w:szCs w:val="18"/>
                <w:lang w:eastAsia="en-US"/>
              </w:rPr>
              <w:t>357.7</w:t>
            </w:r>
          </w:p>
        </w:tc>
        <w:tc>
          <w:tcPr>
            <w:tcW w:w="1135" w:type="dxa"/>
            <w:vAlign w:val="center"/>
          </w:tcPr>
          <w:p w:rsidR="00944DBE" w:rsidRPr="001E233D" w:rsidRDefault="00944DBE">
            <w:pPr>
              <w:keepNext/>
              <w:keepLines/>
              <w:jc w:val="right"/>
              <w:rPr>
                <w:color w:val="000000"/>
                <w:sz w:val="18"/>
                <w:szCs w:val="18"/>
                <w:lang w:eastAsia="en-US"/>
              </w:rPr>
            </w:pPr>
          </w:p>
        </w:tc>
        <w:tc>
          <w:tcPr>
            <w:tcW w:w="1306" w:type="dxa"/>
            <w:vAlign w:val="center"/>
          </w:tcPr>
          <w:p w:rsidR="00944DBE" w:rsidRPr="001E233D" w:rsidRDefault="00A464B2">
            <w:pPr>
              <w:keepNext/>
              <w:keepLines/>
              <w:jc w:val="right"/>
              <w:rPr>
                <w:color w:val="000000"/>
                <w:sz w:val="18"/>
                <w:szCs w:val="18"/>
                <w:lang w:eastAsia="en-US"/>
              </w:rPr>
            </w:pPr>
            <w:r w:rsidRPr="001E233D">
              <w:rPr>
                <w:color w:val="000000"/>
                <w:sz w:val="18"/>
                <w:szCs w:val="18"/>
                <w:lang w:eastAsia="en-US"/>
              </w:rPr>
              <w:t>299.7</w:t>
            </w:r>
          </w:p>
        </w:tc>
      </w:tr>
      <w:tr w:rsidR="00944DBE" w:rsidRPr="001E233D" w:rsidTr="00587956">
        <w:trPr>
          <w:jc w:val="center"/>
        </w:trPr>
        <w:tc>
          <w:tcPr>
            <w:tcW w:w="3576" w:type="dxa"/>
            <w:shd w:val="clear" w:color="auto" w:fill="C6D9F1" w:themeFill="text2" w:themeFillTint="33"/>
            <w:tcMar>
              <w:top w:w="57" w:type="dxa"/>
              <w:bottom w:w="57" w:type="dxa"/>
            </w:tcMar>
            <w:vAlign w:val="bottom"/>
          </w:tcPr>
          <w:p w:rsidR="00944DBE" w:rsidRPr="001E233D" w:rsidRDefault="00944DBE">
            <w:pPr>
              <w:keepNext/>
              <w:keepLines/>
              <w:rPr>
                <w:color w:val="000000"/>
                <w:sz w:val="18"/>
                <w:szCs w:val="18"/>
                <w:lang w:eastAsia="en-US"/>
              </w:rPr>
            </w:pPr>
          </w:p>
        </w:tc>
        <w:tc>
          <w:tcPr>
            <w:tcW w:w="1134" w:type="dxa"/>
            <w:shd w:val="clear" w:color="auto" w:fill="C6D9F1" w:themeFill="text2" w:themeFillTint="33"/>
            <w:tcMar>
              <w:top w:w="57" w:type="dxa"/>
              <w:bottom w:w="57" w:type="dxa"/>
            </w:tcMar>
            <w:vAlign w:val="bottom"/>
          </w:tcPr>
          <w:p w:rsidR="00944DBE" w:rsidRPr="001E233D" w:rsidRDefault="00944DBE">
            <w:pPr>
              <w:keepNext/>
              <w:keepLines/>
              <w:jc w:val="right"/>
              <w:rPr>
                <w:color w:val="000000"/>
                <w:sz w:val="18"/>
                <w:szCs w:val="18"/>
                <w:lang w:eastAsia="en-US"/>
              </w:rPr>
            </w:pPr>
          </w:p>
        </w:tc>
        <w:tc>
          <w:tcPr>
            <w:tcW w:w="1417" w:type="dxa"/>
            <w:shd w:val="clear" w:color="auto" w:fill="C6D9F1" w:themeFill="text2" w:themeFillTint="33"/>
          </w:tcPr>
          <w:p w:rsidR="00944DBE" w:rsidRPr="001E233D" w:rsidRDefault="00944DBE">
            <w:pPr>
              <w:keepNext/>
              <w:keepLines/>
              <w:jc w:val="right"/>
              <w:rPr>
                <w:color w:val="000000"/>
                <w:sz w:val="18"/>
                <w:szCs w:val="18"/>
                <w:lang w:eastAsia="en-US"/>
              </w:rPr>
            </w:pPr>
          </w:p>
        </w:tc>
        <w:tc>
          <w:tcPr>
            <w:tcW w:w="1135" w:type="dxa"/>
            <w:shd w:val="clear" w:color="auto" w:fill="C6D9F1" w:themeFill="text2" w:themeFillTint="33"/>
            <w:vAlign w:val="bottom"/>
          </w:tcPr>
          <w:p w:rsidR="00944DBE" w:rsidRPr="001E233D" w:rsidRDefault="00944DBE">
            <w:pPr>
              <w:keepNext/>
              <w:keepLines/>
              <w:jc w:val="right"/>
              <w:rPr>
                <w:color w:val="000000"/>
                <w:sz w:val="18"/>
                <w:szCs w:val="18"/>
                <w:lang w:eastAsia="en-US"/>
              </w:rPr>
            </w:pPr>
          </w:p>
        </w:tc>
        <w:tc>
          <w:tcPr>
            <w:tcW w:w="1306" w:type="dxa"/>
            <w:shd w:val="clear" w:color="auto" w:fill="C6D9F1" w:themeFill="text2" w:themeFillTint="33"/>
          </w:tcPr>
          <w:p w:rsidR="00944DBE" w:rsidRPr="001E233D" w:rsidRDefault="00944DBE">
            <w:pPr>
              <w:keepNext/>
              <w:keepLines/>
              <w:jc w:val="right"/>
              <w:rPr>
                <w:color w:val="000000"/>
                <w:sz w:val="18"/>
                <w:szCs w:val="18"/>
                <w:lang w:eastAsia="en-US"/>
              </w:rPr>
            </w:pPr>
          </w:p>
        </w:tc>
      </w:tr>
    </w:tbl>
    <w:p w:rsidR="00A464B2" w:rsidRPr="00963E2A" w:rsidRDefault="00A464B2" w:rsidP="001E233D">
      <w:pPr>
        <w:keepNext/>
        <w:keepLines/>
        <w:ind w:leftChars="193" w:left="425"/>
        <w:rPr>
          <w:rFonts w:ascii="KaiTi" w:eastAsia="KaiTi" w:hAnsi="KaiTi"/>
          <w:sz w:val="16"/>
          <w:szCs w:val="16"/>
        </w:rPr>
      </w:pPr>
      <w:r w:rsidRPr="00963E2A">
        <w:rPr>
          <w:rFonts w:ascii="KaiTi" w:eastAsia="KaiTi" w:hAnsi="KaiTi"/>
          <w:sz w:val="16"/>
          <w:szCs w:val="16"/>
        </w:rPr>
        <w:t>*</w:t>
      </w:r>
      <w:r w:rsidRPr="00963E2A">
        <w:rPr>
          <w:rFonts w:ascii="KaiTi" w:eastAsia="KaiTi" w:hAnsi="KaiTi" w:hint="eastAsia"/>
          <w:sz w:val="16"/>
          <w:szCs w:val="16"/>
        </w:rPr>
        <w:t>根据财务报表</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没有任何预期要素将对流动资产的未来余额产生重大负面影响。但从2017年开始，</w:t>
      </w:r>
      <w:r w:rsidR="004F7E15">
        <w:rPr>
          <w:rFonts w:ascii="SimSun" w:hAnsi="SimSun" w:hint="eastAsia"/>
          <w:sz w:val="21"/>
        </w:rPr>
        <w:t>产权组织</w:t>
      </w:r>
      <w:r w:rsidRPr="00F15E6C">
        <w:rPr>
          <w:rFonts w:ascii="SimSun" w:hAnsi="SimSun" w:hint="eastAsia"/>
          <w:sz w:val="21"/>
        </w:rPr>
        <w:t>将</w:t>
      </w:r>
      <w:r w:rsidR="006449A2">
        <w:rPr>
          <w:rFonts w:ascii="SimSun" w:hAnsi="SimSun" w:hint="eastAsia"/>
          <w:sz w:val="21"/>
        </w:rPr>
        <w:t>把</w:t>
      </w:r>
      <w:r w:rsidRPr="00F15E6C">
        <w:rPr>
          <w:rFonts w:ascii="SimSun" w:hAnsi="SimSun" w:hint="eastAsia"/>
          <w:sz w:val="21"/>
        </w:rPr>
        <w:t>投入于核心和战略储备金的现金部分重新归类为非流动资产，因为本组织计划将持有超过一年时间的储备金进行投资，以便在保留资本的同时将收益最大化。战略现金将用于更长期的投资，这将导致流动储备金减少。但核心现金的投资方式应可确保在出现任何意外情况</w:t>
      </w:r>
      <w:r w:rsidR="006449A2">
        <w:rPr>
          <w:rFonts w:ascii="SimSun" w:hAnsi="SimSun" w:hint="eastAsia"/>
          <w:sz w:val="21"/>
        </w:rPr>
        <w:t>时</w:t>
      </w:r>
      <w:r w:rsidRPr="00F15E6C">
        <w:rPr>
          <w:rFonts w:ascii="SimSun" w:hAnsi="SimSun" w:hint="eastAsia"/>
          <w:sz w:val="21"/>
        </w:rPr>
        <w:t>的资金可用性。因此，对于未来的储备金流动性计算，可随时变现的核心现金投资仍被视为具有流动性。</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如上所述，</w:t>
      </w:r>
      <w:r w:rsidR="004F7E15">
        <w:rPr>
          <w:rFonts w:ascii="SimSun" w:hAnsi="SimSun" w:hint="eastAsia"/>
          <w:sz w:val="21"/>
        </w:rPr>
        <w:t>产权组织</w:t>
      </w:r>
      <w:r w:rsidRPr="00F15E6C">
        <w:rPr>
          <w:rFonts w:ascii="SimSun" w:hAnsi="SimSun" w:hint="eastAsia"/>
          <w:sz w:val="21"/>
        </w:rPr>
        <w:t>储备金每年从运营盈余中获得补充，预计运营盈余2017年为2,430</w:t>
      </w:r>
      <w:proofErr w:type="gramStart"/>
      <w:r w:rsidRPr="00F15E6C">
        <w:rPr>
          <w:rFonts w:ascii="SimSun" w:hAnsi="SimSun" w:hint="eastAsia"/>
          <w:sz w:val="21"/>
        </w:rPr>
        <w:t>万瑞</w:t>
      </w:r>
      <w:proofErr w:type="gramEnd"/>
      <w:r w:rsidRPr="00F15E6C">
        <w:rPr>
          <w:rFonts w:ascii="SimSun" w:hAnsi="SimSun" w:hint="eastAsia"/>
          <w:sz w:val="21"/>
        </w:rPr>
        <w:t>郎（储备金支出后的总体结果），2018/19两年期为6,150</w:t>
      </w:r>
      <w:proofErr w:type="gramStart"/>
      <w:r w:rsidRPr="00F15E6C">
        <w:rPr>
          <w:rFonts w:ascii="SimSun" w:hAnsi="SimSun" w:hint="eastAsia"/>
          <w:sz w:val="21"/>
        </w:rPr>
        <w:t>万瑞</w:t>
      </w:r>
      <w:proofErr w:type="gramEnd"/>
      <w:r w:rsidRPr="00F15E6C">
        <w:rPr>
          <w:rFonts w:ascii="SimSun" w:hAnsi="SimSun" w:hint="eastAsia"/>
          <w:sz w:val="21"/>
        </w:rPr>
        <w:t>士法郎（储备金支出前预算的运营结果）。</w:t>
      </w:r>
    </w:p>
    <w:p w:rsidR="00A464B2" w:rsidRPr="00A464B2" w:rsidRDefault="00A464B2" w:rsidP="00A464B2">
      <w:pPr>
        <w:pStyle w:val="1"/>
        <w:overflowPunct w:val="0"/>
        <w:spacing w:beforeLines="100" w:afterLines="50" w:after="120" w:line="340" w:lineRule="atLeast"/>
        <w:rPr>
          <w:rFonts w:ascii="SimHei" w:eastAsia="SimHei" w:hAnsi="SimHei"/>
          <w:b w:val="0"/>
          <w:sz w:val="21"/>
        </w:rPr>
      </w:pPr>
      <w:r w:rsidRPr="00A464B2">
        <w:rPr>
          <w:rFonts w:ascii="SimHei" w:eastAsia="SimHei" w:hAnsi="SimHei" w:hint="eastAsia"/>
          <w:b w:val="0"/>
          <w:sz w:val="21"/>
        </w:rPr>
        <w:t>2018/19两年期的</w:t>
      </w:r>
      <w:r w:rsidR="004F7E15">
        <w:rPr>
          <w:rFonts w:ascii="SimHei" w:eastAsia="SimHei" w:hAnsi="SimHei" w:hint="eastAsia"/>
          <w:b w:val="0"/>
          <w:sz w:val="21"/>
        </w:rPr>
        <w:t>基建总计划</w:t>
      </w:r>
      <w:r w:rsidRPr="00A464B2">
        <w:rPr>
          <w:rFonts w:ascii="SimHei" w:eastAsia="SimHei" w:hAnsi="SimHei" w:hint="eastAsia"/>
          <w:b w:val="0"/>
          <w:sz w:val="21"/>
        </w:rPr>
        <w:t>项目和储备</w:t>
      </w:r>
      <w:proofErr w:type="gramStart"/>
      <w:r w:rsidRPr="00A464B2">
        <w:rPr>
          <w:rFonts w:ascii="SimHei" w:eastAsia="SimHei" w:hAnsi="SimHei" w:hint="eastAsia"/>
          <w:b w:val="0"/>
          <w:sz w:val="21"/>
        </w:rPr>
        <w:t>金政策</w:t>
      </w:r>
      <w:proofErr w:type="gramEnd"/>
      <w:r w:rsidRPr="00A464B2">
        <w:rPr>
          <w:rFonts w:ascii="SimHei" w:eastAsia="SimHei" w:hAnsi="SimHei" w:hint="eastAsia"/>
          <w:b w:val="0"/>
          <w:sz w:val="21"/>
        </w:rPr>
        <w:t>原则</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上</w:t>
      </w:r>
      <w:r w:rsidR="006449A2">
        <w:rPr>
          <w:rFonts w:ascii="SimSun" w:hAnsi="SimSun" w:hint="eastAsia"/>
          <w:sz w:val="21"/>
        </w:rPr>
        <w:t>文</w:t>
      </w:r>
      <w:r w:rsidRPr="00F15E6C">
        <w:rPr>
          <w:rFonts w:ascii="SimSun" w:hAnsi="SimSun" w:hint="eastAsia"/>
          <w:sz w:val="21"/>
        </w:rPr>
        <w:t>各节按照修订后储备</w:t>
      </w:r>
      <w:proofErr w:type="gramStart"/>
      <w:r w:rsidRPr="00F15E6C">
        <w:rPr>
          <w:rFonts w:ascii="SimSun" w:hAnsi="SimSun" w:hint="eastAsia"/>
          <w:sz w:val="21"/>
        </w:rPr>
        <w:t>金政策</w:t>
      </w:r>
      <w:proofErr w:type="gramEnd"/>
      <w:r w:rsidRPr="00F15E6C">
        <w:rPr>
          <w:rFonts w:ascii="SimSun" w:hAnsi="SimSun" w:hint="eastAsia"/>
          <w:sz w:val="21"/>
        </w:rPr>
        <w:t>中的原则，对储备金的使用情况进行了分析。</w:t>
      </w:r>
      <w:r w:rsidR="006449A2">
        <w:rPr>
          <w:rFonts w:ascii="SimSun" w:hAnsi="SimSun" w:hint="eastAsia"/>
          <w:sz w:val="21"/>
        </w:rPr>
        <w:t>这些</w:t>
      </w:r>
      <w:r w:rsidRPr="00F15E6C">
        <w:rPr>
          <w:rFonts w:ascii="SimSun" w:hAnsi="SimSun" w:hint="eastAsia"/>
          <w:sz w:val="21"/>
        </w:rPr>
        <w:t>原则载于附件一以供参考。下文提供了每个原则的分析概要。</w:t>
      </w:r>
    </w:p>
    <w:p w:rsidR="00A464B2" w:rsidRPr="004F7E15" w:rsidRDefault="00A464B2" w:rsidP="004F7E15">
      <w:pPr>
        <w:pStyle w:val="2"/>
        <w:overflowPunct w:val="0"/>
        <w:spacing w:beforeLines="100" w:afterLines="50" w:after="120" w:line="340" w:lineRule="atLeast"/>
        <w:rPr>
          <w:rFonts w:ascii="KaiTi" w:eastAsia="KaiTi" w:hAnsi="KaiTi"/>
          <w:sz w:val="21"/>
        </w:rPr>
      </w:pPr>
      <w:r w:rsidRPr="004F7E15">
        <w:rPr>
          <w:rFonts w:ascii="KaiTi" w:eastAsia="KaiTi" w:hAnsi="KaiTi" w:hint="eastAsia"/>
          <w:sz w:val="21"/>
        </w:rPr>
        <w:t>原则</w:t>
      </w:r>
      <w:r w:rsidRPr="004F7E15">
        <w:rPr>
          <w:rFonts w:ascii="KaiTi" w:eastAsia="KaiTi" w:hAnsi="KaiTi"/>
          <w:sz w:val="21"/>
        </w:rPr>
        <w:t>1</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截至2016年底，储备金余额（不包括周转基金和重估储备金盈余）为2.877亿瑞士法郎。因此，拟议在2018/19两年期为</w:t>
      </w:r>
      <w:r w:rsidR="004F7E15">
        <w:rPr>
          <w:rFonts w:ascii="SimSun" w:hAnsi="SimSun" w:hint="eastAsia"/>
          <w:sz w:val="21"/>
        </w:rPr>
        <w:t>基建总计划</w:t>
      </w:r>
      <w:r w:rsidRPr="00F15E6C">
        <w:rPr>
          <w:rFonts w:ascii="SimSun" w:hAnsi="SimSun" w:hint="eastAsia"/>
          <w:sz w:val="21"/>
        </w:rPr>
        <w:t>项目提供的2,550</w:t>
      </w:r>
      <w:proofErr w:type="gramStart"/>
      <w:r w:rsidRPr="00F15E6C">
        <w:rPr>
          <w:rFonts w:ascii="SimSun" w:hAnsi="SimSun" w:hint="eastAsia"/>
          <w:sz w:val="21"/>
        </w:rPr>
        <w:t>万瑞</w:t>
      </w:r>
      <w:proofErr w:type="gramEnd"/>
      <w:r w:rsidRPr="00F15E6C">
        <w:rPr>
          <w:rFonts w:ascii="SimSun" w:hAnsi="SimSun" w:hint="eastAsia"/>
          <w:sz w:val="21"/>
        </w:rPr>
        <w:t>士法郎资金</w:t>
      </w:r>
      <w:r w:rsidR="006449A2">
        <w:rPr>
          <w:rFonts w:ascii="SimSun" w:hAnsi="SimSun" w:hint="eastAsia"/>
          <w:sz w:val="21"/>
        </w:rPr>
        <w:t>，</w:t>
      </w:r>
      <w:r w:rsidRPr="00F15E6C">
        <w:rPr>
          <w:rFonts w:ascii="SimSun" w:hAnsi="SimSun" w:hint="eastAsia"/>
          <w:sz w:val="21"/>
        </w:rPr>
        <w:t>完全不会影响2018/19年1.598亿瑞士法郎的RWCF目标水平。</w:t>
      </w:r>
    </w:p>
    <w:p w:rsidR="00A464B2" w:rsidRPr="004F7E15" w:rsidRDefault="00A464B2" w:rsidP="004F7E15">
      <w:pPr>
        <w:pStyle w:val="2"/>
        <w:overflowPunct w:val="0"/>
        <w:spacing w:beforeLines="100" w:afterLines="50" w:after="120" w:line="340" w:lineRule="atLeast"/>
        <w:rPr>
          <w:rFonts w:ascii="KaiTi" w:eastAsia="KaiTi" w:hAnsi="KaiTi"/>
          <w:sz w:val="21"/>
        </w:rPr>
      </w:pPr>
      <w:r w:rsidRPr="004F7E15">
        <w:rPr>
          <w:rFonts w:ascii="KaiTi" w:eastAsia="KaiTi" w:hAnsi="KaiTi" w:hint="eastAsia"/>
          <w:sz w:val="21"/>
        </w:rPr>
        <w:t>原则</w:t>
      </w:r>
      <w:r w:rsidRPr="004F7E15">
        <w:rPr>
          <w:rFonts w:ascii="KaiTi" w:eastAsia="KaiTi" w:hAnsi="KaiTi"/>
          <w:sz w:val="21"/>
        </w:rPr>
        <w:t>2</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可用储备金的计算不包括周转基金和重估储备金盈余（表4和表5）。</w:t>
      </w:r>
    </w:p>
    <w:p w:rsidR="00A464B2" w:rsidRPr="004F7E15" w:rsidRDefault="00A464B2" w:rsidP="004F7E15">
      <w:pPr>
        <w:pStyle w:val="2"/>
        <w:overflowPunct w:val="0"/>
        <w:spacing w:beforeLines="100" w:afterLines="50" w:after="120" w:line="340" w:lineRule="atLeast"/>
        <w:rPr>
          <w:rFonts w:ascii="KaiTi" w:eastAsia="KaiTi" w:hAnsi="KaiTi"/>
          <w:sz w:val="21"/>
        </w:rPr>
      </w:pPr>
      <w:r w:rsidRPr="004F7E15">
        <w:rPr>
          <w:rFonts w:ascii="KaiTi" w:eastAsia="KaiTi" w:hAnsi="KaiTi" w:hint="eastAsia"/>
          <w:sz w:val="21"/>
        </w:rPr>
        <w:t>原则</w:t>
      </w:r>
      <w:r w:rsidRPr="004F7E15">
        <w:rPr>
          <w:rFonts w:ascii="KaiTi" w:eastAsia="KaiTi" w:hAnsi="KaiTi"/>
          <w:sz w:val="21"/>
        </w:rPr>
        <w:t>3</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拟议项目是与信息技术或房舍/安全和安保相关的非常一次性重要资本投资。请参阅附件二至七的项目及驱动因素的描述。</w:t>
      </w:r>
    </w:p>
    <w:p w:rsidR="00A464B2" w:rsidRPr="004F7E15" w:rsidRDefault="00A464B2" w:rsidP="004F7E15">
      <w:pPr>
        <w:pStyle w:val="2"/>
        <w:overflowPunct w:val="0"/>
        <w:spacing w:beforeLines="100" w:afterLines="50" w:after="120" w:line="340" w:lineRule="atLeast"/>
        <w:rPr>
          <w:rFonts w:ascii="KaiTi" w:eastAsia="KaiTi" w:hAnsi="KaiTi"/>
          <w:sz w:val="21"/>
        </w:rPr>
      </w:pPr>
      <w:r w:rsidRPr="004F7E15">
        <w:rPr>
          <w:rFonts w:ascii="KaiTi" w:eastAsia="KaiTi" w:hAnsi="KaiTi" w:hint="eastAsia"/>
          <w:sz w:val="21"/>
        </w:rPr>
        <w:lastRenderedPageBreak/>
        <w:t>原则</w:t>
      </w:r>
      <w:r w:rsidRPr="004F7E15">
        <w:rPr>
          <w:rFonts w:ascii="KaiTi" w:eastAsia="KaiTi" w:hAnsi="KaiTi"/>
          <w:sz w:val="21"/>
        </w:rPr>
        <w:t>4</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表2和</w:t>
      </w:r>
      <w:proofErr w:type="gramStart"/>
      <w:r w:rsidRPr="00F15E6C">
        <w:rPr>
          <w:rFonts w:ascii="SimSun" w:hAnsi="SimSun" w:hint="eastAsia"/>
          <w:sz w:val="21"/>
        </w:rPr>
        <w:t>附件八全面</w:t>
      </w:r>
      <w:proofErr w:type="gramEnd"/>
      <w:r w:rsidRPr="00F15E6C">
        <w:rPr>
          <w:rFonts w:ascii="SimSun" w:hAnsi="SimSun" w:hint="eastAsia"/>
          <w:sz w:val="21"/>
        </w:rPr>
        <w:t>概述了在未来十年（2018</w:t>
      </w:r>
      <w:r w:rsidR="0039745F">
        <w:rPr>
          <w:rFonts w:ascii="SimSun" w:hAnsi="SimSun" w:hint="eastAsia"/>
          <w:sz w:val="21"/>
        </w:rPr>
        <w:t>–</w:t>
      </w:r>
      <w:r w:rsidRPr="00F15E6C">
        <w:rPr>
          <w:rFonts w:ascii="SimSun" w:hAnsi="SimSun" w:hint="eastAsia"/>
          <w:sz w:val="21"/>
        </w:rPr>
        <w:t>27年）对房舍、安全和安保以及信通技术可预见的重大资本投资，包括每个项目和/或项目阶段的全额一次性成本。各个项目的年度经常性费用列示于附件二至七中相关内容下。</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此外，</w:t>
      </w:r>
      <w:r w:rsidR="004F7E15">
        <w:rPr>
          <w:rFonts w:ascii="SimSun" w:hAnsi="SimSun"/>
          <w:sz w:val="21"/>
        </w:rPr>
        <w:t>2018</w:t>
      </w:r>
      <w:r w:rsidR="0039745F">
        <w:rPr>
          <w:rFonts w:ascii="SimSun" w:hAnsi="SimSun"/>
          <w:sz w:val="21"/>
        </w:rPr>
        <w:t>–</w:t>
      </w:r>
      <w:r w:rsidR="004F7E15">
        <w:rPr>
          <w:rFonts w:ascii="SimSun" w:hAnsi="SimSun"/>
          <w:sz w:val="21"/>
        </w:rPr>
        <w:t>27年基建总计划</w:t>
      </w:r>
      <w:r w:rsidRPr="00F15E6C">
        <w:rPr>
          <w:rFonts w:ascii="SimSun" w:hAnsi="SimSun" w:hint="eastAsia"/>
          <w:sz w:val="21"/>
        </w:rPr>
        <w:t>建议预计不会对储备金的现金流量和流动性水平产生负面影响（参见第22</w:t>
      </w:r>
      <w:r w:rsidR="006449A2" w:rsidRPr="00F15E6C">
        <w:rPr>
          <w:rFonts w:ascii="SimSun" w:hAnsi="SimSun" w:hint="eastAsia"/>
          <w:sz w:val="21"/>
        </w:rPr>
        <w:t>段</w:t>
      </w:r>
      <w:r w:rsidRPr="00F15E6C">
        <w:rPr>
          <w:rFonts w:ascii="SimSun" w:hAnsi="SimSun" w:hint="eastAsia"/>
          <w:sz w:val="21"/>
        </w:rPr>
        <w:t>至</w:t>
      </w:r>
      <w:r w:rsidR="006449A2" w:rsidRPr="00F15E6C">
        <w:rPr>
          <w:rFonts w:ascii="SimSun" w:hAnsi="SimSun" w:hint="eastAsia"/>
          <w:sz w:val="21"/>
        </w:rPr>
        <w:t>第</w:t>
      </w:r>
      <w:r w:rsidRPr="00F15E6C">
        <w:rPr>
          <w:rFonts w:ascii="SimSun" w:hAnsi="SimSun" w:hint="eastAsia"/>
          <w:sz w:val="21"/>
        </w:rPr>
        <w:t>30段）。</w:t>
      </w:r>
    </w:p>
    <w:p w:rsidR="00A464B2" w:rsidRPr="004F7E15" w:rsidRDefault="00A464B2" w:rsidP="004F7E15">
      <w:pPr>
        <w:pStyle w:val="2"/>
        <w:overflowPunct w:val="0"/>
        <w:spacing w:beforeLines="100" w:afterLines="50" w:after="120" w:line="340" w:lineRule="atLeast"/>
        <w:rPr>
          <w:rFonts w:ascii="KaiTi" w:eastAsia="KaiTi" w:hAnsi="KaiTi"/>
          <w:sz w:val="21"/>
        </w:rPr>
      </w:pPr>
      <w:r w:rsidRPr="004F7E15">
        <w:rPr>
          <w:rFonts w:ascii="KaiTi" w:eastAsia="KaiTi" w:hAnsi="KaiTi" w:hint="eastAsia"/>
          <w:sz w:val="21"/>
        </w:rPr>
        <w:t>原则</w:t>
      </w:r>
      <w:r w:rsidRPr="004F7E15">
        <w:rPr>
          <w:rFonts w:ascii="KaiTi" w:eastAsia="KaiTi" w:hAnsi="KaiTi"/>
          <w:sz w:val="21"/>
        </w:rPr>
        <w:t>5</w:t>
      </w:r>
    </w:p>
    <w:p w:rsidR="00A464B2" w:rsidRDefault="00A464B2" w:rsidP="00A464B2">
      <w:pPr>
        <w:numPr>
          <w:ilvl w:val="0"/>
          <w:numId w:val="4"/>
        </w:numPr>
        <w:overflowPunct w:val="0"/>
        <w:spacing w:afterLines="50" w:after="120" w:line="340" w:lineRule="atLeast"/>
        <w:ind w:left="0" w:firstLine="0"/>
        <w:jc w:val="both"/>
        <w:rPr>
          <w:rFonts w:ascii="SimSun" w:hAnsi="SimSun"/>
          <w:sz w:val="21"/>
        </w:rPr>
      </w:pPr>
      <w:r w:rsidRPr="00F15E6C">
        <w:rPr>
          <w:rFonts w:ascii="SimSun" w:hAnsi="SimSun" w:hint="eastAsia"/>
          <w:sz w:val="21"/>
        </w:rPr>
        <w:t>拟议的</w:t>
      </w:r>
      <w:r w:rsidR="004F7E15">
        <w:rPr>
          <w:rFonts w:ascii="SimSun" w:hAnsi="SimSun" w:hint="eastAsia"/>
          <w:sz w:val="21"/>
        </w:rPr>
        <w:t>2018</w:t>
      </w:r>
      <w:r w:rsidR="0039745F">
        <w:rPr>
          <w:rFonts w:ascii="SimSun" w:hAnsi="SimSun" w:hint="eastAsia"/>
          <w:sz w:val="21"/>
        </w:rPr>
        <w:t>–</w:t>
      </w:r>
      <w:r w:rsidR="004F7E15">
        <w:rPr>
          <w:rFonts w:ascii="SimSun" w:hAnsi="SimSun" w:hint="eastAsia"/>
          <w:sz w:val="21"/>
        </w:rPr>
        <w:t>27年基建总计划</w:t>
      </w:r>
      <w:r w:rsidRPr="00F15E6C">
        <w:rPr>
          <w:rFonts w:ascii="SimSun" w:hAnsi="SimSun" w:hint="eastAsia"/>
          <w:sz w:val="21"/>
        </w:rPr>
        <w:t>项目/项目阶段计划于2018/19两年期间实施。</w:t>
      </w:r>
    </w:p>
    <w:p w:rsidR="00A464B2" w:rsidRDefault="006449A2" w:rsidP="00A464B2">
      <w:pPr>
        <w:numPr>
          <w:ilvl w:val="0"/>
          <w:numId w:val="4"/>
        </w:numPr>
        <w:overflowPunct w:val="0"/>
        <w:spacing w:afterLines="50" w:after="120" w:line="340" w:lineRule="atLeast"/>
        <w:ind w:left="0" w:firstLine="0"/>
        <w:jc w:val="both"/>
        <w:rPr>
          <w:rFonts w:ascii="SimSun" w:hAnsi="SimSun"/>
          <w:sz w:val="21"/>
        </w:rPr>
      </w:pPr>
      <w:r>
        <w:rPr>
          <w:rFonts w:ascii="SimSun" w:hAnsi="SimSun" w:hint="eastAsia"/>
          <w:sz w:val="21"/>
        </w:rPr>
        <w:t>提议</w:t>
      </w:r>
      <w:r w:rsidR="00A464B2" w:rsidRPr="00F15E6C">
        <w:rPr>
          <w:rFonts w:ascii="SimSun" w:hAnsi="SimSun" w:hint="eastAsia"/>
          <w:sz w:val="21"/>
        </w:rPr>
        <w:t>决定段落措辞如下。</w:t>
      </w:r>
    </w:p>
    <w:p w:rsidR="00944DBE" w:rsidRPr="006449A2" w:rsidRDefault="00A464B2" w:rsidP="006449A2">
      <w:pPr>
        <w:pStyle w:val="10"/>
        <w:numPr>
          <w:ilvl w:val="0"/>
          <w:numId w:val="4"/>
        </w:numPr>
        <w:spacing w:afterLines="50" w:after="120" w:line="340" w:lineRule="atLeast"/>
        <w:ind w:left="5534" w:firstLine="0"/>
        <w:contextualSpacing w:val="0"/>
        <w:jc w:val="both"/>
        <w:rPr>
          <w:rFonts w:ascii="KaiTi" w:eastAsia="KaiTi" w:hAnsi="KaiTi"/>
          <w:sz w:val="21"/>
        </w:rPr>
      </w:pPr>
      <w:r w:rsidRPr="006449A2">
        <w:rPr>
          <w:rFonts w:ascii="KaiTi" w:eastAsia="KaiTi" w:hAnsi="KaiTi" w:hint="eastAsia"/>
          <w:sz w:val="21"/>
        </w:rPr>
        <w:t>计划和预算委员会建议</w:t>
      </w:r>
      <w:r w:rsidR="004F7E15" w:rsidRPr="006449A2">
        <w:rPr>
          <w:rFonts w:ascii="KaiTi" w:eastAsia="KaiTi" w:hAnsi="KaiTi" w:hint="eastAsia"/>
          <w:sz w:val="21"/>
        </w:rPr>
        <w:t>产权组织</w:t>
      </w:r>
      <w:proofErr w:type="gramStart"/>
      <w:r w:rsidRPr="006449A2">
        <w:rPr>
          <w:rFonts w:ascii="KaiTi" w:eastAsia="KaiTi" w:hAnsi="KaiTi" w:hint="eastAsia"/>
          <w:sz w:val="21"/>
        </w:rPr>
        <w:t>各大会</w:t>
      </w:r>
      <w:proofErr w:type="gramEnd"/>
      <w:r w:rsidR="006449A2">
        <w:rPr>
          <w:rFonts w:ascii="KaiTi" w:eastAsia="KaiTi" w:hAnsi="KaiTi" w:hint="eastAsia"/>
          <w:sz w:val="21"/>
        </w:rPr>
        <w:t>各自就其所涉事宜，</w:t>
      </w:r>
      <w:r w:rsidRPr="006449A2">
        <w:rPr>
          <w:rFonts w:ascii="KaiTi" w:eastAsia="KaiTi" w:hAnsi="KaiTi" w:hint="eastAsia"/>
          <w:sz w:val="21"/>
        </w:rPr>
        <w:t>批准从</w:t>
      </w:r>
      <w:r w:rsidR="004F7E15" w:rsidRPr="006449A2">
        <w:rPr>
          <w:rFonts w:ascii="KaiTi" w:eastAsia="KaiTi" w:hAnsi="KaiTi" w:hint="eastAsia"/>
          <w:sz w:val="21"/>
        </w:rPr>
        <w:t>产权组织</w:t>
      </w:r>
      <w:r w:rsidRPr="006449A2">
        <w:rPr>
          <w:rFonts w:ascii="KaiTi" w:eastAsia="KaiTi" w:hAnsi="KaiTi" w:hint="eastAsia"/>
          <w:sz w:val="21"/>
        </w:rPr>
        <w:t>储备金中为</w:t>
      </w:r>
      <w:r w:rsidR="004F7E15" w:rsidRPr="006449A2">
        <w:rPr>
          <w:rFonts w:ascii="KaiTi" w:eastAsia="KaiTi" w:hAnsi="KaiTi" w:hint="eastAsia"/>
          <w:sz w:val="21"/>
        </w:rPr>
        <w:t>2018</w:t>
      </w:r>
      <w:r w:rsidR="0039745F">
        <w:rPr>
          <w:rFonts w:ascii="KaiTi" w:eastAsia="KaiTi" w:hAnsi="KaiTi" w:hint="eastAsia"/>
          <w:sz w:val="21"/>
        </w:rPr>
        <w:t>–</w:t>
      </w:r>
      <w:r w:rsidR="004F7E15" w:rsidRPr="006449A2">
        <w:rPr>
          <w:rFonts w:ascii="KaiTi" w:eastAsia="KaiTi" w:hAnsi="KaiTi" w:hint="eastAsia"/>
          <w:sz w:val="21"/>
        </w:rPr>
        <w:t>27年基建总计划</w:t>
      </w:r>
      <w:r w:rsidRPr="006449A2">
        <w:rPr>
          <w:rFonts w:ascii="KaiTi" w:eastAsia="KaiTi" w:hAnsi="KaiTi" w:hint="eastAsia"/>
          <w:sz w:val="21"/>
        </w:rPr>
        <w:t>下</w:t>
      </w:r>
      <w:r w:rsidR="006449A2">
        <w:rPr>
          <w:rFonts w:ascii="KaiTi" w:eastAsia="KaiTi" w:hAnsi="KaiTi" w:hint="eastAsia"/>
          <w:sz w:val="21"/>
        </w:rPr>
        <w:t>的</w:t>
      </w:r>
      <w:r w:rsidRPr="006449A2">
        <w:rPr>
          <w:rFonts w:ascii="KaiTi" w:eastAsia="KaiTi" w:hAnsi="KaiTi" w:hint="eastAsia"/>
          <w:sz w:val="21"/>
        </w:rPr>
        <w:t>2018/19两年</w:t>
      </w:r>
      <w:proofErr w:type="gramStart"/>
      <w:r w:rsidRPr="006449A2">
        <w:rPr>
          <w:rFonts w:ascii="KaiTi" w:eastAsia="KaiTi" w:hAnsi="KaiTi" w:hint="eastAsia"/>
          <w:sz w:val="21"/>
        </w:rPr>
        <w:t>期项目</w:t>
      </w:r>
      <w:proofErr w:type="gramEnd"/>
      <w:r w:rsidRPr="006449A2">
        <w:rPr>
          <w:rFonts w:ascii="KaiTi" w:eastAsia="KaiTi" w:hAnsi="KaiTi" w:hint="eastAsia"/>
          <w:sz w:val="21"/>
        </w:rPr>
        <w:t>供资，共计2,550</w:t>
      </w:r>
      <w:proofErr w:type="gramStart"/>
      <w:r w:rsidRPr="006449A2">
        <w:rPr>
          <w:rFonts w:ascii="KaiTi" w:eastAsia="KaiTi" w:hAnsi="KaiTi" w:hint="eastAsia"/>
          <w:sz w:val="21"/>
        </w:rPr>
        <w:t>万瑞</w:t>
      </w:r>
      <w:proofErr w:type="gramEnd"/>
      <w:r w:rsidRPr="006449A2">
        <w:rPr>
          <w:rFonts w:ascii="KaiTi" w:eastAsia="KaiTi" w:hAnsi="KaiTi" w:hint="eastAsia"/>
          <w:sz w:val="21"/>
        </w:rPr>
        <w:t>郎。</w:t>
      </w:r>
    </w:p>
    <w:p w:rsidR="006449A2" w:rsidRPr="006449A2" w:rsidRDefault="006449A2" w:rsidP="006449A2">
      <w:pPr>
        <w:spacing w:afterLines="50" w:after="120" w:line="340" w:lineRule="atLeast"/>
        <w:ind w:left="5534"/>
        <w:jc w:val="both"/>
        <w:rPr>
          <w:rFonts w:ascii="KaiTi" w:eastAsia="KaiTi" w:hAnsi="KaiTi"/>
          <w:sz w:val="21"/>
        </w:rPr>
      </w:pPr>
    </w:p>
    <w:p w:rsidR="00944DBE" w:rsidRPr="006449A2" w:rsidRDefault="00A464B2" w:rsidP="006449A2">
      <w:pPr>
        <w:spacing w:afterLines="50" w:after="120" w:line="340" w:lineRule="atLeast"/>
        <w:ind w:left="5534"/>
        <w:jc w:val="both"/>
        <w:rPr>
          <w:rFonts w:ascii="KaiTi" w:eastAsia="KaiTi" w:hAnsi="KaiTi"/>
          <w:sz w:val="21"/>
        </w:rPr>
      </w:pPr>
      <w:r w:rsidRPr="006449A2">
        <w:rPr>
          <w:rFonts w:ascii="KaiTi" w:eastAsia="KaiTi" w:hAnsi="KaiTi"/>
          <w:sz w:val="21"/>
        </w:rPr>
        <w:t>[</w:t>
      </w:r>
      <w:r w:rsidRPr="006449A2">
        <w:rPr>
          <w:rFonts w:ascii="KaiTi" w:eastAsia="KaiTi" w:hAnsi="KaiTi" w:hint="eastAsia"/>
          <w:sz w:val="21"/>
        </w:rPr>
        <w:t>后接附件</w:t>
      </w:r>
      <w:r w:rsidRPr="006449A2">
        <w:rPr>
          <w:rFonts w:ascii="KaiTi" w:eastAsia="KaiTi" w:hAnsi="KaiTi"/>
          <w:sz w:val="21"/>
        </w:rPr>
        <w:t>]</w:t>
      </w:r>
    </w:p>
    <w:p w:rsidR="004F7E15" w:rsidRPr="00F15E6C" w:rsidRDefault="004F7E15">
      <w:pPr>
        <w:ind w:left="5670"/>
        <w:rPr>
          <w:rFonts w:ascii="SimSun" w:hAnsi="SimSun"/>
          <w:sz w:val="21"/>
        </w:rPr>
      </w:pPr>
    </w:p>
    <w:p w:rsidR="00944DBE" w:rsidRPr="00F15E6C" w:rsidRDefault="00944DBE">
      <w:pPr>
        <w:rPr>
          <w:rFonts w:ascii="SimSun" w:hAnsi="SimSun"/>
          <w:bCs/>
          <w:iCs/>
          <w:caps/>
          <w:sz w:val="21"/>
          <w:szCs w:val="28"/>
        </w:rPr>
        <w:sectPr w:rsidR="00944DBE" w:rsidRPr="00F15E6C" w:rsidSect="00F0557F">
          <w:headerReference w:type="default" r:id="rId15"/>
          <w:pgSz w:w="11907" w:h="16840" w:code="9"/>
          <w:pgMar w:top="567" w:right="1134" w:bottom="1418" w:left="1418" w:header="510" w:footer="1021" w:gutter="0"/>
          <w:cols w:space="720"/>
          <w:titlePg/>
          <w:docGrid w:linePitch="299"/>
        </w:sectPr>
      </w:pPr>
    </w:p>
    <w:p w:rsidR="00A464B2" w:rsidRPr="00B27883" w:rsidRDefault="00A464B2" w:rsidP="00B27883">
      <w:pPr>
        <w:pStyle w:val="1"/>
        <w:overflowPunct w:val="0"/>
        <w:spacing w:before="0" w:afterLines="100" w:after="240" w:line="340" w:lineRule="atLeast"/>
        <w:rPr>
          <w:rFonts w:ascii="SimHei" w:eastAsia="SimHei" w:hAnsi="SimHei"/>
          <w:b w:val="0"/>
          <w:sz w:val="21"/>
        </w:rPr>
      </w:pPr>
      <w:r w:rsidRPr="00B27883">
        <w:rPr>
          <w:rFonts w:ascii="SimHei" w:eastAsia="SimHei" w:hAnsi="SimHei" w:hint="eastAsia"/>
          <w:b w:val="0"/>
          <w:sz w:val="21"/>
        </w:rPr>
        <w:lastRenderedPageBreak/>
        <w:t>附件一：经修订的储备金政策</w:t>
      </w:r>
    </w:p>
    <w:p w:rsidR="00A464B2" w:rsidRDefault="00A464B2" w:rsidP="00B27883">
      <w:pPr>
        <w:overflowPunct w:val="0"/>
        <w:spacing w:afterLines="50" w:after="120" w:line="340" w:lineRule="atLeast"/>
        <w:ind w:firstLineChars="200" w:firstLine="420"/>
        <w:rPr>
          <w:rFonts w:ascii="SimSun" w:hAnsi="SimSun"/>
          <w:sz w:val="21"/>
        </w:rPr>
      </w:pPr>
      <w:r w:rsidRPr="00F15E6C">
        <w:rPr>
          <w:rFonts w:ascii="SimSun" w:hAnsi="SimSun" w:hint="eastAsia"/>
          <w:sz w:val="21"/>
        </w:rPr>
        <w:t>根据经修订的储备</w:t>
      </w:r>
      <w:proofErr w:type="gramStart"/>
      <w:r w:rsidRPr="00F15E6C">
        <w:rPr>
          <w:rFonts w:ascii="SimSun" w:hAnsi="SimSun" w:hint="eastAsia"/>
          <w:sz w:val="21"/>
        </w:rPr>
        <w:t>金政策</w:t>
      </w:r>
      <w:proofErr w:type="gramEnd"/>
      <w:r w:rsidRPr="00F15E6C">
        <w:rPr>
          <w:rStyle w:val="af1"/>
          <w:rFonts w:ascii="SimSun" w:hAnsi="SimSun"/>
          <w:sz w:val="21"/>
        </w:rPr>
        <w:footnoteReference w:id="4"/>
      </w:r>
      <w:r w:rsidRPr="00F15E6C">
        <w:rPr>
          <w:rFonts w:ascii="SimSun" w:hAnsi="SimSun" w:hint="eastAsia"/>
          <w:sz w:val="21"/>
        </w:rPr>
        <w:t>，有</w:t>
      </w:r>
      <w:r w:rsidRPr="00B27883">
        <w:rPr>
          <w:rFonts w:ascii="SimSun" w:hAnsi="SimSun" w:hint="eastAsia"/>
          <w:sz w:val="21"/>
        </w:rPr>
        <w:t>关</w:t>
      </w:r>
      <w:r w:rsidRPr="00F15E6C">
        <w:rPr>
          <w:rFonts w:ascii="SimSun" w:hAnsi="SimSun" w:hint="eastAsia"/>
          <w:sz w:val="21"/>
        </w:rPr>
        <w:t>储备金和周转基金（RWCF）使用的原则如下：</w:t>
      </w:r>
    </w:p>
    <w:p w:rsidR="00A464B2" w:rsidRDefault="00A464B2" w:rsidP="00B27883">
      <w:pPr>
        <w:pStyle w:val="ONUME"/>
        <w:widowControl w:val="0"/>
        <w:numPr>
          <w:ilvl w:val="0"/>
          <w:numId w:val="0"/>
        </w:numPr>
        <w:tabs>
          <w:tab w:val="clear" w:pos="567"/>
        </w:tabs>
        <w:spacing w:afterLines="50" w:after="120" w:line="340" w:lineRule="atLeast"/>
        <w:ind w:leftChars="400" w:left="880"/>
        <w:jc w:val="both"/>
        <w:rPr>
          <w:rFonts w:ascii="SimSun" w:hAnsi="SimSun"/>
          <w:sz w:val="21"/>
        </w:rPr>
      </w:pPr>
      <w:r w:rsidRPr="00B27883">
        <w:rPr>
          <w:rFonts w:ascii="SimSun" w:hAnsi="SimSun" w:hint="eastAsia"/>
          <w:b/>
          <w:sz w:val="21"/>
        </w:rPr>
        <w:t>原则1：</w:t>
      </w:r>
      <w:r w:rsidR="00B80EF2" w:rsidRPr="00B80EF2">
        <w:rPr>
          <w:rFonts w:ascii="SimSun" w:hAnsi="SimSun" w:hint="eastAsia"/>
          <w:sz w:val="21"/>
        </w:rPr>
        <w:t>RWCF使用提案，应当仅涉及RWCF中超过WIPO储备</w:t>
      </w:r>
      <w:proofErr w:type="gramStart"/>
      <w:r w:rsidR="00B80EF2" w:rsidRPr="00B80EF2">
        <w:rPr>
          <w:rFonts w:ascii="SimSun" w:hAnsi="SimSun" w:hint="eastAsia"/>
          <w:sz w:val="21"/>
        </w:rPr>
        <w:t>金政策</w:t>
      </w:r>
      <w:proofErr w:type="gramEnd"/>
      <w:r w:rsidR="00B80EF2" w:rsidRPr="00B80EF2">
        <w:rPr>
          <w:rFonts w:ascii="SimSun" w:hAnsi="SimSun" w:hint="eastAsia"/>
          <w:sz w:val="21"/>
        </w:rPr>
        <w:t>所要求目标水平的可用数额。这既适用于各联盟一级，也适用于</w:t>
      </w:r>
      <w:proofErr w:type="gramStart"/>
      <w:r w:rsidR="00B80EF2" w:rsidRPr="00B80EF2">
        <w:rPr>
          <w:rFonts w:ascii="SimSun" w:hAnsi="SimSun" w:hint="eastAsia"/>
          <w:sz w:val="21"/>
        </w:rPr>
        <w:t>全组织</w:t>
      </w:r>
      <w:proofErr w:type="gramEnd"/>
      <w:r w:rsidR="00B80EF2" w:rsidRPr="00B80EF2">
        <w:rPr>
          <w:rFonts w:ascii="SimSun" w:hAnsi="SimSun" w:hint="eastAsia"/>
          <w:sz w:val="21"/>
        </w:rPr>
        <w:t>一级。</w:t>
      </w:r>
    </w:p>
    <w:p w:rsidR="00A464B2" w:rsidRDefault="00A464B2" w:rsidP="00B27883">
      <w:pPr>
        <w:pStyle w:val="ONUME"/>
        <w:widowControl w:val="0"/>
        <w:numPr>
          <w:ilvl w:val="0"/>
          <w:numId w:val="0"/>
        </w:numPr>
        <w:tabs>
          <w:tab w:val="left" w:pos="1620"/>
        </w:tabs>
        <w:spacing w:afterLines="50" w:after="120" w:line="340" w:lineRule="atLeast"/>
        <w:ind w:leftChars="400" w:left="880"/>
        <w:jc w:val="both"/>
        <w:rPr>
          <w:rFonts w:ascii="SimSun" w:hAnsi="SimSun"/>
          <w:sz w:val="21"/>
        </w:rPr>
      </w:pPr>
      <w:r w:rsidRPr="00B27883">
        <w:rPr>
          <w:rFonts w:ascii="SimSun" w:hAnsi="SimSun" w:hint="eastAsia"/>
          <w:b/>
          <w:sz w:val="21"/>
        </w:rPr>
        <w:t>原则2：</w:t>
      </w:r>
      <w:r w:rsidR="00B80EF2" w:rsidRPr="00B80EF2">
        <w:rPr>
          <w:rFonts w:ascii="SimSun" w:hAnsi="SimSun" w:hint="eastAsia"/>
          <w:sz w:val="21"/>
        </w:rPr>
        <w:t>计算可用储备金，必须依据最新的财务报表中所载的关于RWCF数额的信息，并且要适当考虑拟议项目实施的一个/多个财政期间内，从储备金拨出的实际支出、承付支出和计划支出。计算超过RWCF目标的可用数额时，不包括重估储备金盈余(产生于新楼建成后对地皮的重新估价)，也不包括周转基金(由各成员国的会费设立)。</w:t>
      </w:r>
    </w:p>
    <w:p w:rsidR="00A464B2" w:rsidRDefault="00A464B2" w:rsidP="00B27883">
      <w:pPr>
        <w:tabs>
          <w:tab w:val="left" w:pos="3150"/>
          <w:tab w:val="left" w:pos="3420"/>
        </w:tabs>
        <w:spacing w:afterLines="50" w:after="120" w:line="340" w:lineRule="atLeast"/>
        <w:ind w:leftChars="400" w:left="880"/>
        <w:jc w:val="both"/>
        <w:rPr>
          <w:rFonts w:ascii="SimSun" w:hAnsi="SimSun"/>
          <w:sz w:val="21"/>
        </w:rPr>
      </w:pPr>
      <w:r w:rsidRPr="00B27883">
        <w:rPr>
          <w:rFonts w:ascii="SimSun" w:hAnsi="SimSun" w:hint="eastAsia"/>
          <w:b/>
          <w:sz w:val="21"/>
        </w:rPr>
        <w:t>原则3：</w:t>
      </w:r>
      <w:r w:rsidR="00B80EF2" w:rsidRPr="00B80EF2">
        <w:rPr>
          <w:rFonts w:ascii="SimSun" w:hAnsi="SimSun" w:hint="eastAsia"/>
          <w:sz w:val="21"/>
        </w:rPr>
        <w:t>储备金使用的提案应当用于非常规的一次性基本建设项目和支出，以及在特殊情况下，用于WIPO各联盟的大会所决定的战略性倡议。基本建设项目通常会在一个长期的基本建设总计划中确定，并可以被定义为与建筑/装修以及信息和通信技术相关的项目，这些项目的显著扩展和增加对确保一个组织的设施和系统切合目的必不可少。</w:t>
      </w:r>
    </w:p>
    <w:p w:rsidR="00A464B2" w:rsidRDefault="00A464B2" w:rsidP="00B27883">
      <w:pPr>
        <w:pStyle w:val="ONUME"/>
        <w:widowControl w:val="0"/>
        <w:numPr>
          <w:ilvl w:val="0"/>
          <w:numId w:val="0"/>
        </w:numPr>
        <w:tabs>
          <w:tab w:val="left" w:pos="1620"/>
        </w:tabs>
        <w:spacing w:afterLines="50" w:after="120" w:line="340" w:lineRule="atLeast"/>
        <w:ind w:leftChars="400" w:left="880"/>
        <w:jc w:val="both"/>
        <w:rPr>
          <w:rFonts w:ascii="SimSun" w:hAnsi="SimSun"/>
          <w:sz w:val="21"/>
        </w:rPr>
      </w:pPr>
      <w:r w:rsidRPr="00B27883">
        <w:rPr>
          <w:rFonts w:ascii="SimSun" w:hAnsi="SimSun" w:hint="eastAsia"/>
          <w:b/>
          <w:sz w:val="21"/>
        </w:rPr>
        <w:t>原则4：</w:t>
      </w:r>
      <w:r w:rsidR="00B80EF2" w:rsidRPr="00B80EF2">
        <w:rPr>
          <w:rFonts w:ascii="SimSun" w:hAnsi="SimSun" w:hint="eastAsia"/>
          <w:sz w:val="21"/>
        </w:rPr>
        <w:t>储备金使用提案应根据如下信息以全面的方式编拟：项目整个生命周期的成本；预计收益(可能既包括财务收益，也包括质量效益)；本组织在随后</w:t>
      </w:r>
      <w:proofErr w:type="gramStart"/>
      <w:r w:rsidR="00B80EF2" w:rsidRPr="00B80EF2">
        <w:rPr>
          <w:rFonts w:ascii="SimSun" w:hAnsi="SimSun" w:hint="eastAsia"/>
          <w:sz w:val="21"/>
        </w:rPr>
        <w:t>两</w:t>
      </w:r>
      <w:proofErr w:type="gramEnd"/>
      <w:r w:rsidR="00B80EF2" w:rsidRPr="00B80EF2">
        <w:rPr>
          <w:rFonts w:ascii="SimSun" w:hAnsi="SimSun" w:hint="eastAsia"/>
          <w:sz w:val="21"/>
        </w:rPr>
        <w:t>年度的经常预算中承诺</w:t>
      </w:r>
      <w:proofErr w:type="gramStart"/>
      <w:r w:rsidR="00B80EF2" w:rsidRPr="00B80EF2">
        <w:rPr>
          <w:rFonts w:ascii="SimSun" w:hAnsi="SimSun" w:hint="eastAsia"/>
          <w:sz w:val="21"/>
        </w:rPr>
        <w:t>作出</w:t>
      </w:r>
      <w:proofErr w:type="gramEnd"/>
      <w:r w:rsidR="00B80EF2" w:rsidRPr="00B80EF2">
        <w:rPr>
          <w:rFonts w:ascii="SimSun" w:hAnsi="SimSun" w:hint="eastAsia"/>
          <w:sz w:val="21"/>
        </w:rPr>
        <w:t>预算的经常性支出；以及对储备金现金流和流动性水平的影响。</w:t>
      </w:r>
    </w:p>
    <w:p w:rsidR="00A464B2" w:rsidRDefault="00A464B2" w:rsidP="00B27883">
      <w:pPr>
        <w:pStyle w:val="ONUME"/>
        <w:widowControl w:val="0"/>
        <w:numPr>
          <w:ilvl w:val="0"/>
          <w:numId w:val="0"/>
        </w:numPr>
        <w:tabs>
          <w:tab w:val="left" w:pos="1620"/>
        </w:tabs>
        <w:spacing w:afterLines="50" w:after="120" w:line="340" w:lineRule="atLeast"/>
        <w:ind w:leftChars="400" w:left="880"/>
        <w:jc w:val="both"/>
        <w:rPr>
          <w:rFonts w:ascii="SimSun" w:hAnsi="SimSun"/>
          <w:sz w:val="21"/>
        </w:rPr>
      </w:pPr>
      <w:r w:rsidRPr="00B27883">
        <w:rPr>
          <w:rFonts w:ascii="SimSun" w:hAnsi="SimSun" w:hint="eastAsia"/>
          <w:b/>
          <w:sz w:val="21"/>
        </w:rPr>
        <w:t>原则5：</w:t>
      </w:r>
      <w:r w:rsidR="00B80EF2" w:rsidRPr="00B80EF2">
        <w:rPr>
          <w:rFonts w:ascii="SimSun" w:hAnsi="SimSun" w:hint="eastAsia"/>
          <w:sz w:val="21"/>
        </w:rPr>
        <w:t>储备金使用提案可以用于本组织两年财政期间以外的项目和倡议，并且可以跨越或者持续一个以上两年期。</w:t>
      </w:r>
    </w:p>
    <w:p w:rsidR="00B27883" w:rsidRDefault="00B27883" w:rsidP="00B27883">
      <w:pPr>
        <w:spacing w:afterLines="50" w:after="120" w:line="340" w:lineRule="atLeast"/>
        <w:ind w:left="5534"/>
        <w:jc w:val="both"/>
        <w:rPr>
          <w:rFonts w:ascii="KaiTi" w:eastAsia="KaiTi" w:hAnsi="KaiTi"/>
          <w:sz w:val="21"/>
        </w:rPr>
      </w:pPr>
    </w:p>
    <w:p w:rsidR="00944DBE" w:rsidRDefault="00A464B2" w:rsidP="00B27883">
      <w:pPr>
        <w:spacing w:afterLines="50" w:after="120" w:line="340" w:lineRule="atLeast"/>
        <w:ind w:left="5534"/>
        <w:jc w:val="both"/>
        <w:rPr>
          <w:rFonts w:ascii="KaiTi" w:eastAsia="KaiTi" w:hAnsi="KaiTi"/>
          <w:sz w:val="21"/>
        </w:rPr>
      </w:pPr>
      <w:r w:rsidRPr="00B27883">
        <w:rPr>
          <w:rFonts w:ascii="KaiTi" w:eastAsia="KaiTi" w:hAnsi="KaiTi"/>
          <w:sz w:val="21"/>
        </w:rPr>
        <w:t>[</w:t>
      </w:r>
      <w:r w:rsidRPr="00B27883">
        <w:rPr>
          <w:rFonts w:ascii="KaiTi" w:eastAsia="KaiTi" w:hAnsi="KaiTi" w:hint="eastAsia"/>
          <w:sz w:val="21"/>
        </w:rPr>
        <w:t>后接附件二</w:t>
      </w:r>
      <w:r w:rsidRPr="00B27883">
        <w:rPr>
          <w:rFonts w:ascii="KaiTi" w:eastAsia="KaiTi" w:hAnsi="KaiTi"/>
          <w:sz w:val="21"/>
        </w:rPr>
        <w:t>]</w:t>
      </w:r>
    </w:p>
    <w:p w:rsidR="00B27883" w:rsidRPr="00B27883" w:rsidRDefault="00B27883" w:rsidP="00B27883">
      <w:pPr>
        <w:spacing w:afterLines="50" w:after="120" w:line="340" w:lineRule="atLeast"/>
        <w:ind w:left="5534"/>
        <w:jc w:val="both"/>
        <w:rPr>
          <w:rFonts w:ascii="KaiTi" w:eastAsia="KaiTi" w:hAnsi="KaiTi"/>
          <w:sz w:val="21"/>
        </w:rPr>
        <w:sectPr w:rsidR="00B27883" w:rsidRPr="00B27883" w:rsidSect="00F0557F">
          <w:headerReference w:type="first" r:id="rId16"/>
          <w:pgSz w:w="11907" w:h="16840" w:code="9"/>
          <w:pgMar w:top="567" w:right="1134" w:bottom="1418" w:left="1418" w:header="510" w:footer="1021" w:gutter="0"/>
          <w:pgNumType w:start="1"/>
          <w:cols w:space="720"/>
          <w:titlePg/>
          <w:docGrid w:linePitch="299"/>
        </w:sectPr>
      </w:pPr>
    </w:p>
    <w:p w:rsidR="00A464B2" w:rsidRPr="00B27883" w:rsidRDefault="00A464B2" w:rsidP="00B27883">
      <w:pPr>
        <w:pStyle w:val="1"/>
        <w:overflowPunct w:val="0"/>
        <w:spacing w:before="0" w:afterLines="100" w:after="240" w:line="340" w:lineRule="atLeast"/>
        <w:rPr>
          <w:rFonts w:ascii="SimHei" w:eastAsia="SimHei" w:hAnsi="SimHei"/>
          <w:b w:val="0"/>
          <w:sz w:val="21"/>
        </w:rPr>
      </w:pPr>
      <w:r w:rsidRPr="00B27883">
        <w:rPr>
          <w:rFonts w:ascii="SimHei" w:eastAsia="SimHei" w:hAnsi="SimHei" w:hint="eastAsia"/>
          <w:b w:val="0"/>
          <w:sz w:val="21"/>
        </w:rPr>
        <w:lastRenderedPageBreak/>
        <w:t>附件二：全球知识产权平台</w:t>
      </w:r>
      <w:r w:rsidR="00B80EF2">
        <w:rPr>
          <w:rFonts w:ascii="SimHei" w:eastAsia="SimHei" w:hAnsi="SimHei" w:hint="eastAsia"/>
          <w:b w:val="0"/>
          <w:sz w:val="21"/>
        </w:rPr>
        <w:t>——</w:t>
      </w:r>
      <w:r w:rsidRPr="00B27883">
        <w:rPr>
          <w:rFonts w:ascii="SimHei" w:eastAsia="SimHei" w:hAnsi="SimHei" w:hint="eastAsia"/>
          <w:b w:val="0"/>
          <w:sz w:val="21"/>
        </w:rPr>
        <w:t>第一期</w:t>
      </w:r>
    </w:p>
    <w:p w:rsidR="00A464B2" w:rsidRPr="00963E2A" w:rsidRDefault="00A464B2" w:rsidP="00B80EF2">
      <w:pPr>
        <w:keepNext/>
        <w:overflowPunct w:val="0"/>
        <w:spacing w:beforeLines="100" w:before="240" w:afterLines="50" w:after="120" w:line="340" w:lineRule="atLeast"/>
        <w:rPr>
          <w:rFonts w:ascii="KaiTi" w:eastAsia="KaiTi" w:hAnsi="KaiTi"/>
          <w:sz w:val="21"/>
        </w:rPr>
      </w:pPr>
      <w:r w:rsidRPr="00963E2A">
        <w:rPr>
          <w:rFonts w:ascii="KaiTi" w:eastAsia="KaiTi" w:hAnsi="KaiTi" w:hint="eastAsia"/>
          <w:sz w:val="21"/>
        </w:rPr>
        <w:t>项目目标和预期效益</w:t>
      </w:r>
    </w:p>
    <w:p w:rsidR="00A464B2" w:rsidRDefault="00A464B2" w:rsidP="00B80EF2">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该项目旨在引进一个单一的公用信息技术平台（以下称为“全球知识产权平台”），该平台将PCT、马德里和海牙体系（</w:t>
      </w:r>
      <w:r w:rsidR="004F7E15">
        <w:rPr>
          <w:rFonts w:ascii="SimSun" w:hAnsi="SimSun" w:hint="eastAsia"/>
          <w:sz w:val="21"/>
        </w:rPr>
        <w:t>产权组织</w:t>
      </w:r>
      <w:r w:rsidRPr="00F15E6C">
        <w:rPr>
          <w:rFonts w:ascii="SimSun" w:hAnsi="SimSun" w:hint="eastAsia"/>
          <w:sz w:val="21"/>
        </w:rPr>
        <w:t>全球知识产权保护</w:t>
      </w:r>
      <w:r w:rsidR="00B80EF2">
        <w:rPr>
          <w:rFonts w:ascii="SimSun" w:hAnsi="SimSun" w:hint="eastAsia"/>
          <w:sz w:val="21"/>
        </w:rPr>
        <w:t>体系</w:t>
      </w:r>
      <w:r w:rsidRPr="00F15E6C">
        <w:rPr>
          <w:rFonts w:ascii="SimSun" w:hAnsi="SimSun" w:hint="eastAsia"/>
          <w:sz w:val="21"/>
        </w:rPr>
        <w:t>）等</w:t>
      </w:r>
      <w:r w:rsidR="004F7E15">
        <w:rPr>
          <w:rFonts w:ascii="SimSun" w:hAnsi="SimSun" w:hint="eastAsia"/>
          <w:sz w:val="21"/>
        </w:rPr>
        <w:t>产权组织</w:t>
      </w:r>
      <w:r w:rsidRPr="00F15E6C">
        <w:rPr>
          <w:rFonts w:ascii="SimSun" w:hAnsi="SimSun" w:hint="eastAsia"/>
          <w:sz w:val="21"/>
        </w:rPr>
        <w:t>付费服务的多重信息技术平台相连接。可以预见</w:t>
      </w:r>
      <w:r w:rsidR="00B80EF2">
        <w:rPr>
          <w:rFonts w:ascii="SimSun" w:hAnsi="SimSun" w:hint="eastAsia"/>
          <w:sz w:val="21"/>
        </w:rPr>
        <w:t>，</w:t>
      </w:r>
      <w:r w:rsidRPr="00F15E6C">
        <w:rPr>
          <w:rFonts w:ascii="SimSun" w:hAnsi="SimSun" w:hint="eastAsia"/>
          <w:sz w:val="21"/>
        </w:rPr>
        <w:t>将与新的全</w:t>
      </w:r>
      <w:r w:rsidR="00B80EF2">
        <w:rPr>
          <w:rFonts w:ascii="SimSun" w:hAnsi="SimSun" w:hint="eastAsia"/>
          <w:sz w:val="21"/>
        </w:rPr>
        <w:t>局</w:t>
      </w:r>
      <w:r w:rsidRPr="00F15E6C">
        <w:rPr>
          <w:rFonts w:ascii="SimSun" w:hAnsi="SimSun" w:hint="eastAsia"/>
          <w:sz w:val="21"/>
        </w:rPr>
        <w:t>支付系统整合，而且该项目还将探索</w:t>
      </w:r>
      <w:r w:rsidR="00B80EF2">
        <w:rPr>
          <w:rFonts w:ascii="SimSun" w:hAnsi="SimSun" w:hint="eastAsia"/>
          <w:sz w:val="21"/>
        </w:rPr>
        <w:t>能否</w:t>
      </w:r>
      <w:r w:rsidRPr="00F15E6C">
        <w:rPr>
          <w:rFonts w:ascii="SimSun" w:hAnsi="SimSun" w:hint="eastAsia"/>
          <w:sz w:val="21"/>
        </w:rPr>
        <w:t>连接到为</w:t>
      </w:r>
      <w:r w:rsidR="004F7E15">
        <w:rPr>
          <w:rFonts w:ascii="SimSun" w:hAnsi="SimSun" w:hint="eastAsia"/>
          <w:sz w:val="21"/>
        </w:rPr>
        <w:t>产权组织</w:t>
      </w:r>
      <w:r w:rsidRPr="00F15E6C">
        <w:rPr>
          <w:rFonts w:ascii="SimSun" w:hAnsi="SimSun" w:hint="eastAsia"/>
          <w:sz w:val="21"/>
        </w:rPr>
        <w:t>仲裁和调解中心（AMC）服务提供支持的IT系统。全球知识产权平台将通过每个用户的单一</w:t>
      </w:r>
      <w:r w:rsidR="004F7E15">
        <w:rPr>
          <w:rFonts w:ascii="SimSun" w:hAnsi="SimSun" w:hint="eastAsia"/>
          <w:sz w:val="21"/>
        </w:rPr>
        <w:t>产权组织</w:t>
      </w:r>
      <w:proofErr w:type="gramStart"/>
      <w:r w:rsidR="00B80EF2">
        <w:rPr>
          <w:rFonts w:ascii="SimSun" w:hAnsi="SimSun" w:hint="eastAsia"/>
          <w:sz w:val="21"/>
        </w:rPr>
        <w:t>帐</w:t>
      </w:r>
      <w:r w:rsidRPr="00F15E6C">
        <w:rPr>
          <w:rFonts w:ascii="SimSun" w:hAnsi="SimSun" w:hint="eastAsia"/>
          <w:sz w:val="21"/>
        </w:rPr>
        <w:t>户</w:t>
      </w:r>
      <w:proofErr w:type="gramEnd"/>
      <w:r w:rsidR="00B80EF2">
        <w:rPr>
          <w:rFonts w:ascii="SimSun" w:hAnsi="SimSun" w:hint="eastAsia"/>
          <w:sz w:val="21"/>
        </w:rPr>
        <w:t>，</w:t>
      </w:r>
      <w:r w:rsidRPr="00F15E6C">
        <w:rPr>
          <w:rFonts w:ascii="SimSun" w:hAnsi="SimSun" w:hint="eastAsia"/>
          <w:sz w:val="21"/>
        </w:rPr>
        <w:t>为</w:t>
      </w:r>
      <w:r w:rsidR="004F7E15">
        <w:rPr>
          <w:rFonts w:ascii="SimSun" w:hAnsi="SimSun" w:hint="eastAsia"/>
          <w:sz w:val="21"/>
        </w:rPr>
        <w:t>产权组织</w:t>
      </w:r>
      <w:r w:rsidRPr="00F15E6C">
        <w:rPr>
          <w:rFonts w:ascii="SimSun" w:hAnsi="SimSun" w:hint="eastAsia"/>
          <w:sz w:val="21"/>
        </w:rPr>
        <w:t>全球保护系统服务和AMC服务的用户提供单一入口门户，并实施一个通用用户界面和中央支付门户的用户友好型导航政策。</w:t>
      </w:r>
    </w:p>
    <w:p w:rsidR="00A464B2" w:rsidRDefault="004F7E15" w:rsidP="00B80EF2">
      <w:pPr>
        <w:overflowPunct w:val="0"/>
        <w:spacing w:afterLines="50" w:after="120" w:line="340" w:lineRule="atLeast"/>
        <w:ind w:firstLineChars="200" w:firstLine="420"/>
        <w:jc w:val="both"/>
        <w:rPr>
          <w:rFonts w:ascii="SimSun" w:hAnsi="SimSun"/>
          <w:sz w:val="21"/>
        </w:rPr>
      </w:pPr>
      <w:r>
        <w:rPr>
          <w:rFonts w:ascii="SimSun" w:hAnsi="SimSun" w:hint="eastAsia"/>
          <w:sz w:val="21"/>
        </w:rPr>
        <w:t>产权组织</w:t>
      </w:r>
      <w:r w:rsidR="00A464B2" w:rsidRPr="00F15E6C">
        <w:rPr>
          <w:rFonts w:ascii="SimSun" w:hAnsi="SimSun" w:hint="eastAsia"/>
          <w:sz w:val="21"/>
        </w:rPr>
        <w:t>国际局迫切需要整合多个平台，以应对在不同业务领域所管理的知识产权数据数量和种类的大幅增加。随着全球知识产权</w:t>
      </w:r>
      <w:r w:rsidR="00B80EF2">
        <w:rPr>
          <w:rFonts w:ascii="SimSun" w:hAnsi="SimSun" w:hint="eastAsia"/>
          <w:sz w:val="21"/>
        </w:rPr>
        <w:t>体系</w:t>
      </w:r>
      <w:r w:rsidR="00A464B2" w:rsidRPr="00F15E6C">
        <w:rPr>
          <w:rFonts w:ascii="SimSun" w:hAnsi="SimSun" w:hint="eastAsia"/>
          <w:sz w:val="21"/>
        </w:rPr>
        <w:t>的使用日益增加，需要采用更加综合的数据处理方法，以减少与各</w:t>
      </w:r>
      <w:r w:rsidR="00B80EF2">
        <w:rPr>
          <w:rFonts w:ascii="SimSun" w:hAnsi="SimSun" w:hint="eastAsia"/>
          <w:sz w:val="21"/>
        </w:rPr>
        <w:t>项</w:t>
      </w:r>
      <w:r w:rsidR="00A464B2" w:rsidRPr="00F15E6C">
        <w:rPr>
          <w:rFonts w:ascii="SimSun" w:hAnsi="SimSun" w:hint="eastAsia"/>
          <w:sz w:val="21"/>
        </w:rPr>
        <w:t>服务的IT系统中分散和独立的数据处理解决方案相关联的数据处理费用。</w:t>
      </w:r>
    </w:p>
    <w:p w:rsidR="00A464B2" w:rsidRDefault="00A464B2" w:rsidP="00B80EF2">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全球知识产权平台将建立在</w:t>
      </w:r>
      <w:r w:rsidR="004F7E15">
        <w:rPr>
          <w:rFonts w:ascii="SimSun" w:hAnsi="SimSun" w:hint="eastAsia"/>
          <w:sz w:val="21"/>
        </w:rPr>
        <w:t>产权组织</w:t>
      </w:r>
      <w:r w:rsidRPr="00F15E6C">
        <w:rPr>
          <w:rFonts w:ascii="SimSun" w:hAnsi="SimSun" w:hint="eastAsia"/>
          <w:sz w:val="21"/>
        </w:rPr>
        <w:t>迄今已进行的</w:t>
      </w:r>
      <w:r w:rsidR="004F7E15">
        <w:rPr>
          <w:rFonts w:ascii="SimSun" w:hAnsi="SimSun" w:hint="eastAsia"/>
          <w:sz w:val="21"/>
        </w:rPr>
        <w:t>信通技术</w:t>
      </w:r>
      <w:r w:rsidRPr="00F15E6C">
        <w:rPr>
          <w:rFonts w:ascii="SimSun" w:hAnsi="SimSun" w:hint="eastAsia"/>
          <w:sz w:val="21"/>
        </w:rPr>
        <w:t>投资基础之上，提供制定跨部门</w:t>
      </w:r>
      <w:r w:rsidR="004F7E15">
        <w:rPr>
          <w:rFonts w:ascii="SimSun" w:hAnsi="SimSun" w:hint="eastAsia"/>
          <w:sz w:val="21"/>
        </w:rPr>
        <w:t>信通技术</w:t>
      </w:r>
      <w:r w:rsidRPr="00F15E6C">
        <w:rPr>
          <w:rFonts w:ascii="SimSun" w:hAnsi="SimSun" w:hint="eastAsia"/>
          <w:sz w:val="21"/>
        </w:rPr>
        <w:t>战略的机会。通过战略流程和架构标准化，全球知识产权平台将促进跨业</w:t>
      </w:r>
      <w:proofErr w:type="gramStart"/>
      <w:r w:rsidRPr="00F15E6C">
        <w:rPr>
          <w:rFonts w:ascii="SimSun" w:hAnsi="SimSun" w:hint="eastAsia"/>
          <w:sz w:val="21"/>
        </w:rPr>
        <w:t>务</w:t>
      </w:r>
      <w:proofErr w:type="gramEnd"/>
      <w:r w:rsidRPr="00F15E6C">
        <w:rPr>
          <w:rFonts w:ascii="SimSun" w:hAnsi="SimSun" w:hint="eastAsia"/>
          <w:sz w:val="21"/>
        </w:rPr>
        <w:t>线</w:t>
      </w:r>
      <w:r w:rsidR="004F7E15">
        <w:rPr>
          <w:rFonts w:ascii="SimSun" w:hAnsi="SimSun" w:hint="eastAsia"/>
          <w:sz w:val="21"/>
        </w:rPr>
        <w:t>信通技术</w:t>
      </w:r>
      <w:r w:rsidRPr="00F15E6C">
        <w:rPr>
          <w:rFonts w:ascii="SimSun" w:hAnsi="SimSun" w:hint="eastAsia"/>
          <w:sz w:val="21"/>
        </w:rPr>
        <w:t>投资的成本控制，提高业务解决方案的可扩展性，同时确保运营和数据质量不受影响。同时预期将对业务需求变化产生更好反应和改善系统</w:t>
      </w:r>
      <w:r w:rsidR="00865A54">
        <w:rPr>
          <w:rFonts w:ascii="SimSun" w:hAnsi="SimSun" w:hint="eastAsia"/>
          <w:sz w:val="21"/>
        </w:rPr>
        <w:t>复原力</w:t>
      </w:r>
      <w:r w:rsidRPr="00F15E6C">
        <w:rPr>
          <w:rFonts w:ascii="SimSun" w:hAnsi="SimSun" w:hint="eastAsia"/>
          <w:sz w:val="21"/>
        </w:rPr>
        <w:t>。</w:t>
      </w:r>
    </w:p>
    <w:p w:rsidR="00944DBE" w:rsidRPr="00F15E6C" w:rsidRDefault="00A464B2" w:rsidP="00B80EF2">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包括现代化支付系统在内的单一入口门户网站有利于大学、中小企业和个人企业等新手客户，特别是发展中国家的用户，在对知识产权欠缺事前了解的情况下更好地利用</w:t>
      </w:r>
      <w:r w:rsidR="004F7E15">
        <w:rPr>
          <w:rFonts w:ascii="SimSun" w:hAnsi="SimSun" w:hint="eastAsia"/>
          <w:sz w:val="21"/>
        </w:rPr>
        <w:t>产权组织</w:t>
      </w:r>
      <w:r w:rsidRPr="00F15E6C">
        <w:rPr>
          <w:rFonts w:ascii="SimSun" w:hAnsi="SimSun" w:hint="eastAsia"/>
          <w:sz w:val="21"/>
        </w:rPr>
        <w:t>服务，并轻松管理费用的支付。</w:t>
      </w:r>
    </w:p>
    <w:p w:rsidR="00A464B2" w:rsidRDefault="00A464B2" w:rsidP="00B80EF2">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全球知识产权平台项目的预期效益如下：</w:t>
      </w:r>
    </w:p>
    <w:p w:rsidR="00944DBE" w:rsidRPr="00F15E6C" w:rsidRDefault="00A464B2" w:rsidP="00B80EF2">
      <w:pPr>
        <w:pStyle w:val="10"/>
        <w:numPr>
          <w:ilvl w:val="0"/>
          <w:numId w:val="11"/>
        </w:numPr>
        <w:spacing w:afterLines="50" w:after="120" w:line="340" w:lineRule="atLeast"/>
        <w:ind w:leftChars="200" w:left="860" w:hangingChars="200" w:hanging="420"/>
        <w:contextualSpacing w:val="0"/>
        <w:jc w:val="both"/>
        <w:rPr>
          <w:rFonts w:ascii="SimSun" w:hAnsi="SimSun"/>
          <w:sz w:val="21"/>
        </w:rPr>
      </w:pPr>
      <w:r w:rsidRPr="00F15E6C">
        <w:rPr>
          <w:rFonts w:ascii="SimSun" w:hAnsi="SimSun" w:hint="eastAsia"/>
          <w:sz w:val="21"/>
        </w:rPr>
        <w:t>将使本组织能够制定更具战略性的跨部门信息通信技术决策及跨业</w:t>
      </w:r>
      <w:proofErr w:type="gramStart"/>
      <w:r w:rsidRPr="00F15E6C">
        <w:rPr>
          <w:rFonts w:ascii="SimSun" w:hAnsi="SimSun" w:hint="eastAsia"/>
          <w:sz w:val="21"/>
        </w:rPr>
        <w:t>务</w:t>
      </w:r>
      <w:proofErr w:type="gramEnd"/>
      <w:r w:rsidRPr="00F15E6C">
        <w:rPr>
          <w:rFonts w:ascii="SimSun" w:hAnsi="SimSun" w:hint="eastAsia"/>
          <w:sz w:val="21"/>
        </w:rPr>
        <w:t>线和信息技术平台上的协同解决方案，促进跨业</w:t>
      </w:r>
      <w:proofErr w:type="gramStart"/>
      <w:r w:rsidRPr="00F15E6C">
        <w:rPr>
          <w:rFonts w:ascii="SimSun" w:hAnsi="SimSun" w:hint="eastAsia"/>
          <w:sz w:val="21"/>
        </w:rPr>
        <w:t>务</w:t>
      </w:r>
      <w:proofErr w:type="gramEnd"/>
      <w:r w:rsidRPr="00F15E6C">
        <w:rPr>
          <w:rFonts w:ascii="SimSun" w:hAnsi="SimSun" w:hint="eastAsia"/>
          <w:sz w:val="21"/>
        </w:rPr>
        <w:t>线</w:t>
      </w:r>
      <w:r w:rsidR="004F7E15">
        <w:rPr>
          <w:rFonts w:ascii="SimSun" w:hAnsi="SimSun" w:hint="eastAsia"/>
          <w:sz w:val="21"/>
        </w:rPr>
        <w:t>信通技术</w:t>
      </w:r>
      <w:r w:rsidRPr="00F15E6C">
        <w:rPr>
          <w:rFonts w:ascii="SimSun" w:hAnsi="SimSun" w:hint="eastAsia"/>
          <w:sz w:val="21"/>
        </w:rPr>
        <w:t>投资的成本控制，并提高所采用解决方案的可扩展性和</w:t>
      </w:r>
      <w:r w:rsidR="00865A54">
        <w:rPr>
          <w:rFonts w:ascii="SimSun" w:hAnsi="SimSun" w:hint="eastAsia"/>
          <w:sz w:val="21"/>
        </w:rPr>
        <w:t>复原力</w:t>
      </w:r>
      <w:r w:rsidRPr="00F15E6C">
        <w:rPr>
          <w:rFonts w:ascii="SimSun" w:hAnsi="SimSun" w:hint="eastAsia"/>
          <w:sz w:val="21"/>
        </w:rPr>
        <w:t>。</w:t>
      </w:r>
    </w:p>
    <w:p w:rsidR="00944DBE" w:rsidRPr="00F15E6C" w:rsidRDefault="00A464B2" w:rsidP="00B80EF2">
      <w:pPr>
        <w:pStyle w:val="10"/>
        <w:numPr>
          <w:ilvl w:val="0"/>
          <w:numId w:val="11"/>
        </w:numPr>
        <w:spacing w:afterLines="50" w:after="120" w:line="340" w:lineRule="atLeast"/>
        <w:ind w:leftChars="200" w:left="860" w:hangingChars="200" w:hanging="420"/>
        <w:contextualSpacing w:val="0"/>
        <w:jc w:val="both"/>
        <w:rPr>
          <w:rFonts w:ascii="SimSun" w:hAnsi="SimSun"/>
          <w:sz w:val="21"/>
        </w:rPr>
      </w:pPr>
      <w:r w:rsidRPr="00F15E6C">
        <w:rPr>
          <w:rFonts w:ascii="SimSun" w:hAnsi="SimSun" w:hint="eastAsia"/>
          <w:sz w:val="21"/>
        </w:rPr>
        <w:t>全球知识产权平台使</w:t>
      </w:r>
      <w:r w:rsidR="004F7E15">
        <w:rPr>
          <w:rFonts w:ascii="SimSun" w:hAnsi="SimSun" w:hint="eastAsia"/>
          <w:sz w:val="21"/>
        </w:rPr>
        <w:t>产权组织</w:t>
      </w:r>
      <w:r w:rsidRPr="00F15E6C">
        <w:rPr>
          <w:rFonts w:ascii="SimSun" w:hAnsi="SimSun" w:hint="eastAsia"/>
          <w:sz w:val="21"/>
        </w:rPr>
        <w:t>各个业务领域的不同IT系统可处理公用数据（如用户资料数据和支付数据），并管理数据质量。</w:t>
      </w:r>
    </w:p>
    <w:p w:rsidR="00944DBE" w:rsidRPr="00F15E6C" w:rsidRDefault="00A464B2" w:rsidP="00B80EF2">
      <w:pPr>
        <w:pStyle w:val="10"/>
        <w:numPr>
          <w:ilvl w:val="0"/>
          <w:numId w:val="11"/>
        </w:numPr>
        <w:spacing w:afterLines="50" w:after="120" w:line="340" w:lineRule="atLeast"/>
        <w:ind w:leftChars="200" w:left="860" w:hangingChars="200" w:hanging="420"/>
        <w:contextualSpacing w:val="0"/>
        <w:jc w:val="both"/>
        <w:rPr>
          <w:rFonts w:ascii="SimSun" w:hAnsi="SimSun"/>
          <w:sz w:val="21"/>
        </w:rPr>
      </w:pPr>
      <w:r w:rsidRPr="00F15E6C">
        <w:rPr>
          <w:rFonts w:ascii="SimSun" w:hAnsi="SimSun" w:hint="eastAsia"/>
          <w:sz w:val="21"/>
        </w:rPr>
        <w:t>与知识产权局和申请人进行更多的合作活动成为可能，使知识产权局以及与</w:t>
      </w:r>
      <w:r w:rsidR="004F7E15">
        <w:rPr>
          <w:rFonts w:ascii="SimSun" w:hAnsi="SimSun" w:hint="eastAsia"/>
          <w:sz w:val="21"/>
        </w:rPr>
        <w:t>产权组织</w:t>
      </w:r>
      <w:r w:rsidRPr="00F15E6C">
        <w:rPr>
          <w:rFonts w:ascii="SimSun" w:hAnsi="SimSun" w:hint="eastAsia"/>
          <w:sz w:val="21"/>
        </w:rPr>
        <w:t>全球保护体系交互的其他客户得以享受上述同样的利益。</w:t>
      </w:r>
    </w:p>
    <w:p w:rsidR="00944DBE" w:rsidRPr="00F15E6C" w:rsidRDefault="00A464B2" w:rsidP="00B80EF2">
      <w:pPr>
        <w:pStyle w:val="10"/>
        <w:numPr>
          <w:ilvl w:val="0"/>
          <w:numId w:val="11"/>
        </w:numPr>
        <w:spacing w:afterLines="50" w:after="120" w:line="340" w:lineRule="atLeast"/>
        <w:ind w:leftChars="200" w:left="860" w:hangingChars="200" w:hanging="420"/>
        <w:contextualSpacing w:val="0"/>
        <w:jc w:val="both"/>
        <w:rPr>
          <w:rFonts w:ascii="SimSun" w:hAnsi="SimSun"/>
          <w:sz w:val="21"/>
        </w:rPr>
      </w:pPr>
      <w:r w:rsidRPr="00F15E6C">
        <w:rPr>
          <w:rFonts w:ascii="SimSun" w:hAnsi="SimSun" w:hint="eastAsia"/>
          <w:sz w:val="21"/>
        </w:rPr>
        <w:t>为客户和</w:t>
      </w:r>
      <w:r w:rsidR="004F7E15">
        <w:rPr>
          <w:rFonts w:ascii="SimSun" w:hAnsi="SimSun" w:hint="eastAsia"/>
          <w:sz w:val="21"/>
        </w:rPr>
        <w:t>产权组织</w:t>
      </w:r>
      <w:r w:rsidRPr="00F15E6C">
        <w:rPr>
          <w:rFonts w:ascii="SimSun" w:hAnsi="SimSun" w:hint="eastAsia"/>
          <w:sz w:val="21"/>
        </w:rPr>
        <w:t>使用现代付费设施处理付款提供了单一简单门户。</w:t>
      </w:r>
    </w:p>
    <w:p w:rsidR="00944DBE" w:rsidRPr="00F15E6C" w:rsidRDefault="00A464B2" w:rsidP="00B80EF2">
      <w:pPr>
        <w:pStyle w:val="10"/>
        <w:numPr>
          <w:ilvl w:val="0"/>
          <w:numId w:val="11"/>
        </w:numPr>
        <w:spacing w:afterLines="50" w:after="120" w:line="340" w:lineRule="atLeast"/>
        <w:ind w:leftChars="200" w:left="860" w:hangingChars="200" w:hanging="420"/>
        <w:contextualSpacing w:val="0"/>
        <w:jc w:val="both"/>
        <w:rPr>
          <w:rFonts w:ascii="SimSun" w:hAnsi="SimSun"/>
          <w:sz w:val="21"/>
        </w:rPr>
      </w:pPr>
      <w:r w:rsidRPr="00F15E6C">
        <w:rPr>
          <w:rFonts w:ascii="SimSun" w:hAnsi="SimSun" w:hint="eastAsia"/>
          <w:sz w:val="21"/>
        </w:rPr>
        <w:t>全球知识产权平台单一、简单而高效的门户网站</w:t>
      </w:r>
      <w:r w:rsidR="003A558E">
        <w:rPr>
          <w:rFonts w:ascii="SimSun" w:hAnsi="SimSun" w:hint="eastAsia"/>
          <w:sz w:val="21"/>
        </w:rPr>
        <w:t>，</w:t>
      </w:r>
      <w:r w:rsidRPr="00F15E6C">
        <w:rPr>
          <w:rFonts w:ascii="SimSun" w:hAnsi="SimSun" w:hint="eastAsia"/>
          <w:sz w:val="21"/>
        </w:rPr>
        <w:t>使</w:t>
      </w:r>
      <w:r w:rsidR="004F7E15">
        <w:rPr>
          <w:rFonts w:ascii="SimSun" w:hAnsi="SimSun" w:hint="eastAsia"/>
          <w:sz w:val="21"/>
        </w:rPr>
        <w:t>产权组织</w:t>
      </w:r>
      <w:r w:rsidRPr="00F15E6C">
        <w:rPr>
          <w:rFonts w:ascii="SimSun" w:hAnsi="SimSun" w:hint="eastAsia"/>
          <w:sz w:val="21"/>
        </w:rPr>
        <w:t>能够以最方便用户的方式</w:t>
      </w:r>
      <w:r w:rsidR="003A558E">
        <w:rPr>
          <w:rFonts w:ascii="SimSun" w:hAnsi="SimSun" w:hint="eastAsia"/>
          <w:sz w:val="21"/>
        </w:rPr>
        <w:t>告知</w:t>
      </w:r>
      <w:r w:rsidRPr="00F15E6C">
        <w:rPr>
          <w:rFonts w:ascii="SimSun" w:hAnsi="SimSun" w:hint="eastAsia"/>
          <w:sz w:val="21"/>
        </w:rPr>
        <w:t>客户</w:t>
      </w:r>
      <w:r w:rsidR="003A558E">
        <w:rPr>
          <w:rFonts w:ascii="SimSun" w:hAnsi="SimSun" w:hint="eastAsia"/>
          <w:sz w:val="21"/>
        </w:rPr>
        <w:t>，</w:t>
      </w:r>
      <w:r w:rsidRPr="00F15E6C">
        <w:rPr>
          <w:rFonts w:ascii="SimSun" w:hAnsi="SimSun" w:hint="eastAsia"/>
          <w:sz w:val="21"/>
        </w:rPr>
        <w:t>如何运行和使用</w:t>
      </w:r>
      <w:r w:rsidR="004F7E15">
        <w:rPr>
          <w:rFonts w:ascii="SimSun" w:hAnsi="SimSun" w:hint="eastAsia"/>
          <w:sz w:val="21"/>
        </w:rPr>
        <w:t>产权组织</w:t>
      </w:r>
      <w:r w:rsidRPr="00F15E6C">
        <w:rPr>
          <w:rFonts w:ascii="SimSun" w:hAnsi="SimSun" w:hint="eastAsia"/>
          <w:sz w:val="21"/>
        </w:rPr>
        <w:t>的全方位外部服务。</w:t>
      </w:r>
    </w:p>
    <w:p w:rsidR="00944DBE" w:rsidRPr="00F15E6C" w:rsidRDefault="00A464B2" w:rsidP="00B80EF2">
      <w:pPr>
        <w:pStyle w:val="10"/>
        <w:numPr>
          <w:ilvl w:val="0"/>
          <w:numId w:val="11"/>
        </w:numPr>
        <w:spacing w:afterLines="50" w:after="120" w:line="340" w:lineRule="atLeast"/>
        <w:ind w:leftChars="200" w:left="860" w:hangingChars="200" w:hanging="420"/>
        <w:contextualSpacing w:val="0"/>
        <w:jc w:val="both"/>
        <w:rPr>
          <w:rFonts w:ascii="SimSun" w:hAnsi="SimSun"/>
          <w:sz w:val="21"/>
        </w:rPr>
      </w:pPr>
      <w:r w:rsidRPr="00F15E6C">
        <w:rPr>
          <w:rFonts w:ascii="SimSun" w:hAnsi="SimSun" w:hint="eastAsia"/>
          <w:sz w:val="21"/>
        </w:rPr>
        <w:t>通过提供更新、更统一和更一致的客户体验，该平台可成为</w:t>
      </w:r>
      <w:r w:rsidR="004F7E15">
        <w:rPr>
          <w:rFonts w:ascii="SimSun" w:hAnsi="SimSun" w:hint="eastAsia"/>
          <w:sz w:val="21"/>
        </w:rPr>
        <w:t>产权组织</w:t>
      </w:r>
      <w:r w:rsidRPr="00F15E6C">
        <w:rPr>
          <w:rFonts w:ascii="SimSun" w:hAnsi="SimSun" w:hint="eastAsia"/>
          <w:sz w:val="21"/>
        </w:rPr>
        <w:t>服务的强大推广工具。</w:t>
      </w:r>
    </w:p>
    <w:p w:rsidR="00944DBE" w:rsidRPr="00F15E6C" w:rsidRDefault="00A464B2" w:rsidP="00B80EF2">
      <w:pPr>
        <w:pStyle w:val="10"/>
        <w:numPr>
          <w:ilvl w:val="0"/>
          <w:numId w:val="11"/>
        </w:numPr>
        <w:spacing w:afterLines="50" w:after="120" w:line="340" w:lineRule="atLeast"/>
        <w:ind w:leftChars="200" w:left="860" w:hangingChars="200" w:hanging="420"/>
        <w:contextualSpacing w:val="0"/>
        <w:jc w:val="both"/>
        <w:rPr>
          <w:rFonts w:ascii="SimSun" w:hAnsi="SimSun"/>
          <w:sz w:val="21"/>
        </w:rPr>
      </w:pPr>
      <w:r w:rsidRPr="00F15E6C">
        <w:rPr>
          <w:rFonts w:ascii="SimSun" w:hAnsi="SimSun" w:hint="eastAsia"/>
          <w:sz w:val="21"/>
        </w:rPr>
        <w:t>通过一个强大的单一用户</w:t>
      </w:r>
      <w:proofErr w:type="gramStart"/>
      <w:r w:rsidR="003A558E">
        <w:rPr>
          <w:rFonts w:ascii="SimSun" w:hAnsi="SimSun" w:hint="eastAsia"/>
          <w:sz w:val="21"/>
        </w:rPr>
        <w:t>帐</w:t>
      </w:r>
      <w:r w:rsidRPr="00F15E6C">
        <w:rPr>
          <w:rFonts w:ascii="SimSun" w:hAnsi="SimSun" w:hint="eastAsia"/>
          <w:sz w:val="21"/>
        </w:rPr>
        <w:t>户</w:t>
      </w:r>
      <w:proofErr w:type="gramEnd"/>
      <w:r w:rsidRPr="00F15E6C">
        <w:rPr>
          <w:rFonts w:ascii="SimSun" w:hAnsi="SimSun" w:hint="eastAsia"/>
          <w:sz w:val="21"/>
        </w:rPr>
        <w:t>访问所有服务，提高了</w:t>
      </w:r>
      <w:r w:rsidR="004F7E15">
        <w:rPr>
          <w:rFonts w:ascii="SimSun" w:hAnsi="SimSun" w:hint="eastAsia"/>
          <w:sz w:val="21"/>
        </w:rPr>
        <w:t>产权组织</w:t>
      </w:r>
      <w:r w:rsidRPr="00F15E6C">
        <w:rPr>
          <w:rFonts w:ascii="SimSun" w:hAnsi="SimSun" w:hint="eastAsia"/>
          <w:sz w:val="21"/>
        </w:rPr>
        <w:t>信息技术系统和数据的安全水平和访问控制。</w:t>
      </w:r>
    </w:p>
    <w:p w:rsidR="00944DBE" w:rsidRPr="00F15E6C" w:rsidRDefault="00A464B2" w:rsidP="00B80EF2">
      <w:pPr>
        <w:pStyle w:val="10"/>
        <w:numPr>
          <w:ilvl w:val="0"/>
          <w:numId w:val="11"/>
        </w:numPr>
        <w:spacing w:afterLines="50" w:after="120" w:line="340" w:lineRule="atLeast"/>
        <w:ind w:leftChars="200" w:left="860" w:hangingChars="200" w:hanging="420"/>
        <w:contextualSpacing w:val="0"/>
        <w:jc w:val="both"/>
        <w:rPr>
          <w:rFonts w:ascii="SimSun" w:hAnsi="SimSun"/>
          <w:sz w:val="21"/>
        </w:rPr>
      </w:pPr>
      <w:r w:rsidRPr="00F15E6C">
        <w:rPr>
          <w:rFonts w:ascii="SimSun" w:hAnsi="SimSun" w:hint="eastAsia"/>
          <w:sz w:val="21"/>
        </w:rPr>
        <w:t>全球知识产权平台将加强</w:t>
      </w:r>
      <w:r w:rsidR="004F7E15">
        <w:rPr>
          <w:rFonts w:ascii="SimSun" w:hAnsi="SimSun" w:hint="eastAsia"/>
          <w:sz w:val="21"/>
        </w:rPr>
        <w:t>产权组织</w:t>
      </w:r>
      <w:r w:rsidRPr="00F15E6C">
        <w:rPr>
          <w:rFonts w:ascii="SimSun" w:hAnsi="SimSun" w:hint="eastAsia"/>
          <w:sz w:val="21"/>
        </w:rPr>
        <w:t>对创新和创造力的贡献，使中小企业和个体企业更易获得</w:t>
      </w:r>
      <w:r w:rsidR="004F7E15">
        <w:rPr>
          <w:rFonts w:ascii="SimSun" w:hAnsi="SimSun" w:hint="eastAsia"/>
          <w:sz w:val="21"/>
        </w:rPr>
        <w:t>产权组织</w:t>
      </w:r>
      <w:r w:rsidRPr="00F15E6C">
        <w:rPr>
          <w:rFonts w:ascii="SimSun" w:hAnsi="SimSun" w:hint="eastAsia"/>
          <w:sz w:val="21"/>
        </w:rPr>
        <w:t>服务，特别是发展中国家，从而造福于所有人。</w:t>
      </w:r>
    </w:p>
    <w:p w:rsidR="00A464B2" w:rsidRDefault="00A464B2" w:rsidP="00B80EF2">
      <w:pPr>
        <w:pStyle w:val="10"/>
        <w:numPr>
          <w:ilvl w:val="0"/>
          <w:numId w:val="11"/>
        </w:numPr>
        <w:spacing w:afterLines="50" w:after="120" w:line="340" w:lineRule="atLeast"/>
        <w:ind w:leftChars="200" w:left="860" w:hangingChars="200" w:hanging="420"/>
        <w:contextualSpacing w:val="0"/>
        <w:jc w:val="both"/>
        <w:rPr>
          <w:rFonts w:ascii="SimSun" w:hAnsi="SimSun"/>
          <w:sz w:val="21"/>
        </w:rPr>
      </w:pPr>
      <w:r w:rsidRPr="00F15E6C">
        <w:rPr>
          <w:rFonts w:ascii="SimSun" w:hAnsi="SimSun" w:hint="eastAsia"/>
          <w:sz w:val="21"/>
        </w:rPr>
        <w:t>平台将为国际局提供对共享客户相关信息的访问和管理，以促进其客户关系和服务推广。</w:t>
      </w:r>
    </w:p>
    <w:p w:rsidR="00A464B2" w:rsidRPr="00963E2A" w:rsidRDefault="00A464B2" w:rsidP="00B80EF2">
      <w:pPr>
        <w:keepNext/>
        <w:overflowPunct w:val="0"/>
        <w:spacing w:beforeLines="100" w:before="240" w:afterLines="50" w:after="120" w:line="340" w:lineRule="atLeast"/>
        <w:rPr>
          <w:rFonts w:ascii="KaiTi" w:eastAsia="KaiTi" w:hAnsi="KaiTi"/>
          <w:sz w:val="21"/>
        </w:rPr>
      </w:pPr>
      <w:r w:rsidRPr="00963E2A">
        <w:rPr>
          <w:rFonts w:ascii="KaiTi" w:eastAsia="KaiTi" w:hAnsi="KaiTi" w:hint="eastAsia"/>
          <w:sz w:val="21"/>
        </w:rPr>
        <w:lastRenderedPageBreak/>
        <w:t>项目实施</w:t>
      </w:r>
    </w:p>
    <w:p w:rsidR="00A464B2" w:rsidRDefault="00A464B2" w:rsidP="00B80EF2">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该项目将采用分阶段实施战略。第一期包括建立和验证设计；部署初步展示平台；确定IT系统在以后阶段迁移到平台的计划和框架；制定程序和政策以确保跨业</w:t>
      </w:r>
      <w:proofErr w:type="gramStart"/>
      <w:r w:rsidRPr="00F15E6C">
        <w:rPr>
          <w:rFonts w:ascii="SimSun" w:hAnsi="SimSun" w:hint="eastAsia"/>
          <w:sz w:val="21"/>
        </w:rPr>
        <w:t>务</w:t>
      </w:r>
      <w:proofErr w:type="gramEnd"/>
      <w:r w:rsidRPr="00F15E6C">
        <w:rPr>
          <w:rFonts w:ascii="SimSun" w:hAnsi="SimSun" w:hint="eastAsia"/>
          <w:sz w:val="21"/>
        </w:rPr>
        <w:t>线的数据处理和IT解决方案的更大趋同。</w:t>
      </w:r>
    </w:p>
    <w:p w:rsidR="00A464B2" w:rsidRPr="00963E2A" w:rsidRDefault="00A464B2" w:rsidP="00B80EF2">
      <w:pPr>
        <w:keepNext/>
        <w:overflowPunct w:val="0"/>
        <w:spacing w:beforeLines="100" w:before="240" w:afterLines="50" w:after="120" w:line="340" w:lineRule="atLeast"/>
        <w:rPr>
          <w:rFonts w:ascii="KaiTi" w:eastAsia="KaiTi" w:hAnsi="KaiTi"/>
          <w:sz w:val="21"/>
        </w:rPr>
      </w:pPr>
      <w:r w:rsidRPr="00963E2A">
        <w:rPr>
          <w:rFonts w:ascii="KaiTi" w:eastAsia="KaiTi" w:hAnsi="KaiTi" w:hint="eastAsia"/>
          <w:sz w:val="21"/>
        </w:rPr>
        <w:t>驱动因素</w:t>
      </w:r>
    </w:p>
    <w:p w:rsidR="00A464B2" w:rsidRDefault="00A464B2" w:rsidP="00B80EF2">
      <w:pPr>
        <w:overflowPunct w:val="0"/>
        <w:spacing w:afterLines="50" w:after="120" w:line="340" w:lineRule="atLeast"/>
        <w:ind w:firstLineChars="200" w:firstLine="420"/>
        <w:jc w:val="both"/>
        <w:rPr>
          <w:rFonts w:ascii="SimSun" w:hAnsi="SimSun"/>
          <w:sz w:val="21"/>
        </w:rPr>
      </w:pPr>
      <w:r w:rsidRPr="003A558E">
        <w:rPr>
          <w:rFonts w:ascii="KaiTi" w:eastAsia="KaiTi" w:hAnsi="KaiTi" w:hint="eastAsia"/>
          <w:sz w:val="21"/>
        </w:rPr>
        <w:t>业务需求</w:t>
      </w:r>
      <w:r w:rsidR="003A558E">
        <w:rPr>
          <w:rFonts w:ascii="SimSun" w:hAnsi="SimSun" w:hint="eastAsia"/>
          <w:sz w:val="21"/>
        </w:rPr>
        <w:t>–</w:t>
      </w:r>
      <w:r w:rsidRPr="00F15E6C">
        <w:rPr>
          <w:rFonts w:ascii="SimSun" w:hAnsi="SimSun" w:hint="eastAsia"/>
          <w:sz w:val="21"/>
        </w:rPr>
        <w:t>随着</w:t>
      </w:r>
      <w:r w:rsidR="004F7E15">
        <w:rPr>
          <w:rFonts w:ascii="SimSun" w:hAnsi="SimSun" w:hint="eastAsia"/>
          <w:sz w:val="21"/>
        </w:rPr>
        <w:t>产权组织</w:t>
      </w:r>
      <w:r w:rsidRPr="00F15E6C">
        <w:rPr>
          <w:rFonts w:ascii="SimSun" w:hAnsi="SimSun" w:hint="eastAsia"/>
          <w:sz w:val="21"/>
        </w:rPr>
        <w:t>服务用户数量的增长</w:t>
      </w:r>
      <w:r w:rsidR="003A558E">
        <w:rPr>
          <w:rFonts w:ascii="SimSun" w:hAnsi="SimSun" w:hint="eastAsia"/>
          <w:sz w:val="21"/>
        </w:rPr>
        <w:t>，</w:t>
      </w:r>
      <w:r w:rsidRPr="00F15E6C">
        <w:rPr>
          <w:rFonts w:ascii="SimSun" w:hAnsi="SimSun" w:hint="eastAsia"/>
          <w:sz w:val="21"/>
        </w:rPr>
        <w:t>以及本组织提供服务时对</w:t>
      </w:r>
      <w:r w:rsidR="00963E2A">
        <w:rPr>
          <w:rFonts w:ascii="SimSun" w:hAnsi="SimSun" w:hint="eastAsia"/>
          <w:sz w:val="21"/>
        </w:rPr>
        <w:t>信通技术</w:t>
      </w:r>
      <w:r w:rsidRPr="00F15E6C">
        <w:rPr>
          <w:rFonts w:ascii="SimSun" w:hAnsi="SimSun" w:hint="eastAsia"/>
          <w:sz w:val="21"/>
        </w:rPr>
        <w:t>的更多依赖，更新、更统一和更一致的客户体验越来越重要。该项目通过为</w:t>
      </w:r>
      <w:r w:rsidR="004F7E15">
        <w:rPr>
          <w:rFonts w:ascii="SimSun" w:hAnsi="SimSun" w:hint="eastAsia"/>
          <w:sz w:val="21"/>
        </w:rPr>
        <w:t>产权组织</w:t>
      </w:r>
      <w:r w:rsidRPr="00F15E6C">
        <w:rPr>
          <w:rFonts w:ascii="SimSun" w:hAnsi="SimSun" w:hint="eastAsia"/>
          <w:sz w:val="21"/>
        </w:rPr>
        <w:t>客户获知和使用</w:t>
      </w:r>
      <w:r w:rsidR="004F7E15">
        <w:rPr>
          <w:rFonts w:ascii="SimSun" w:hAnsi="SimSun" w:hint="eastAsia"/>
          <w:sz w:val="21"/>
        </w:rPr>
        <w:t>产权组织</w:t>
      </w:r>
      <w:r w:rsidRPr="00F15E6C">
        <w:rPr>
          <w:rFonts w:ascii="SimSun" w:hAnsi="SimSun" w:hint="eastAsia"/>
          <w:sz w:val="21"/>
        </w:rPr>
        <w:t>的全方位服务提供单一、简单而高效的门户网站来解决这一需求。</w:t>
      </w:r>
    </w:p>
    <w:p w:rsidR="00A464B2" w:rsidRDefault="00A464B2" w:rsidP="00B80EF2">
      <w:pPr>
        <w:overflowPunct w:val="0"/>
        <w:spacing w:afterLines="50" w:after="120" w:line="340" w:lineRule="atLeast"/>
        <w:ind w:firstLineChars="200" w:firstLine="420"/>
        <w:jc w:val="both"/>
        <w:rPr>
          <w:rFonts w:ascii="SimSun" w:hAnsi="SimSun"/>
          <w:sz w:val="21"/>
        </w:rPr>
      </w:pPr>
      <w:r w:rsidRPr="003A558E">
        <w:rPr>
          <w:rFonts w:ascii="KaiTi" w:eastAsia="KaiTi" w:hAnsi="KaiTi" w:hint="eastAsia"/>
          <w:sz w:val="21"/>
        </w:rPr>
        <w:t>成本效益</w:t>
      </w:r>
      <w:r w:rsidR="003A558E">
        <w:rPr>
          <w:rFonts w:ascii="SimSun" w:hAnsi="SimSun" w:hint="eastAsia"/>
          <w:sz w:val="21"/>
        </w:rPr>
        <w:t>–</w:t>
      </w:r>
      <w:r w:rsidRPr="00F15E6C">
        <w:rPr>
          <w:rFonts w:ascii="SimSun" w:hAnsi="SimSun" w:hint="eastAsia"/>
          <w:sz w:val="21"/>
        </w:rPr>
        <w:t>通过以下方式可以获得成本效益：</w:t>
      </w:r>
      <w:r w:rsidR="00743939">
        <w:rPr>
          <w:rFonts w:ascii="SimSun" w:hAnsi="SimSun" w:hint="eastAsia"/>
          <w:sz w:val="21"/>
        </w:rPr>
        <w:t>(</w:t>
      </w:r>
      <w:proofErr w:type="spellStart"/>
      <w:r w:rsidRPr="00F15E6C">
        <w:rPr>
          <w:rFonts w:ascii="SimSun" w:hAnsi="SimSun" w:hint="eastAsia"/>
          <w:sz w:val="21"/>
        </w:rPr>
        <w:t>i</w:t>
      </w:r>
      <w:proofErr w:type="spellEnd"/>
      <w:r w:rsidR="00743939">
        <w:rPr>
          <w:rFonts w:ascii="SimSun" w:hAnsi="SimSun" w:hint="eastAsia"/>
          <w:sz w:val="21"/>
        </w:rPr>
        <w:t>)</w:t>
      </w:r>
      <w:r w:rsidRPr="00F15E6C">
        <w:rPr>
          <w:rFonts w:ascii="SimSun" w:hAnsi="SimSun" w:hint="eastAsia"/>
          <w:sz w:val="21"/>
        </w:rPr>
        <w:t>通过引入一个集成平台</w:t>
      </w:r>
      <w:r w:rsidR="004718BF">
        <w:rPr>
          <w:rFonts w:ascii="SimSun" w:hAnsi="SimSun" w:hint="eastAsia"/>
          <w:sz w:val="21"/>
        </w:rPr>
        <w:t>，</w:t>
      </w:r>
      <w:r w:rsidRPr="00F15E6C">
        <w:rPr>
          <w:rFonts w:ascii="SimSun" w:hAnsi="SimSun" w:hint="eastAsia"/>
          <w:sz w:val="21"/>
        </w:rPr>
        <w:t>控制开发不同IT系统的成本；</w:t>
      </w:r>
      <w:r w:rsidR="004718BF">
        <w:rPr>
          <w:rFonts w:ascii="SimSun" w:hAnsi="SimSun" w:hint="eastAsia"/>
          <w:sz w:val="21"/>
        </w:rPr>
        <w:t>(</w:t>
      </w:r>
      <w:proofErr w:type="spellStart"/>
      <w:r w:rsidRPr="00F15E6C">
        <w:rPr>
          <w:rFonts w:ascii="SimSun" w:hAnsi="SimSun" w:hint="eastAsia"/>
          <w:sz w:val="21"/>
        </w:rPr>
        <w:t>i</w:t>
      </w:r>
      <w:proofErr w:type="spellEnd"/>
      <w:r w:rsidR="004718BF">
        <w:rPr>
          <w:rFonts w:ascii="SimSun" w:hAnsi="SimSun" w:hint="eastAsia"/>
          <w:sz w:val="21"/>
        </w:rPr>
        <w:t>)</w:t>
      </w:r>
      <w:r w:rsidRPr="00F15E6C">
        <w:rPr>
          <w:rFonts w:ascii="SimSun" w:hAnsi="SimSun" w:hint="eastAsia"/>
          <w:sz w:val="21"/>
        </w:rPr>
        <w:t>通过IT系统之间的相互连接</w:t>
      </w:r>
      <w:r w:rsidR="004718BF">
        <w:rPr>
          <w:rFonts w:ascii="SimSun" w:hAnsi="SimSun" w:hint="eastAsia"/>
          <w:sz w:val="21"/>
        </w:rPr>
        <w:t>，</w:t>
      </w:r>
      <w:r w:rsidRPr="00F15E6C">
        <w:rPr>
          <w:rFonts w:ascii="SimSun" w:hAnsi="SimSun" w:hint="eastAsia"/>
          <w:sz w:val="21"/>
        </w:rPr>
        <w:t>改善对共享客户信息的访问和管理；</w:t>
      </w:r>
      <w:r w:rsidR="004718BF">
        <w:rPr>
          <w:rFonts w:ascii="SimSun" w:hAnsi="SimSun" w:hint="eastAsia"/>
          <w:sz w:val="21"/>
        </w:rPr>
        <w:t>(</w:t>
      </w:r>
      <w:r w:rsidRPr="00F15E6C">
        <w:rPr>
          <w:rFonts w:ascii="SimSun" w:hAnsi="SimSun" w:hint="eastAsia"/>
          <w:sz w:val="21"/>
        </w:rPr>
        <w:t>iii</w:t>
      </w:r>
      <w:r w:rsidR="004718BF">
        <w:rPr>
          <w:rFonts w:ascii="SimSun" w:hAnsi="SimSun" w:hint="eastAsia"/>
          <w:sz w:val="21"/>
        </w:rPr>
        <w:t>)</w:t>
      </w:r>
      <w:r w:rsidRPr="00F15E6C">
        <w:rPr>
          <w:rFonts w:ascii="SimSun" w:hAnsi="SimSun" w:hint="eastAsia"/>
          <w:sz w:val="21"/>
        </w:rPr>
        <w:t>向用户和知识产权局提供单一的客户门户、更精简的付款处理以及通过与用户和知识产权局的集成平台加强合作。</w:t>
      </w:r>
    </w:p>
    <w:p w:rsidR="00A464B2" w:rsidRDefault="00A464B2" w:rsidP="00B80EF2">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该项目符合经修订的储备</w:t>
      </w:r>
      <w:proofErr w:type="gramStart"/>
      <w:r w:rsidRPr="00F15E6C">
        <w:rPr>
          <w:rFonts w:ascii="SimSun" w:hAnsi="SimSun" w:hint="eastAsia"/>
          <w:sz w:val="21"/>
        </w:rPr>
        <w:t>金政策</w:t>
      </w:r>
      <w:proofErr w:type="gramEnd"/>
      <w:r w:rsidRPr="00F15E6C">
        <w:rPr>
          <w:rFonts w:ascii="SimSun" w:hAnsi="SimSun" w:hint="eastAsia"/>
          <w:sz w:val="21"/>
        </w:rPr>
        <w:t>原则3的要求，基于其规模和范围为一次性非常资本项目，涵盖本组织所有主要收入领域。</w:t>
      </w:r>
    </w:p>
    <w:p w:rsidR="00A464B2" w:rsidRPr="00B80EF2" w:rsidRDefault="00A464B2" w:rsidP="00B80EF2">
      <w:pPr>
        <w:keepNext/>
        <w:overflowPunct w:val="0"/>
        <w:spacing w:beforeLines="100" w:before="240" w:afterLines="50" w:after="120" w:line="340" w:lineRule="atLeast"/>
        <w:rPr>
          <w:rFonts w:ascii="KaiTi" w:eastAsia="KaiTi" w:hAnsi="KaiTi"/>
          <w:sz w:val="21"/>
        </w:rPr>
      </w:pPr>
      <w:r w:rsidRPr="00B80EF2">
        <w:rPr>
          <w:rFonts w:ascii="KaiTi" w:eastAsia="KaiTi" w:hAnsi="KaiTi" w:hint="eastAsia"/>
          <w:sz w:val="21"/>
        </w:rPr>
        <w:t>预计经常性运营成本</w:t>
      </w:r>
    </w:p>
    <w:p w:rsidR="00A464B2" w:rsidRDefault="00A464B2" w:rsidP="00B80EF2">
      <w:pPr>
        <w:overflowPunct w:val="0"/>
        <w:spacing w:afterLines="50" w:after="120" w:line="340" w:lineRule="atLeast"/>
        <w:ind w:firstLineChars="200" w:firstLine="420"/>
        <w:jc w:val="both"/>
        <w:rPr>
          <w:rFonts w:ascii="SimSun" w:hAnsi="SimSun"/>
          <w:sz w:val="21"/>
          <w:szCs w:val="22"/>
        </w:rPr>
      </w:pPr>
      <w:r w:rsidRPr="00F15E6C">
        <w:rPr>
          <w:rFonts w:ascii="SimSun" w:hAnsi="SimSun" w:hint="eastAsia"/>
          <w:sz w:val="21"/>
          <w:szCs w:val="22"/>
        </w:rPr>
        <w:t>全球知识产权平台的维护和运行经常性费用将作为经常预算的一部分，列入后续的计划和预算提案中。第一期完成后的预计经常性费用为每年410,000瑞士法郎。</w:t>
      </w:r>
    </w:p>
    <w:p w:rsidR="00B80EF2" w:rsidRDefault="00B80EF2" w:rsidP="00B27883">
      <w:pPr>
        <w:spacing w:afterLines="50" w:after="120" w:line="340" w:lineRule="atLeast"/>
        <w:ind w:left="5534"/>
        <w:jc w:val="both"/>
        <w:rPr>
          <w:rFonts w:ascii="KaiTi" w:eastAsia="KaiTi" w:hAnsi="KaiTi"/>
          <w:sz w:val="21"/>
        </w:rPr>
      </w:pPr>
    </w:p>
    <w:p w:rsidR="00944DBE" w:rsidRDefault="00A464B2" w:rsidP="00B27883">
      <w:pPr>
        <w:spacing w:afterLines="50" w:after="120" w:line="340" w:lineRule="atLeast"/>
        <w:ind w:left="5534"/>
        <w:jc w:val="both"/>
        <w:rPr>
          <w:rFonts w:ascii="KaiTi" w:eastAsia="KaiTi" w:hAnsi="KaiTi"/>
          <w:sz w:val="21"/>
        </w:rPr>
      </w:pPr>
      <w:r w:rsidRPr="00B27883">
        <w:rPr>
          <w:rFonts w:ascii="KaiTi" w:eastAsia="KaiTi" w:hAnsi="KaiTi"/>
          <w:sz w:val="21"/>
        </w:rPr>
        <w:t>[</w:t>
      </w:r>
      <w:r w:rsidRPr="00B27883">
        <w:rPr>
          <w:rFonts w:ascii="KaiTi" w:eastAsia="KaiTi" w:hAnsi="KaiTi" w:hint="eastAsia"/>
          <w:sz w:val="21"/>
        </w:rPr>
        <w:t>后接附件三</w:t>
      </w:r>
      <w:r w:rsidRPr="00B27883">
        <w:rPr>
          <w:rFonts w:ascii="KaiTi" w:eastAsia="KaiTi" w:hAnsi="KaiTi"/>
          <w:sz w:val="21"/>
        </w:rPr>
        <w:t>]</w:t>
      </w:r>
    </w:p>
    <w:p w:rsidR="00B80EF2" w:rsidRPr="00B27883" w:rsidRDefault="00B80EF2" w:rsidP="00B27883">
      <w:pPr>
        <w:spacing w:afterLines="50" w:after="120" w:line="340" w:lineRule="atLeast"/>
        <w:ind w:left="5534"/>
        <w:jc w:val="both"/>
        <w:rPr>
          <w:rFonts w:ascii="KaiTi" w:eastAsia="KaiTi" w:hAnsi="KaiTi"/>
          <w:sz w:val="21"/>
        </w:rPr>
        <w:sectPr w:rsidR="00B80EF2" w:rsidRPr="00B27883" w:rsidSect="00F0557F">
          <w:headerReference w:type="default" r:id="rId17"/>
          <w:headerReference w:type="first" r:id="rId18"/>
          <w:pgSz w:w="11907" w:h="16840" w:code="9"/>
          <w:pgMar w:top="567" w:right="1134" w:bottom="1418" w:left="1418" w:header="510" w:footer="1021" w:gutter="0"/>
          <w:pgNumType w:start="1"/>
          <w:cols w:space="720"/>
          <w:titlePg/>
          <w:docGrid w:linePitch="299"/>
        </w:sectPr>
      </w:pPr>
    </w:p>
    <w:p w:rsidR="00A464B2" w:rsidRPr="00B27883" w:rsidRDefault="00A464B2" w:rsidP="00B27883">
      <w:pPr>
        <w:pStyle w:val="1"/>
        <w:overflowPunct w:val="0"/>
        <w:spacing w:before="0" w:afterLines="100" w:after="240" w:line="340" w:lineRule="atLeast"/>
        <w:rPr>
          <w:rFonts w:ascii="SimHei" w:eastAsia="SimHei" w:hAnsi="SimHei"/>
          <w:b w:val="0"/>
          <w:sz w:val="21"/>
        </w:rPr>
      </w:pPr>
      <w:r w:rsidRPr="00B27883">
        <w:rPr>
          <w:rFonts w:ascii="SimHei" w:eastAsia="SimHei" w:hAnsi="SimHei" w:hint="eastAsia"/>
          <w:b w:val="0"/>
          <w:sz w:val="21"/>
        </w:rPr>
        <w:lastRenderedPageBreak/>
        <w:t>附件三：PCT的</w:t>
      </w:r>
      <w:r w:rsidR="00865A54" w:rsidRPr="00B27883">
        <w:rPr>
          <w:rFonts w:ascii="SimHei" w:eastAsia="SimHei" w:hAnsi="SimHei" w:hint="eastAsia"/>
          <w:b w:val="0"/>
          <w:sz w:val="21"/>
        </w:rPr>
        <w:t>复原</w:t>
      </w:r>
      <w:proofErr w:type="gramStart"/>
      <w:r w:rsidR="00865A54" w:rsidRPr="00B27883">
        <w:rPr>
          <w:rFonts w:ascii="SimHei" w:eastAsia="SimHei" w:hAnsi="SimHei" w:hint="eastAsia"/>
          <w:b w:val="0"/>
          <w:sz w:val="21"/>
        </w:rPr>
        <w:t>力</w:t>
      </w:r>
      <w:r w:rsidRPr="00B27883">
        <w:rPr>
          <w:rFonts w:ascii="SimHei" w:eastAsia="SimHei" w:hAnsi="SimHei" w:hint="eastAsia"/>
          <w:b w:val="0"/>
          <w:sz w:val="21"/>
        </w:rPr>
        <w:t>安全</w:t>
      </w:r>
      <w:proofErr w:type="gramEnd"/>
      <w:r w:rsidRPr="00B27883">
        <w:rPr>
          <w:rFonts w:ascii="SimHei" w:eastAsia="SimHei" w:hAnsi="SimHei" w:hint="eastAsia"/>
          <w:b w:val="0"/>
          <w:sz w:val="21"/>
        </w:rPr>
        <w:t>平台</w:t>
      </w:r>
      <w:r w:rsidR="0039745F">
        <w:rPr>
          <w:rFonts w:ascii="SimHei" w:eastAsia="SimHei" w:hAnsi="SimHei" w:hint="eastAsia"/>
          <w:b w:val="0"/>
          <w:sz w:val="21"/>
        </w:rPr>
        <w:t>–</w:t>
      </w:r>
      <w:r w:rsidRPr="00B27883">
        <w:rPr>
          <w:rFonts w:ascii="SimHei" w:eastAsia="SimHei" w:hAnsi="SimHei" w:hint="eastAsia"/>
          <w:b w:val="0"/>
          <w:sz w:val="21"/>
        </w:rPr>
        <w:t>第一期</w:t>
      </w:r>
    </w:p>
    <w:p w:rsidR="00A464B2" w:rsidRPr="00963E2A" w:rsidRDefault="00A464B2" w:rsidP="004718BF">
      <w:pPr>
        <w:keepNext/>
        <w:overflowPunct w:val="0"/>
        <w:spacing w:beforeLines="100" w:before="240" w:afterLines="50" w:after="120" w:line="340" w:lineRule="atLeast"/>
        <w:rPr>
          <w:rFonts w:ascii="KaiTi" w:eastAsia="KaiTi" w:hAnsi="KaiTi"/>
          <w:sz w:val="21"/>
        </w:rPr>
      </w:pPr>
      <w:r w:rsidRPr="00963E2A">
        <w:rPr>
          <w:rFonts w:ascii="KaiTi" w:eastAsia="KaiTi" w:hAnsi="KaiTi" w:hint="eastAsia"/>
          <w:sz w:val="21"/>
        </w:rPr>
        <w:t>项目目标和预期效益</w:t>
      </w:r>
    </w:p>
    <w:p w:rsidR="00A464B2" w:rsidRDefault="00A464B2" w:rsidP="004718BF">
      <w:pPr>
        <w:overflowPunct w:val="0"/>
        <w:spacing w:afterLines="50" w:after="120" w:line="340" w:lineRule="atLeast"/>
        <w:ind w:firstLineChars="200" w:firstLine="420"/>
        <w:jc w:val="both"/>
        <w:rPr>
          <w:rFonts w:ascii="SimSun" w:hAnsi="SimSun"/>
          <w:sz w:val="21"/>
          <w:szCs w:val="22"/>
        </w:rPr>
      </w:pPr>
      <w:r w:rsidRPr="00F15E6C">
        <w:rPr>
          <w:rFonts w:ascii="SimSun" w:hAnsi="SimSun" w:hint="eastAsia"/>
          <w:sz w:val="21"/>
          <w:szCs w:val="22"/>
        </w:rPr>
        <w:t>专利合作条约（PCT）是</w:t>
      </w:r>
      <w:r w:rsidR="004F7E15">
        <w:rPr>
          <w:rFonts w:ascii="SimSun" w:hAnsi="SimSun" w:hint="eastAsia"/>
          <w:sz w:val="21"/>
          <w:szCs w:val="22"/>
        </w:rPr>
        <w:t>产权组织</w:t>
      </w:r>
      <w:r w:rsidRPr="00F15E6C">
        <w:rPr>
          <w:rFonts w:ascii="SimSun" w:hAnsi="SimSun" w:hint="eastAsia"/>
          <w:sz w:val="21"/>
          <w:szCs w:val="22"/>
        </w:rPr>
        <w:t>资产的基石，它为</w:t>
      </w:r>
      <w:r w:rsidR="004F7E15">
        <w:rPr>
          <w:rFonts w:ascii="SimSun" w:hAnsi="SimSun" w:hint="eastAsia"/>
          <w:sz w:val="21"/>
          <w:szCs w:val="22"/>
        </w:rPr>
        <w:t>产权组织</w:t>
      </w:r>
      <w:r w:rsidRPr="00F15E6C">
        <w:rPr>
          <w:rFonts w:ascii="SimSun" w:hAnsi="SimSun" w:hint="eastAsia"/>
          <w:sz w:val="21"/>
          <w:szCs w:val="22"/>
        </w:rPr>
        <w:t>提供了主要收入来源。</w:t>
      </w:r>
    </w:p>
    <w:p w:rsidR="00944DBE" w:rsidRPr="00F15E6C" w:rsidRDefault="00A464B2" w:rsidP="004718BF">
      <w:pPr>
        <w:overflowPunct w:val="0"/>
        <w:spacing w:afterLines="50" w:after="120" w:line="340" w:lineRule="atLeast"/>
        <w:ind w:firstLineChars="200" w:firstLine="420"/>
        <w:jc w:val="both"/>
        <w:rPr>
          <w:rFonts w:ascii="SimSun" w:hAnsi="SimSun"/>
          <w:sz w:val="21"/>
          <w:szCs w:val="22"/>
        </w:rPr>
      </w:pPr>
      <w:r w:rsidRPr="00F15E6C">
        <w:rPr>
          <w:rFonts w:ascii="SimSun" w:hAnsi="SimSun" w:hint="eastAsia"/>
          <w:sz w:val="21"/>
          <w:szCs w:val="22"/>
        </w:rPr>
        <w:t>因此，PCT服务的</w:t>
      </w:r>
      <w:r w:rsidR="00865A54">
        <w:rPr>
          <w:rFonts w:ascii="SimSun" w:hAnsi="SimSun" w:hint="eastAsia"/>
          <w:sz w:val="21"/>
        </w:rPr>
        <w:t>复原</w:t>
      </w:r>
      <w:proofErr w:type="gramStart"/>
      <w:r w:rsidR="00865A54">
        <w:rPr>
          <w:rFonts w:ascii="SimSun" w:hAnsi="SimSun" w:hint="eastAsia"/>
          <w:sz w:val="21"/>
        </w:rPr>
        <w:t>力</w:t>
      </w:r>
      <w:r w:rsidRPr="00F15E6C">
        <w:rPr>
          <w:rFonts w:ascii="SimSun" w:hAnsi="SimSun" w:hint="eastAsia"/>
          <w:sz w:val="21"/>
          <w:szCs w:val="22"/>
        </w:rPr>
        <w:t>对于</w:t>
      </w:r>
      <w:proofErr w:type="gramEnd"/>
      <w:r w:rsidRPr="00F15E6C">
        <w:rPr>
          <w:rFonts w:ascii="SimSun" w:hAnsi="SimSun" w:hint="eastAsia"/>
          <w:sz w:val="21"/>
          <w:szCs w:val="22"/>
        </w:rPr>
        <w:t>PCT申请人和专利局的业务运营至关重要。服务中断有可能导致</w:t>
      </w:r>
      <w:r w:rsidR="004F7E15">
        <w:rPr>
          <w:rFonts w:ascii="SimSun" w:hAnsi="SimSun" w:hint="eastAsia"/>
          <w:sz w:val="21"/>
          <w:szCs w:val="22"/>
        </w:rPr>
        <w:t>产权组织</w:t>
      </w:r>
      <w:r w:rsidRPr="00F15E6C">
        <w:rPr>
          <w:rFonts w:ascii="SimSun" w:hAnsi="SimSun" w:hint="eastAsia"/>
          <w:sz w:val="21"/>
          <w:szCs w:val="22"/>
        </w:rPr>
        <w:t>处理申请的积压，及</w:t>
      </w:r>
      <w:r w:rsidR="004F7E15">
        <w:rPr>
          <w:rFonts w:ascii="SimSun" w:hAnsi="SimSun" w:hint="eastAsia"/>
          <w:sz w:val="21"/>
          <w:szCs w:val="22"/>
        </w:rPr>
        <w:t>产权组织</w:t>
      </w:r>
      <w:r w:rsidRPr="00F15E6C">
        <w:rPr>
          <w:rFonts w:ascii="SimSun" w:hAnsi="SimSun" w:hint="eastAsia"/>
          <w:sz w:val="21"/>
          <w:szCs w:val="22"/>
        </w:rPr>
        <w:t>客户积压和/或丧失权利。中大规模的服务中断可能会损害</w:t>
      </w:r>
      <w:r w:rsidR="004F7E15">
        <w:rPr>
          <w:rFonts w:ascii="SimSun" w:hAnsi="SimSun" w:hint="eastAsia"/>
          <w:sz w:val="21"/>
          <w:szCs w:val="22"/>
        </w:rPr>
        <w:t>产权组织</w:t>
      </w:r>
      <w:r w:rsidRPr="00F15E6C">
        <w:rPr>
          <w:rFonts w:ascii="SimSun" w:hAnsi="SimSun" w:hint="eastAsia"/>
          <w:sz w:val="21"/>
          <w:szCs w:val="22"/>
        </w:rPr>
        <w:t>的声誉和收入。随着各组织的日益数字化，服务连续性保证是维持PCT服务用户的信心和吸引新客户的关键手段。</w:t>
      </w:r>
    </w:p>
    <w:p w:rsidR="00A464B2" w:rsidRDefault="00A464B2" w:rsidP="004718BF">
      <w:pPr>
        <w:overflowPunct w:val="0"/>
        <w:spacing w:afterLines="50" w:after="120" w:line="340" w:lineRule="atLeast"/>
        <w:ind w:firstLineChars="200" w:firstLine="420"/>
        <w:jc w:val="both"/>
        <w:rPr>
          <w:rFonts w:ascii="SimSun" w:hAnsi="SimSun"/>
          <w:sz w:val="21"/>
          <w:szCs w:val="22"/>
        </w:rPr>
      </w:pPr>
      <w:r w:rsidRPr="00F15E6C">
        <w:rPr>
          <w:rFonts w:ascii="SimSun" w:hAnsi="SimSun" w:hint="eastAsia"/>
          <w:sz w:val="21"/>
          <w:szCs w:val="22"/>
        </w:rPr>
        <w:t>目前，PCT基础设施与其他</w:t>
      </w:r>
      <w:r w:rsidR="004F7E15">
        <w:rPr>
          <w:rFonts w:ascii="SimSun" w:hAnsi="SimSun" w:hint="eastAsia"/>
          <w:sz w:val="21"/>
          <w:szCs w:val="22"/>
        </w:rPr>
        <w:t>产权组织</w:t>
      </w:r>
      <w:r w:rsidR="004718BF">
        <w:rPr>
          <w:rFonts w:ascii="SimSun" w:hAnsi="SimSun" w:hint="eastAsia"/>
          <w:sz w:val="21"/>
          <w:szCs w:val="22"/>
        </w:rPr>
        <w:t>的组织</w:t>
      </w:r>
      <w:r w:rsidRPr="00F15E6C">
        <w:rPr>
          <w:rFonts w:ascii="SimSun" w:hAnsi="SimSun" w:hint="eastAsia"/>
          <w:sz w:val="21"/>
          <w:szCs w:val="22"/>
        </w:rPr>
        <w:t>服务共享其核心服务。影响</w:t>
      </w:r>
      <w:r w:rsidR="004F7E15">
        <w:rPr>
          <w:rFonts w:ascii="SimSun" w:hAnsi="SimSun" w:hint="eastAsia"/>
          <w:sz w:val="21"/>
          <w:szCs w:val="22"/>
        </w:rPr>
        <w:t>产权组织</w:t>
      </w:r>
      <w:r w:rsidRPr="00F15E6C">
        <w:rPr>
          <w:rFonts w:ascii="SimSun" w:hAnsi="SimSun" w:hint="eastAsia"/>
          <w:sz w:val="21"/>
          <w:szCs w:val="22"/>
        </w:rPr>
        <w:t>的任何潜在威胁（网络攻击、自然灾害、重大技术故障）都可能对PCT产生影响。</w:t>
      </w:r>
    </w:p>
    <w:p w:rsidR="00A464B2" w:rsidRDefault="00A464B2" w:rsidP="004718BF">
      <w:pPr>
        <w:overflowPunct w:val="0"/>
        <w:spacing w:afterLines="50" w:after="120" w:line="340" w:lineRule="atLeast"/>
        <w:ind w:firstLineChars="200" w:firstLine="420"/>
        <w:jc w:val="both"/>
        <w:rPr>
          <w:rFonts w:ascii="SimSun" w:hAnsi="SimSun"/>
          <w:sz w:val="21"/>
          <w:szCs w:val="22"/>
        </w:rPr>
      </w:pPr>
      <w:r w:rsidRPr="00F15E6C">
        <w:rPr>
          <w:rFonts w:ascii="SimSun" w:hAnsi="SimSun" w:hint="eastAsia"/>
          <w:sz w:val="21"/>
          <w:szCs w:val="22"/>
        </w:rPr>
        <w:t>为了更有针对性、提高效率并确保最高级别的安全性，</w:t>
      </w:r>
      <w:r w:rsidR="004F7E15">
        <w:rPr>
          <w:rFonts w:ascii="SimSun" w:hAnsi="SimSun" w:hint="eastAsia"/>
          <w:sz w:val="21"/>
          <w:szCs w:val="22"/>
        </w:rPr>
        <w:t>产权组织</w:t>
      </w:r>
      <w:r w:rsidRPr="00F15E6C">
        <w:rPr>
          <w:rFonts w:ascii="SimSun" w:hAnsi="SimSun" w:hint="eastAsia"/>
          <w:sz w:val="21"/>
          <w:szCs w:val="22"/>
        </w:rPr>
        <w:t>需要确保在其与成员国、客户和主要利益相关者之间建立起</w:t>
      </w:r>
      <w:r w:rsidR="004718BF">
        <w:rPr>
          <w:rFonts w:ascii="SimSun" w:hAnsi="SimSun" w:hint="eastAsia"/>
          <w:sz w:val="21"/>
          <w:szCs w:val="22"/>
        </w:rPr>
        <w:t>灵敏的</w:t>
      </w:r>
      <w:r w:rsidRPr="00F15E6C">
        <w:rPr>
          <w:rFonts w:ascii="SimSun" w:hAnsi="SimSun" w:hint="eastAsia"/>
          <w:sz w:val="21"/>
          <w:szCs w:val="22"/>
        </w:rPr>
        <w:t>沟通交流。这意味着需要：</w:t>
      </w:r>
    </w:p>
    <w:p w:rsidR="00944DBE" w:rsidRPr="00F15E6C" w:rsidRDefault="00A464B2" w:rsidP="004718BF">
      <w:pPr>
        <w:pStyle w:val="10"/>
        <w:numPr>
          <w:ilvl w:val="1"/>
          <w:numId w:val="12"/>
        </w:numPr>
        <w:overflowPunct w:val="0"/>
        <w:spacing w:afterLines="50" w:after="120" w:line="340" w:lineRule="atLeast"/>
        <w:ind w:leftChars="400" w:left="1510" w:hangingChars="300" w:hanging="630"/>
        <w:jc w:val="both"/>
        <w:rPr>
          <w:rFonts w:ascii="SimSun" w:hAnsi="SimSun"/>
          <w:sz w:val="21"/>
          <w:szCs w:val="22"/>
        </w:rPr>
      </w:pPr>
      <w:r w:rsidRPr="00F15E6C">
        <w:rPr>
          <w:rFonts w:ascii="SimSun" w:hAnsi="SimSun" w:hint="eastAsia"/>
          <w:sz w:val="21"/>
          <w:szCs w:val="22"/>
        </w:rPr>
        <w:t>提高系统存储和处理</w:t>
      </w:r>
      <w:r w:rsidR="004F7E15">
        <w:rPr>
          <w:rFonts w:ascii="SimSun" w:hAnsi="SimSun" w:hint="eastAsia"/>
          <w:sz w:val="21"/>
          <w:szCs w:val="22"/>
        </w:rPr>
        <w:t>产权组织</w:t>
      </w:r>
      <w:r w:rsidRPr="00F15E6C">
        <w:rPr>
          <w:rFonts w:ascii="SimSun" w:hAnsi="SimSun" w:hint="eastAsia"/>
          <w:sz w:val="21"/>
          <w:szCs w:val="22"/>
        </w:rPr>
        <w:t>敏感和关键PCT数据的安全性；</w:t>
      </w:r>
    </w:p>
    <w:p w:rsidR="00944DBE" w:rsidRPr="00F15E6C" w:rsidRDefault="00A464B2" w:rsidP="004718BF">
      <w:pPr>
        <w:pStyle w:val="10"/>
        <w:numPr>
          <w:ilvl w:val="1"/>
          <w:numId w:val="12"/>
        </w:numPr>
        <w:overflowPunct w:val="0"/>
        <w:spacing w:afterLines="50" w:after="120" w:line="340" w:lineRule="atLeast"/>
        <w:ind w:leftChars="400" w:left="1510" w:hangingChars="300" w:hanging="630"/>
        <w:jc w:val="both"/>
        <w:rPr>
          <w:rFonts w:ascii="SimSun" w:hAnsi="SimSun"/>
          <w:sz w:val="21"/>
          <w:szCs w:val="22"/>
        </w:rPr>
      </w:pPr>
      <w:r w:rsidRPr="00F15E6C">
        <w:rPr>
          <w:rFonts w:ascii="SimSun" w:hAnsi="SimSun" w:hint="eastAsia"/>
          <w:sz w:val="21"/>
          <w:szCs w:val="22"/>
        </w:rPr>
        <w:t>提高</w:t>
      </w:r>
      <w:r w:rsidR="004F7E15">
        <w:rPr>
          <w:rFonts w:ascii="SimSun" w:hAnsi="SimSun" w:hint="eastAsia"/>
          <w:sz w:val="21"/>
          <w:szCs w:val="22"/>
        </w:rPr>
        <w:t>产权组织</w:t>
      </w:r>
      <w:r w:rsidRPr="00F15E6C">
        <w:rPr>
          <w:rFonts w:ascii="SimSun" w:hAnsi="SimSun" w:hint="eastAsia"/>
          <w:sz w:val="21"/>
          <w:szCs w:val="22"/>
        </w:rPr>
        <w:t>关键PCT业务流程和相关系统的可用性和</w:t>
      </w:r>
      <w:r w:rsidR="00865A54">
        <w:rPr>
          <w:rFonts w:ascii="SimSun" w:hAnsi="SimSun" w:hint="eastAsia"/>
          <w:sz w:val="21"/>
        </w:rPr>
        <w:t>复原力</w:t>
      </w:r>
      <w:r w:rsidRPr="00F15E6C">
        <w:rPr>
          <w:rFonts w:ascii="SimSun" w:hAnsi="SimSun" w:hint="eastAsia"/>
          <w:sz w:val="21"/>
          <w:szCs w:val="22"/>
        </w:rPr>
        <w:t>；</w:t>
      </w:r>
    </w:p>
    <w:p w:rsidR="00944DBE" w:rsidRPr="00F15E6C" w:rsidRDefault="00A464B2" w:rsidP="004718BF">
      <w:pPr>
        <w:pStyle w:val="10"/>
        <w:numPr>
          <w:ilvl w:val="1"/>
          <w:numId w:val="12"/>
        </w:numPr>
        <w:overflowPunct w:val="0"/>
        <w:spacing w:afterLines="50" w:after="120" w:line="340" w:lineRule="atLeast"/>
        <w:ind w:leftChars="400" w:left="1510" w:hangingChars="300" w:hanging="630"/>
        <w:jc w:val="both"/>
        <w:rPr>
          <w:rFonts w:ascii="SimSun" w:hAnsi="SimSun"/>
          <w:sz w:val="21"/>
          <w:szCs w:val="22"/>
        </w:rPr>
      </w:pPr>
      <w:r w:rsidRPr="00F15E6C">
        <w:rPr>
          <w:rFonts w:ascii="SimSun" w:hAnsi="SimSun" w:hint="eastAsia"/>
          <w:sz w:val="21"/>
          <w:szCs w:val="22"/>
        </w:rPr>
        <w:t>改进数据识别、分类和保护；和</w:t>
      </w:r>
    </w:p>
    <w:p w:rsidR="00A464B2" w:rsidRDefault="00A464B2" w:rsidP="004718BF">
      <w:pPr>
        <w:pStyle w:val="10"/>
        <w:numPr>
          <w:ilvl w:val="1"/>
          <w:numId w:val="12"/>
        </w:numPr>
        <w:overflowPunct w:val="0"/>
        <w:spacing w:afterLines="50" w:after="120" w:line="340" w:lineRule="atLeast"/>
        <w:ind w:leftChars="400" w:left="1510" w:hangingChars="300" w:hanging="630"/>
        <w:jc w:val="both"/>
        <w:rPr>
          <w:rFonts w:ascii="SimSun" w:hAnsi="SimSun"/>
          <w:sz w:val="21"/>
          <w:szCs w:val="22"/>
        </w:rPr>
      </w:pPr>
      <w:r w:rsidRPr="00F15E6C">
        <w:rPr>
          <w:rFonts w:ascii="SimSun" w:hAnsi="SimSun" w:hint="eastAsia"/>
          <w:sz w:val="21"/>
          <w:szCs w:val="22"/>
        </w:rPr>
        <w:t>改善PCT业务系统的敏捷性和一致性。</w:t>
      </w:r>
    </w:p>
    <w:p w:rsidR="00944DBE" w:rsidRPr="00F15E6C" w:rsidRDefault="00A464B2" w:rsidP="004718BF">
      <w:pPr>
        <w:overflowPunct w:val="0"/>
        <w:spacing w:afterLines="50" w:after="120" w:line="340" w:lineRule="atLeast"/>
        <w:ind w:firstLineChars="200" w:firstLine="420"/>
        <w:jc w:val="both"/>
        <w:rPr>
          <w:rFonts w:ascii="SimSun" w:hAnsi="SimSun"/>
          <w:sz w:val="21"/>
          <w:szCs w:val="22"/>
        </w:rPr>
      </w:pPr>
      <w:r w:rsidRPr="00F15E6C">
        <w:rPr>
          <w:rFonts w:ascii="SimSun" w:hAnsi="SimSun" w:hint="eastAsia"/>
          <w:sz w:val="21"/>
          <w:szCs w:val="22"/>
        </w:rPr>
        <w:t>PCT</w:t>
      </w:r>
      <w:r w:rsidR="00865A54">
        <w:rPr>
          <w:rFonts w:ascii="SimSun" w:hAnsi="SimSun" w:hint="eastAsia"/>
          <w:sz w:val="21"/>
          <w:szCs w:val="22"/>
        </w:rPr>
        <w:t>复原</w:t>
      </w:r>
      <w:proofErr w:type="gramStart"/>
      <w:r w:rsidR="00865A54">
        <w:rPr>
          <w:rFonts w:ascii="SimSun" w:hAnsi="SimSun" w:hint="eastAsia"/>
          <w:sz w:val="21"/>
          <w:szCs w:val="22"/>
        </w:rPr>
        <w:t>力</w:t>
      </w:r>
      <w:r w:rsidRPr="00F15E6C">
        <w:rPr>
          <w:rFonts w:ascii="SimSun" w:hAnsi="SimSun" w:hint="eastAsia"/>
          <w:sz w:val="21"/>
          <w:szCs w:val="22"/>
        </w:rPr>
        <w:t>安全</w:t>
      </w:r>
      <w:proofErr w:type="gramEnd"/>
      <w:r w:rsidRPr="00F15E6C">
        <w:rPr>
          <w:rFonts w:ascii="SimSun" w:hAnsi="SimSun" w:hint="eastAsia"/>
          <w:sz w:val="21"/>
          <w:szCs w:val="22"/>
        </w:rPr>
        <w:t>平台的预期利益将使PCT能够：</w:t>
      </w:r>
    </w:p>
    <w:p w:rsidR="00944DBE" w:rsidRPr="00F15E6C" w:rsidRDefault="00A464B2" w:rsidP="004718BF">
      <w:pPr>
        <w:pStyle w:val="10"/>
        <w:numPr>
          <w:ilvl w:val="0"/>
          <w:numId w:val="11"/>
        </w:numPr>
        <w:spacing w:afterLines="50" w:after="120" w:line="340" w:lineRule="atLeast"/>
        <w:ind w:leftChars="200" w:left="860" w:hangingChars="200" w:hanging="420"/>
        <w:contextualSpacing w:val="0"/>
        <w:jc w:val="both"/>
        <w:rPr>
          <w:rFonts w:ascii="SimSun" w:hAnsi="SimSun"/>
          <w:sz w:val="21"/>
          <w:szCs w:val="22"/>
        </w:rPr>
      </w:pPr>
      <w:r w:rsidRPr="00F15E6C">
        <w:rPr>
          <w:rFonts w:ascii="SimSun" w:hAnsi="SimSun" w:hint="eastAsia"/>
          <w:sz w:val="21"/>
          <w:szCs w:val="22"/>
        </w:rPr>
        <w:t>确保充分</w:t>
      </w:r>
      <w:r w:rsidRPr="004718BF">
        <w:rPr>
          <w:rFonts w:ascii="SimSun" w:hAnsi="SimSun" w:hint="eastAsia"/>
          <w:sz w:val="21"/>
        </w:rPr>
        <w:t>识别</w:t>
      </w:r>
      <w:r w:rsidRPr="00F15E6C">
        <w:rPr>
          <w:rFonts w:ascii="SimSun" w:hAnsi="SimSun" w:hint="eastAsia"/>
          <w:sz w:val="21"/>
          <w:szCs w:val="22"/>
        </w:rPr>
        <w:t>和保护其关键数据免遭安全威胁，特别是网络攻击</w:t>
      </w:r>
      <w:r w:rsidR="00445570">
        <w:rPr>
          <w:rFonts w:ascii="SimSun" w:hAnsi="SimSun" w:hint="eastAsia"/>
          <w:sz w:val="21"/>
          <w:szCs w:val="22"/>
        </w:rPr>
        <w:t>，</w:t>
      </w:r>
    </w:p>
    <w:p w:rsidR="00A464B2" w:rsidRDefault="00A464B2" w:rsidP="004718BF">
      <w:pPr>
        <w:pStyle w:val="10"/>
        <w:numPr>
          <w:ilvl w:val="0"/>
          <w:numId w:val="11"/>
        </w:numPr>
        <w:spacing w:afterLines="50" w:after="120" w:line="340" w:lineRule="atLeast"/>
        <w:ind w:leftChars="200" w:left="860" w:hangingChars="200" w:hanging="420"/>
        <w:contextualSpacing w:val="0"/>
        <w:jc w:val="both"/>
        <w:rPr>
          <w:rFonts w:ascii="SimSun" w:hAnsi="SimSun"/>
          <w:sz w:val="21"/>
          <w:szCs w:val="22"/>
        </w:rPr>
      </w:pPr>
      <w:r w:rsidRPr="00F15E6C">
        <w:rPr>
          <w:rFonts w:ascii="SimSun" w:hAnsi="SimSun" w:hint="eastAsia"/>
          <w:sz w:val="21"/>
          <w:szCs w:val="22"/>
        </w:rPr>
        <w:t>在发生主要</w:t>
      </w:r>
      <w:r w:rsidRPr="004718BF">
        <w:rPr>
          <w:rFonts w:ascii="SimSun" w:hAnsi="SimSun" w:hint="eastAsia"/>
          <w:sz w:val="21"/>
        </w:rPr>
        <w:t>技术</w:t>
      </w:r>
      <w:r w:rsidRPr="00F15E6C">
        <w:rPr>
          <w:rFonts w:ascii="SimSun" w:hAnsi="SimSun" w:hint="eastAsia"/>
          <w:sz w:val="21"/>
          <w:szCs w:val="22"/>
        </w:rPr>
        <w:t>问题或灾难的情况下，提供更好的服务可用性、</w:t>
      </w:r>
      <w:r w:rsidR="00865A54">
        <w:rPr>
          <w:rFonts w:ascii="SimSun" w:hAnsi="SimSun" w:hint="eastAsia"/>
          <w:sz w:val="21"/>
        </w:rPr>
        <w:t>复原力</w:t>
      </w:r>
      <w:r w:rsidRPr="00F15E6C">
        <w:rPr>
          <w:rFonts w:ascii="SimSun" w:hAnsi="SimSun" w:hint="eastAsia"/>
          <w:sz w:val="21"/>
          <w:szCs w:val="22"/>
        </w:rPr>
        <w:t>和连续性。</w:t>
      </w:r>
    </w:p>
    <w:p w:rsidR="00A464B2" w:rsidRDefault="00865A54" w:rsidP="004718BF">
      <w:pPr>
        <w:overflowPunct w:val="0"/>
        <w:spacing w:afterLines="50" w:after="120" w:line="340" w:lineRule="atLeast"/>
        <w:ind w:firstLineChars="200" w:firstLine="420"/>
        <w:jc w:val="both"/>
        <w:rPr>
          <w:rFonts w:ascii="SimSun" w:hAnsi="SimSun"/>
          <w:sz w:val="21"/>
          <w:szCs w:val="22"/>
        </w:rPr>
      </w:pPr>
      <w:r>
        <w:rPr>
          <w:rFonts w:ascii="SimSun" w:hAnsi="SimSun" w:hint="eastAsia"/>
          <w:sz w:val="21"/>
        </w:rPr>
        <w:t>复原</w:t>
      </w:r>
      <w:proofErr w:type="gramStart"/>
      <w:r>
        <w:rPr>
          <w:rFonts w:ascii="SimSun" w:hAnsi="SimSun" w:hint="eastAsia"/>
          <w:sz w:val="21"/>
        </w:rPr>
        <w:t>力</w:t>
      </w:r>
      <w:r w:rsidR="00A464B2" w:rsidRPr="00F15E6C">
        <w:rPr>
          <w:rFonts w:ascii="SimSun" w:hAnsi="SimSun" w:hint="eastAsia"/>
          <w:sz w:val="21"/>
          <w:szCs w:val="22"/>
        </w:rPr>
        <w:t>安全</w:t>
      </w:r>
      <w:proofErr w:type="gramEnd"/>
      <w:r w:rsidR="00A464B2" w:rsidRPr="00F15E6C">
        <w:rPr>
          <w:rFonts w:ascii="SimSun" w:hAnsi="SimSun" w:hint="eastAsia"/>
          <w:sz w:val="21"/>
          <w:szCs w:val="22"/>
        </w:rPr>
        <w:t>平台为PCT生产数据提出了一个“系统高度”方法，将PCT信息和信息系统（尽可能考虑到面向外部的应用限制，如</w:t>
      </w:r>
      <w:proofErr w:type="spellStart"/>
      <w:r w:rsidR="00A464B2" w:rsidRPr="00F15E6C">
        <w:rPr>
          <w:rFonts w:ascii="SimSun" w:hAnsi="SimSun" w:hint="eastAsia"/>
          <w:sz w:val="21"/>
          <w:szCs w:val="22"/>
        </w:rPr>
        <w:t>ePCT</w:t>
      </w:r>
      <w:proofErr w:type="spellEnd"/>
      <w:r w:rsidR="00A464B2" w:rsidRPr="00F15E6C">
        <w:rPr>
          <w:rFonts w:ascii="SimSun" w:hAnsi="SimSun" w:hint="eastAsia"/>
          <w:sz w:val="21"/>
          <w:szCs w:val="22"/>
        </w:rPr>
        <w:t>）与</w:t>
      </w:r>
      <w:r w:rsidR="004F7E15">
        <w:rPr>
          <w:rFonts w:ascii="SimSun" w:hAnsi="SimSun" w:hint="eastAsia"/>
          <w:sz w:val="21"/>
          <w:szCs w:val="22"/>
        </w:rPr>
        <w:t>产权组织</w:t>
      </w:r>
      <w:r w:rsidR="00A464B2" w:rsidRPr="00F15E6C">
        <w:rPr>
          <w:rFonts w:ascii="SimSun" w:hAnsi="SimSun" w:hint="eastAsia"/>
          <w:sz w:val="21"/>
          <w:szCs w:val="22"/>
        </w:rPr>
        <w:t>网络的其他部分隔离开来。对高度机密的网络使用高安全隔离解决方案进行保护，并与严格控制下的其他PCT环境（TEST，DEV）连接。</w:t>
      </w:r>
    </w:p>
    <w:p w:rsidR="00A464B2" w:rsidRPr="004718BF" w:rsidRDefault="00A464B2" w:rsidP="004718BF">
      <w:pPr>
        <w:keepNext/>
        <w:overflowPunct w:val="0"/>
        <w:spacing w:beforeLines="100" w:before="240" w:afterLines="50" w:after="120" w:line="340" w:lineRule="atLeast"/>
        <w:rPr>
          <w:rFonts w:ascii="KaiTi" w:eastAsia="KaiTi" w:hAnsi="KaiTi"/>
          <w:sz w:val="21"/>
        </w:rPr>
      </w:pPr>
      <w:r w:rsidRPr="004718BF">
        <w:rPr>
          <w:rFonts w:ascii="KaiTi" w:eastAsia="KaiTi" w:hAnsi="KaiTi" w:hint="eastAsia"/>
          <w:sz w:val="21"/>
        </w:rPr>
        <w:t>项目实施</w:t>
      </w:r>
    </w:p>
    <w:p w:rsidR="00A464B2" w:rsidRDefault="00A464B2" w:rsidP="004718BF">
      <w:pPr>
        <w:overflowPunct w:val="0"/>
        <w:spacing w:afterLines="50" w:after="120" w:line="340" w:lineRule="atLeast"/>
        <w:ind w:firstLineChars="200" w:firstLine="420"/>
        <w:jc w:val="both"/>
        <w:rPr>
          <w:rFonts w:ascii="SimSun" w:hAnsi="SimSun"/>
          <w:sz w:val="21"/>
          <w:szCs w:val="22"/>
        </w:rPr>
      </w:pPr>
      <w:r w:rsidRPr="00F15E6C">
        <w:rPr>
          <w:rFonts w:ascii="SimSun" w:hAnsi="SimSun" w:hint="eastAsia"/>
          <w:sz w:val="21"/>
          <w:szCs w:val="22"/>
        </w:rPr>
        <w:t>该项目的第一期旨在建立首个数据中心（DC1），以在2018/19两年期间取代现有的主要数据中心。这将包括一个应用程序架构设计项目、一个用户访问项目和一个数据架构审查项目。</w:t>
      </w:r>
    </w:p>
    <w:p w:rsidR="00A464B2" w:rsidRDefault="00A464B2" w:rsidP="004718BF">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即使有预期的隔离，对全球知识产权平台对</w:t>
      </w:r>
      <w:proofErr w:type="spellStart"/>
      <w:r w:rsidRPr="00F15E6C">
        <w:rPr>
          <w:rFonts w:ascii="SimSun" w:hAnsi="SimSun" w:hint="eastAsia"/>
          <w:sz w:val="21"/>
        </w:rPr>
        <w:t>ePCT</w:t>
      </w:r>
      <w:proofErr w:type="spellEnd"/>
      <w:r w:rsidRPr="00F15E6C">
        <w:rPr>
          <w:rFonts w:ascii="SimSun" w:hAnsi="SimSun" w:hint="eastAsia"/>
          <w:sz w:val="21"/>
        </w:rPr>
        <w:t>的影响仍将进行审查，以识别两个平台之间的最佳技术集成解决方案。</w:t>
      </w:r>
    </w:p>
    <w:p w:rsidR="00A464B2" w:rsidRPr="00963E2A" w:rsidRDefault="00A464B2" w:rsidP="004718BF">
      <w:pPr>
        <w:keepNext/>
        <w:overflowPunct w:val="0"/>
        <w:spacing w:beforeLines="100" w:before="240" w:afterLines="50" w:after="120" w:line="340" w:lineRule="atLeast"/>
        <w:rPr>
          <w:rFonts w:ascii="KaiTi" w:eastAsia="KaiTi" w:hAnsi="KaiTi"/>
          <w:sz w:val="21"/>
        </w:rPr>
      </w:pPr>
      <w:r w:rsidRPr="00963E2A">
        <w:rPr>
          <w:rFonts w:ascii="KaiTi" w:eastAsia="KaiTi" w:hAnsi="KaiTi" w:hint="eastAsia"/>
          <w:sz w:val="21"/>
        </w:rPr>
        <w:t>驱动因素</w:t>
      </w:r>
    </w:p>
    <w:p w:rsidR="00A464B2" w:rsidRDefault="00A464B2" w:rsidP="004718BF">
      <w:pPr>
        <w:overflowPunct w:val="0"/>
        <w:spacing w:afterLines="50" w:after="120" w:line="340" w:lineRule="atLeast"/>
        <w:ind w:firstLineChars="200" w:firstLine="420"/>
        <w:jc w:val="both"/>
        <w:rPr>
          <w:rFonts w:ascii="SimSun" w:hAnsi="SimSun"/>
          <w:sz w:val="21"/>
        </w:rPr>
      </w:pPr>
      <w:r w:rsidRPr="00445570">
        <w:rPr>
          <w:rFonts w:ascii="KaiTi" w:eastAsia="KaiTi" w:hAnsi="KaiTi" w:hint="eastAsia"/>
          <w:sz w:val="21"/>
        </w:rPr>
        <w:t>安全、安保和信息保证</w:t>
      </w:r>
      <w:r w:rsidR="00445570">
        <w:rPr>
          <w:rFonts w:ascii="SimSun" w:hAnsi="SimSun" w:hint="eastAsia"/>
          <w:sz w:val="21"/>
        </w:rPr>
        <w:t>–</w:t>
      </w:r>
      <w:r w:rsidRPr="004718BF">
        <w:rPr>
          <w:rFonts w:ascii="SimSun" w:hAnsi="SimSun" w:hint="eastAsia"/>
          <w:sz w:val="21"/>
          <w:szCs w:val="22"/>
        </w:rPr>
        <w:t>需要</w:t>
      </w:r>
      <w:r w:rsidRPr="00F15E6C">
        <w:rPr>
          <w:rFonts w:ascii="SimSun" w:hAnsi="SimSun" w:hint="eastAsia"/>
          <w:sz w:val="21"/>
        </w:rPr>
        <w:t>解决网络攻击风险不断增加的问题，以使本组织能够继续发挥作用并保持PCT服务用户的信心。</w:t>
      </w:r>
    </w:p>
    <w:p w:rsidR="00A464B2" w:rsidRDefault="00A464B2" w:rsidP="004718BF">
      <w:pPr>
        <w:overflowPunct w:val="0"/>
        <w:spacing w:afterLines="50" w:after="120" w:line="340" w:lineRule="atLeast"/>
        <w:ind w:firstLineChars="200" w:firstLine="420"/>
        <w:jc w:val="both"/>
        <w:rPr>
          <w:rFonts w:ascii="SimSun" w:hAnsi="SimSun"/>
          <w:sz w:val="21"/>
        </w:rPr>
      </w:pPr>
      <w:r w:rsidRPr="00445570">
        <w:rPr>
          <w:rFonts w:ascii="KaiTi" w:eastAsia="KaiTi" w:hAnsi="KaiTi" w:hint="eastAsia"/>
          <w:sz w:val="21"/>
        </w:rPr>
        <w:t>业务需求</w:t>
      </w:r>
      <w:r w:rsidR="00445570">
        <w:rPr>
          <w:rFonts w:ascii="SimSun" w:hAnsi="SimSun" w:hint="eastAsia"/>
          <w:sz w:val="21"/>
        </w:rPr>
        <w:t>–</w:t>
      </w:r>
      <w:r w:rsidR="004F7E15">
        <w:rPr>
          <w:rFonts w:ascii="SimSun" w:hAnsi="SimSun" w:hint="eastAsia"/>
          <w:sz w:val="21"/>
        </w:rPr>
        <w:t>产权</w:t>
      </w:r>
      <w:r w:rsidR="004F7E15" w:rsidRPr="004718BF">
        <w:rPr>
          <w:rFonts w:ascii="SimSun" w:hAnsi="SimSun" w:hint="eastAsia"/>
          <w:sz w:val="21"/>
          <w:szCs w:val="22"/>
        </w:rPr>
        <w:t>组织</w:t>
      </w:r>
      <w:r w:rsidRPr="00F15E6C">
        <w:rPr>
          <w:rFonts w:ascii="SimSun" w:hAnsi="SimSun" w:hint="eastAsia"/>
          <w:sz w:val="21"/>
        </w:rPr>
        <w:t>依赖于在PCT下管理的机密数据之安全性。若不能保护数据免受外部干预，可能造成灾难性后果，损害</w:t>
      </w:r>
      <w:r w:rsidR="004F7E15">
        <w:rPr>
          <w:rFonts w:ascii="SimSun" w:hAnsi="SimSun" w:hint="eastAsia"/>
          <w:sz w:val="21"/>
        </w:rPr>
        <w:t>产权组织</w:t>
      </w:r>
      <w:r w:rsidRPr="00F15E6C">
        <w:rPr>
          <w:rFonts w:ascii="SimSun" w:hAnsi="SimSun" w:hint="eastAsia"/>
          <w:sz w:val="21"/>
        </w:rPr>
        <w:t>的声誉，并导致收入减少。</w:t>
      </w:r>
    </w:p>
    <w:p w:rsidR="00A464B2" w:rsidRDefault="00A464B2" w:rsidP="004718BF">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该项目基于其规模和范围为一次性非常资本项目，符合修订后储备</w:t>
      </w:r>
      <w:proofErr w:type="gramStart"/>
      <w:r w:rsidRPr="00F15E6C">
        <w:rPr>
          <w:rFonts w:ascii="SimSun" w:hAnsi="SimSun" w:hint="eastAsia"/>
          <w:sz w:val="21"/>
        </w:rPr>
        <w:t>金</w:t>
      </w:r>
      <w:r w:rsidRPr="004718BF">
        <w:rPr>
          <w:rFonts w:ascii="SimSun" w:hAnsi="SimSun" w:hint="eastAsia"/>
          <w:sz w:val="21"/>
          <w:szCs w:val="22"/>
        </w:rPr>
        <w:t>政策</w:t>
      </w:r>
      <w:proofErr w:type="gramEnd"/>
      <w:r w:rsidRPr="00F15E6C">
        <w:rPr>
          <w:rFonts w:ascii="SimSun" w:hAnsi="SimSun" w:hint="eastAsia"/>
          <w:sz w:val="21"/>
        </w:rPr>
        <w:t>原则3的要求。</w:t>
      </w:r>
    </w:p>
    <w:p w:rsidR="00A464B2" w:rsidRPr="004718BF" w:rsidRDefault="00A464B2" w:rsidP="004718BF">
      <w:pPr>
        <w:keepNext/>
        <w:overflowPunct w:val="0"/>
        <w:spacing w:beforeLines="100" w:before="240" w:afterLines="50" w:after="120" w:line="340" w:lineRule="atLeast"/>
        <w:rPr>
          <w:rFonts w:ascii="KaiTi" w:eastAsia="KaiTi" w:hAnsi="KaiTi"/>
          <w:sz w:val="21"/>
        </w:rPr>
      </w:pPr>
      <w:r w:rsidRPr="004718BF">
        <w:rPr>
          <w:rFonts w:ascii="KaiTi" w:eastAsia="KaiTi" w:hAnsi="KaiTi" w:hint="eastAsia"/>
          <w:sz w:val="21"/>
        </w:rPr>
        <w:lastRenderedPageBreak/>
        <w:t>预计经常性经营成本</w:t>
      </w:r>
    </w:p>
    <w:p w:rsidR="00A464B2" w:rsidRDefault="00A464B2" w:rsidP="004718BF">
      <w:pPr>
        <w:overflowPunct w:val="0"/>
        <w:spacing w:afterLines="50" w:after="120" w:line="340" w:lineRule="atLeast"/>
        <w:ind w:firstLineChars="200" w:firstLine="420"/>
        <w:jc w:val="both"/>
        <w:rPr>
          <w:rFonts w:ascii="SimSun" w:hAnsi="SimSun"/>
          <w:sz w:val="21"/>
          <w:szCs w:val="22"/>
        </w:rPr>
      </w:pPr>
      <w:r w:rsidRPr="00F15E6C">
        <w:rPr>
          <w:rFonts w:ascii="SimSun" w:hAnsi="SimSun" w:hint="eastAsia"/>
          <w:sz w:val="21"/>
          <w:szCs w:val="22"/>
        </w:rPr>
        <w:t>数据中心的维护和运行经常性费用将作为经常预算的一部分，列入连续的计划和预算提案中。第一期完成后的预计经常性费用为每年406</w:t>
      </w:r>
      <w:proofErr w:type="gramStart"/>
      <w:r w:rsidRPr="00F15E6C">
        <w:rPr>
          <w:rFonts w:ascii="SimSun" w:hAnsi="SimSun" w:hint="eastAsia"/>
          <w:sz w:val="21"/>
          <w:szCs w:val="22"/>
        </w:rPr>
        <w:t>万瑞</w:t>
      </w:r>
      <w:proofErr w:type="gramEnd"/>
      <w:r w:rsidRPr="00F15E6C">
        <w:rPr>
          <w:rFonts w:ascii="SimSun" w:hAnsi="SimSun" w:hint="eastAsia"/>
          <w:sz w:val="21"/>
          <w:szCs w:val="22"/>
        </w:rPr>
        <w:t>士法郎。</w:t>
      </w:r>
    </w:p>
    <w:p w:rsidR="00445570" w:rsidRDefault="00445570" w:rsidP="00B27883">
      <w:pPr>
        <w:spacing w:afterLines="50" w:after="120" w:line="340" w:lineRule="atLeast"/>
        <w:ind w:left="5534"/>
        <w:jc w:val="both"/>
        <w:rPr>
          <w:rFonts w:ascii="KaiTi" w:eastAsia="KaiTi" w:hAnsi="KaiTi"/>
          <w:sz w:val="21"/>
        </w:rPr>
      </w:pPr>
    </w:p>
    <w:p w:rsidR="00944DBE" w:rsidRDefault="00A464B2" w:rsidP="00B27883">
      <w:pPr>
        <w:spacing w:afterLines="50" w:after="120" w:line="340" w:lineRule="atLeast"/>
        <w:ind w:left="5534"/>
        <w:jc w:val="both"/>
        <w:rPr>
          <w:rFonts w:ascii="KaiTi" w:eastAsia="KaiTi" w:hAnsi="KaiTi"/>
          <w:sz w:val="21"/>
        </w:rPr>
      </w:pPr>
      <w:r w:rsidRPr="00B27883">
        <w:rPr>
          <w:rFonts w:ascii="KaiTi" w:eastAsia="KaiTi" w:hAnsi="KaiTi"/>
          <w:sz w:val="21"/>
        </w:rPr>
        <w:t>[</w:t>
      </w:r>
      <w:r w:rsidRPr="00B27883">
        <w:rPr>
          <w:rFonts w:ascii="KaiTi" w:eastAsia="KaiTi" w:hAnsi="KaiTi" w:hint="eastAsia"/>
          <w:sz w:val="21"/>
        </w:rPr>
        <w:t>后接附件四</w:t>
      </w:r>
      <w:r w:rsidRPr="00B27883">
        <w:rPr>
          <w:rFonts w:ascii="KaiTi" w:eastAsia="KaiTi" w:hAnsi="KaiTi"/>
          <w:sz w:val="21"/>
        </w:rPr>
        <w:t>]</w:t>
      </w:r>
    </w:p>
    <w:p w:rsidR="00445570" w:rsidRPr="00B27883" w:rsidRDefault="00445570" w:rsidP="00B27883">
      <w:pPr>
        <w:spacing w:afterLines="50" w:after="120" w:line="340" w:lineRule="atLeast"/>
        <w:ind w:left="5534"/>
        <w:jc w:val="both"/>
        <w:rPr>
          <w:rFonts w:ascii="KaiTi" w:eastAsia="KaiTi" w:hAnsi="KaiTi"/>
          <w:sz w:val="21"/>
        </w:rPr>
        <w:sectPr w:rsidR="00445570" w:rsidRPr="00B27883" w:rsidSect="00F0557F">
          <w:headerReference w:type="default" r:id="rId19"/>
          <w:headerReference w:type="first" r:id="rId20"/>
          <w:pgSz w:w="11907" w:h="16840" w:code="9"/>
          <w:pgMar w:top="567" w:right="1134" w:bottom="1418" w:left="1418" w:header="510" w:footer="1021" w:gutter="0"/>
          <w:pgNumType w:start="1"/>
          <w:cols w:space="720"/>
          <w:titlePg/>
          <w:docGrid w:linePitch="299"/>
        </w:sectPr>
      </w:pPr>
    </w:p>
    <w:p w:rsidR="00A464B2" w:rsidRPr="00B27883" w:rsidRDefault="00A464B2" w:rsidP="00B27883">
      <w:pPr>
        <w:pStyle w:val="1"/>
        <w:overflowPunct w:val="0"/>
        <w:spacing w:before="0" w:afterLines="100" w:after="240" w:line="340" w:lineRule="atLeast"/>
        <w:rPr>
          <w:rFonts w:ascii="SimHei" w:eastAsia="SimHei" w:hAnsi="SimHei"/>
          <w:b w:val="0"/>
          <w:sz w:val="21"/>
        </w:rPr>
      </w:pPr>
      <w:r w:rsidRPr="00B27883">
        <w:rPr>
          <w:rFonts w:ascii="SimHei" w:eastAsia="SimHei" w:hAnsi="SimHei" w:hint="eastAsia"/>
          <w:b w:val="0"/>
          <w:sz w:val="21"/>
        </w:rPr>
        <w:lastRenderedPageBreak/>
        <w:t>附件四：马德里信息技术平台</w:t>
      </w:r>
    </w:p>
    <w:p w:rsidR="00A464B2" w:rsidRPr="00963E2A" w:rsidRDefault="00A464B2" w:rsidP="00445570">
      <w:pPr>
        <w:keepNext/>
        <w:overflowPunct w:val="0"/>
        <w:spacing w:beforeLines="100" w:before="240" w:afterLines="50" w:after="120" w:line="340" w:lineRule="atLeast"/>
        <w:rPr>
          <w:rFonts w:ascii="KaiTi" w:eastAsia="KaiTi" w:hAnsi="KaiTi"/>
          <w:sz w:val="21"/>
        </w:rPr>
      </w:pPr>
      <w:r w:rsidRPr="00963E2A">
        <w:rPr>
          <w:rFonts w:ascii="KaiTi" w:eastAsia="KaiTi" w:hAnsi="KaiTi" w:hint="eastAsia"/>
          <w:sz w:val="21"/>
        </w:rPr>
        <w:t>项目目标和预期效益</w:t>
      </w:r>
    </w:p>
    <w:p w:rsidR="00A464B2" w:rsidRDefault="00A464B2" w:rsidP="00445570">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马德里信息技术现代化项目于2016年完成，实现了基于</w:t>
      </w:r>
      <w:r w:rsidR="00445570">
        <w:rPr>
          <w:rFonts w:ascii="SimSun" w:hAnsi="SimSun" w:hint="eastAsia"/>
          <w:sz w:val="21"/>
        </w:rPr>
        <w:t>二十世纪</w:t>
      </w:r>
      <w:r w:rsidRPr="00F15E6C">
        <w:rPr>
          <w:rFonts w:ascii="SimSun" w:hAnsi="SimSun" w:hint="eastAsia"/>
          <w:sz w:val="21"/>
        </w:rPr>
        <w:t>90年代过时技术的IT系统到更现代IT技术的迁移，并增加了可实现选定电子交易的功能。然而，该IT系统仍然是基于马德里注册机构长期以来形成的流程和管理实践，而没有利用最先进技术解决方案提供的可能性。因此，迫切需要实施技术跃进，以支持以客户为中心的优化、高效、</w:t>
      </w:r>
      <w:r w:rsidR="00865A54">
        <w:rPr>
          <w:rFonts w:ascii="SimSun" w:hAnsi="SimSun" w:hint="eastAsia"/>
          <w:sz w:val="21"/>
        </w:rPr>
        <w:t>复原力</w:t>
      </w:r>
      <w:r w:rsidRPr="00F15E6C">
        <w:rPr>
          <w:rFonts w:ascii="SimSun" w:hAnsi="SimSun" w:hint="eastAsia"/>
          <w:sz w:val="21"/>
        </w:rPr>
        <w:t>和灵活的IT业务流程。</w:t>
      </w:r>
    </w:p>
    <w:p w:rsidR="00A464B2" w:rsidRDefault="00A464B2" w:rsidP="00445570">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马德里信息技术平台项目旨在为所有马德里体系</w:t>
      </w:r>
      <w:r w:rsidR="00445570">
        <w:rPr>
          <w:rFonts w:ascii="SimSun" w:hAnsi="SimSun" w:hint="eastAsia"/>
          <w:sz w:val="21"/>
        </w:rPr>
        <w:t>的</w:t>
      </w:r>
      <w:r w:rsidRPr="00F15E6C">
        <w:rPr>
          <w:rFonts w:ascii="SimSun" w:hAnsi="SimSun" w:hint="eastAsia"/>
          <w:sz w:val="21"/>
        </w:rPr>
        <w:t>服务设计、规划和实施一个全面、先进和敏捷的业务解决方案核心组件。此外，在可能的情况下，预期此后将通过采用公用架构、外观和方式，使马德里体系进一步集成到全球知识产权平台，并通过在身份管理、安全及财务管理等领域提供公用功能来提高效率。预计项目完成后将进一步促进国家专利局与国际局的</w:t>
      </w:r>
      <w:r w:rsidR="004F7E15">
        <w:rPr>
          <w:rFonts w:ascii="SimSun" w:hAnsi="SimSun" w:hint="eastAsia"/>
          <w:sz w:val="21"/>
        </w:rPr>
        <w:t>信通技术</w:t>
      </w:r>
      <w:r w:rsidRPr="00F15E6C">
        <w:rPr>
          <w:rFonts w:ascii="SimSun" w:hAnsi="SimSun" w:hint="eastAsia"/>
          <w:sz w:val="21"/>
        </w:rPr>
        <w:t>系统之间的一致性，从而提高数据交换质量，并尽量减少手动干预。</w:t>
      </w:r>
    </w:p>
    <w:p w:rsidR="00A464B2" w:rsidRDefault="00A464B2" w:rsidP="00445570">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预计马德里信息技术平台将成为国际商标注册和国际局与马德里体系成员国</w:t>
      </w:r>
      <w:r w:rsidRPr="00445570">
        <w:rPr>
          <w:rFonts w:ascii="SimSun" w:hAnsi="SimSun" w:hint="eastAsia"/>
          <w:sz w:val="21"/>
          <w:szCs w:val="22"/>
        </w:rPr>
        <w:t>专利局</w:t>
      </w:r>
      <w:r w:rsidRPr="00F15E6C">
        <w:rPr>
          <w:rFonts w:ascii="SimSun" w:hAnsi="SimSun" w:hint="eastAsia"/>
          <w:sz w:val="21"/>
        </w:rPr>
        <w:t>之间互动的单一</w:t>
      </w:r>
      <w:r w:rsidR="00865A54">
        <w:rPr>
          <w:rFonts w:ascii="SimSun" w:hAnsi="SimSun" w:hint="eastAsia"/>
          <w:sz w:val="21"/>
        </w:rPr>
        <w:t>复原力</w:t>
      </w:r>
      <w:r w:rsidRPr="00F15E6C">
        <w:rPr>
          <w:rFonts w:ascii="SimSun" w:hAnsi="SimSun" w:hint="eastAsia"/>
          <w:sz w:val="21"/>
        </w:rPr>
        <w:t>中心。因此，预计马德里信息技术平台将提供以下长期利益：</w:t>
      </w:r>
    </w:p>
    <w:p w:rsidR="00A464B2" w:rsidRDefault="00A464B2" w:rsidP="00445570">
      <w:pPr>
        <w:pStyle w:val="10"/>
        <w:numPr>
          <w:ilvl w:val="0"/>
          <w:numId w:val="11"/>
        </w:numPr>
        <w:spacing w:afterLines="50" w:after="120" w:line="340" w:lineRule="atLeast"/>
        <w:ind w:leftChars="200" w:left="860" w:hangingChars="200" w:hanging="420"/>
        <w:contextualSpacing w:val="0"/>
        <w:jc w:val="both"/>
        <w:rPr>
          <w:rFonts w:ascii="SimSun" w:hAnsi="SimSun"/>
          <w:sz w:val="21"/>
        </w:rPr>
      </w:pPr>
      <w:r w:rsidRPr="00F15E6C">
        <w:rPr>
          <w:rFonts w:ascii="SimSun" w:hAnsi="SimSun" w:hint="eastAsia"/>
          <w:sz w:val="21"/>
        </w:rPr>
        <w:t>为国际注册</w:t>
      </w:r>
      <w:r w:rsidRPr="00445570">
        <w:rPr>
          <w:rFonts w:ascii="SimSun" w:hAnsi="SimSun" w:hint="eastAsia"/>
          <w:sz w:val="21"/>
          <w:szCs w:val="22"/>
        </w:rPr>
        <w:t>申请人</w:t>
      </w:r>
      <w:r w:rsidRPr="00F15E6C">
        <w:rPr>
          <w:rFonts w:ascii="SimSun" w:hAnsi="SimSun" w:hint="eastAsia"/>
          <w:sz w:val="21"/>
        </w:rPr>
        <w:t>和持有人、缔约国的国家专利局和国际局提供对国际申请和注册相关信息与数据的实时同步访问；</w:t>
      </w:r>
    </w:p>
    <w:p w:rsidR="00944DBE" w:rsidRPr="00F15E6C" w:rsidRDefault="00A464B2" w:rsidP="00445570">
      <w:pPr>
        <w:pStyle w:val="10"/>
        <w:numPr>
          <w:ilvl w:val="0"/>
          <w:numId w:val="11"/>
        </w:numPr>
        <w:spacing w:afterLines="50" w:after="120" w:line="340" w:lineRule="atLeast"/>
        <w:ind w:leftChars="200" w:left="860" w:hangingChars="200" w:hanging="420"/>
        <w:contextualSpacing w:val="0"/>
        <w:jc w:val="both"/>
        <w:rPr>
          <w:rFonts w:ascii="SimSun" w:hAnsi="SimSun"/>
          <w:sz w:val="21"/>
        </w:rPr>
      </w:pPr>
      <w:r w:rsidRPr="00F15E6C">
        <w:rPr>
          <w:rFonts w:ascii="SimSun" w:hAnsi="SimSun" w:hint="eastAsia"/>
          <w:sz w:val="21"/>
        </w:rPr>
        <w:t>通过提高数据产品的可靠性、质量和</w:t>
      </w:r>
      <w:proofErr w:type="gramStart"/>
      <w:r w:rsidRPr="00F15E6C">
        <w:rPr>
          <w:rFonts w:ascii="SimSun" w:hAnsi="SimSun" w:hint="eastAsia"/>
          <w:sz w:val="21"/>
        </w:rPr>
        <w:t>可</w:t>
      </w:r>
      <w:proofErr w:type="gramEnd"/>
      <w:r w:rsidRPr="00F15E6C">
        <w:rPr>
          <w:rFonts w:ascii="SimSun" w:hAnsi="SimSun" w:hint="eastAsia"/>
          <w:sz w:val="21"/>
        </w:rPr>
        <w:t>验证性以及减少马德里审查员手动干预需求，消除与申请人和持有人、缔约国国家专利局和国际局之间数据传输或手动处理带来的不确定性；</w:t>
      </w:r>
    </w:p>
    <w:p w:rsidR="00944DBE" w:rsidRPr="00F15E6C" w:rsidRDefault="00A464B2" w:rsidP="00445570">
      <w:pPr>
        <w:pStyle w:val="10"/>
        <w:numPr>
          <w:ilvl w:val="0"/>
          <w:numId w:val="11"/>
        </w:numPr>
        <w:spacing w:afterLines="50" w:after="120" w:line="340" w:lineRule="atLeast"/>
        <w:ind w:leftChars="200" w:left="860" w:hangingChars="200" w:hanging="420"/>
        <w:contextualSpacing w:val="0"/>
        <w:jc w:val="both"/>
        <w:rPr>
          <w:rFonts w:ascii="SimSun" w:hAnsi="SimSun"/>
        </w:rPr>
      </w:pPr>
      <w:r w:rsidRPr="00F15E6C">
        <w:rPr>
          <w:rFonts w:ascii="SimSun" w:hAnsi="SimSun" w:hint="eastAsia"/>
          <w:sz w:val="21"/>
        </w:rPr>
        <w:t>部署一个高效、一致和现代化的通知制度，让用户了解商标进展情况，减少纸质交流量；</w:t>
      </w:r>
    </w:p>
    <w:p w:rsidR="00944DBE" w:rsidRPr="00F15E6C" w:rsidRDefault="00A464B2" w:rsidP="00445570">
      <w:pPr>
        <w:pStyle w:val="10"/>
        <w:numPr>
          <w:ilvl w:val="0"/>
          <w:numId w:val="11"/>
        </w:numPr>
        <w:spacing w:afterLines="50" w:after="120" w:line="340" w:lineRule="atLeast"/>
        <w:ind w:leftChars="200" w:left="860" w:hangingChars="200" w:hanging="420"/>
        <w:contextualSpacing w:val="0"/>
        <w:jc w:val="both"/>
        <w:rPr>
          <w:rFonts w:ascii="SimSun" w:hAnsi="SimSun"/>
          <w:sz w:val="21"/>
        </w:rPr>
      </w:pPr>
      <w:r w:rsidRPr="00F15E6C">
        <w:rPr>
          <w:rFonts w:ascii="SimSun" w:hAnsi="SimSun" w:hint="eastAsia"/>
          <w:sz w:val="21"/>
        </w:rPr>
        <w:t>提供一个马德里电子服务</w:t>
      </w:r>
      <w:r w:rsidRPr="00445570">
        <w:rPr>
          <w:rFonts w:ascii="SimSun" w:hAnsi="SimSun" w:hint="eastAsia"/>
          <w:sz w:val="21"/>
          <w:szCs w:val="22"/>
        </w:rPr>
        <w:t>工具</w:t>
      </w:r>
      <w:r w:rsidRPr="00F15E6C">
        <w:rPr>
          <w:rFonts w:ascii="SimSun" w:hAnsi="SimSun" w:hint="eastAsia"/>
          <w:sz w:val="21"/>
        </w:rPr>
        <w:t>门户，为客户在其商标的整个生命周期内提供支持；</w:t>
      </w:r>
      <w:r w:rsidR="0039745F">
        <w:rPr>
          <w:rFonts w:ascii="SimSun" w:hAnsi="SimSun" w:hint="eastAsia"/>
          <w:sz w:val="21"/>
        </w:rPr>
        <w:t>以及</w:t>
      </w:r>
    </w:p>
    <w:p w:rsidR="00A464B2" w:rsidRDefault="00A464B2" w:rsidP="00445570">
      <w:pPr>
        <w:pStyle w:val="10"/>
        <w:numPr>
          <w:ilvl w:val="0"/>
          <w:numId w:val="11"/>
        </w:numPr>
        <w:spacing w:afterLines="50" w:after="120" w:line="340" w:lineRule="atLeast"/>
        <w:ind w:leftChars="200" w:left="860" w:hangingChars="200" w:hanging="420"/>
        <w:contextualSpacing w:val="0"/>
        <w:jc w:val="both"/>
        <w:rPr>
          <w:rFonts w:ascii="SimSun" w:hAnsi="SimSun"/>
          <w:sz w:val="21"/>
        </w:rPr>
      </w:pPr>
      <w:r w:rsidRPr="00F15E6C">
        <w:rPr>
          <w:rFonts w:ascii="SimSun" w:hAnsi="SimSun" w:hint="eastAsia"/>
          <w:sz w:val="21"/>
        </w:rPr>
        <w:t>创建一个精简和有</w:t>
      </w:r>
      <w:r w:rsidR="00865A54">
        <w:rPr>
          <w:rFonts w:ascii="SimSun" w:hAnsi="SimSun" w:hint="eastAsia"/>
          <w:sz w:val="21"/>
        </w:rPr>
        <w:t>复原力</w:t>
      </w:r>
      <w:r w:rsidRPr="00F15E6C">
        <w:rPr>
          <w:rFonts w:ascii="SimSun" w:hAnsi="SimSun" w:hint="eastAsia"/>
          <w:sz w:val="21"/>
        </w:rPr>
        <w:t>的马德里体系，以客户为中心是其主要驱动因素，包括必要情况下适应法律框架和运营实践。</w:t>
      </w:r>
    </w:p>
    <w:p w:rsidR="00A464B2" w:rsidRPr="00963E2A" w:rsidRDefault="00A464B2" w:rsidP="00445570">
      <w:pPr>
        <w:keepNext/>
        <w:overflowPunct w:val="0"/>
        <w:spacing w:beforeLines="100" w:before="240" w:afterLines="50" w:after="120" w:line="340" w:lineRule="atLeast"/>
        <w:rPr>
          <w:rFonts w:ascii="KaiTi" w:eastAsia="KaiTi" w:hAnsi="KaiTi"/>
          <w:sz w:val="21"/>
        </w:rPr>
      </w:pPr>
      <w:r w:rsidRPr="00963E2A">
        <w:rPr>
          <w:rFonts w:ascii="KaiTi" w:eastAsia="KaiTi" w:hAnsi="KaiTi" w:hint="eastAsia"/>
          <w:sz w:val="21"/>
        </w:rPr>
        <w:t>项目实施</w:t>
      </w:r>
    </w:p>
    <w:p w:rsidR="00A464B2" w:rsidRDefault="00A464B2" w:rsidP="00445570">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通过分析业务需求、精简运营流程和利用2016/17两年期内开发的新海牙信息技术平台的经验教训，马德里信息技术平台的核心组成部分将在2018/19两年期间分阶段实施。</w:t>
      </w:r>
    </w:p>
    <w:p w:rsidR="00A464B2" w:rsidRPr="00963E2A" w:rsidRDefault="00A464B2" w:rsidP="00445570">
      <w:pPr>
        <w:keepNext/>
        <w:overflowPunct w:val="0"/>
        <w:spacing w:beforeLines="100" w:before="240" w:afterLines="50" w:after="120" w:line="340" w:lineRule="atLeast"/>
        <w:rPr>
          <w:rFonts w:ascii="KaiTi" w:eastAsia="KaiTi" w:hAnsi="KaiTi"/>
          <w:sz w:val="21"/>
        </w:rPr>
      </w:pPr>
      <w:r w:rsidRPr="00963E2A">
        <w:rPr>
          <w:rFonts w:ascii="KaiTi" w:eastAsia="KaiTi" w:hAnsi="KaiTi" w:hint="eastAsia"/>
          <w:sz w:val="21"/>
        </w:rPr>
        <w:t>驱动因素</w:t>
      </w:r>
    </w:p>
    <w:p w:rsidR="00A464B2" w:rsidRDefault="00A464B2" w:rsidP="00445570">
      <w:pPr>
        <w:overflowPunct w:val="0"/>
        <w:spacing w:afterLines="50" w:after="120" w:line="340" w:lineRule="atLeast"/>
        <w:ind w:firstLineChars="200" w:firstLine="420"/>
        <w:jc w:val="both"/>
        <w:rPr>
          <w:rFonts w:ascii="SimSun" w:hAnsi="SimSun"/>
          <w:sz w:val="21"/>
        </w:rPr>
      </w:pPr>
      <w:r w:rsidRPr="0039745F">
        <w:rPr>
          <w:rFonts w:ascii="KaiTi" w:eastAsia="KaiTi" w:hAnsi="KaiTi" w:hint="eastAsia"/>
          <w:sz w:val="21"/>
        </w:rPr>
        <w:t>成本效率</w:t>
      </w:r>
      <w:r w:rsidR="0039745F">
        <w:rPr>
          <w:rFonts w:ascii="SimSun" w:hAnsi="SimSun" w:hint="eastAsia"/>
          <w:sz w:val="21"/>
        </w:rPr>
        <w:t>–</w:t>
      </w:r>
      <w:r w:rsidRPr="00F15E6C">
        <w:rPr>
          <w:rFonts w:ascii="SimSun" w:hAnsi="SimSun" w:hint="eastAsia"/>
          <w:sz w:val="21"/>
        </w:rPr>
        <w:t>目前的系统主要是基于手工处理，牵涉到国际局和马德里体系成员国专利局的大量人力资源。拟建系统将利用技术进步和自动化提供的机会。</w:t>
      </w:r>
    </w:p>
    <w:p w:rsidR="00A464B2" w:rsidRDefault="00A464B2" w:rsidP="00445570">
      <w:pPr>
        <w:overflowPunct w:val="0"/>
        <w:spacing w:afterLines="50" w:after="120" w:line="340" w:lineRule="atLeast"/>
        <w:ind w:firstLineChars="200" w:firstLine="420"/>
        <w:jc w:val="both"/>
        <w:rPr>
          <w:rFonts w:ascii="SimSun" w:hAnsi="SimSun"/>
          <w:sz w:val="21"/>
        </w:rPr>
      </w:pPr>
      <w:r w:rsidRPr="0039745F">
        <w:rPr>
          <w:rFonts w:ascii="KaiTi" w:eastAsia="KaiTi" w:hAnsi="KaiTi" w:hint="eastAsia"/>
          <w:sz w:val="21"/>
        </w:rPr>
        <w:t>业务需求</w:t>
      </w:r>
      <w:r w:rsidR="0039745F">
        <w:rPr>
          <w:rFonts w:ascii="SimSun" w:hAnsi="SimSun" w:hint="eastAsia"/>
          <w:sz w:val="21"/>
        </w:rPr>
        <w:t>–</w:t>
      </w:r>
      <w:r w:rsidRPr="00F15E6C">
        <w:rPr>
          <w:rFonts w:ascii="SimSun" w:hAnsi="SimSun" w:hint="eastAsia"/>
          <w:sz w:val="21"/>
        </w:rPr>
        <w:t>目前的马德里信息技术系统是稳定和有成效的，但却是基于多年来发展的流程和管理实践，不是为利用不断发展的最先进技术解决方案而专门设计的。该系统的现代化对于确保国际局管理其预期增加的应用数量和积极的国际注册能力至关重要。</w:t>
      </w:r>
    </w:p>
    <w:p w:rsidR="00944DBE" w:rsidRPr="00F15E6C" w:rsidRDefault="00A464B2" w:rsidP="0039745F">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该项目基于其规模和范围为一次性非常资本项目，</w:t>
      </w:r>
      <w:r w:rsidRPr="00445570">
        <w:rPr>
          <w:rFonts w:ascii="SimSun" w:hAnsi="SimSun" w:hint="eastAsia"/>
          <w:sz w:val="21"/>
          <w:szCs w:val="22"/>
        </w:rPr>
        <w:t>符合</w:t>
      </w:r>
      <w:r w:rsidRPr="00F15E6C">
        <w:rPr>
          <w:rFonts w:ascii="SimSun" w:hAnsi="SimSun" w:hint="eastAsia"/>
          <w:sz w:val="21"/>
        </w:rPr>
        <w:t>修订后储备</w:t>
      </w:r>
      <w:proofErr w:type="gramStart"/>
      <w:r w:rsidRPr="00F15E6C">
        <w:rPr>
          <w:rFonts w:ascii="SimSun" w:hAnsi="SimSun" w:hint="eastAsia"/>
          <w:sz w:val="21"/>
        </w:rPr>
        <w:t>金政策</w:t>
      </w:r>
      <w:proofErr w:type="gramEnd"/>
      <w:r w:rsidRPr="00F15E6C">
        <w:rPr>
          <w:rFonts w:ascii="SimSun" w:hAnsi="SimSun" w:hint="eastAsia"/>
          <w:sz w:val="21"/>
        </w:rPr>
        <w:t>原则3的要求。</w:t>
      </w:r>
    </w:p>
    <w:p w:rsidR="00A464B2" w:rsidRPr="00445570" w:rsidRDefault="00A464B2" w:rsidP="00445570">
      <w:pPr>
        <w:keepNext/>
        <w:overflowPunct w:val="0"/>
        <w:spacing w:beforeLines="100" w:before="240" w:afterLines="50" w:after="120" w:line="340" w:lineRule="atLeast"/>
        <w:rPr>
          <w:rFonts w:ascii="KaiTi" w:eastAsia="KaiTi" w:hAnsi="KaiTi"/>
          <w:sz w:val="21"/>
        </w:rPr>
      </w:pPr>
      <w:r w:rsidRPr="00445570">
        <w:rPr>
          <w:rFonts w:ascii="KaiTi" w:eastAsia="KaiTi" w:hAnsi="KaiTi" w:hint="eastAsia"/>
          <w:sz w:val="21"/>
        </w:rPr>
        <w:lastRenderedPageBreak/>
        <w:t>预计经常性运营成本</w:t>
      </w:r>
    </w:p>
    <w:p w:rsidR="00A464B2" w:rsidRDefault="00A464B2" w:rsidP="008330C1">
      <w:pPr>
        <w:keepNext/>
        <w:overflowPunct w:val="0"/>
        <w:spacing w:afterLines="50" w:after="120" w:line="340" w:lineRule="atLeast"/>
        <w:ind w:firstLineChars="200" w:firstLine="420"/>
        <w:jc w:val="both"/>
        <w:rPr>
          <w:rFonts w:ascii="SimSun" w:hAnsi="SimSun"/>
          <w:sz w:val="21"/>
          <w:szCs w:val="22"/>
        </w:rPr>
      </w:pPr>
      <w:r w:rsidRPr="00F15E6C">
        <w:rPr>
          <w:rFonts w:ascii="SimSun" w:hAnsi="SimSun" w:hint="eastAsia"/>
          <w:sz w:val="21"/>
          <w:szCs w:val="22"/>
        </w:rPr>
        <w:t>马德里信息技术平台的维护和运营经常性成本将在中长期内取代现行马德里信息技术系统的经常性成本。该项成本将作为经常预算的一部分列入后续的计划和预算草案。</w:t>
      </w:r>
    </w:p>
    <w:p w:rsidR="0039745F" w:rsidRDefault="0039745F" w:rsidP="00B27883">
      <w:pPr>
        <w:spacing w:afterLines="50" w:after="120" w:line="340" w:lineRule="atLeast"/>
        <w:ind w:left="5534"/>
        <w:jc w:val="both"/>
        <w:rPr>
          <w:rFonts w:ascii="KaiTi" w:eastAsia="KaiTi" w:hAnsi="KaiTi"/>
          <w:sz w:val="21"/>
        </w:rPr>
      </w:pPr>
    </w:p>
    <w:p w:rsidR="00944DBE" w:rsidRDefault="00A464B2" w:rsidP="00B27883">
      <w:pPr>
        <w:spacing w:afterLines="50" w:after="120" w:line="340" w:lineRule="atLeast"/>
        <w:ind w:left="5534"/>
        <w:jc w:val="both"/>
        <w:rPr>
          <w:rFonts w:ascii="KaiTi" w:eastAsia="KaiTi" w:hAnsi="KaiTi"/>
          <w:sz w:val="21"/>
        </w:rPr>
      </w:pPr>
      <w:r w:rsidRPr="00B27883">
        <w:rPr>
          <w:rFonts w:ascii="KaiTi" w:eastAsia="KaiTi" w:hAnsi="KaiTi"/>
          <w:sz w:val="21"/>
        </w:rPr>
        <w:t>[</w:t>
      </w:r>
      <w:r w:rsidRPr="00B27883">
        <w:rPr>
          <w:rFonts w:ascii="KaiTi" w:eastAsia="KaiTi" w:hAnsi="KaiTi" w:hint="eastAsia"/>
          <w:sz w:val="21"/>
        </w:rPr>
        <w:t>后接附件五</w:t>
      </w:r>
      <w:r w:rsidRPr="00B27883">
        <w:rPr>
          <w:rFonts w:ascii="KaiTi" w:eastAsia="KaiTi" w:hAnsi="KaiTi"/>
          <w:sz w:val="21"/>
        </w:rPr>
        <w:t>]</w:t>
      </w:r>
    </w:p>
    <w:p w:rsidR="0039745F" w:rsidRPr="00B27883" w:rsidRDefault="0039745F" w:rsidP="00B27883">
      <w:pPr>
        <w:spacing w:afterLines="50" w:after="120" w:line="340" w:lineRule="atLeast"/>
        <w:ind w:left="5534"/>
        <w:jc w:val="both"/>
        <w:rPr>
          <w:rFonts w:ascii="KaiTi" w:eastAsia="KaiTi" w:hAnsi="KaiTi"/>
          <w:sz w:val="21"/>
        </w:rPr>
        <w:sectPr w:rsidR="0039745F" w:rsidRPr="00B27883" w:rsidSect="00F0557F">
          <w:headerReference w:type="default" r:id="rId21"/>
          <w:headerReference w:type="first" r:id="rId22"/>
          <w:pgSz w:w="11907" w:h="16840" w:code="9"/>
          <w:pgMar w:top="567" w:right="1134" w:bottom="1418" w:left="1418" w:header="510" w:footer="1021" w:gutter="0"/>
          <w:pgNumType w:start="1"/>
          <w:cols w:space="720"/>
          <w:titlePg/>
          <w:docGrid w:linePitch="299"/>
        </w:sectPr>
      </w:pPr>
    </w:p>
    <w:p w:rsidR="00A464B2" w:rsidRPr="00B27883" w:rsidRDefault="00A464B2" w:rsidP="00B27883">
      <w:pPr>
        <w:pStyle w:val="1"/>
        <w:overflowPunct w:val="0"/>
        <w:spacing w:before="0" w:afterLines="100" w:after="240" w:line="340" w:lineRule="atLeast"/>
        <w:rPr>
          <w:rFonts w:ascii="SimHei" w:eastAsia="SimHei" w:hAnsi="SimHei"/>
          <w:b w:val="0"/>
          <w:sz w:val="21"/>
        </w:rPr>
      </w:pPr>
      <w:r w:rsidRPr="00B27883">
        <w:rPr>
          <w:rFonts w:ascii="SimHei" w:eastAsia="SimHei" w:hAnsi="SimHei" w:hint="eastAsia"/>
          <w:b w:val="0"/>
          <w:sz w:val="21"/>
        </w:rPr>
        <w:lastRenderedPageBreak/>
        <w:t>附件五：</w:t>
      </w:r>
      <w:r w:rsidR="008330C1">
        <w:rPr>
          <w:rFonts w:ascii="SimHei" w:eastAsia="SimHei" w:hAnsi="SimHei" w:hint="eastAsia"/>
          <w:b w:val="0"/>
          <w:sz w:val="21"/>
        </w:rPr>
        <w:t>一体化</w:t>
      </w:r>
      <w:r w:rsidRPr="00B27883">
        <w:rPr>
          <w:rFonts w:ascii="SimHei" w:eastAsia="SimHei" w:hAnsi="SimHei" w:hint="eastAsia"/>
          <w:b w:val="0"/>
          <w:sz w:val="21"/>
        </w:rPr>
        <w:t>会议服务平台</w:t>
      </w:r>
    </w:p>
    <w:p w:rsidR="00A464B2" w:rsidRPr="00963E2A" w:rsidRDefault="00A464B2" w:rsidP="00445570">
      <w:pPr>
        <w:keepNext/>
        <w:overflowPunct w:val="0"/>
        <w:spacing w:beforeLines="100" w:before="240" w:afterLines="50" w:after="120" w:line="340" w:lineRule="atLeast"/>
        <w:rPr>
          <w:rFonts w:ascii="KaiTi" w:eastAsia="KaiTi" w:hAnsi="KaiTi"/>
          <w:sz w:val="21"/>
        </w:rPr>
      </w:pPr>
      <w:r w:rsidRPr="00963E2A">
        <w:rPr>
          <w:rFonts w:ascii="KaiTi" w:eastAsia="KaiTi" w:hAnsi="KaiTi" w:hint="eastAsia"/>
          <w:sz w:val="21"/>
        </w:rPr>
        <w:t>项目目标和预期效益</w:t>
      </w:r>
    </w:p>
    <w:p w:rsidR="00A464B2" w:rsidRDefault="00A464B2" w:rsidP="00445570">
      <w:pPr>
        <w:overflowPunct w:val="0"/>
        <w:spacing w:afterLines="50" w:after="120" w:line="340" w:lineRule="atLeast"/>
        <w:ind w:firstLineChars="200" w:firstLine="420"/>
        <w:jc w:val="both"/>
        <w:rPr>
          <w:rFonts w:ascii="SimSun" w:hAnsi="SimSun"/>
          <w:sz w:val="21"/>
          <w:lang w:val="en-GB"/>
        </w:rPr>
      </w:pPr>
      <w:r w:rsidRPr="00F15E6C">
        <w:rPr>
          <w:rFonts w:ascii="SimSun" w:hAnsi="SimSun" w:hint="eastAsia"/>
          <w:sz w:val="21"/>
          <w:lang w:val="en-GB"/>
        </w:rPr>
        <w:t>2013年</w:t>
      </w:r>
      <w:r w:rsidRPr="00F15E6C">
        <w:rPr>
          <w:rFonts w:ascii="SimSun" w:hAnsi="SimSun" w:hint="eastAsia"/>
          <w:sz w:val="21"/>
        </w:rPr>
        <w:t>的一份</w:t>
      </w:r>
      <w:r w:rsidRPr="00F15E6C">
        <w:rPr>
          <w:rFonts w:ascii="SimSun" w:hAnsi="SimSun" w:hint="eastAsia"/>
          <w:sz w:val="21"/>
          <w:lang w:val="en-GB"/>
        </w:rPr>
        <w:t>内部审计报告强调了在会议服务领域</w:t>
      </w:r>
      <w:r w:rsidRPr="00F15E6C">
        <w:rPr>
          <w:rFonts w:ascii="SimSun" w:hAnsi="SimSun" w:hint="eastAsia"/>
          <w:sz w:val="21"/>
        </w:rPr>
        <w:t>面临使用多种独立</w:t>
      </w:r>
      <w:r w:rsidR="0039745F">
        <w:rPr>
          <w:rFonts w:ascii="SimSun" w:hAnsi="SimSun" w:hint="eastAsia"/>
          <w:sz w:val="21"/>
        </w:rPr>
        <w:t>IT</w:t>
      </w:r>
      <w:r w:rsidRPr="00F15E6C">
        <w:rPr>
          <w:rFonts w:ascii="SimSun" w:hAnsi="SimSun" w:hint="eastAsia"/>
          <w:sz w:val="21"/>
        </w:rPr>
        <w:t>工具的挑战，包括</w:t>
      </w:r>
      <w:r w:rsidR="0039745F">
        <w:rPr>
          <w:rFonts w:ascii="SimSun" w:hAnsi="SimSun" w:hint="eastAsia"/>
          <w:sz w:val="21"/>
        </w:rPr>
        <w:t>成员</w:t>
      </w:r>
      <w:r w:rsidRPr="00F15E6C">
        <w:rPr>
          <w:rFonts w:ascii="SimSun" w:hAnsi="SimSun" w:hint="eastAsia"/>
          <w:sz w:val="21"/>
        </w:rPr>
        <w:t>国大会和其他会议，并建议为</w:t>
      </w:r>
      <w:r w:rsidR="004F7E15">
        <w:rPr>
          <w:rFonts w:ascii="SimSun" w:hAnsi="SimSun" w:hint="eastAsia"/>
          <w:sz w:val="21"/>
        </w:rPr>
        <w:t>产权组织</w:t>
      </w:r>
      <w:r w:rsidRPr="00F15E6C">
        <w:rPr>
          <w:rFonts w:ascii="SimSun" w:hAnsi="SimSun" w:hint="eastAsia"/>
          <w:sz w:val="21"/>
        </w:rPr>
        <w:t>开发/确定一个</w:t>
      </w:r>
      <w:r w:rsidR="008330C1">
        <w:rPr>
          <w:rFonts w:ascii="SimSun" w:hAnsi="SimSun" w:hint="eastAsia"/>
          <w:sz w:val="21"/>
          <w:lang w:val="en-GB"/>
        </w:rPr>
        <w:t>一体化</w:t>
      </w:r>
      <w:r w:rsidRPr="00F15E6C">
        <w:rPr>
          <w:rFonts w:ascii="SimSun" w:hAnsi="SimSun" w:hint="eastAsia"/>
          <w:sz w:val="21"/>
          <w:lang w:val="en-GB"/>
        </w:rPr>
        <w:t>高性能会议管理解决方案。</w:t>
      </w:r>
    </w:p>
    <w:p w:rsidR="00A464B2" w:rsidRDefault="00A464B2" w:rsidP="00445570">
      <w:pPr>
        <w:overflowPunct w:val="0"/>
        <w:spacing w:afterLines="50" w:after="120" w:line="340" w:lineRule="atLeast"/>
        <w:ind w:firstLineChars="200" w:firstLine="420"/>
        <w:jc w:val="both"/>
        <w:rPr>
          <w:rFonts w:ascii="SimSun" w:hAnsi="SimSun"/>
          <w:sz w:val="21"/>
          <w:lang w:val="en-GB"/>
        </w:rPr>
      </w:pPr>
      <w:r w:rsidRPr="00F15E6C">
        <w:rPr>
          <w:rFonts w:ascii="SimSun" w:hAnsi="SimSun" w:hint="eastAsia"/>
          <w:sz w:val="21"/>
        </w:rPr>
        <w:t>包括</w:t>
      </w:r>
      <w:r w:rsidR="0039745F">
        <w:rPr>
          <w:rFonts w:ascii="SimSun" w:hAnsi="SimSun" w:hint="eastAsia"/>
          <w:sz w:val="21"/>
        </w:rPr>
        <w:t>成员</w:t>
      </w:r>
      <w:r w:rsidR="0039745F" w:rsidRPr="00F15E6C">
        <w:rPr>
          <w:rFonts w:ascii="SimSun" w:hAnsi="SimSun" w:hint="eastAsia"/>
          <w:sz w:val="21"/>
        </w:rPr>
        <w:t>国</w:t>
      </w:r>
      <w:r w:rsidRPr="00F15E6C">
        <w:rPr>
          <w:rFonts w:ascii="SimSun" w:hAnsi="SimSun" w:hint="eastAsia"/>
          <w:sz w:val="21"/>
        </w:rPr>
        <w:t>大会和其他会议在内的</w:t>
      </w:r>
      <w:r w:rsidRPr="00F15E6C">
        <w:rPr>
          <w:rFonts w:ascii="SimSun" w:hAnsi="SimSun" w:hint="eastAsia"/>
          <w:sz w:val="21"/>
          <w:lang w:val="en-GB"/>
        </w:rPr>
        <w:t>会议服务</w:t>
      </w:r>
      <w:r w:rsidRPr="00F15E6C">
        <w:rPr>
          <w:rFonts w:ascii="SimSun" w:hAnsi="SimSun" w:hint="eastAsia"/>
          <w:sz w:val="21"/>
        </w:rPr>
        <w:t>领域</w:t>
      </w:r>
      <w:r w:rsidR="0039745F">
        <w:rPr>
          <w:rFonts w:ascii="SimSun" w:hAnsi="SimSun" w:hint="eastAsia"/>
          <w:sz w:val="21"/>
        </w:rPr>
        <w:t>，</w:t>
      </w:r>
      <w:r w:rsidRPr="00F15E6C">
        <w:rPr>
          <w:rFonts w:ascii="SimSun" w:hAnsi="SimSun" w:hint="eastAsia"/>
          <w:sz w:val="21"/>
          <w:lang w:val="en-GB"/>
        </w:rPr>
        <w:t>目前的系统和数据库经</w:t>
      </w:r>
      <w:r w:rsidRPr="00F15E6C">
        <w:rPr>
          <w:rFonts w:ascii="SimSun" w:hAnsi="SimSun" w:hint="eastAsia"/>
          <w:sz w:val="21"/>
        </w:rPr>
        <w:t>过多年的</w:t>
      </w:r>
      <w:r w:rsidRPr="00F15E6C">
        <w:rPr>
          <w:rFonts w:ascii="SimSun" w:hAnsi="SimSun" w:hint="eastAsia"/>
          <w:sz w:val="21"/>
          <w:lang w:val="en-GB"/>
        </w:rPr>
        <w:t>开发和维护，现在</w:t>
      </w:r>
      <w:r w:rsidRPr="00F15E6C">
        <w:rPr>
          <w:rFonts w:ascii="SimSun" w:hAnsi="SimSun" w:hint="eastAsia"/>
          <w:sz w:val="21"/>
        </w:rPr>
        <w:t>已到达生命周期末期，因为其</w:t>
      </w:r>
      <w:r w:rsidRPr="00F15E6C">
        <w:rPr>
          <w:rFonts w:ascii="SimSun" w:hAnsi="SimSun" w:hint="eastAsia"/>
          <w:sz w:val="21"/>
          <w:lang w:val="en-GB"/>
        </w:rPr>
        <w:t>缺乏关键的功能和集成能力，</w:t>
      </w:r>
      <w:r w:rsidRPr="00F15E6C">
        <w:rPr>
          <w:rFonts w:ascii="SimSun" w:hAnsi="SimSun" w:hint="eastAsia"/>
          <w:sz w:val="21"/>
        </w:rPr>
        <w:t>并且是基于</w:t>
      </w:r>
      <w:r w:rsidRPr="00F15E6C">
        <w:rPr>
          <w:rFonts w:ascii="SimSun" w:hAnsi="SimSun" w:hint="eastAsia"/>
          <w:sz w:val="21"/>
          <w:lang w:val="en-GB"/>
        </w:rPr>
        <w:t>不属于</w:t>
      </w:r>
      <w:r w:rsidR="004F7E15">
        <w:rPr>
          <w:rFonts w:ascii="SimSun" w:hAnsi="SimSun" w:hint="eastAsia"/>
          <w:sz w:val="21"/>
          <w:lang w:val="en-GB"/>
        </w:rPr>
        <w:t>产权</w:t>
      </w:r>
      <w:r w:rsidR="004F7E15" w:rsidRPr="00445570">
        <w:rPr>
          <w:rFonts w:ascii="SimSun" w:hAnsi="SimSun" w:hint="eastAsia"/>
          <w:sz w:val="21"/>
          <w:szCs w:val="22"/>
        </w:rPr>
        <w:t>组织</w:t>
      </w:r>
      <w:r w:rsidRPr="00F15E6C">
        <w:rPr>
          <w:rFonts w:ascii="SimSun" w:hAnsi="SimSun" w:hint="eastAsia"/>
          <w:sz w:val="21"/>
          <w:lang w:val="en-GB"/>
        </w:rPr>
        <w:t>企业级解决方案的工具</w:t>
      </w:r>
      <w:r w:rsidRPr="00F15E6C">
        <w:rPr>
          <w:rFonts w:ascii="SimSun" w:hAnsi="SimSun" w:hint="eastAsia"/>
          <w:sz w:val="21"/>
        </w:rPr>
        <w:t>而建立的</w:t>
      </w:r>
      <w:r w:rsidRPr="00F15E6C">
        <w:rPr>
          <w:rFonts w:ascii="SimSun" w:hAnsi="SimSun" w:hint="eastAsia"/>
          <w:sz w:val="21"/>
          <w:lang w:val="en-GB"/>
        </w:rPr>
        <w:t>。因此，持续维护这些不同系统和数据库变得越来越困难和昂贵。目前系统包括会议文件联系系统（MDCS）、网页注册（WebReg）、电子文档（EDOCS）、</w:t>
      </w:r>
      <w:r w:rsidR="0039745F">
        <w:rPr>
          <w:rFonts w:ascii="SimSun" w:hAnsi="SimSun" w:hint="eastAsia"/>
          <w:sz w:val="21"/>
          <w:lang w:val="en-GB"/>
        </w:rPr>
        <w:t>会议室预订</w:t>
      </w:r>
      <w:r w:rsidRPr="00F15E6C">
        <w:rPr>
          <w:rFonts w:ascii="SimSun" w:hAnsi="SimSun" w:hint="eastAsia"/>
          <w:sz w:val="21"/>
          <w:lang w:val="en-GB"/>
        </w:rPr>
        <w:t>（CRB）和口译员联系</w:t>
      </w:r>
      <w:r w:rsidRPr="00F15E6C">
        <w:rPr>
          <w:rFonts w:ascii="SimSun" w:hAnsi="SimSun" w:hint="eastAsia"/>
          <w:sz w:val="21"/>
        </w:rPr>
        <w:t>信息与</w:t>
      </w:r>
      <w:r w:rsidRPr="00F15E6C">
        <w:rPr>
          <w:rFonts w:ascii="SimSun" w:hAnsi="SimSun" w:hint="eastAsia"/>
          <w:sz w:val="21"/>
          <w:lang w:val="en-GB"/>
        </w:rPr>
        <w:t>技能数据库（IRCS）。</w:t>
      </w:r>
    </w:p>
    <w:p w:rsidR="00A464B2" w:rsidRDefault="00A464B2" w:rsidP="00445570">
      <w:pPr>
        <w:overflowPunct w:val="0"/>
        <w:spacing w:afterLines="50" w:after="120" w:line="340" w:lineRule="atLeast"/>
        <w:ind w:firstLineChars="200" w:firstLine="420"/>
        <w:jc w:val="both"/>
        <w:rPr>
          <w:rFonts w:ascii="SimSun" w:hAnsi="SimSun"/>
          <w:sz w:val="21"/>
          <w:szCs w:val="22"/>
        </w:rPr>
      </w:pPr>
      <w:r w:rsidRPr="00F15E6C">
        <w:rPr>
          <w:rFonts w:ascii="SimSun" w:hAnsi="SimSun" w:hint="eastAsia"/>
          <w:sz w:val="21"/>
          <w:szCs w:val="22"/>
        </w:rPr>
        <w:t>此外，基于安全风险的增加，</w:t>
      </w:r>
      <w:r w:rsidR="004F7E15">
        <w:rPr>
          <w:rFonts w:ascii="SimSun" w:hAnsi="SimSun" w:hint="eastAsia"/>
          <w:sz w:val="21"/>
          <w:szCs w:val="22"/>
        </w:rPr>
        <w:t>产权组织</w:t>
      </w:r>
      <w:r w:rsidRPr="00F15E6C">
        <w:rPr>
          <w:rFonts w:ascii="SimSun" w:hAnsi="SimSun" w:hint="eastAsia"/>
          <w:sz w:val="21"/>
          <w:szCs w:val="22"/>
        </w:rPr>
        <w:t>必须考虑采用系统的方法管理和举办活动、研讨会和会议。联合国的另外一项安全考虑是“</w:t>
      </w:r>
      <w:r w:rsidRPr="0039745F">
        <w:rPr>
          <w:rFonts w:ascii="KaiTi" w:eastAsia="KaiTi" w:hAnsi="KaiTi" w:hint="eastAsia"/>
          <w:sz w:val="21"/>
          <w:szCs w:val="22"/>
        </w:rPr>
        <w:t>如何得知哪些人受邀进入联合国设施？</w:t>
      </w:r>
      <w:r w:rsidRPr="00F15E6C">
        <w:rPr>
          <w:rFonts w:ascii="SimSun" w:hAnsi="SimSun" w:hint="eastAsia"/>
          <w:sz w:val="21"/>
          <w:szCs w:val="22"/>
        </w:rPr>
        <w:t>”会议服务系统所管理和运营的注册与认证过程很可能会需要一个安全筛选协议，目前尚未确定。需要以验证过的商业解决方案来取代现有系统。该设计还必须符合安全与安保协调处及联合国安全</w:t>
      </w:r>
      <w:r w:rsidR="0039745F">
        <w:rPr>
          <w:rFonts w:ascii="SimSun" w:hAnsi="SimSun" w:hint="eastAsia"/>
          <w:sz w:val="21"/>
          <w:szCs w:val="22"/>
        </w:rPr>
        <w:t>和</w:t>
      </w:r>
      <w:r w:rsidRPr="00F15E6C">
        <w:rPr>
          <w:rFonts w:ascii="SimSun" w:hAnsi="SimSun" w:hint="eastAsia"/>
          <w:sz w:val="21"/>
          <w:szCs w:val="22"/>
        </w:rPr>
        <w:t>安保部的要求。</w:t>
      </w:r>
    </w:p>
    <w:p w:rsidR="00A464B2" w:rsidRDefault="00A464B2" w:rsidP="00445570">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预计该项目将在2018</w:t>
      </w:r>
      <w:r w:rsidR="0039745F">
        <w:rPr>
          <w:rFonts w:ascii="SimSun" w:hAnsi="SimSun" w:hint="eastAsia"/>
          <w:sz w:val="21"/>
        </w:rPr>
        <w:t>–</w:t>
      </w:r>
      <w:r w:rsidRPr="00F15E6C">
        <w:rPr>
          <w:rFonts w:ascii="SimSun" w:hAnsi="SimSun" w:hint="eastAsia"/>
          <w:sz w:val="21"/>
        </w:rPr>
        <w:t>19年期间完成，包括</w:t>
      </w:r>
      <w:r w:rsidRPr="00445570">
        <w:rPr>
          <w:rFonts w:ascii="SimSun" w:hAnsi="SimSun" w:hint="eastAsia"/>
          <w:sz w:val="21"/>
          <w:szCs w:val="22"/>
        </w:rPr>
        <w:t>设计</w:t>
      </w:r>
      <w:r w:rsidRPr="00F15E6C">
        <w:rPr>
          <w:rFonts w:ascii="SimSun" w:hAnsi="SimSun" w:hint="eastAsia"/>
          <w:sz w:val="21"/>
        </w:rPr>
        <w:t>和实施阶段。</w:t>
      </w:r>
    </w:p>
    <w:p w:rsidR="00A464B2" w:rsidRPr="00963E2A" w:rsidRDefault="00A464B2" w:rsidP="00445570">
      <w:pPr>
        <w:keepNext/>
        <w:overflowPunct w:val="0"/>
        <w:spacing w:beforeLines="100" w:before="240" w:afterLines="50" w:after="120" w:line="340" w:lineRule="atLeast"/>
        <w:rPr>
          <w:rFonts w:ascii="KaiTi" w:eastAsia="KaiTi" w:hAnsi="KaiTi"/>
          <w:sz w:val="21"/>
        </w:rPr>
      </w:pPr>
      <w:r w:rsidRPr="00963E2A">
        <w:rPr>
          <w:rFonts w:ascii="KaiTi" w:eastAsia="KaiTi" w:hAnsi="KaiTi" w:hint="eastAsia"/>
          <w:sz w:val="21"/>
        </w:rPr>
        <w:t>驱动因素</w:t>
      </w:r>
    </w:p>
    <w:p w:rsidR="00A464B2" w:rsidRDefault="00A464B2" w:rsidP="00445570">
      <w:pPr>
        <w:overflowPunct w:val="0"/>
        <w:spacing w:afterLines="50" w:after="120" w:line="340" w:lineRule="atLeast"/>
        <w:ind w:firstLineChars="200" w:firstLine="420"/>
        <w:jc w:val="both"/>
        <w:rPr>
          <w:rFonts w:ascii="SimSun" w:hAnsi="SimSun"/>
          <w:sz w:val="21"/>
        </w:rPr>
      </w:pPr>
      <w:r w:rsidRPr="0039745F">
        <w:rPr>
          <w:rFonts w:ascii="KaiTi" w:eastAsia="KaiTi" w:hAnsi="KaiTi" w:hint="eastAsia"/>
          <w:sz w:val="21"/>
        </w:rPr>
        <w:t>成本效率</w:t>
      </w:r>
      <w:r w:rsidR="0039745F">
        <w:rPr>
          <w:rFonts w:ascii="SimSun" w:hAnsi="SimSun" w:hint="eastAsia"/>
          <w:sz w:val="21"/>
        </w:rPr>
        <w:t>–</w:t>
      </w:r>
      <w:r w:rsidRPr="00F15E6C">
        <w:rPr>
          <w:rFonts w:ascii="SimSun" w:hAnsi="SimSun" w:hint="eastAsia"/>
          <w:sz w:val="21"/>
        </w:rPr>
        <w:t>目前的系统使用过时软件，其</w:t>
      </w:r>
      <w:r w:rsidRPr="00445570">
        <w:rPr>
          <w:rFonts w:ascii="SimSun" w:hAnsi="SimSun" w:hint="eastAsia"/>
          <w:sz w:val="21"/>
          <w:szCs w:val="22"/>
        </w:rPr>
        <w:t>组成部分</w:t>
      </w:r>
      <w:r w:rsidRPr="00F15E6C">
        <w:rPr>
          <w:rFonts w:ascii="SimSun" w:hAnsi="SimSun" w:hint="eastAsia"/>
          <w:sz w:val="21"/>
        </w:rPr>
        <w:t>之间并没有整合到</w:t>
      </w:r>
      <w:r w:rsidR="004F7E15">
        <w:rPr>
          <w:rFonts w:ascii="SimSun" w:hAnsi="SimSun" w:hint="eastAsia"/>
          <w:sz w:val="21"/>
        </w:rPr>
        <w:t>产权组织</w:t>
      </w:r>
      <w:r w:rsidRPr="00F15E6C">
        <w:rPr>
          <w:rFonts w:ascii="SimSun" w:hAnsi="SimSun" w:hint="eastAsia"/>
          <w:sz w:val="21"/>
        </w:rPr>
        <w:t>的ERP系统中。集成模式将消除重复和重叠，提高用户效率。</w:t>
      </w:r>
    </w:p>
    <w:p w:rsidR="00A464B2" w:rsidRDefault="00A464B2" w:rsidP="00445570">
      <w:pPr>
        <w:overflowPunct w:val="0"/>
        <w:spacing w:afterLines="50" w:after="120" w:line="340" w:lineRule="atLeast"/>
        <w:ind w:firstLineChars="200" w:firstLine="420"/>
        <w:jc w:val="both"/>
        <w:rPr>
          <w:rFonts w:ascii="SimSun" w:hAnsi="SimSun"/>
          <w:sz w:val="21"/>
        </w:rPr>
      </w:pPr>
      <w:r w:rsidRPr="0039745F">
        <w:rPr>
          <w:rFonts w:ascii="KaiTi" w:eastAsia="KaiTi" w:hAnsi="KaiTi" w:hint="eastAsia"/>
          <w:sz w:val="21"/>
        </w:rPr>
        <w:t>业务需求</w:t>
      </w:r>
      <w:r w:rsidR="0039745F">
        <w:rPr>
          <w:rFonts w:ascii="SimSun" w:hAnsi="SimSun" w:hint="eastAsia"/>
          <w:sz w:val="21"/>
        </w:rPr>
        <w:t>–</w:t>
      </w:r>
      <w:r w:rsidRPr="00F15E6C">
        <w:rPr>
          <w:rFonts w:ascii="SimSun" w:hAnsi="SimSun" w:hint="eastAsia"/>
          <w:sz w:val="21"/>
        </w:rPr>
        <w:t>用于支持会议的数据库基于过时的软件，该软件已经到达其使用寿命末期。这些数据库和产生数据库的软件对本组织持续有效地组织活动、研讨会和会议的能力至关重要。以现代化的集成化系统进行替换，可确保对资源的有效管理。</w:t>
      </w:r>
    </w:p>
    <w:p w:rsidR="00A464B2" w:rsidRDefault="00A464B2" w:rsidP="00445570">
      <w:pPr>
        <w:overflowPunct w:val="0"/>
        <w:spacing w:afterLines="50" w:after="120" w:line="340" w:lineRule="atLeast"/>
        <w:ind w:firstLineChars="200" w:firstLine="420"/>
        <w:jc w:val="both"/>
        <w:rPr>
          <w:rFonts w:ascii="SimSun" w:hAnsi="SimSun"/>
          <w:sz w:val="21"/>
        </w:rPr>
      </w:pPr>
      <w:r w:rsidRPr="0039745F">
        <w:rPr>
          <w:rFonts w:ascii="KaiTi" w:eastAsia="KaiTi" w:hAnsi="KaiTi" w:hint="eastAsia"/>
          <w:sz w:val="21"/>
        </w:rPr>
        <w:t>安全、安保和信息保证</w:t>
      </w:r>
      <w:r w:rsidR="0039745F">
        <w:rPr>
          <w:rFonts w:ascii="SimSun" w:hAnsi="SimSun" w:hint="eastAsia"/>
          <w:sz w:val="21"/>
        </w:rPr>
        <w:t>–</w:t>
      </w:r>
      <w:r w:rsidRPr="00F15E6C">
        <w:rPr>
          <w:rFonts w:ascii="SimSun" w:hAnsi="SimSun" w:hint="eastAsia"/>
          <w:sz w:val="21"/>
        </w:rPr>
        <w:t>新的集成化系统有助于本</w:t>
      </w:r>
      <w:r w:rsidRPr="00445570">
        <w:rPr>
          <w:rFonts w:ascii="SimSun" w:hAnsi="SimSun" w:hint="eastAsia"/>
          <w:sz w:val="21"/>
          <w:szCs w:val="22"/>
        </w:rPr>
        <w:t>组织</w:t>
      </w:r>
      <w:r w:rsidRPr="00F15E6C">
        <w:rPr>
          <w:rFonts w:ascii="SimSun" w:hAnsi="SimSun" w:hint="eastAsia"/>
          <w:sz w:val="21"/>
        </w:rPr>
        <w:t>符合</w:t>
      </w:r>
      <w:r w:rsidR="004F7E15">
        <w:rPr>
          <w:rFonts w:ascii="SimSun" w:hAnsi="SimSun" w:hint="eastAsia"/>
          <w:sz w:val="21"/>
        </w:rPr>
        <w:t>产权组织</w:t>
      </w:r>
      <w:r w:rsidRPr="00F15E6C">
        <w:rPr>
          <w:rFonts w:ascii="SimSun" w:hAnsi="SimSun" w:hint="eastAsia"/>
          <w:sz w:val="21"/>
        </w:rPr>
        <w:t>和联合国安保服务的要求，确保研讨会和活动代表和与会者的安全。</w:t>
      </w:r>
    </w:p>
    <w:p w:rsidR="00A464B2" w:rsidRDefault="00A464B2" w:rsidP="00445570">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该项目作为一次性非常资本项目，符合修订后</w:t>
      </w:r>
      <w:r w:rsidRPr="00445570">
        <w:rPr>
          <w:rFonts w:ascii="SimSun" w:hAnsi="SimSun" w:hint="eastAsia"/>
          <w:sz w:val="21"/>
          <w:szCs w:val="22"/>
        </w:rPr>
        <w:t>储备</w:t>
      </w:r>
      <w:proofErr w:type="gramStart"/>
      <w:r w:rsidRPr="00F15E6C">
        <w:rPr>
          <w:rFonts w:ascii="SimSun" w:hAnsi="SimSun" w:hint="eastAsia"/>
          <w:sz w:val="21"/>
        </w:rPr>
        <w:t>金政策</w:t>
      </w:r>
      <w:proofErr w:type="gramEnd"/>
      <w:r w:rsidRPr="00F15E6C">
        <w:rPr>
          <w:rFonts w:ascii="SimSun" w:hAnsi="SimSun" w:hint="eastAsia"/>
          <w:sz w:val="21"/>
        </w:rPr>
        <w:t>的要求。</w:t>
      </w:r>
    </w:p>
    <w:p w:rsidR="00A464B2" w:rsidRPr="00445570" w:rsidRDefault="00A464B2" w:rsidP="00445570">
      <w:pPr>
        <w:keepNext/>
        <w:overflowPunct w:val="0"/>
        <w:spacing w:beforeLines="100" w:before="240" w:afterLines="50" w:after="120" w:line="340" w:lineRule="atLeast"/>
        <w:rPr>
          <w:rFonts w:ascii="KaiTi" w:eastAsia="KaiTi" w:hAnsi="KaiTi"/>
          <w:sz w:val="21"/>
        </w:rPr>
      </w:pPr>
      <w:r w:rsidRPr="00445570">
        <w:rPr>
          <w:rFonts w:ascii="KaiTi" w:eastAsia="KaiTi" w:hAnsi="KaiTi" w:hint="eastAsia"/>
          <w:sz w:val="21"/>
        </w:rPr>
        <w:t>预计经常性运营成本</w:t>
      </w:r>
    </w:p>
    <w:p w:rsidR="00A464B2" w:rsidRDefault="00A464B2" w:rsidP="00445570">
      <w:pPr>
        <w:overflowPunct w:val="0"/>
        <w:spacing w:afterLines="50" w:after="120" w:line="340" w:lineRule="atLeast"/>
        <w:ind w:firstLineChars="200" w:firstLine="420"/>
        <w:jc w:val="both"/>
        <w:rPr>
          <w:rFonts w:ascii="SimSun" w:hAnsi="SimSun"/>
          <w:sz w:val="21"/>
          <w:szCs w:val="22"/>
        </w:rPr>
      </w:pPr>
      <w:r w:rsidRPr="00F15E6C">
        <w:rPr>
          <w:rFonts w:ascii="SimSun" w:hAnsi="SimSun" w:hint="eastAsia"/>
          <w:sz w:val="21"/>
          <w:szCs w:val="22"/>
        </w:rPr>
        <w:t>预计</w:t>
      </w:r>
      <w:r w:rsidR="008330C1">
        <w:rPr>
          <w:rFonts w:ascii="SimSun" w:hAnsi="SimSun" w:hint="eastAsia"/>
          <w:sz w:val="21"/>
          <w:szCs w:val="22"/>
        </w:rPr>
        <w:t>一体化</w:t>
      </w:r>
      <w:r w:rsidRPr="00F15E6C">
        <w:rPr>
          <w:rFonts w:ascii="SimSun" w:hAnsi="SimSun" w:hint="eastAsia"/>
          <w:sz w:val="21"/>
          <w:szCs w:val="22"/>
        </w:rPr>
        <w:t>会议事务平台的维持和运营经常性费用为每年86</w:t>
      </w:r>
      <w:r w:rsidR="0039745F">
        <w:rPr>
          <w:rFonts w:ascii="SimSun" w:hAnsi="SimSun" w:hint="eastAsia"/>
          <w:sz w:val="21"/>
          <w:szCs w:val="22"/>
        </w:rPr>
        <w:t>,</w:t>
      </w:r>
      <w:r w:rsidRPr="00F15E6C">
        <w:rPr>
          <w:rFonts w:ascii="SimSun" w:hAnsi="SimSun" w:hint="eastAsia"/>
          <w:sz w:val="21"/>
          <w:szCs w:val="22"/>
        </w:rPr>
        <w:t>000瑞士法郎。此项费用作为经常预算的一部分列入后续的计划和预算草案。</w:t>
      </w:r>
    </w:p>
    <w:p w:rsidR="0039745F" w:rsidRDefault="0039745F" w:rsidP="00B27883">
      <w:pPr>
        <w:spacing w:afterLines="50" w:after="120" w:line="340" w:lineRule="atLeast"/>
        <w:ind w:left="5534"/>
        <w:jc w:val="both"/>
        <w:rPr>
          <w:rFonts w:ascii="KaiTi" w:eastAsia="KaiTi" w:hAnsi="KaiTi"/>
          <w:sz w:val="21"/>
        </w:rPr>
      </w:pPr>
    </w:p>
    <w:p w:rsidR="00944DBE" w:rsidRDefault="00A464B2" w:rsidP="00B27883">
      <w:pPr>
        <w:spacing w:afterLines="50" w:after="120" w:line="340" w:lineRule="atLeast"/>
        <w:ind w:left="5534"/>
        <w:jc w:val="both"/>
        <w:rPr>
          <w:rFonts w:ascii="KaiTi" w:eastAsia="KaiTi" w:hAnsi="KaiTi"/>
          <w:sz w:val="21"/>
        </w:rPr>
      </w:pPr>
      <w:r w:rsidRPr="00B27883">
        <w:rPr>
          <w:rFonts w:ascii="KaiTi" w:eastAsia="KaiTi" w:hAnsi="KaiTi"/>
          <w:sz w:val="21"/>
        </w:rPr>
        <w:t>[</w:t>
      </w:r>
      <w:r w:rsidRPr="00B27883">
        <w:rPr>
          <w:rFonts w:ascii="KaiTi" w:eastAsia="KaiTi" w:hAnsi="KaiTi" w:hint="eastAsia"/>
          <w:sz w:val="21"/>
        </w:rPr>
        <w:t>后接附件六</w:t>
      </w:r>
      <w:r w:rsidRPr="00B27883">
        <w:rPr>
          <w:rFonts w:ascii="KaiTi" w:eastAsia="KaiTi" w:hAnsi="KaiTi"/>
          <w:sz w:val="21"/>
        </w:rPr>
        <w:t>]</w:t>
      </w:r>
    </w:p>
    <w:p w:rsidR="0039745F" w:rsidRPr="00B27883" w:rsidRDefault="0039745F" w:rsidP="00B27883">
      <w:pPr>
        <w:spacing w:afterLines="50" w:after="120" w:line="340" w:lineRule="atLeast"/>
        <w:ind w:left="5534"/>
        <w:jc w:val="both"/>
        <w:rPr>
          <w:rFonts w:ascii="KaiTi" w:eastAsia="KaiTi" w:hAnsi="KaiTi"/>
          <w:sz w:val="21"/>
        </w:rPr>
        <w:sectPr w:rsidR="0039745F" w:rsidRPr="00B27883" w:rsidSect="00F0557F">
          <w:headerReference w:type="default" r:id="rId23"/>
          <w:headerReference w:type="first" r:id="rId24"/>
          <w:pgSz w:w="11907" w:h="16840" w:code="9"/>
          <w:pgMar w:top="567" w:right="1134" w:bottom="1418" w:left="1418" w:header="510" w:footer="1021" w:gutter="0"/>
          <w:pgNumType w:start="1"/>
          <w:cols w:space="720"/>
          <w:titlePg/>
          <w:docGrid w:linePitch="299"/>
        </w:sectPr>
      </w:pPr>
    </w:p>
    <w:p w:rsidR="00A464B2" w:rsidRPr="00B27883" w:rsidRDefault="00A464B2" w:rsidP="00B27883">
      <w:pPr>
        <w:pStyle w:val="1"/>
        <w:overflowPunct w:val="0"/>
        <w:spacing w:before="0" w:afterLines="100" w:after="240" w:line="340" w:lineRule="atLeast"/>
        <w:rPr>
          <w:rFonts w:ascii="SimHei" w:eastAsia="SimHei" w:hAnsi="SimHei"/>
          <w:b w:val="0"/>
          <w:sz w:val="21"/>
        </w:rPr>
      </w:pPr>
      <w:r w:rsidRPr="00B27883">
        <w:rPr>
          <w:rFonts w:ascii="SimHei" w:eastAsia="SimHei" w:hAnsi="SimHei" w:hint="eastAsia"/>
          <w:b w:val="0"/>
          <w:sz w:val="21"/>
        </w:rPr>
        <w:lastRenderedPageBreak/>
        <w:t>附件六：2018</w:t>
      </w:r>
      <w:r w:rsidR="0039745F">
        <w:rPr>
          <w:rFonts w:ascii="SimHei" w:eastAsia="SimHei" w:hAnsi="SimHei" w:hint="eastAsia"/>
          <w:b w:val="0"/>
          <w:sz w:val="21"/>
        </w:rPr>
        <w:t>–</w:t>
      </w:r>
      <w:r w:rsidRPr="00B27883">
        <w:rPr>
          <w:rFonts w:ascii="SimHei" w:eastAsia="SimHei" w:hAnsi="SimHei" w:hint="eastAsia"/>
          <w:b w:val="0"/>
          <w:sz w:val="21"/>
        </w:rPr>
        <w:t>19年建筑物生命周期内整修/重建</w:t>
      </w:r>
    </w:p>
    <w:p w:rsidR="00A464B2" w:rsidRDefault="00A464B2" w:rsidP="00445570">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对于2018/19年度，要求主要优先</w:t>
      </w:r>
      <w:r w:rsidR="004F7E15">
        <w:rPr>
          <w:rFonts w:ascii="SimSun" w:hAnsi="SimSun" w:hint="eastAsia"/>
          <w:sz w:val="21"/>
        </w:rPr>
        <w:t>基建总计划</w:t>
      </w:r>
      <w:r w:rsidRPr="00F15E6C">
        <w:rPr>
          <w:rFonts w:ascii="SimSun" w:hAnsi="SimSun" w:hint="eastAsia"/>
          <w:sz w:val="21"/>
        </w:rPr>
        <w:t>项目能够确保本组织某些主要建筑物和/或设施的正常运作。</w:t>
      </w:r>
    </w:p>
    <w:p w:rsidR="00A464B2" w:rsidRPr="00963E2A" w:rsidRDefault="00A464B2" w:rsidP="00445570">
      <w:pPr>
        <w:keepNext/>
        <w:overflowPunct w:val="0"/>
        <w:spacing w:beforeLines="100" w:before="240" w:afterLines="50" w:after="120" w:line="340" w:lineRule="atLeast"/>
        <w:rPr>
          <w:rFonts w:ascii="KaiTi" w:eastAsia="KaiTi" w:hAnsi="KaiTi"/>
          <w:sz w:val="21"/>
        </w:rPr>
      </w:pPr>
      <w:r w:rsidRPr="00963E2A">
        <w:rPr>
          <w:rFonts w:ascii="KaiTi" w:eastAsia="KaiTi" w:hAnsi="KaiTi" w:hint="eastAsia"/>
          <w:sz w:val="21"/>
        </w:rPr>
        <w:t>项目目标和预期效益</w:t>
      </w:r>
    </w:p>
    <w:p w:rsidR="00A464B2" w:rsidRDefault="00A464B2" w:rsidP="0039745F">
      <w:pPr>
        <w:pStyle w:val="3"/>
        <w:overflowPunct w:val="0"/>
        <w:spacing w:beforeLines="100" w:afterLines="50" w:after="120" w:line="340" w:lineRule="atLeast"/>
        <w:rPr>
          <w:rFonts w:ascii="SimSun" w:hAnsi="SimSun"/>
          <w:sz w:val="21"/>
        </w:rPr>
      </w:pPr>
      <w:r w:rsidRPr="00F15E6C">
        <w:rPr>
          <w:rFonts w:ascii="SimSun" w:hAnsi="SimSun" w:hint="eastAsia"/>
          <w:sz w:val="21"/>
        </w:rPr>
        <w:t>多媒体工作室</w:t>
      </w:r>
    </w:p>
    <w:p w:rsidR="00A464B2" w:rsidRDefault="00A464B2" w:rsidP="00445570">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创建一个多媒体工作室后，本组织将得以内部制作与知识产权发展有关的资料，以便与成员国进行沟通、提供公共信息和用于培训。</w:t>
      </w:r>
    </w:p>
    <w:p w:rsidR="00A464B2" w:rsidRDefault="00A464B2" w:rsidP="0039745F">
      <w:pPr>
        <w:pStyle w:val="3"/>
        <w:overflowPunct w:val="0"/>
        <w:spacing w:beforeLines="100" w:afterLines="50" w:after="120" w:line="340" w:lineRule="atLeast"/>
        <w:rPr>
          <w:rFonts w:ascii="SimSun" w:hAnsi="SimSun"/>
          <w:sz w:val="21"/>
        </w:rPr>
      </w:pPr>
      <w:r w:rsidRPr="00F15E6C">
        <w:rPr>
          <w:rFonts w:ascii="SimSun" w:hAnsi="SimSun" w:hint="eastAsia"/>
          <w:sz w:val="21"/>
        </w:rPr>
        <w:t>PCT</w:t>
      </w:r>
      <w:r w:rsidR="000E3C49">
        <w:rPr>
          <w:rFonts w:ascii="SimSun" w:hAnsi="SimSun" w:hint="eastAsia"/>
          <w:sz w:val="21"/>
        </w:rPr>
        <w:t>楼</w:t>
      </w:r>
      <w:r w:rsidRPr="00F15E6C">
        <w:rPr>
          <w:rFonts w:ascii="SimSun" w:hAnsi="SimSun" w:hint="eastAsia"/>
          <w:sz w:val="21"/>
        </w:rPr>
        <w:t>翻修</w:t>
      </w:r>
    </w:p>
    <w:p w:rsidR="00A464B2" w:rsidRDefault="00A464B2" w:rsidP="00445570">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2014</w:t>
      </w:r>
      <w:r w:rsidR="0039745F">
        <w:rPr>
          <w:rFonts w:ascii="SimSun" w:hAnsi="SimSun" w:hint="eastAsia"/>
          <w:sz w:val="21"/>
        </w:rPr>
        <w:t>–</w:t>
      </w:r>
      <w:r w:rsidRPr="00F15E6C">
        <w:rPr>
          <w:rFonts w:ascii="SimSun" w:hAnsi="SimSun" w:hint="eastAsia"/>
          <w:sz w:val="21"/>
        </w:rPr>
        <w:t>19</w:t>
      </w:r>
      <w:r w:rsidR="004F7E15">
        <w:rPr>
          <w:rFonts w:ascii="SimSun" w:hAnsi="SimSun" w:hint="eastAsia"/>
          <w:color w:val="000000"/>
          <w:sz w:val="21"/>
          <w:szCs w:val="18"/>
        </w:rPr>
        <w:t>年基建总计划</w:t>
      </w:r>
      <w:r w:rsidRPr="00F15E6C">
        <w:rPr>
          <w:rFonts w:ascii="SimSun" w:hAnsi="SimSun" w:hint="eastAsia"/>
          <w:sz w:val="21"/>
        </w:rPr>
        <w:t>涵盖一个重大项目，包括在PCT</w:t>
      </w:r>
      <w:r w:rsidR="000E3C49">
        <w:rPr>
          <w:rFonts w:ascii="SimSun" w:hAnsi="SimSun" w:hint="eastAsia"/>
          <w:sz w:val="21"/>
        </w:rPr>
        <w:t>楼</w:t>
      </w:r>
      <w:r w:rsidRPr="00F15E6C">
        <w:rPr>
          <w:rFonts w:ascii="SimSun" w:hAnsi="SimSun" w:hint="eastAsia"/>
          <w:sz w:val="21"/>
        </w:rPr>
        <w:t>中修建活动的吊顶，对外墙和制冷/供暖系统进行整修。这些装修大部分定于2018/19两年期间进行。作为项目范围实施情况审查的一部分，决定在整修阶段，可以同步完成对PCT</w:t>
      </w:r>
      <w:r w:rsidR="000E3C49">
        <w:rPr>
          <w:rFonts w:ascii="SimSun" w:hAnsi="SimSun" w:hint="eastAsia"/>
          <w:sz w:val="21"/>
        </w:rPr>
        <w:t>楼</w:t>
      </w:r>
      <w:r w:rsidRPr="00F15E6C">
        <w:rPr>
          <w:rFonts w:ascii="SimSun" w:hAnsi="SimSun" w:hint="eastAsia"/>
          <w:sz w:val="21"/>
        </w:rPr>
        <w:t>的其他整修工作，从而最大限度地减少PCT工作人员的工作中断，减少施工期间工作人员临时移动的需求，</w:t>
      </w:r>
      <w:r w:rsidR="0039745F">
        <w:rPr>
          <w:rFonts w:ascii="SimSun" w:hAnsi="SimSun" w:hint="eastAsia"/>
          <w:sz w:val="21"/>
        </w:rPr>
        <w:t>以</w:t>
      </w:r>
      <w:r w:rsidRPr="00F15E6C">
        <w:rPr>
          <w:rFonts w:ascii="SimSun" w:hAnsi="SimSun" w:hint="eastAsia"/>
          <w:sz w:val="21"/>
        </w:rPr>
        <w:t>充分利用项目现场机会，提高成本效益和节省成本，更有效地整合各种技术、电气、安保与安全设备和系统新技术，避免在完成初步装修仅几年后在整个大楼再次开放大型工地的必要性。上述附加的装修包括：</w:t>
      </w:r>
    </w:p>
    <w:p w:rsidR="00A464B2" w:rsidRDefault="00A464B2" w:rsidP="00445570">
      <w:pPr>
        <w:pStyle w:val="10"/>
        <w:numPr>
          <w:ilvl w:val="0"/>
          <w:numId w:val="11"/>
        </w:numPr>
        <w:spacing w:afterLines="50" w:after="120" w:line="340" w:lineRule="atLeast"/>
        <w:ind w:leftChars="200" w:left="860" w:hangingChars="200" w:hanging="420"/>
        <w:contextualSpacing w:val="0"/>
        <w:jc w:val="both"/>
        <w:rPr>
          <w:rFonts w:ascii="SimSun" w:hAnsi="SimSun"/>
          <w:sz w:val="21"/>
        </w:rPr>
      </w:pPr>
      <w:r w:rsidRPr="00F15E6C">
        <w:rPr>
          <w:rFonts w:ascii="SimSun" w:hAnsi="SimSun" w:hint="eastAsia"/>
          <w:sz w:val="21"/>
        </w:rPr>
        <w:t>替换与电气、安全和安保系统改进工程关联的非活动性吊顶；</w:t>
      </w:r>
    </w:p>
    <w:p w:rsidR="00A464B2" w:rsidRDefault="00A464B2" w:rsidP="00445570">
      <w:pPr>
        <w:pStyle w:val="10"/>
        <w:numPr>
          <w:ilvl w:val="0"/>
          <w:numId w:val="11"/>
        </w:numPr>
        <w:spacing w:afterLines="50" w:after="120" w:line="340" w:lineRule="atLeast"/>
        <w:ind w:leftChars="200" w:left="860" w:hangingChars="200" w:hanging="420"/>
        <w:contextualSpacing w:val="0"/>
        <w:jc w:val="both"/>
        <w:rPr>
          <w:rFonts w:ascii="SimSun" w:hAnsi="SimSun"/>
          <w:sz w:val="21"/>
        </w:rPr>
      </w:pPr>
      <w:r w:rsidRPr="00F15E6C">
        <w:rPr>
          <w:rFonts w:ascii="SimSun" w:hAnsi="SimSun" w:hint="eastAsia"/>
          <w:sz w:val="21"/>
        </w:rPr>
        <w:t>升级排烟系统；</w:t>
      </w:r>
    </w:p>
    <w:p w:rsidR="00A464B2" w:rsidRDefault="00A464B2" w:rsidP="00445570">
      <w:pPr>
        <w:pStyle w:val="10"/>
        <w:numPr>
          <w:ilvl w:val="0"/>
          <w:numId w:val="11"/>
        </w:numPr>
        <w:spacing w:afterLines="50" w:after="120" w:line="340" w:lineRule="atLeast"/>
        <w:ind w:leftChars="200" w:left="860" w:hangingChars="200" w:hanging="420"/>
        <w:contextualSpacing w:val="0"/>
        <w:jc w:val="both"/>
        <w:rPr>
          <w:rFonts w:ascii="SimSun" w:hAnsi="SimSun"/>
          <w:sz w:val="21"/>
        </w:rPr>
      </w:pPr>
      <w:r w:rsidRPr="00F15E6C">
        <w:rPr>
          <w:rFonts w:ascii="SimSun" w:hAnsi="SimSun" w:hint="eastAsia"/>
          <w:sz w:val="21"/>
        </w:rPr>
        <w:t>修改门和安装新紧急</w:t>
      </w:r>
      <w:r w:rsidRPr="00445570">
        <w:rPr>
          <w:rFonts w:ascii="SimSun" w:hAnsi="SimSun" w:hint="eastAsia"/>
          <w:sz w:val="21"/>
          <w:szCs w:val="22"/>
        </w:rPr>
        <w:t>出口</w:t>
      </w:r>
      <w:r w:rsidRPr="00F15E6C">
        <w:rPr>
          <w:rFonts w:ascii="SimSun" w:hAnsi="SimSun" w:hint="eastAsia"/>
          <w:sz w:val="21"/>
        </w:rPr>
        <w:t>，以符合瑞士关于建筑物疏散的规定</w:t>
      </w:r>
      <w:r w:rsidR="004F7E15">
        <w:rPr>
          <w:rFonts w:ascii="SimSun" w:hAnsi="SimSun" w:hint="eastAsia"/>
          <w:sz w:val="21"/>
        </w:rPr>
        <w:t>；</w:t>
      </w:r>
    </w:p>
    <w:p w:rsidR="00A464B2" w:rsidRDefault="00A464B2" w:rsidP="00445570">
      <w:pPr>
        <w:pStyle w:val="10"/>
        <w:numPr>
          <w:ilvl w:val="0"/>
          <w:numId w:val="11"/>
        </w:numPr>
        <w:spacing w:afterLines="50" w:after="120" w:line="340" w:lineRule="atLeast"/>
        <w:ind w:leftChars="200" w:left="860" w:hangingChars="200" w:hanging="420"/>
        <w:contextualSpacing w:val="0"/>
        <w:jc w:val="both"/>
        <w:rPr>
          <w:rFonts w:ascii="SimSun" w:hAnsi="SimSun"/>
          <w:sz w:val="21"/>
        </w:rPr>
      </w:pPr>
      <w:r w:rsidRPr="00F15E6C">
        <w:rPr>
          <w:rFonts w:ascii="SimSun" w:hAnsi="SimSun" w:hint="eastAsia"/>
          <w:sz w:val="21"/>
        </w:rPr>
        <w:t>在某些较高楼层增加通风机制</w:t>
      </w:r>
      <w:r w:rsidR="004F7E15">
        <w:rPr>
          <w:rFonts w:ascii="SimSun" w:hAnsi="SimSun" w:hint="eastAsia"/>
          <w:sz w:val="21"/>
        </w:rPr>
        <w:t>；</w:t>
      </w:r>
    </w:p>
    <w:p w:rsidR="00A464B2" w:rsidRDefault="00A464B2" w:rsidP="00445570">
      <w:pPr>
        <w:pStyle w:val="10"/>
        <w:numPr>
          <w:ilvl w:val="0"/>
          <w:numId w:val="11"/>
        </w:numPr>
        <w:spacing w:afterLines="50" w:after="120" w:line="340" w:lineRule="atLeast"/>
        <w:ind w:leftChars="200" w:left="860" w:hangingChars="200" w:hanging="420"/>
        <w:contextualSpacing w:val="0"/>
        <w:jc w:val="both"/>
        <w:rPr>
          <w:rFonts w:ascii="SimSun" w:hAnsi="SimSun"/>
          <w:sz w:val="21"/>
        </w:rPr>
      </w:pPr>
      <w:r w:rsidRPr="00F15E6C">
        <w:rPr>
          <w:rFonts w:ascii="SimSun" w:hAnsi="SimSun" w:hint="eastAsia"/>
          <w:sz w:val="21"/>
        </w:rPr>
        <w:t>安装新一代公共广播系统</w:t>
      </w:r>
      <w:r w:rsidR="004F7E15">
        <w:rPr>
          <w:rFonts w:ascii="SimSun" w:hAnsi="SimSun" w:hint="eastAsia"/>
          <w:sz w:val="21"/>
        </w:rPr>
        <w:t>；</w:t>
      </w:r>
      <w:r w:rsidRPr="00F15E6C">
        <w:rPr>
          <w:rFonts w:ascii="SimSun" w:hAnsi="SimSun" w:hint="eastAsia"/>
          <w:sz w:val="21"/>
        </w:rPr>
        <w:t>和</w:t>
      </w:r>
    </w:p>
    <w:p w:rsidR="00A464B2" w:rsidRDefault="00A464B2" w:rsidP="00445570">
      <w:pPr>
        <w:pStyle w:val="10"/>
        <w:numPr>
          <w:ilvl w:val="0"/>
          <w:numId w:val="11"/>
        </w:numPr>
        <w:spacing w:afterLines="50" w:after="120" w:line="340" w:lineRule="atLeast"/>
        <w:ind w:leftChars="200" w:left="860" w:hangingChars="200" w:hanging="420"/>
        <w:contextualSpacing w:val="0"/>
        <w:jc w:val="both"/>
        <w:rPr>
          <w:rFonts w:ascii="SimSun" w:hAnsi="SimSun"/>
          <w:sz w:val="21"/>
        </w:rPr>
      </w:pPr>
      <w:r w:rsidRPr="00F15E6C">
        <w:rPr>
          <w:rFonts w:ascii="SimSun" w:hAnsi="SimSun" w:hint="eastAsia"/>
          <w:sz w:val="21"/>
        </w:rPr>
        <w:t>应急照明系统的重大升级。</w:t>
      </w:r>
    </w:p>
    <w:p w:rsidR="00A464B2" w:rsidRDefault="00A464B2" w:rsidP="0039745F">
      <w:pPr>
        <w:pStyle w:val="3"/>
        <w:overflowPunct w:val="0"/>
        <w:spacing w:beforeLines="100" w:afterLines="50" w:after="120" w:line="340" w:lineRule="atLeast"/>
        <w:rPr>
          <w:rFonts w:ascii="SimSun" w:hAnsi="SimSun"/>
          <w:sz w:val="21"/>
        </w:rPr>
      </w:pPr>
      <w:r w:rsidRPr="00F15E6C">
        <w:rPr>
          <w:rFonts w:ascii="SimSun" w:hAnsi="SimSun" w:hint="eastAsia"/>
          <w:sz w:val="21"/>
        </w:rPr>
        <w:t>AB</w:t>
      </w:r>
      <w:r w:rsidR="000E3C49">
        <w:rPr>
          <w:rFonts w:ascii="SimSun" w:hAnsi="SimSun" w:hint="eastAsia"/>
          <w:sz w:val="21"/>
        </w:rPr>
        <w:t>楼</w:t>
      </w:r>
      <w:r w:rsidRPr="00F15E6C">
        <w:rPr>
          <w:rFonts w:ascii="SimSun" w:hAnsi="SimSun" w:hint="eastAsia"/>
          <w:sz w:val="21"/>
        </w:rPr>
        <w:t>电气系统和机械安装</w:t>
      </w:r>
    </w:p>
    <w:p w:rsidR="00A464B2" w:rsidRDefault="00A464B2" w:rsidP="00445570">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建议提供资金在电气和电梯系统中进行如下改进：</w:t>
      </w:r>
    </w:p>
    <w:p w:rsidR="00A464B2" w:rsidRDefault="00A464B2" w:rsidP="0039745F">
      <w:pPr>
        <w:overflowPunct w:val="0"/>
        <w:spacing w:afterLines="50" w:after="120" w:line="340" w:lineRule="atLeast"/>
        <w:ind w:leftChars="400" w:left="880"/>
        <w:jc w:val="both"/>
        <w:rPr>
          <w:rFonts w:ascii="SimSun" w:hAnsi="SimSun"/>
          <w:sz w:val="21"/>
        </w:rPr>
      </w:pPr>
      <w:r w:rsidRPr="00F15E6C">
        <w:rPr>
          <w:rFonts w:ascii="SimSun" w:hAnsi="SimSun" w:hint="eastAsia"/>
          <w:sz w:val="21"/>
        </w:rPr>
        <w:t>电气系统</w:t>
      </w:r>
      <w:r w:rsidR="0039745F">
        <w:rPr>
          <w:rFonts w:ascii="SimSun" w:hAnsi="SimSun" w:hint="eastAsia"/>
          <w:sz w:val="21"/>
        </w:rPr>
        <w:t>–</w:t>
      </w:r>
      <w:r w:rsidRPr="00F15E6C">
        <w:rPr>
          <w:rFonts w:ascii="SimSun" w:hAnsi="SimSun" w:hint="eastAsia"/>
          <w:sz w:val="21"/>
        </w:rPr>
        <w:t>对AB</w:t>
      </w:r>
      <w:r w:rsidR="000E3C49">
        <w:rPr>
          <w:rFonts w:ascii="SimSun" w:hAnsi="SimSun" w:hint="eastAsia"/>
          <w:sz w:val="21"/>
        </w:rPr>
        <w:t>楼</w:t>
      </w:r>
      <w:r w:rsidRPr="00F15E6C">
        <w:rPr>
          <w:rFonts w:ascii="SimSun" w:hAnsi="SimSun" w:hint="eastAsia"/>
          <w:sz w:val="21"/>
        </w:rPr>
        <w:t>的备用电源系统进行电气升级，安装更大的发电机以连接整个网络，从而减少断电，并增加附加设备与设施所需电力。在AB</w:t>
      </w:r>
      <w:r w:rsidR="000E3C49">
        <w:rPr>
          <w:rFonts w:ascii="SimSun" w:hAnsi="SimSun" w:hint="eastAsia"/>
          <w:sz w:val="21"/>
        </w:rPr>
        <w:t>楼</w:t>
      </w:r>
      <w:r w:rsidRPr="00F15E6C">
        <w:rPr>
          <w:rFonts w:ascii="SimSun" w:hAnsi="SimSun" w:hint="eastAsia"/>
          <w:sz w:val="21"/>
        </w:rPr>
        <w:t>采用系统和灯具新技术实现照明现代化。</w:t>
      </w:r>
    </w:p>
    <w:p w:rsidR="00A464B2" w:rsidRDefault="00A464B2" w:rsidP="0039745F">
      <w:pPr>
        <w:overflowPunct w:val="0"/>
        <w:spacing w:afterLines="50" w:after="120" w:line="340" w:lineRule="atLeast"/>
        <w:ind w:leftChars="400" w:left="880"/>
        <w:jc w:val="both"/>
        <w:rPr>
          <w:rFonts w:ascii="SimSun" w:hAnsi="SimSun"/>
          <w:sz w:val="21"/>
        </w:rPr>
      </w:pPr>
      <w:r w:rsidRPr="00F15E6C">
        <w:rPr>
          <w:rFonts w:ascii="SimSun" w:hAnsi="SimSun" w:hint="eastAsia"/>
          <w:sz w:val="21"/>
        </w:rPr>
        <w:t>电梯系统</w:t>
      </w:r>
      <w:r w:rsidR="0039745F">
        <w:rPr>
          <w:rFonts w:ascii="SimSun" w:hAnsi="SimSun" w:hint="eastAsia"/>
          <w:sz w:val="21"/>
        </w:rPr>
        <w:t>–</w:t>
      </w:r>
      <w:r w:rsidRPr="00F15E6C">
        <w:rPr>
          <w:rFonts w:ascii="SimSun" w:hAnsi="SimSun" w:hint="eastAsia"/>
          <w:sz w:val="21"/>
        </w:rPr>
        <w:t>实现AB</w:t>
      </w:r>
      <w:r w:rsidR="000E3C49">
        <w:rPr>
          <w:rFonts w:ascii="SimSun" w:hAnsi="SimSun" w:hint="eastAsia"/>
          <w:sz w:val="21"/>
        </w:rPr>
        <w:t>楼</w:t>
      </w:r>
      <w:r w:rsidRPr="00F15E6C">
        <w:rPr>
          <w:rFonts w:ascii="SimSun" w:hAnsi="SimSun" w:hint="eastAsia"/>
          <w:sz w:val="21"/>
        </w:rPr>
        <w:t>电机系统的现代化（通过新技术），以确保电梯服务的全面连续性，并启动新的生命周期。</w:t>
      </w:r>
    </w:p>
    <w:p w:rsidR="00A464B2" w:rsidRPr="00445570" w:rsidRDefault="00A464B2" w:rsidP="00445570">
      <w:pPr>
        <w:keepNext/>
        <w:overflowPunct w:val="0"/>
        <w:spacing w:beforeLines="100" w:before="240" w:afterLines="50" w:after="120" w:line="340" w:lineRule="atLeast"/>
        <w:rPr>
          <w:rFonts w:ascii="KaiTi" w:eastAsia="KaiTi" w:hAnsi="KaiTi"/>
          <w:sz w:val="21"/>
        </w:rPr>
      </w:pPr>
      <w:r w:rsidRPr="00445570">
        <w:rPr>
          <w:rFonts w:ascii="KaiTi" w:eastAsia="KaiTi" w:hAnsi="KaiTi" w:hint="eastAsia"/>
          <w:sz w:val="21"/>
        </w:rPr>
        <w:t>驱动因素</w:t>
      </w:r>
    </w:p>
    <w:p w:rsidR="00A464B2" w:rsidRDefault="00A464B2" w:rsidP="00445570">
      <w:pPr>
        <w:overflowPunct w:val="0"/>
        <w:spacing w:afterLines="50" w:after="120" w:line="340" w:lineRule="atLeast"/>
        <w:ind w:firstLineChars="200" w:firstLine="420"/>
        <w:jc w:val="both"/>
        <w:rPr>
          <w:rFonts w:ascii="SimSun" w:hAnsi="SimSun"/>
          <w:sz w:val="21"/>
        </w:rPr>
      </w:pPr>
      <w:r w:rsidRPr="0039745F">
        <w:rPr>
          <w:rFonts w:ascii="KaiTi" w:eastAsia="KaiTi" w:hAnsi="KaiTi" w:hint="eastAsia"/>
          <w:sz w:val="21"/>
        </w:rPr>
        <w:t>生命周期</w:t>
      </w:r>
      <w:r w:rsidR="0039745F">
        <w:rPr>
          <w:rFonts w:ascii="SimSun" w:hAnsi="SimSun" w:hint="eastAsia"/>
          <w:sz w:val="21"/>
        </w:rPr>
        <w:t>–</w:t>
      </w:r>
      <w:r w:rsidRPr="00F15E6C">
        <w:rPr>
          <w:rFonts w:ascii="SimSun" w:hAnsi="SimSun" w:hint="eastAsia"/>
          <w:sz w:val="21"/>
        </w:rPr>
        <w:t>确保PCT</w:t>
      </w:r>
      <w:proofErr w:type="gramStart"/>
      <w:r w:rsidR="000E3C49">
        <w:rPr>
          <w:rFonts w:ascii="SimSun" w:hAnsi="SimSun" w:hint="eastAsia"/>
          <w:sz w:val="21"/>
        </w:rPr>
        <w:t>楼</w:t>
      </w:r>
      <w:r w:rsidRPr="00F15E6C">
        <w:rPr>
          <w:rFonts w:ascii="SimSun" w:hAnsi="SimSun" w:hint="eastAsia"/>
          <w:sz w:val="21"/>
        </w:rPr>
        <w:t>得到</w:t>
      </w:r>
      <w:proofErr w:type="gramEnd"/>
      <w:r w:rsidRPr="00F15E6C">
        <w:rPr>
          <w:rFonts w:ascii="SimSun" w:hAnsi="SimSun" w:hint="eastAsia"/>
          <w:sz w:val="21"/>
        </w:rPr>
        <w:t>充分翻新，以确保在其使用寿命期内</w:t>
      </w:r>
      <w:r w:rsidRPr="00445570">
        <w:rPr>
          <w:rFonts w:ascii="SimSun" w:hAnsi="SimSun" w:hint="eastAsia"/>
          <w:sz w:val="21"/>
          <w:szCs w:val="22"/>
        </w:rPr>
        <w:t>得到</w:t>
      </w:r>
      <w:r w:rsidRPr="00F15E6C">
        <w:rPr>
          <w:rFonts w:ascii="SimSun" w:hAnsi="SimSun" w:hint="eastAsia"/>
          <w:sz w:val="21"/>
        </w:rPr>
        <w:t>充分利用，并对现有系统进行改进，以便在必要时进行升级以满足当前工作所需。重新启动AB</w:t>
      </w:r>
      <w:r w:rsidR="000E3C49">
        <w:rPr>
          <w:rFonts w:ascii="SimSun" w:hAnsi="SimSun" w:hint="eastAsia"/>
          <w:sz w:val="21"/>
        </w:rPr>
        <w:t>楼</w:t>
      </w:r>
      <w:r w:rsidRPr="00F15E6C">
        <w:rPr>
          <w:rFonts w:ascii="SimSun" w:hAnsi="SimSun" w:hint="eastAsia"/>
          <w:sz w:val="21"/>
        </w:rPr>
        <w:t>电梯和照明系统的生命周期。</w:t>
      </w:r>
    </w:p>
    <w:p w:rsidR="00A464B2" w:rsidRDefault="00A464B2" w:rsidP="00445570">
      <w:pPr>
        <w:overflowPunct w:val="0"/>
        <w:spacing w:afterLines="50" w:after="120" w:line="340" w:lineRule="atLeast"/>
        <w:ind w:firstLineChars="200" w:firstLine="420"/>
        <w:jc w:val="both"/>
        <w:rPr>
          <w:rFonts w:ascii="SimSun" w:hAnsi="SimSun"/>
          <w:sz w:val="21"/>
        </w:rPr>
      </w:pPr>
      <w:r w:rsidRPr="0039745F">
        <w:rPr>
          <w:rFonts w:ascii="KaiTi" w:eastAsia="KaiTi" w:hAnsi="KaiTi" w:hint="eastAsia"/>
          <w:sz w:val="21"/>
        </w:rPr>
        <w:t>安全、安保和信息保证</w:t>
      </w:r>
      <w:r w:rsidR="0039745F">
        <w:rPr>
          <w:rFonts w:ascii="SimSun" w:hAnsi="SimSun" w:hint="eastAsia"/>
          <w:sz w:val="21"/>
        </w:rPr>
        <w:t>–</w:t>
      </w:r>
      <w:r w:rsidRPr="00F15E6C">
        <w:rPr>
          <w:rFonts w:ascii="SimSun" w:hAnsi="SimSun" w:hint="eastAsia"/>
          <w:sz w:val="21"/>
        </w:rPr>
        <w:t>确保PCT</w:t>
      </w:r>
      <w:proofErr w:type="gramStart"/>
      <w:r w:rsidR="000E3C49">
        <w:rPr>
          <w:rFonts w:ascii="SimSun" w:hAnsi="SimSun" w:hint="eastAsia"/>
          <w:sz w:val="21"/>
        </w:rPr>
        <w:t>楼</w:t>
      </w:r>
      <w:r w:rsidRPr="00F15E6C">
        <w:rPr>
          <w:rFonts w:ascii="SimSun" w:hAnsi="SimSun" w:hint="eastAsia"/>
          <w:sz w:val="21"/>
        </w:rPr>
        <w:t>符合</w:t>
      </w:r>
      <w:proofErr w:type="gramEnd"/>
      <w:r w:rsidRPr="00F15E6C">
        <w:rPr>
          <w:rFonts w:ascii="SimSun" w:hAnsi="SimSun" w:hint="eastAsia"/>
          <w:sz w:val="21"/>
        </w:rPr>
        <w:t>联合国安全和安保</w:t>
      </w:r>
      <w:r w:rsidRPr="00445570">
        <w:rPr>
          <w:rFonts w:ascii="SimSun" w:hAnsi="SimSun" w:hint="eastAsia"/>
          <w:sz w:val="21"/>
          <w:szCs w:val="22"/>
        </w:rPr>
        <w:t>部</w:t>
      </w:r>
      <w:r w:rsidRPr="00F15E6C">
        <w:rPr>
          <w:rFonts w:ascii="SimSun" w:hAnsi="SimSun" w:hint="eastAsia"/>
          <w:sz w:val="21"/>
        </w:rPr>
        <w:t>制定的标准。</w:t>
      </w:r>
    </w:p>
    <w:p w:rsidR="00A464B2" w:rsidRDefault="00A464B2" w:rsidP="00445570">
      <w:pPr>
        <w:overflowPunct w:val="0"/>
        <w:spacing w:afterLines="50" w:after="120" w:line="340" w:lineRule="atLeast"/>
        <w:ind w:firstLineChars="200" w:firstLine="420"/>
        <w:jc w:val="both"/>
        <w:rPr>
          <w:rFonts w:ascii="SimSun" w:hAnsi="SimSun"/>
          <w:sz w:val="21"/>
        </w:rPr>
      </w:pPr>
      <w:r w:rsidRPr="0039745F">
        <w:rPr>
          <w:rFonts w:ascii="KaiTi" w:eastAsia="KaiTi" w:hAnsi="KaiTi" w:hint="eastAsia"/>
          <w:sz w:val="21"/>
        </w:rPr>
        <w:t>监管要求</w:t>
      </w:r>
      <w:r w:rsidR="0039745F">
        <w:rPr>
          <w:rFonts w:ascii="SimSun" w:hAnsi="SimSun" w:hint="eastAsia"/>
          <w:sz w:val="21"/>
        </w:rPr>
        <w:t>–</w:t>
      </w:r>
      <w:r w:rsidRPr="00F15E6C">
        <w:rPr>
          <w:rFonts w:ascii="SimSun" w:hAnsi="SimSun" w:hint="eastAsia"/>
          <w:sz w:val="21"/>
        </w:rPr>
        <w:t>确保PCT</w:t>
      </w:r>
      <w:proofErr w:type="gramStart"/>
      <w:r w:rsidR="000E3C49">
        <w:rPr>
          <w:rFonts w:ascii="SimSun" w:hAnsi="SimSun" w:hint="eastAsia"/>
          <w:sz w:val="21"/>
        </w:rPr>
        <w:t>楼</w:t>
      </w:r>
      <w:r w:rsidRPr="00F15E6C">
        <w:rPr>
          <w:rFonts w:ascii="SimSun" w:hAnsi="SimSun" w:hint="eastAsia"/>
          <w:sz w:val="21"/>
        </w:rPr>
        <w:t>符合</w:t>
      </w:r>
      <w:proofErr w:type="gramEnd"/>
      <w:r w:rsidRPr="00F15E6C">
        <w:rPr>
          <w:rFonts w:ascii="SimSun" w:hAnsi="SimSun" w:hint="eastAsia"/>
          <w:sz w:val="21"/>
        </w:rPr>
        <w:t>最近颁布的瑞士消防安全监管要求。</w:t>
      </w:r>
    </w:p>
    <w:p w:rsidR="00A464B2" w:rsidRDefault="00A464B2" w:rsidP="00445570">
      <w:pPr>
        <w:overflowPunct w:val="0"/>
        <w:spacing w:afterLines="50" w:after="120" w:line="340" w:lineRule="atLeast"/>
        <w:ind w:firstLineChars="200" w:firstLine="420"/>
        <w:jc w:val="both"/>
        <w:rPr>
          <w:rFonts w:ascii="SimSun" w:hAnsi="SimSun"/>
          <w:sz w:val="21"/>
        </w:rPr>
      </w:pPr>
      <w:r w:rsidRPr="0039745F">
        <w:rPr>
          <w:rFonts w:ascii="KaiTi" w:eastAsia="KaiTi" w:hAnsi="KaiTi" w:hint="eastAsia"/>
          <w:sz w:val="21"/>
        </w:rPr>
        <w:lastRenderedPageBreak/>
        <w:t>业务需求</w:t>
      </w:r>
      <w:r w:rsidR="0039745F">
        <w:rPr>
          <w:rFonts w:ascii="SimSun" w:hAnsi="SimSun" w:hint="eastAsia"/>
          <w:sz w:val="21"/>
        </w:rPr>
        <w:t>–</w:t>
      </w:r>
      <w:r w:rsidRPr="00F15E6C">
        <w:rPr>
          <w:rFonts w:ascii="SimSun" w:hAnsi="SimSun" w:hint="eastAsia"/>
          <w:sz w:val="21"/>
        </w:rPr>
        <w:t>创建多媒体工作室使本组织能够向</w:t>
      </w:r>
      <w:r w:rsidRPr="00445570">
        <w:rPr>
          <w:rFonts w:ascii="SimSun" w:hAnsi="SimSun" w:hint="eastAsia"/>
          <w:sz w:val="21"/>
          <w:szCs w:val="22"/>
        </w:rPr>
        <w:t>公众</w:t>
      </w:r>
      <w:r w:rsidRPr="00F15E6C">
        <w:rPr>
          <w:rFonts w:ascii="SimSun" w:hAnsi="SimSun" w:hint="eastAsia"/>
          <w:sz w:val="21"/>
        </w:rPr>
        <w:t>及其成员国更好地提供有关知识产权的信息。</w:t>
      </w:r>
    </w:p>
    <w:p w:rsidR="00A464B2" w:rsidRDefault="00A464B2" w:rsidP="00445570">
      <w:pPr>
        <w:overflowPunct w:val="0"/>
        <w:spacing w:afterLines="50" w:after="120" w:line="340" w:lineRule="atLeast"/>
        <w:ind w:firstLineChars="200" w:firstLine="420"/>
        <w:jc w:val="both"/>
        <w:rPr>
          <w:rFonts w:ascii="SimSun" w:hAnsi="SimSun"/>
          <w:sz w:val="21"/>
        </w:rPr>
      </w:pPr>
      <w:r w:rsidRPr="0039745F">
        <w:rPr>
          <w:rFonts w:ascii="KaiTi" w:eastAsia="KaiTi" w:hAnsi="KaiTi" w:hint="eastAsia"/>
          <w:sz w:val="21"/>
        </w:rPr>
        <w:t>成本效率</w:t>
      </w:r>
      <w:r w:rsidR="0039745F">
        <w:rPr>
          <w:rFonts w:ascii="SimSun" w:hAnsi="SimSun" w:hint="eastAsia"/>
          <w:sz w:val="21"/>
        </w:rPr>
        <w:t>–</w:t>
      </w:r>
      <w:r w:rsidRPr="00F15E6C">
        <w:rPr>
          <w:rFonts w:ascii="SimSun" w:hAnsi="SimSun" w:hint="eastAsia"/>
          <w:sz w:val="21"/>
        </w:rPr>
        <w:t>改造PCT和AB</w:t>
      </w:r>
      <w:r w:rsidR="000E3C49">
        <w:rPr>
          <w:rFonts w:ascii="SimSun" w:hAnsi="SimSun" w:hint="eastAsia"/>
          <w:sz w:val="21"/>
        </w:rPr>
        <w:t>楼</w:t>
      </w:r>
      <w:r w:rsidRPr="00F15E6C">
        <w:rPr>
          <w:rFonts w:ascii="SimSun" w:hAnsi="SimSun" w:hint="eastAsia"/>
          <w:sz w:val="21"/>
        </w:rPr>
        <w:t>照明系统的拟定工程将会降低能源消耗和维护成本，同时减少对环境的碳足迹。</w:t>
      </w:r>
    </w:p>
    <w:p w:rsidR="00A464B2" w:rsidRDefault="00A464B2" w:rsidP="00445570">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与建筑有关的项目属于为一次性大型建筑整修和翻新供资，符合储备金使用要求。</w:t>
      </w:r>
    </w:p>
    <w:p w:rsidR="004E7D6C" w:rsidRDefault="004E7D6C" w:rsidP="00B27883">
      <w:pPr>
        <w:spacing w:afterLines="50" w:after="120" w:line="340" w:lineRule="atLeast"/>
        <w:ind w:left="5534"/>
        <w:jc w:val="both"/>
        <w:rPr>
          <w:rFonts w:ascii="KaiTi" w:eastAsia="KaiTi" w:hAnsi="KaiTi"/>
          <w:sz w:val="21"/>
        </w:rPr>
      </w:pPr>
    </w:p>
    <w:p w:rsidR="00944DBE" w:rsidRDefault="00A464B2" w:rsidP="00B27883">
      <w:pPr>
        <w:spacing w:afterLines="50" w:after="120" w:line="340" w:lineRule="atLeast"/>
        <w:ind w:left="5534"/>
        <w:jc w:val="both"/>
        <w:rPr>
          <w:rFonts w:ascii="KaiTi" w:eastAsia="KaiTi" w:hAnsi="KaiTi"/>
          <w:sz w:val="21"/>
        </w:rPr>
      </w:pPr>
      <w:r w:rsidRPr="00B27883">
        <w:rPr>
          <w:rFonts w:ascii="KaiTi" w:eastAsia="KaiTi" w:hAnsi="KaiTi"/>
          <w:sz w:val="21"/>
        </w:rPr>
        <w:t>[</w:t>
      </w:r>
      <w:r w:rsidRPr="00B27883">
        <w:rPr>
          <w:rFonts w:ascii="KaiTi" w:eastAsia="KaiTi" w:hAnsi="KaiTi" w:hint="eastAsia"/>
          <w:sz w:val="21"/>
        </w:rPr>
        <w:t>后接附件七</w:t>
      </w:r>
      <w:r w:rsidRPr="00B27883">
        <w:rPr>
          <w:rFonts w:ascii="KaiTi" w:eastAsia="KaiTi" w:hAnsi="KaiTi"/>
          <w:sz w:val="21"/>
        </w:rPr>
        <w:t>]</w:t>
      </w:r>
    </w:p>
    <w:p w:rsidR="004E7D6C" w:rsidRPr="00B27883" w:rsidRDefault="004E7D6C" w:rsidP="00B27883">
      <w:pPr>
        <w:spacing w:afterLines="50" w:after="120" w:line="340" w:lineRule="atLeast"/>
        <w:ind w:left="5534"/>
        <w:jc w:val="both"/>
        <w:rPr>
          <w:rFonts w:ascii="KaiTi" w:eastAsia="KaiTi" w:hAnsi="KaiTi"/>
          <w:sz w:val="21"/>
        </w:rPr>
        <w:sectPr w:rsidR="004E7D6C" w:rsidRPr="00B27883" w:rsidSect="00F0557F">
          <w:headerReference w:type="default" r:id="rId25"/>
          <w:headerReference w:type="first" r:id="rId26"/>
          <w:pgSz w:w="11907" w:h="16840" w:code="9"/>
          <w:pgMar w:top="567" w:right="1134" w:bottom="1418" w:left="1418" w:header="510" w:footer="1021" w:gutter="0"/>
          <w:pgNumType w:start="1"/>
          <w:cols w:space="720"/>
          <w:titlePg/>
          <w:docGrid w:linePitch="299"/>
        </w:sectPr>
      </w:pPr>
    </w:p>
    <w:p w:rsidR="00A464B2" w:rsidRPr="00B27883" w:rsidRDefault="00A464B2" w:rsidP="00B27883">
      <w:pPr>
        <w:pStyle w:val="1"/>
        <w:overflowPunct w:val="0"/>
        <w:spacing w:before="0" w:afterLines="100" w:after="240" w:line="340" w:lineRule="atLeast"/>
        <w:rPr>
          <w:rFonts w:ascii="SimHei" w:eastAsia="SimHei" w:hAnsi="SimHei"/>
          <w:b w:val="0"/>
          <w:sz w:val="21"/>
        </w:rPr>
      </w:pPr>
      <w:r w:rsidRPr="00B27883">
        <w:rPr>
          <w:rFonts w:ascii="SimHei" w:eastAsia="SimHei" w:hAnsi="SimHei" w:hint="eastAsia"/>
          <w:b w:val="0"/>
          <w:sz w:val="21"/>
        </w:rPr>
        <w:lastRenderedPageBreak/>
        <w:t>附件七：2018</w:t>
      </w:r>
      <w:r w:rsidR="0039745F">
        <w:rPr>
          <w:rFonts w:ascii="SimHei" w:eastAsia="SimHei" w:hAnsi="SimHei" w:hint="eastAsia"/>
          <w:b w:val="0"/>
          <w:sz w:val="21"/>
        </w:rPr>
        <w:t>–</w:t>
      </w:r>
      <w:r w:rsidRPr="00B27883">
        <w:rPr>
          <w:rFonts w:ascii="SimHei" w:eastAsia="SimHei" w:hAnsi="SimHei" w:hint="eastAsia"/>
          <w:b w:val="0"/>
          <w:sz w:val="21"/>
        </w:rPr>
        <w:t>19年的安全和安保系</w:t>
      </w:r>
      <w:r w:rsidR="008330C1">
        <w:rPr>
          <w:rFonts w:ascii="SimHei" w:eastAsia="SimHei" w:hAnsi="SimHei" w:hint="eastAsia"/>
          <w:b w:val="0"/>
          <w:sz w:val="21"/>
        </w:rPr>
        <w:t>统</w:t>
      </w:r>
      <w:r w:rsidRPr="00B27883">
        <w:rPr>
          <w:rFonts w:ascii="SimHei" w:eastAsia="SimHei" w:hAnsi="SimHei" w:hint="eastAsia"/>
          <w:b w:val="0"/>
          <w:sz w:val="21"/>
        </w:rPr>
        <w:t>改进</w:t>
      </w:r>
    </w:p>
    <w:p w:rsidR="00A464B2" w:rsidRPr="00445570" w:rsidRDefault="00A464B2" w:rsidP="00445570">
      <w:pPr>
        <w:keepNext/>
        <w:overflowPunct w:val="0"/>
        <w:spacing w:beforeLines="100" w:before="240" w:afterLines="50" w:after="120" w:line="340" w:lineRule="atLeast"/>
        <w:rPr>
          <w:rFonts w:ascii="KaiTi" w:eastAsia="KaiTi" w:hAnsi="KaiTi"/>
          <w:sz w:val="21"/>
        </w:rPr>
      </w:pPr>
      <w:r w:rsidRPr="00445570">
        <w:rPr>
          <w:rFonts w:ascii="KaiTi" w:eastAsia="KaiTi" w:hAnsi="KaiTi" w:hint="eastAsia"/>
          <w:sz w:val="21"/>
        </w:rPr>
        <w:t>项目目标和预期效益</w:t>
      </w:r>
    </w:p>
    <w:p w:rsidR="00944DBE" w:rsidRPr="00F15E6C" w:rsidRDefault="004F7E15" w:rsidP="00445570">
      <w:pPr>
        <w:overflowPunct w:val="0"/>
        <w:spacing w:afterLines="50" w:after="120" w:line="340" w:lineRule="atLeast"/>
        <w:ind w:firstLineChars="200" w:firstLine="420"/>
        <w:jc w:val="both"/>
        <w:rPr>
          <w:rFonts w:ascii="SimSun" w:hAnsi="SimSun"/>
          <w:color w:val="000000" w:themeColor="text1"/>
          <w:sz w:val="21"/>
        </w:rPr>
      </w:pPr>
      <w:r>
        <w:rPr>
          <w:rFonts w:ascii="SimSun" w:hAnsi="SimSun" w:hint="eastAsia"/>
          <w:color w:val="000000" w:themeColor="text1"/>
          <w:sz w:val="21"/>
        </w:rPr>
        <w:t>产权组织</w:t>
      </w:r>
      <w:r w:rsidR="00A464B2" w:rsidRPr="00F15E6C">
        <w:rPr>
          <w:rFonts w:ascii="SimSun" w:hAnsi="SimSun" w:hint="eastAsia"/>
          <w:color w:val="000000" w:themeColor="text1"/>
          <w:sz w:val="21"/>
        </w:rPr>
        <w:t>的安全和保安政策旨在为工作人员、代表和访客提供安全可靠的工作空间。为了实现这一目标，</w:t>
      </w:r>
      <w:r>
        <w:rPr>
          <w:rFonts w:ascii="SimSun" w:hAnsi="SimSun" w:hint="eastAsia"/>
          <w:color w:val="000000" w:themeColor="text1"/>
          <w:sz w:val="21"/>
        </w:rPr>
        <w:t>产权组织</w:t>
      </w:r>
      <w:r w:rsidR="00A464B2" w:rsidRPr="00F15E6C">
        <w:rPr>
          <w:rFonts w:ascii="SimSun" w:hAnsi="SimSun" w:hint="eastAsia"/>
          <w:color w:val="000000" w:themeColor="text1"/>
          <w:sz w:val="21"/>
        </w:rPr>
        <w:t>必须确保持续遵守东道国</w:t>
      </w:r>
      <w:r w:rsidR="00A464B2" w:rsidRPr="00445570">
        <w:rPr>
          <w:rFonts w:ascii="SimSun" w:hAnsi="SimSun" w:hint="eastAsia"/>
          <w:sz w:val="21"/>
          <w:szCs w:val="22"/>
        </w:rPr>
        <w:t>政府</w:t>
      </w:r>
      <w:r w:rsidR="00A464B2" w:rsidRPr="00F15E6C">
        <w:rPr>
          <w:rFonts w:ascii="SimSun" w:hAnsi="SimSun" w:hint="eastAsia"/>
          <w:color w:val="000000" w:themeColor="text1"/>
          <w:sz w:val="21"/>
        </w:rPr>
        <w:t>强制性规定和适用的联合国安保管理系统（UNSMS）政策与标准。此外，</w:t>
      </w:r>
      <w:r>
        <w:rPr>
          <w:rFonts w:ascii="SimSun" w:hAnsi="SimSun" w:hint="eastAsia"/>
          <w:color w:val="000000" w:themeColor="text1"/>
          <w:sz w:val="21"/>
        </w:rPr>
        <w:t>产权组织</w:t>
      </w:r>
      <w:r w:rsidR="00A464B2" w:rsidRPr="00F15E6C">
        <w:rPr>
          <w:rFonts w:ascii="SimSun" w:hAnsi="SimSun" w:hint="eastAsia"/>
          <w:color w:val="000000" w:themeColor="text1"/>
          <w:sz w:val="21"/>
        </w:rPr>
        <w:t>必须持续管理外部安全威胁风险，同时在长期内以具有前瞻性、技术效率和成本效益的方式为总部维护最新、先进和全面的安全和安保管</w:t>
      </w:r>
      <w:proofErr w:type="gramStart"/>
      <w:r w:rsidR="00A464B2" w:rsidRPr="00F15E6C">
        <w:rPr>
          <w:rFonts w:ascii="SimSun" w:hAnsi="SimSun" w:hint="eastAsia"/>
          <w:color w:val="000000" w:themeColor="text1"/>
          <w:sz w:val="21"/>
        </w:rPr>
        <w:t>理基础</w:t>
      </w:r>
      <w:proofErr w:type="gramEnd"/>
      <w:r w:rsidR="00A464B2" w:rsidRPr="00F15E6C">
        <w:rPr>
          <w:rFonts w:ascii="SimSun" w:hAnsi="SimSun" w:hint="eastAsia"/>
          <w:color w:val="000000" w:themeColor="text1"/>
          <w:sz w:val="21"/>
        </w:rPr>
        <w:t>设施，从而履行对员工、代表和访客的安全保障义务。</w:t>
      </w:r>
    </w:p>
    <w:p w:rsidR="00A464B2" w:rsidRDefault="00A464B2" w:rsidP="0039745F">
      <w:pPr>
        <w:pStyle w:val="3"/>
        <w:overflowPunct w:val="0"/>
        <w:spacing w:beforeLines="100" w:afterLines="50" w:after="120" w:line="340" w:lineRule="atLeast"/>
        <w:rPr>
          <w:rFonts w:ascii="SimSun" w:hAnsi="SimSun"/>
          <w:color w:val="000000" w:themeColor="text1"/>
          <w:sz w:val="21"/>
        </w:rPr>
      </w:pPr>
      <w:r w:rsidRPr="00F0557F">
        <w:rPr>
          <w:rFonts w:ascii="SimSun" w:hAnsi="SimSun" w:cs="SimSun" w:hint="eastAsia"/>
          <w:color w:val="000000" w:themeColor="text1"/>
          <w:sz w:val="21"/>
        </w:rPr>
        <w:t>遵守瑞士联邦立法和当地消防条例</w:t>
      </w:r>
    </w:p>
    <w:p w:rsidR="00A464B2" w:rsidRDefault="00A464B2" w:rsidP="00445570">
      <w:pPr>
        <w:overflowPunct w:val="0"/>
        <w:spacing w:afterLines="50" w:after="120" w:line="340" w:lineRule="atLeast"/>
        <w:ind w:firstLineChars="200" w:firstLine="420"/>
        <w:jc w:val="both"/>
        <w:rPr>
          <w:rFonts w:ascii="SimSun" w:hAnsi="SimSun"/>
          <w:color w:val="000000" w:themeColor="text1"/>
          <w:sz w:val="21"/>
        </w:rPr>
      </w:pPr>
      <w:r w:rsidRPr="00F15E6C">
        <w:rPr>
          <w:rFonts w:ascii="SimSun" w:hAnsi="SimSun" w:hint="eastAsia"/>
          <w:color w:val="000000" w:themeColor="text1"/>
          <w:sz w:val="21"/>
        </w:rPr>
        <w:t>根据瑞士消防</w:t>
      </w:r>
      <w:r w:rsidR="004E7D6C">
        <w:rPr>
          <w:rFonts w:ascii="SimSun" w:hAnsi="SimSun" w:hint="eastAsia"/>
          <w:color w:val="000000" w:themeColor="text1"/>
          <w:sz w:val="21"/>
        </w:rPr>
        <w:t>监管部门“各州火险</w:t>
      </w:r>
      <w:r w:rsidR="00EA421B">
        <w:rPr>
          <w:rFonts w:ascii="SimSun" w:hAnsi="SimSun" w:hint="eastAsia"/>
          <w:color w:val="000000" w:themeColor="text1"/>
          <w:sz w:val="21"/>
        </w:rPr>
        <w:t>机构</w:t>
      </w:r>
      <w:r w:rsidR="004E7D6C">
        <w:rPr>
          <w:rFonts w:ascii="SimSun" w:hAnsi="SimSun" w:hint="eastAsia"/>
          <w:color w:val="000000" w:themeColor="text1"/>
          <w:sz w:val="21"/>
        </w:rPr>
        <w:t>协会”</w:t>
      </w:r>
      <w:r w:rsidR="004E7D6C" w:rsidRPr="004E7D6C">
        <w:rPr>
          <w:rFonts w:ascii="SimSun" w:hAnsi="SimSun" w:hint="eastAsia"/>
          <w:color w:val="000000" w:themeColor="text1"/>
          <w:sz w:val="21"/>
        </w:rPr>
        <w:t>（</w:t>
      </w:r>
      <w:r w:rsidRPr="004E7D6C">
        <w:rPr>
          <w:rFonts w:ascii="SimSun" w:hAnsi="SimSun"/>
          <w:color w:val="000000" w:themeColor="text1"/>
          <w:sz w:val="21"/>
        </w:rPr>
        <w:t xml:space="preserve">Association des </w:t>
      </w:r>
      <w:proofErr w:type="spellStart"/>
      <w:r w:rsidRPr="004E7D6C">
        <w:rPr>
          <w:rFonts w:ascii="SimSun" w:hAnsi="SimSun"/>
          <w:color w:val="000000" w:themeColor="text1"/>
          <w:sz w:val="21"/>
        </w:rPr>
        <w:t>Etablissements</w:t>
      </w:r>
      <w:proofErr w:type="spellEnd"/>
      <w:r w:rsidRPr="004E7D6C">
        <w:rPr>
          <w:rFonts w:ascii="SimSun" w:hAnsi="SimSun"/>
          <w:color w:val="000000" w:themeColor="text1"/>
          <w:sz w:val="21"/>
        </w:rPr>
        <w:t xml:space="preserve"> </w:t>
      </w:r>
      <w:proofErr w:type="spellStart"/>
      <w:r w:rsidRPr="004E7D6C">
        <w:rPr>
          <w:rFonts w:ascii="SimSun" w:hAnsi="SimSun"/>
          <w:color w:val="000000" w:themeColor="text1"/>
          <w:sz w:val="21"/>
        </w:rPr>
        <w:t>cantonaux</w:t>
      </w:r>
      <w:proofErr w:type="spellEnd"/>
      <w:r w:rsidRPr="004E7D6C">
        <w:rPr>
          <w:rFonts w:ascii="SimSun" w:hAnsi="SimSun"/>
          <w:color w:val="000000" w:themeColor="text1"/>
          <w:sz w:val="21"/>
        </w:rPr>
        <w:t xml:space="preserve"> </w:t>
      </w:r>
      <w:proofErr w:type="spellStart"/>
      <w:r w:rsidRPr="004E7D6C">
        <w:rPr>
          <w:rFonts w:ascii="SimSun" w:hAnsi="SimSun"/>
          <w:color w:val="000000" w:themeColor="text1"/>
          <w:sz w:val="21"/>
        </w:rPr>
        <w:t>d</w:t>
      </w:r>
      <w:proofErr w:type="gramStart"/>
      <w:r w:rsidRPr="004E7D6C">
        <w:rPr>
          <w:rFonts w:ascii="SimSun" w:hAnsi="SimSun"/>
          <w:color w:val="000000" w:themeColor="text1"/>
          <w:sz w:val="21"/>
        </w:rPr>
        <w:t>’</w:t>
      </w:r>
      <w:proofErr w:type="gramEnd"/>
      <w:r w:rsidRPr="004E7D6C">
        <w:rPr>
          <w:rFonts w:ascii="SimSun" w:hAnsi="SimSun"/>
          <w:color w:val="000000" w:themeColor="text1"/>
          <w:sz w:val="21"/>
        </w:rPr>
        <w:t>Assurance</w:t>
      </w:r>
      <w:proofErr w:type="spellEnd"/>
      <w:r w:rsidRPr="004E7D6C">
        <w:rPr>
          <w:rFonts w:ascii="SimSun" w:hAnsi="SimSun"/>
          <w:color w:val="000000" w:themeColor="text1"/>
          <w:sz w:val="21"/>
        </w:rPr>
        <w:t xml:space="preserve"> </w:t>
      </w:r>
      <w:proofErr w:type="spellStart"/>
      <w:r w:rsidRPr="004E7D6C">
        <w:rPr>
          <w:rFonts w:ascii="SimSun" w:hAnsi="SimSun"/>
          <w:color w:val="000000" w:themeColor="text1"/>
          <w:sz w:val="21"/>
        </w:rPr>
        <w:t>Incendie</w:t>
      </w:r>
      <w:proofErr w:type="spellEnd"/>
      <w:r w:rsidRPr="004E7D6C">
        <w:rPr>
          <w:rFonts w:ascii="SimSun" w:hAnsi="SimSun" w:hint="eastAsia"/>
          <w:color w:val="000000" w:themeColor="text1"/>
          <w:sz w:val="21"/>
        </w:rPr>
        <w:t>（AEAI）</w:t>
      </w:r>
      <w:r w:rsidR="004E7D6C">
        <w:rPr>
          <w:rFonts w:ascii="SimSun" w:hAnsi="SimSun" w:hint="eastAsia"/>
          <w:color w:val="000000" w:themeColor="text1"/>
          <w:sz w:val="21"/>
        </w:rPr>
        <w:t>）</w:t>
      </w:r>
      <w:r w:rsidRPr="00F15E6C">
        <w:rPr>
          <w:rFonts w:ascii="SimSun" w:hAnsi="SimSun" w:hint="eastAsia"/>
          <w:color w:val="000000" w:themeColor="text1"/>
          <w:sz w:val="21"/>
        </w:rPr>
        <w:t>，</w:t>
      </w:r>
      <w:r w:rsidR="004F7E15">
        <w:rPr>
          <w:rFonts w:ascii="SimSun" w:hAnsi="SimSun" w:hint="eastAsia"/>
          <w:color w:val="000000" w:themeColor="text1"/>
          <w:sz w:val="21"/>
        </w:rPr>
        <w:t>产权组织</w:t>
      </w:r>
      <w:r w:rsidRPr="00F15E6C">
        <w:rPr>
          <w:rFonts w:ascii="SimSun" w:hAnsi="SimSun" w:hint="eastAsia"/>
          <w:color w:val="000000" w:themeColor="text1"/>
          <w:sz w:val="21"/>
        </w:rPr>
        <w:t>将在GB</w:t>
      </w:r>
      <w:r w:rsidR="000E3C49">
        <w:rPr>
          <w:rFonts w:ascii="SimSun" w:hAnsi="SimSun" w:hint="eastAsia"/>
          <w:color w:val="000000" w:themeColor="text1"/>
          <w:sz w:val="21"/>
        </w:rPr>
        <w:t>楼</w:t>
      </w:r>
      <w:r w:rsidRPr="00F15E6C">
        <w:rPr>
          <w:rFonts w:ascii="SimSun" w:hAnsi="SimSun" w:hint="eastAsia"/>
          <w:color w:val="000000" w:themeColor="text1"/>
          <w:sz w:val="21"/>
        </w:rPr>
        <w:t>内</w:t>
      </w:r>
      <w:r w:rsidRPr="00445570">
        <w:rPr>
          <w:rFonts w:ascii="SimSun" w:hAnsi="SimSun" w:hint="eastAsia"/>
          <w:sz w:val="21"/>
          <w:szCs w:val="22"/>
        </w:rPr>
        <w:t>安装</w:t>
      </w:r>
      <w:r w:rsidRPr="00F15E6C">
        <w:rPr>
          <w:rFonts w:ascii="SimSun" w:hAnsi="SimSun" w:hint="eastAsia"/>
          <w:color w:val="000000" w:themeColor="text1"/>
          <w:sz w:val="21"/>
        </w:rPr>
        <w:t>防火门/</w:t>
      </w:r>
      <w:r w:rsidR="004E7D6C">
        <w:rPr>
          <w:rFonts w:ascii="SimSun" w:hAnsi="SimSun" w:hint="eastAsia"/>
          <w:color w:val="000000" w:themeColor="text1"/>
          <w:sz w:val="21"/>
        </w:rPr>
        <w:t>防火</w:t>
      </w:r>
      <w:r w:rsidRPr="00F15E6C">
        <w:rPr>
          <w:rFonts w:ascii="SimSun" w:hAnsi="SimSun" w:hint="eastAsia"/>
          <w:color w:val="000000" w:themeColor="text1"/>
          <w:sz w:val="21"/>
        </w:rPr>
        <w:t>墙，以防止火和烟雾的蔓延。实施该项目还须确保符合联合国</w:t>
      </w:r>
      <w:proofErr w:type="gramStart"/>
      <w:r w:rsidRPr="00F15E6C">
        <w:rPr>
          <w:rFonts w:ascii="SimSun" w:hAnsi="SimSun" w:hint="eastAsia"/>
          <w:color w:val="000000" w:themeColor="text1"/>
          <w:sz w:val="21"/>
        </w:rPr>
        <w:t>系统消防</w:t>
      </w:r>
      <w:proofErr w:type="gramEnd"/>
      <w:r w:rsidRPr="00F15E6C">
        <w:rPr>
          <w:rFonts w:ascii="SimSun" w:hAnsi="SimSun" w:hint="eastAsia"/>
          <w:color w:val="000000" w:themeColor="text1"/>
          <w:sz w:val="21"/>
        </w:rPr>
        <w:t>和安全政策准则。</w:t>
      </w:r>
    </w:p>
    <w:p w:rsidR="00A464B2" w:rsidRDefault="00A464B2" w:rsidP="0039745F">
      <w:pPr>
        <w:pStyle w:val="3"/>
        <w:overflowPunct w:val="0"/>
        <w:spacing w:beforeLines="100" w:afterLines="50" w:after="120" w:line="340" w:lineRule="atLeast"/>
        <w:rPr>
          <w:rFonts w:ascii="SimSun" w:hAnsi="SimSun"/>
          <w:color w:val="000000" w:themeColor="text1"/>
          <w:sz w:val="21"/>
        </w:rPr>
      </w:pPr>
      <w:r w:rsidRPr="00F0557F">
        <w:rPr>
          <w:rFonts w:ascii="SimSun" w:hAnsi="SimSun" w:cs="SimSun" w:hint="eastAsia"/>
          <w:color w:val="000000" w:themeColor="text1"/>
          <w:sz w:val="21"/>
        </w:rPr>
        <w:t>总部按照联合国</w:t>
      </w:r>
      <w:r w:rsidRPr="0039745F">
        <w:rPr>
          <w:rFonts w:ascii="SimSun" w:hAnsi="SimSun" w:hint="eastAsia"/>
          <w:sz w:val="21"/>
        </w:rPr>
        <w:t>系统安全</w:t>
      </w:r>
      <w:r w:rsidRPr="00F0557F">
        <w:rPr>
          <w:rFonts w:ascii="SimSun" w:hAnsi="SimSun" w:cs="SimSun" w:hint="eastAsia"/>
          <w:color w:val="000000" w:themeColor="text1"/>
          <w:sz w:val="21"/>
        </w:rPr>
        <w:t>管理体系的政策进行物理安全管理</w:t>
      </w:r>
      <w:r w:rsidRPr="00F15E6C">
        <w:rPr>
          <w:rFonts w:ascii="SimSun" w:hAnsi="SimSun" w:hint="eastAsia"/>
          <w:color w:val="000000" w:themeColor="text1"/>
          <w:sz w:val="21"/>
        </w:rPr>
        <w:t>和识别的风险</w:t>
      </w:r>
    </w:p>
    <w:p w:rsidR="00A464B2" w:rsidRDefault="00A464B2" w:rsidP="00445570">
      <w:pPr>
        <w:overflowPunct w:val="0"/>
        <w:spacing w:afterLines="50" w:after="120" w:line="340" w:lineRule="atLeast"/>
        <w:ind w:firstLineChars="200" w:firstLine="420"/>
        <w:jc w:val="both"/>
        <w:rPr>
          <w:rFonts w:ascii="SimSun" w:hAnsi="SimSun"/>
          <w:sz w:val="21"/>
        </w:rPr>
      </w:pPr>
      <w:r w:rsidRPr="00F15E6C">
        <w:rPr>
          <w:rFonts w:ascii="SimSun" w:hAnsi="SimSun" w:hint="eastAsia"/>
          <w:color w:val="000000" w:themeColor="text1"/>
          <w:sz w:val="21"/>
        </w:rPr>
        <w:t>在欧洲不断变化的安全威胁环境下</w:t>
      </w:r>
      <w:r w:rsidR="004E7D6C">
        <w:rPr>
          <w:rFonts w:ascii="SimSun" w:hAnsi="SimSun" w:hint="eastAsia"/>
          <w:color w:val="000000" w:themeColor="text1"/>
          <w:sz w:val="21"/>
        </w:rPr>
        <w:t>，以</w:t>
      </w:r>
      <w:r w:rsidRPr="00F15E6C">
        <w:rPr>
          <w:rFonts w:ascii="SimSun" w:hAnsi="SimSun" w:hint="eastAsia"/>
          <w:color w:val="000000" w:themeColor="text1"/>
          <w:sz w:val="21"/>
        </w:rPr>
        <w:t>及根据联合国阐述的瑞士在国家安全风险评估中面临的当前风险，需要通过投资于安全和安保</w:t>
      </w:r>
      <w:r w:rsidRPr="00445570">
        <w:rPr>
          <w:rFonts w:ascii="SimSun" w:hAnsi="SimSun" w:hint="eastAsia"/>
          <w:sz w:val="21"/>
          <w:szCs w:val="22"/>
        </w:rPr>
        <w:t>基础</w:t>
      </w:r>
      <w:r w:rsidRPr="00F15E6C">
        <w:rPr>
          <w:rFonts w:ascii="SimSun" w:hAnsi="SimSun" w:hint="eastAsia"/>
          <w:color w:val="000000" w:themeColor="text1"/>
          <w:sz w:val="21"/>
        </w:rPr>
        <w:t>设施持续缓解风险。这包括从</w:t>
      </w:r>
      <w:r w:rsidR="004F7E15">
        <w:rPr>
          <w:rFonts w:ascii="SimSun" w:hAnsi="SimSun" w:hint="eastAsia"/>
          <w:color w:val="000000" w:themeColor="text1"/>
          <w:sz w:val="21"/>
        </w:rPr>
        <w:t>产权组织</w:t>
      </w:r>
      <w:r w:rsidR="004E7D6C" w:rsidRPr="00F15E6C">
        <w:rPr>
          <w:rFonts w:ascii="SimSun" w:hAnsi="SimSun" w:hint="eastAsia"/>
          <w:color w:val="000000" w:themeColor="text1"/>
          <w:sz w:val="21"/>
        </w:rPr>
        <w:t>两个</w:t>
      </w:r>
      <w:r w:rsidR="004E7D6C">
        <w:rPr>
          <w:rFonts w:ascii="SimSun" w:hAnsi="SimSun" w:hint="eastAsia"/>
          <w:color w:val="000000" w:themeColor="text1"/>
          <w:sz w:val="21"/>
        </w:rPr>
        <w:t>大楼开始，分阶段实施威胁遏制区域、动态封锁</w:t>
      </w:r>
      <w:r w:rsidRPr="00F15E6C">
        <w:rPr>
          <w:rFonts w:ascii="SimSun" w:hAnsi="SimSun" w:hint="eastAsia"/>
          <w:color w:val="000000" w:themeColor="text1"/>
          <w:sz w:val="21"/>
        </w:rPr>
        <w:t>系统、防护窗玻璃和建立安全港。</w:t>
      </w:r>
    </w:p>
    <w:p w:rsidR="00A464B2" w:rsidRPr="00445570" w:rsidRDefault="00A464B2" w:rsidP="00445570">
      <w:pPr>
        <w:keepNext/>
        <w:overflowPunct w:val="0"/>
        <w:spacing w:beforeLines="100" w:before="240" w:afterLines="50" w:after="120" w:line="340" w:lineRule="atLeast"/>
        <w:rPr>
          <w:rFonts w:ascii="KaiTi" w:eastAsia="KaiTi" w:hAnsi="KaiTi"/>
          <w:sz w:val="21"/>
        </w:rPr>
      </w:pPr>
      <w:r w:rsidRPr="00445570">
        <w:rPr>
          <w:rFonts w:ascii="KaiTi" w:eastAsia="KaiTi" w:hAnsi="KaiTi" w:hint="eastAsia"/>
          <w:sz w:val="21"/>
        </w:rPr>
        <w:t>驱动因素</w:t>
      </w:r>
    </w:p>
    <w:p w:rsidR="00A464B2" w:rsidRPr="00963E2A" w:rsidRDefault="00A464B2" w:rsidP="00445570">
      <w:pPr>
        <w:overflowPunct w:val="0"/>
        <w:spacing w:afterLines="50" w:after="120" w:line="340" w:lineRule="atLeast"/>
        <w:ind w:firstLineChars="200" w:firstLine="420"/>
        <w:jc w:val="both"/>
        <w:rPr>
          <w:rFonts w:ascii="KaiTi" w:eastAsia="KaiTi" w:hAnsi="KaiTi"/>
          <w:sz w:val="21"/>
        </w:rPr>
      </w:pPr>
      <w:r w:rsidRPr="0039745F">
        <w:rPr>
          <w:rFonts w:ascii="KaiTi" w:eastAsia="KaiTi" w:hAnsi="KaiTi" w:hint="eastAsia"/>
          <w:sz w:val="21"/>
        </w:rPr>
        <w:t>安全、安保和信息保证</w:t>
      </w:r>
      <w:r w:rsidR="0039745F">
        <w:rPr>
          <w:rFonts w:ascii="SimSun" w:hAnsi="SimSun" w:hint="eastAsia"/>
          <w:sz w:val="21"/>
        </w:rPr>
        <w:t>–</w:t>
      </w:r>
      <w:r w:rsidRPr="00F15E6C">
        <w:rPr>
          <w:rFonts w:ascii="SimSun" w:hAnsi="SimSun" w:hint="eastAsia"/>
          <w:sz w:val="21"/>
        </w:rPr>
        <w:t>确保</w:t>
      </w:r>
      <w:r w:rsidR="004F7E15">
        <w:rPr>
          <w:rFonts w:ascii="SimSun" w:hAnsi="SimSun" w:hint="eastAsia"/>
          <w:sz w:val="21"/>
        </w:rPr>
        <w:t>产权</w:t>
      </w:r>
      <w:r w:rsidR="004F7E15" w:rsidRPr="00445570">
        <w:rPr>
          <w:rFonts w:ascii="SimSun" w:hAnsi="SimSun" w:hint="eastAsia"/>
          <w:sz w:val="21"/>
          <w:szCs w:val="22"/>
        </w:rPr>
        <w:t>组织</w:t>
      </w:r>
      <w:r w:rsidRPr="00F15E6C">
        <w:rPr>
          <w:rFonts w:ascii="SimSun" w:hAnsi="SimSun" w:hint="eastAsia"/>
          <w:sz w:val="21"/>
        </w:rPr>
        <w:t>的安全管理体系保持相关性和最新性，符合行业最佳实践，并与所识别的外部安全威胁产生的安全风险相称。</w:t>
      </w:r>
    </w:p>
    <w:p w:rsidR="00A464B2" w:rsidRDefault="00A464B2" w:rsidP="00445570">
      <w:pPr>
        <w:overflowPunct w:val="0"/>
        <w:spacing w:afterLines="50" w:after="120" w:line="340" w:lineRule="atLeast"/>
        <w:ind w:firstLineChars="200" w:firstLine="420"/>
        <w:jc w:val="both"/>
        <w:rPr>
          <w:rFonts w:ascii="SimSun" w:hAnsi="SimSun"/>
          <w:iCs/>
          <w:sz w:val="21"/>
        </w:rPr>
      </w:pPr>
      <w:r w:rsidRPr="00963E2A">
        <w:rPr>
          <w:rFonts w:ascii="KaiTi" w:eastAsia="KaiTi" w:hAnsi="KaiTi" w:hint="eastAsia"/>
          <w:sz w:val="21"/>
        </w:rPr>
        <w:t>监管要求</w:t>
      </w:r>
      <w:r w:rsidR="0039745F">
        <w:rPr>
          <w:rFonts w:ascii="KaiTi" w:eastAsia="KaiTi" w:hAnsi="KaiTi" w:hint="eastAsia"/>
          <w:sz w:val="21"/>
        </w:rPr>
        <w:t>–</w:t>
      </w:r>
      <w:r w:rsidRPr="00F15E6C">
        <w:rPr>
          <w:rFonts w:ascii="SimSun" w:hAnsi="SimSun" w:hint="eastAsia"/>
          <w:iCs/>
          <w:sz w:val="21"/>
        </w:rPr>
        <w:t>确保</w:t>
      </w:r>
      <w:r w:rsidR="004F7E15">
        <w:rPr>
          <w:rFonts w:ascii="SimSun" w:hAnsi="SimSun" w:hint="eastAsia"/>
          <w:iCs/>
          <w:sz w:val="21"/>
        </w:rPr>
        <w:t>产权组织</w:t>
      </w:r>
      <w:r w:rsidRPr="00F15E6C">
        <w:rPr>
          <w:rFonts w:ascii="SimSun" w:hAnsi="SimSun" w:hint="eastAsia"/>
          <w:iCs/>
          <w:sz w:val="21"/>
        </w:rPr>
        <w:t>设施遵守</w:t>
      </w:r>
      <w:r w:rsidRPr="00445570">
        <w:rPr>
          <w:rFonts w:ascii="SimSun" w:hAnsi="SimSun" w:hint="eastAsia"/>
          <w:sz w:val="21"/>
          <w:szCs w:val="22"/>
        </w:rPr>
        <w:t>适用</w:t>
      </w:r>
      <w:r w:rsidRPr="00F15E6C">
        <w:rPr>
          <w:rFonts w:ascii="SimSun" w:hAnsi="SimSun" w:hint="eastAsia"/>
          <w:iCs/>
          <w:sz w:val="21"/>
        </w:rPr>
        <w:t>的联合国安保管理系统（UNSMS）政策和标准、东道国政府联邦立法以及当地日内瓦消防和安全法规。</w:t>
      </w:r>
    </w:p>
    <w:p w:rsidR="00A464B2" w:rsidRDefault="00A464B2" w:rsidP="00445570">
      <w:pPr>
        <w:overflowPunct w:val="0"/>
        <w:spacing w:afterLines="50" w:after="120" w:line="340" w:lineRule="atLeast"/>
        <w:ind w:firstLineChars="200" w:firstLine="420"/>
        <w:jc w:val="both"/>
        <w:rPr>
          <w:rFonts w:ascii="SimSun" w:hAnsi="SimSun"/>
          <w:sz w:val="21"/>
        </w:rPr>
      </w:pPr>
      <w:r w:rsidRPr="0039745F">
        <w:rPr>
          <w:rFonts w:ascii="KaiTi" w:eastAsia="KaiTi" w:hAnsi="KaiTi" w:hint="eastAsia"/>
          <w:sz w:val="21"/>
        </w:rPr>
        <w:t>成本效率</w:t>
      </w:r>
      <w:r w:rsidR="0039745F">
        <w:rPr>
          <w:rFonts w:ascii="SimSun" w:hAnsi="SimSun" w:hint="eastAsia"/>
          <w:sz w:val="21"/>
        </w:rPr>
        <w:t>–</w:t>
      </w:r>
      <w:r w:rsidRPr="00F15E6C">
        <w:rPr>
          <w:rFonts w:ascii="SimSun" w:hAnsi="SimSun" w:hint="eastAsia"/>
          <w:sz w:val="21"/>
        </w:rPr>
        <w:t>使物理工程与其他计划下</w:t>
      </w:r>
      <w:r w:rsidR="004F7E15">
        <w:rPr>
          <w:rFonts w:ascii="SimSun" w:hAnsi="SimSun" w:hint="eastAsia"/>
          <w:sz w:val="21"/>
        </w:rPr>
        <w:t>基建总计划</w:t>
      </w:r>
      <w:r w:rsidRPr="00F15E6C">
        <w:rPr>
          <w:rFonts w:ascii="SimSun" w:hAnsi="SimSun" w:hint="eastAsia"/>
          <w:sz w:val="21"/>
        </w:rPr>
        <w:t>举措保持一致，最大限度地减少中断时间；并通过公用项目管理服务和工程的实施，</w:t>
      </w:r>
      <w:r w:rsidRPr="00445570">
        <w:rPr>
          <w:rFonts w:ascii="SimSun" w:hAnsi="SimSun" w:hint="eastAsia"/>
          <w:sz w:val="21"/>
          <w:szCs w:val="22"/>
        </w:rPr>
        <w:t>最大限度</w:t>
      </w:r>
      <w:r w:rsidRPr="00F15E6C">
        <w:rPr>
          <w:rFonts w:ascii="SimSun" w:hAnsi="SimSun" w:hint="eastAsia"/>
          <w:sz w:val="21"/>
        </w:rPr>
        <w:t>地提高成本效率</w:t>
      </w:r>
    </w:p>
    <w:p w:rsidR="00A464B2" w:rsidRDefault="00A464B2" w:rsidP="00445570">
      <w:pPr>
        <w:overflowPunct w:val="0"/>
        <w:spacing w:afterLines="50" w:after="120" w:line="340" w:lineRule="atLeast"/>
        <w:ind w:firstLineChars="200" w:firstLine="420"/>
        <w:jc w:val="both"/>
        <w:rPr>
          <w:rFonts w:ascii="SimSun" w:hAnsi="SimSun"/>
          <w:sz w:val="21"/>
        </w:rPr>
      </w:pPr>
      <w:r w:rsidRPr="00F15E6C">
        <w:rPr>
          <w:rFonts w:ascii="SimSun" w:hAnsi="SimSun" w:hint="eastAsia"/>
          <w:sz w:val="21"/>
        </w:rPr>
        <w:t>该项目为一次性大型楼宇翻新改造供资，符合储备金的使用要求。</w:t>
      </w:r>
    </w:p>
    <w:p w:rsidR="004E7D6C" w:rsidRDefault="004E7D6C" w:rsidP="00B27883">
      <w:pPr>
        <w:spacing w:afterLines="50" w:after="120" w:line="340" w:lineRule="atLeast"/>
        <w:ind w:left="5534"/>
        <w:jc w:val="both"/>
        <w:rPr>
          <w:rFonts w:ascii="KaiTi" w:eastAsia="KaiTi" w:hAnsi="KaiTi"/>
          <w:sz w:val="21"/>
        </w:rPr>
      </w:pPr>
    </w:p>
    <w:p w:rsidR="00944DBE" w:rsidRDefault="00A464B2" w:rsidP="00B27883">
      <w:pPr>
        <w:spacing w:afterLines="50" w:after="120" w:line="340" w:lineRule="atLeast"/>
        <w:ind w:left="5534"/>
        <w:jc w:val="both"/>
        <w:rPr>
          <w:rFonts w:ascii="KaiTi" w:eastAsia="KaiTi" w:hAnsi="KaiTi"/>
          <w:sz w:val="21"/>
        </w:rPr>
      </w:pPr>
      <w:r w:rsidRPr="00B27883">
        <w:rPr>
          <w:rFonts w:ascii="KaiTi" w:eastAsia="KaiTi" w:hAnsi="KaiTi"/>
          <w:sz w:val="21"/>
        </w:rPr>
        <w:t>[</w:t>
      </w:r>
      <w:r w:rsidRPr="00B27883">
        <w:rPr>
          <w:rFonts w:ascii="KaiTi" w:eastAsia="KaiTi" w:hAnsi="KaiTi" w:hint="eastAsia"/>
          <w:sz w:val="21"/>
        </w:rPr>
        <w:t>后接附件八</w:t>
      </w:r>
      <w:r w:rsidRPr="00B27883">
        <w:rPr>
          <w:rFonts w:ascii="KaiTi" w:eastAsia="KaiTi" w:hAnsi="KaiTi"/>
          <w:sz w:val="21"/>
        </w:rPr>
        <w:t>]</w:t>
      </w:r>
    </w:p>
    <w:p w:rsidR="004E7D6C" w:rsidRPr="00B27883" w:rsidRDefault="004E7D6C" w:rsidP="00B27883">
      <w:pPr>
        <w:spacing w:afterLines="50" w:after="120" w:line="340" w:lineRule="atLeast"/>
        <w:ind w:left="5534"/>
        <w:jc w:val="both"/>
        <w:rPr>
          <w:rFonts w:ascii="KaiTi" w:eastAsia="KaiTi" w:hAnsi="KaiTi"/>
          <w:sz w:val="21"/>
        </w:rPr>
        <w:sectPr w:rsidR="004E7D6C" w:rsidRPr="00B27883" w:rsidSect="00F0557F">
          <w:headerReference w:type="first" r:id="rId27"/>
          <w:type w:val="evenPage"/>
          <w:pgSz w:w="11907" w:h="16840" w:code="9"/>
          <w:pgMar w:top="567" w:right="1134" w:bottom="1418" w:left="1418" w:header="510" w:footer="1021" w:gutter="0"/>
          <w:pgNumType w:start="1"/>
          <w:cols w:space="720"/>
          <w:titlePg/>
          <w:docGrid w:linePitch="299"/>
        </w:sectPr>
      </w:pPr>
    </w:p>
    <w:p w:rsidR="00944DBE" w:rsidRDefault="00A464B2" w:rsidP="00B27883">
      <w:pPr>
        <w:pStyle w:val="1"/>
        <w:overflowPunct w:val="0"/>
        <w:spacing w:before="0" w:afterLines="100" w:after="240" w:line="340" w:lineRule="atLeast"/>
        <w:rPr>
          <w:rFonts w:ascii="SimHei" w:eastAsia="SimHei" w:hAnsi="SimHei"/>
          <w:b w:val="0"/>
          <w:sz w:val="21"/>
        </w:rPr>
      </w:pPr>
      <w:r w:rsidRPr="00B27883">
        <w:rPr>
          <w:rFonts w:ascii="SimHei" w:eastAsia="SimHei" w:hAnsi="SimHei" w:hint="eastAsia"/>
          <w:b w:val="0"/>
          <w:sz w:val="21"/>
        </w:rPr>
        <w:lastRenderedPageBreak/>
        <w:t>附件八：2018</w:t>
      </w:r>
      <w:r w:rsidR="0039745F">
        <w:rPr>
          <w:rFonts w:ascii="SimHei" w:eastAsia="SimHei" w:hAnsi="SimHei" w:hint="eastAsia"/>
          <w:b w:val="0"/>
          <w:sz w:val="21"/>
        </w:rPr>
        <w:t>–</w:t>
      </w:r>
      <w:r w:rsidRPr="00B27883">
        <w:rPr>
          <w:rFonts w:ascii="SimHei" w:eastAsia="SimHei" w:hAnsi="SimHei" w:hint="eastAsia"/>
          <w:b w:val="0"/>
          <w:sz w:val="21"/>
        </w:rPr>
        <w:t>2027年期间的房舍、安全与安保基本建设总计划</w:t>
      </w:r>
    </w:p>
    <w:p w:rsidR="008E5A15" w:rsidRPr="008E5A15" w:rsidRDefault="008E5A15" w:rsidP="008E5A15"/>
    <w:p w:rsidR="00A464B2" w:rsidRDefault="008E4F4F">
      <w:pPr>
        <w:spacing w:before="240"/>
        <w:jc w:val="center"/>
        <w:rPr>
          <w:rFonts w:ascii="SimSun" w:hAnsi="SimSun"/>
          <w:sz w:val="21"/>
        </w:rPr>
      </w:pPr>
      <w:r w:rsidRPr="008E4F4F">
        <w:drawing>
          <wp:inline distT="0" distB="0" distL="0" distR="0" wp14:anchorId="4241BF08" wp14:editId="6F4A603C">
            <wp:extent cx="13532400" cy="7426800"/>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3532400" cy="7426800"/>
                    </a:xfrm>
                    <a:prstGeom prst="rect">
                      <a:avLst/>
                    </a:prstGeom>
                  </pic:spPr>
                </pic:pic>
              </a:graphicData>
            </a:graphic>
          </wp:inline>
        </w:drawing>
      </w:r>
    </w:p>
    <w:p w:rsidR="00A464B2" w:rsidRDefault="00A464B2">
      <w:pPr>
        <w:tabs>
          <w:tab w:val="left" w:pos="15876"/>
        </w:tabs>
        <w:jc w:val="right"/>
        <w:rPr>
          <w:rFonts w:ascii="SimSun" w:hAnsi="SimSun"/>
          <w:sz w:val="21"/>
        </w:rPr>
      </w:pPr>
    </w:p>
    <w:p w:rsidR="00944DBE" w:rsidRPr="00B27883" w:rsidRDefault="00A464B2" w:rsidP="008E5A15">
      <w:pPr>
        <w:spacing w:afterLines="50" w:after="120" w:line="340" w:lineRule="atLeast"/>
        <w:ind w:left="14459"/>
        <w:jc w:val="both"/>
        <w:rPr>
          <w:rFonts w:ascii="KaiTi" w:eastAsia="KaiTi" w:hAnsi="KaiTi"/>
          <w:sz w:val="21"/>
        </w:rPr>
      </w:pPr>
      <w:bookmarkStart w:id="6" w:name="_GoBack"/>
      <w:bookmarkEnd w:id="6"/>
      <w:r w:rsidRPr="00B27883">
        <w:rPr>
          <w:rFonts w:ascii="KaiTi" w:eastAsia="KaiTi" w:hAnsi="KaiTi"/>
          <w:sz w:val="21"/>
        </w:rPr>
        <w:t>[</w:t>
      </w:r>
      <w:r w:rsidRPr="00B27883">
        <w:rPr>
          <w:rFonts w:ascii="KaiTi" w:eastAsia="KaiTi" w:hAnsi="KaiTi" w:hint="eastAsia"/>
          <w:sz w:val="21"/>
        </w:rPr>
        <w:t>附件八</w:t>
      </w:r>
      <w:r w:rsidR="008E5A15">
        <w:rPr>
          <w:rFonts w:ascii="KaiTi" w:eastAsia="KaiTi" w:hAnsi="KaiTi" w:hint="eastAsia"/>
          <w:sz w:val="21"/>
        </w:rPr>
        <w:t>和</w:t>
      </w:r>
      <w:r w:rsidRPr="00B27883">
        <w:rPr>
          <w:rFonts w:ascii="KaiTi" w:eastAsia="KaiTi" w:hAnsi="KaiTi" w:hint="eastAsia"/>
          <w:sz w:val="21"/>
        </w:rPr>
        <w:t>文件</w:t>
      </w:r>
      <w:r w:rsidR="008E5A15">
        <w:rPr>
          <w:rFonts w:ascii="KaiTi" w:eastAsia="KaiTi" w:hAnsi="KaiTi" w:hint="eastAsia"/>
          <w:sz w:val="21"/>
        </w:rPr>
        <w:t>完</w:t>
      </w:r>
      <w:r w:rsidRPr="00B27883">
        <w:rPr>
          <w:rFonts w:ascii="KaiTi" w:eastAsia="KaiTi" w:hAnsi="KaiTi"/>
          <w:sz w:val="21"/>
        </w:rPr>
        <w:t>]</w:t>
      </w:r>
    </w:p>
    <w:sectPr w:rsidR="00944DBE" w:rsidRPr="00B27883" w:rsidSect="008E5A15">
      <w:headerReference w:type="default" r:id="rId29"/>
      <w:headerReference w:type="first" r:id="rId30"/>
      <w:pgSz w:w="23814" w:h="16840" w:orient="landscape" w:code="8"/>
      <w:pgMar w:top="1418" w:right="1134" w:bottom="1418" w:left="1134"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5F" w:rsidRDefault="0039745F">
      <w:r>
        <w:separator/>
      </w:r>
    </w:p>
  </w:endnote>
  <w:endnote w:type="continuationSeparator" w:id="0">
    <w:p w:rsidR="0039745F" w:rsidRDefault="0039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5F" w:rsidRDefault="0039745F">
      <w:r>
        <w:separator/>
      </w:r>
    </w:p>
  </w:footnote>
  <w:footnote w:type="continuationSeparator" w:id="0">
    <w:p w:rsidR="0039745F" w:rsidRDefault="0039745F">
      <w:r>
        <w:continuationSeparator/>
      </w:r>
    </w:p>
  </w:footnote>
  <w:footnote w:id="1">
    <w:p w:rsidR="0039745F" w:rsidRPr="004F7E15" w:rsidRDefault="0039745F" w:rsidP="004F7E15">
      <w:pPr>
        <w:pStyle w:val="ae"/>
        <w:overflowPunct w:val="0"/>
        <w:jc w:val="both"/>
        <w:rPr>
          <w:rFonts w:ascii="SimSun" w:hAnsi="SimSun"/>
          <w:szCs w:val="18"/>
        </w:rPr>
      </w:pPr>
      <w:r w:rsidRPr="004F7E15">
        <w:rPr>
          <w:rStyle w:val="af1"/>
          <w:rFonts w:ascii="SimSun" w:hAnsi="SimSun"/>
          <w:szCs w:val="18"/>
        </w:rPr>
        <w:footnoteRef/>
      </w:r>
      <w:r w:rsidRPr="004F7E15">
        <w:rPr>
          <w:rFonts w:ascii="SimSun" w:hAnsi="SimSun"/>
          <w:szCs w:val="18"/>
        </w:rPr>
        <w:t xml:space="preserve"> </w:t>
      </w:r>
      <w:r>
        <w:rPr>
          <w:rFonts w:ascii="SimSun" w:hAnsi="SimSun" w:hint="eastAsia"/>
          <w:szCs w:val="18"/>
        </w:rPr>
        <w:tab/>
      </w:r>
      <w:r w:rsidRPr="004F7E15">
        <w:rPr>
          <w:rFonts w:ascii="SimSun" w:hAnsi="SimSun" w:hint="eastAsia"/>
          <w:szCs w:val="18"/>
        </w:rPr>
        <w:t>参见文件</w:t>
      </w:r>
      <w:r w:rsidRPr="004F7E15">
        <w:rPr>
          <w:rFonts w:ascii="SimSun" w:hAnsi="SimSun"/>
          <w:szCs w:val="18"/>
        </w:rPr>
        <w:t xml:space="preserve">WO/PBC/15/7 </w:t>
      </w:r>
      <w:r w:rsidRPr="004F7E15">
        <w:rPr>
          <w:rFonts w:ascii="SimSun" w:hAnsi="SimSun" w:hint="eastAsia"/>
          <w:szCs w:val="18"/>
        </w:rPr>
        <w:t>Rev.</w:t>
      </w:r>
      <w:r>
        <w:rPr>
          <w:rFonts w:ascii="SimSun" w:hAnsi="SimSun" w:hint="eastAsia"/>
          <w:szCs w:val="18"/>
        </w:rPr>
        <w:t>。</w:t>
      </w:r>
    </w:p>
  </w:footnote>
  <w:footnote w:id="2">
    <w:p w:rsidR="0039745F" w:rsidRPr="004F7E15" w:rsidRDefault="0039745F" w:rsidP="004F7E15">
      <w:pPr>
        <w:pStyle w:val="ae"/>
        <w:overflowPunct w:val="0"/>
        <w:jc w:val="both"/>
        <w:rPr>
          <w:rFonts w:ascii="SimSun" w:hAnsi="SimSun"/>
          <w:szCs w:val="18"/>
        </w:rPr>
      </w:pPr>
      <w:r w:rsidRPr="004F7E15">
        <w:rPr>
          <w:rStyle w:val="af1"/>
          <w:rFonts w:ascii="SimSun" w:hAnsi="SimSun"/>
          <w:szCs w:val="18"/>
        </w:rPr>
        <w:footnoteRef/>
      </w:r>
      <w:r w:rsidRPr="004F7E15">
        <w:rPr>
          <w:rFonts w:ascii="SimSun" w:hAnsi="SimSun"/>
          <w:szCs w:val="18"/>
        </w:rPr>
        <w:t xml:space="preserve"> </w:t>
      </w:r>
      <w:r>
        <w:rPr>
          <w:rFonts w:ascii="SimSun" w:hAnsi="SimSun" w:hint="eastAsia"/>
          <w:szCs w:val="18"/>
        </w:rPr>
        <w:tab/>
      </w:r>
      <w:r w:rsidRPr="004F7E15">
        <w:rPr>
          <w:rFonts w:ascii="SimSun" w:hAnsi="SimSun" w:hint="eastAsia"/>
          <w:szCs w:val="18"/>
        </w:rPr>
        <w:t>请参阅文件</w:t>
      </w:r>
      <w:r w:rsidRPr="004F7E15">
        <w:rPr>
          <w:rFonts w:ascii="SimSun" w:hAnsi="SimSun"/>
          <w:szCs w:val="18"/>
        </w:rPr>
        <w:t>WO/PBC/23/8</w:t>
      </w:r>
      <w:r>
        <w:rPr>
          <w:rFonts w:ascii="SimSun" w:hAnsi="SimSun" w:hint="eastAsia"/>
          <w:szCs w:val="18"/>
        </w:rPr>
        <w:t>。</w:t>
      </w:r>
    </w:p>
  </w:footnote>
  <w:footnote w:id="3">
    <w:p w:rsidR="0039745F" w:rsidRPr="004F7E15" w:rsidRDefault="0039745F" w:rsidP="004F7E15">
      <w:pPr>
        <w:pStyle w:val="ae"/>
        <w:overflowPunct w:val="0"/>
        <w:jc w:val="both"/>
        <w:rPr>
          <w:rFonts w:ascii="SimSun" w:hAnsi="SimSun"/>
          <w:szCs w:val="18"/>
        </w:rPr>
      </w:pPr>
      <w:r w:rsidRPr="004F7E15">
        <w:rPr>
          <w:rStyle w:val="af1"/>
          <w:rFonts w:ascii="SimSun" w:hAnsi="SimSun"/>
          <w:szCs w:val="18"/>
        </w:rPr>
        <w:footnoteRef/>
      </w:r>
      <w:r w:rsidRPr="004F7E15">
        <w:rPr>
          <w:rFonts w:ascii="SimSun" w:hAnsi="SimSun"/>
          <w:szCs w:val="18"/>
        </w:rPr>
        <w:t xml:space="preserve"> </w:t>
      </w:r>
      <w:r>
        <w:rPr>
          <w:rFonts w:ascii="SimSun" w:hAnsi="SimSun" w:hint="eastAsia"/>
          <w:szCs w:val="18"/>
        </w:rPr>
        <w:tab/>
      </w:r>
      <w:r w:rsidRPr="004F7E15">
        <w:rPr>
          <w:rFonts w:ascii="KaiTi" w:eastAsia="KaiTi" w:hAnsi="KaiTi" w:hint="eastAsia"/>
          <w:color w:val="000000"/>
          <w:szCs w:val="18"/>
        </w:rPr>
        <w:t>该预测未考虑总额计2</w:t>
      </w:r>
      <w:r>
        <w:rPr>
          <w:rFonts w:ascii="KaiTi" w:eastAsia="KaiTi" w:hAnsi="KaiTi" w:hint="eastAsia"/>
          <w:color w:val="000000"/>
          <w:szCs w:val="18"/>
        </w:rPr>
        <w:t>,</w:t>
      </w:r>
      <w:r w:rsidRPr="004F7E15">
        <w:rPr>
          <w:rFonts w:ascii="KaiTi" w:eastAsia="KaiTi" w:hAnsi="KaiTi" w:hint="eastAsia"/>
          <w:color w:val="000000"/>
          <w:szCs w:val="18"/>
        </w:rPr>
        <w:t>430</w:t>
      </w:r>
      <w:proofErr w:type="gramStart"/>
      <w:r w:rsidRPr="004F7E15">
        <w:rPr>
          <w:rFonts w:ascii="KaiTi" w:eastAsia="KaiTi" w:hAnsi="KaiTi" w:hint="eastAsia"/>
          <w:color w:val="000000"/>
          <w:szCs w:val="18"/>
        </w:rPr>
        <w:t>万瑞</w:t>
      </w:r>
      <w:proofErr w:type="gramEnd"/>
      <w:r w:rsidRPr="004F7E15">
        <w:rPr>
          <w:rFonts w:ascii="KaiTi" w:eastAsia="KaiTi" w:hAnsi="KaiTi" w:hint="eastAsia"/>
          <w:color w:val="000000"/>
          <w:szCs w:val="18"/>
        </w:rPr>
        <w:t>士法郎的2017年储备</w:t>
      </w:r>
      <w:r>
        <w:rPr>
          <w:rFonts w:ascii="KaiTi" w:eastAsia="KaiTi" w:hAnsi="KaiTi" w:hint="eastAsia"/>
          <w:color w:val="000000"/>
          <w:szCs w:val="18"/>
        </w:rPr>
        <w:t>金</w:t>
      </w:r>
      <w:r w:rsidRPr="004F7E15">
        <w:rPr>
          <w:rFonts w:ascii="KaiTi" w:eastAsia="KaiTi" w:hAnsi="KaiTi" w:hint="eastAsia"/>
          <w:color w:val="000000"/>
          <w:szCs w:val="18"/>
        </w:rPr>
        <w:t>支出后的预期总体结果。</w:t>
      </w:r>
    </w:p>
  </w:footnote>
  <w:footnote w:id="4">
    <w:p w:rsidR="0039745F" w:rsidRPr="00F15E6C" w:rsidRDefault="0039745F" w:rsidP="004F7E15">
      <w:pPr>
        <w:pStyle w:val="ae"/>
        <w:overflowPunct w:val="0"/>
        <w:jc w:val="both"/>
        <w:rPr>
          <w:rFonts w:ascii="SimSun" w:hAnsi="SimSun"/>
        </w:rPr>
      </w:pPr>
      <w:r w:rsidRPr="004F7E15">
        <w:rPr>
          <w:rStyle w:val="af1"/>
          <w:rFonts w:ascii="SimSun" w:hAnsi="SimSun"/>
          <w:szCs w:val="18"/>
        </w:rPr>
        <w:footnoteRef/>
      </w:r>
      <w:r w:rsidRPr="004F7E15">
        <w:rPr>
          <w:rFonts w:ascii="SimSun" w:hAnsi="SimSun"/>
          <w:szCs w:val="18"/>
        </w:rPr>
        <w:t xml:space="preserve"> </w:t>
      </w:r>
      <w:r>
        <w:rPr>
          <w:rFonts w:ascii="SimSun" w:hAnsi="SimSun" w:hint="eastAsia"/>
          <w:szCs w:val="18"/>
        </w:rPr>
        <w:tab/>
      </w:r>
      <w:r w:rsidRPr="004F7E15">
        <w:rPr>
          <w:rFonts w:ascii="SimSun" w:hAnsi="SimSun" w:hint="eastAsia"/>
          <w:szCs w:val="18"/>
        </w:rPr>
        <w:t>文件</w:t>
      </w:r>
      <w:r w:rsidRPr="004F7E15">
        <w:rPr>
          <w:rFonts w:ascii="SimSun" w:hAnsi="SimSun"/>
          <w:szCs w:val="18"/>
        </w:rPr>
        <w:t>WO/PBC/23/8</w:t>
      </w:r>
      <w:r>
        <w:rPr>
          <w:rFonts w:ascii="SimSun" w:hAnsi="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F" w:rsidRPr="000749CC" w:rsidRDefault="0039745F">
    <w:pPr>
      <w:jc w:val="right"/>
      <w:rPr>
        <w:rFonts w:ascii="SimSun" w:hAnsi="SimSun"/>
        <w:sz w:val="21"/>
      </w:rPr>
    </w:pPr>
    <w:bookmarkStart w:id="5" w:name="Code2"/>
    <w:bookmarkEnd w:id="5"/>
    <w:r w:rsidRPr="000749CC">
      <w:rPr>
        <w:rFonts w:ascii="SimSun" w:hAnsi="SimSun"/>
        <w:sz w:val="21"/>
      </w:rPr>
      <w:t>WO/PBC/26/9</w:t>
    </w:r>
  </w:p>
  <w:p w:rsidR="0039745F" w:rsidRPr="000749CC" w:rsidRDefault="0039745F">
    <w:pPr>
      <w:pStyle w:val="ac"/>
      <w:jc w:val="right"/>
      <w:rPr>
        <w:rFonts w:ascii="SimSun" w:hAnsi="SimSun"/>
        <w:sz w:val="21"/>
      </w:rPr>
    </w:pPr>
    <w:r>
      <w:rPr>
        <w:rFonts w:ascii="SimSun" w:hAnsi="SimSun" w:hint="eastAsia"/>
        <w:sz w:val="21"/>
      </w:rPr>
      <w:t>第</w:t>
    </w:r>
    <w:r w:rsidRPr="000749CC">
      <w:rPr>
        <w:rFonts w:ascii="SimSun" w:hAnsi="SimSun"/>
        <w:sz w:val="21"/>
      </w:rPr>
      <w:fldChar w:fldCharType="begin"/>
    </w:r>
    <w:r w:rsidRPr="000749CC">
      <w:rPr>
        <w:rFonts w:ascii="SimSun" w:hAnsi="SimSun"/>
        <w:sz w:val="21"/>
      </w:rPr>
      <w:instrText xml:space="preserve"> PAGE   \* MERGEFORMAT </w:instrText>
    </w:r>
    <w:r w:rsidRPr="000749CC">
      <w:rPr>
        <w:rFonts w:ascii="SimSun" w:hAnsi="SimSun"/>
        <w:sz w:val="21"/>
      </w:rPr>
      <w:fldChar w:fldCharType="separate"/>
    </w:r>
    <w:r w:rsidR="00A940A7">
      <w:rPr>
        <w:rFonts w:ascii="SimSun" w:hAnsi="SimSun"/>
        <w:noProof/>
        <w:sz w:val="21"/>
      </w:rPr>
      <w:t>9</w:t>
    </w:r>
    <w:r w:rsidRPr="000749CC">
      <w:rPr>
        <w:rFonts w:ascii="SimSun" w:hAnsi="SimSun"/>
        <w:sz w:val="21"/>
      </w:rPr>
      <w:fldChar w:fldCharType="end"/>
    </w:r>
    <w:r>
      <w:rPr>
        <w:rFonts w:ascii="SimSun" w:hAnsi="SimSun" w:hint="eastAsia"/>
        <w:sz w:val="21"/>
      </w:rPr>
      <w:t>页</w:t>
    </w:r>
  </w:p>
  <w:p w:rsidR="0039745F" w:rsidRPr="000749CC" w:rsidRDefault="0039745F">
    <w:pPr>
      <w:pStyle w:val="ac"/>
      <w:jc w:val="right"/>
      <w:rPr>
        <w:sz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F" w:rsidRPr="000749CC" w:rsidRDefault="0039745F" w:rsidP="000749CC">
    <w:pPr>
      <w:jc w:val="right"/>
      <w:rPr>
        <w:rFonts w:ascii="SimSun" w:hAnsi="SimSun"/>
        <w:sz w:val="21"/>
        <w:szCs w:val="21"/>
      </w:rPr>
    </w:pPr>
    <w:r w:rsidRPr="000749CC">
      <w:rPr>
        <w:rFonts w:ascii="SimSun" w:hAnsi="SimSun"/>
        <w:sz w:val="21"/>
        <w:szCs w:val="21"/>
      </w:rPr>
      <w:t>WO/PBC/26/9</w:t>
    </w:r>
  </w:p>
  <w:p w:rsidR="0039745F" w:rsidRDefault="0039745F" w:rsidP="000749CC">
    <w:pPr>
      <w:pStyle w:val="ac"/>
      <w:jc w:val="right"/>
      <w:rPr>
        <w:rFonts w:ascii="SimSun" w:hAnsi="SimSun"/>
        <w:sz w:val="21"/>
        <w:szCs w:val="21"/>
      </w:rPr>
    </w:pPr>
    <w:r w:rsidRPr="000749CC">
      <w:rPr>
        <w:rFonts w:ascii="SimSun" w:hAnsi="SimSun" w:hint="eastAsia"/>
        <w:sz w:val="21"/>
        <w:szCs w:val="21"/>
      </w:rPr>
      <w:t>附件</w:t>
    </w:r>
    <w:r>
      <w:rPr>
        <w:rFonts w:ascii="SimSun" w:hAnsi="SimSun" w:hint="eastAsia"/>
        <w:sz w:val="21"/>
        <w:szCs w:val="21"/>
      </w:rPr>
      <w:t>五</w:t>
    </w:r>
  </w:p>
  <w:p w:rsidR="0039745F" w:rsidRPr="00F15E6C" w:rsidRDefault="0039745F" w:rsidP="000749CC">
    <w:pPr>
      <w:pStyle w:val="ac"/>
      <w:jc w:val="right"/>
      <w:rPr>
        <w:rFonts w:ascii="SimSun" w:hAnsi="SimSu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F" w:rsidRPr="000749CC" w:rsidRDefault="0039745F" w:rsidP="000749CC">
    <w:pPr>
      <w:jc w:val="right"/>
      <w:rPr>
        <w:rFonts w:ascii="SimSun" w:hAnsi="SimSun"/>
        <w:sz w:val="21"/>
        <w:szCs w:val="21"/>
      </w:rPr>
    </w:pPr>
    <w:r w:rsidRPr="000749CC">
      <w:rPr>
        <w:rFonts w:ascii="SimSun" w:hAnsi="SimSun"/>
        <w:sz w:val="21"/>
        <w:szCs w:val="21"/>
      </w:rPr>
      <w:t>WO/PBC/26/9</w:t>
    </w:r>
  </w:p>
  <w:p w:rsidR="0039745F" w:rsidRPr="000749CC" w:rsidRDefault="0039745F" w:rsidP="000749CC">
    <w:pPr>
      <w:pStyle w:val="ac"/>
      <w:jc w:val="right"/>
      <w:rPr>
        <w:rFonts w:ascii="SimSun" w:hAnsi="SimSun"/>
        <w:sz w:val="21"/>
        <w:szCs w:val="21"/>
        <w:lang w:val="fr-FR"/>
      </w:rPr>
    </w:pPr>
    <w:proofErr w:type="gramStart"/>
    <w:r w:rsidRPr="000749CC">
      <w:rPr>
        <w:rFonts w:ascii="SimSun" w:hAnsi="SimSun" w:hint="eastAsia"/>
        <w:sz w:val="21"/>
        <w:szCs w:val="21"/>
      </w:rPr>
      <w:t>附件六第</w:t>
    </w:r>
    <w:proofErr w:type="gramEnd"/>
    <w:r w:rsidRPr="000749CC">
      <w:rPr>
        <w:rFonts w:ascii="SimSun" w:hAnsi="SimSun"/>
        <w:sz w:val="21"/>
        <w:szCs w:val="21"/>
      </w:rPr>
      <w:fldChar w:fldCharType="begin"/>
    </w:r>
    <w:r w:rsidRPr="000749CC">
      <w:rPr>
        <w:rFonts w:ascii="SimSun" w:hAnsi="SimSun"/>
        <w:sz w:val="21"/>
        <w:szCs w:val="21"/>
        <w:lang w:val="fr-FR"/>
      </w:rPr>
      <w:instrText xml:space="preserve"> PAGE   \* MERGEFORMAT </w:instrText>
    </w:r>
    <w:r w:rsidRPr="000749CC">
      <w:rPr>
        <w:rFonts w:ascii="SimSun" w:hAnsi="SimSun"/>
        <w:sz w:val="21"/>
        <w:szCs w:val="21"/>
      </w:rPr>
      <w:fldChar w:fldCharType="separate"/>
    </w:r>
    <w:r w:rsidR="008E4F4F">
      <w:rPr>
        <w:rFonts w:ascii="SimSun" w:hAnsi="SimSun"/>
        <w:noProof/>
        <w:sz w:val="21"/>
        <w:szCs w:val="21"/>
        <w:lang w:val="fr-FR"/>
      </w:rPr>
      <w:t>2</w:t>
    </w:r>
    <w:r w:rsidRPr="000749CC">
      <w:rPr>
        <w:rFonts w:ascii="SimSun" w:hAnsi="SimSun"/>
        <w:sz w:val="21"/>
        <w:szCs w:val="21"/>
      </w:rPr>
      <w:fldChar w:fldCharType="end"/>
    </w:r>
    <w:r w:rsidRPr="000749CC">
      <w:rPr>
        <w:rFonts w:ascii="SimSun" w:hAnsi="SimSun" w:hint="eastAsia"/>
        <w:sz w:val="21"/>
        <w:szCs w:val="21"/>
      </w:rPr>
      <w:t>页</w:t>
    </w:r>
  </w:p>
  <w:p w:rsidR="0039745F" w:rsidRPr="000749CC" w:rsidRDefault="0039745F">
    <w:pPr>
      <w:pStyle w:val="ac"/>
      <w:jc w:val="right"/>
      <w:rPr>
        <w:rFonts w:ascii="SimSun" w:hAnsi="SimSun"/>
        <w:sz w:val="21"/>
        <w:szCs w:val="21"/>
        <w:lang w:val="fr-F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F" w:rsidRPr="000749CC" w:rsidRDefault="0039745F" w:rsidP="000749CC">
    <w:pPr>
      <w:jc w:val="right"/>
      <w:rPr>
        <w:rFonts w:ascii="SimSun" w:hAnsi="SimSun"/>
        <w:sz w:val="21"/>
        <w:szCs w:val="21"/>
      </w:rPr>
    </w:pPr>
    <w:r w:rsidRPr="000749CC">
      <w:rPr>
        <w:rFonts w:ascii="SimSun" w:hAnsi="SimSun"/>
        <w:sz w:val="21"/>
        <w:szCs w:val="21"/>
      </w:rPr>
      <w:t>WO/PBC/26/9</w:t>
    </w:r>
  </w:p>
  <w:p w:rsidR="0039745F" w:rsidRDefault="0039745F" w:rsidP="000749CC">
    <w:pPr>
      <w:pStyle w:val="ac"/>
      <w:jc w:val="right"/>
      <w:rPr>
        <w:rFonts w:ascii="SimSun" w:hAnsi="SimSun"/>
        <w:sz w:val="21"/>
        <w:szCs w:val="21"/>
      </w:rPr>
    </w:pPr>
    <w:r w:rsidRPr="000749CC">
      <w:rPr>
        <w:rFonts w:ascii="SimSun" w:hAnsi="SimSun" w:hint="eastAsia"/>
        <w:sz w:val="21"/>
        <w:szCs w:val="21"/>
      </w:rPr>
      <w:t>附件</w:t>
    </w:r>
    <w:r>
      <w:rPr>
        <w:rFonts w:ascii="SimSun" w:hAnsi="SimSun" w:hint="eastAsia"/>
        <w:sz w:val="21"/>
        <w:szCs w:val="21"/>
      </w:rPr>
      <w:t>六</w:t>
    </w:r>
  </w:p>
  <w:p w:rsidR="0039745F" w:rsidRPr="00F15E6C" w:rsidRDefault="0039745F" w:rsidP="000749CC">
    <w:pPr>
      <w:pStyle w:val="ac"/>
      <w:jc w:val="right"/>
      <w:rPr>
        <w:rFonts w:ascii="SimSun" w:hAnsi="SimSu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F" w:rsidRPr="000749CC" w:rsidRDefault="0039745F" w:rsidP="000749CC">
    <w:pPr>
      <w:jc w:val="right"/>
      <w:rPr>
        <w:rFonts w:ascii="SimSun" w:hAnsi="SimSun"/>
        <w:sz w:val="21"/>
        <w:szCs w:val="21"/>
      </w:rPr>
    </w:pPr>
    <w:r w:rsidRPr="000749CC">
      <w:rPr>
        <w:rFonts w:ascii="SimSun" w:hAnsi="SimSun"/>
        <w:sz w:val="21"/>
        <w:szCs w:val="21"/>
      </w:rPr>
      <w:t>WO/PBC/26/9</w:t>
    </w:r>
  </w:p>
  <w:p w:rsidR="0039745F" w:rsidRDefault="0039745F" w:rsidP="000749CC">
    <w:pPr>
      <w:pStyle w:val="ac"/>
      <w:jc w:val="right"/>
      <w:rPr>
        <w:rFonts w:ascii="SimSun" w:hAnsi="SimSun"/>
        <w:sz w:val="21"/>
        <w:szCs w:val="21"/>
      </w:rPr>
    </w:pPr>
    <w:r w:rsidRPr="000749CC">
      <w:rPr>
        <w:rFonts w:ascii="SimSun" w:hAnsi="SimSun" w:hint="eastAsia"/>
        <w:sz w:val="21"/>
        <w:szCs w:val="21"/>
      </w:rPr>
      <w:t>附件</w:t>
    </w:r>
    <w:r>
      <w:rPr>
        <w:rFonts w:ascii="SimSun" w:hAnsi="SimSun" w:hint="eastAsia"/>
        <w:sz w:val="21"/>
        <w:szCs w:val="21"/>
      </w:rPr>
      <w:t>七</w:t>
    </w:r>
  </w:p>
  <w:p w:rsidR="0039745F" w:rsidRPr="00F15E6C" w:rsidRDefault="0039745F" w:rsidP="000749CC">
    <w:pPr>
      <w:pStyle w:val="ac"/>
      <w:jc w:val="right"/>
      <w:rPr>
        <w:rFonts w:ascii="SimSun" w:hAnsi="SimSu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F" w:rsidRPr="00F15E6C" w:rsidRDefault="0039745F">
    <w:pPr>
      <w:jc w:val="right"/>
      <w:rPr>
        <w:rFonts w:ascii="SimSun" w:hAnsi="SimSun"/>
        <w:lang w:val="fr-FR"/>
      </w:rPr>
    </w:pPr>
    <w:r w:rsidRPr="00F15E6C">
      <w:rPr>
        <w:rFonts w:ascii="SimSun" w:hAnsi="SimSun"/>
        <w:lang w:val="fr-FR"/>
      </w:rPr>
      <w:t>WO/PBC/24/9</w:t>
    </w:r>
  </w:p>
  <w:p w:rsidR="0039745F" w:rsidRPr="00F15E6C" w:rsidRDefault="0039745F">
    <w:pPr>
      <w:pStyle w:val="ac"/>
      <w:jc w:val="right"/>
      <w:rPr>
        <w:rFonts w:ascii="SimSun" w:hAnsi="SimSun"/>
        <w:lang w:val="fr-FR"/>
      </w:rPr>
    </w:pPr>
    <w:proofErr w:type="spellStart"/>
    <w:r w:rsidRPr="00F15E6C">
      <w:rPr>
        <w:rFonts w:ascii="SimSun" w:hAnsi="SimSun"/>
        <w:lang w:val="fr-FR"/>
      </w:rPr>
      <w:t>Annex</w:t>
    </w:r>
    <w:proofErr w:type="spellEnd"/>
    <w:r w:rsidRPr="00F15E6C">
      <w:rPr>
        <w:rFonts w:ascii="SimSun" w:hAnsi="SimSun"/>
        <w:lang w:val="fr-FR"/>
      </w:rPr>
      <w:t xml:space="preserve"> VI, page </w:t>
    </w:r>
    <w:r w:rsidRPr="00F15E6C">
      <w:rPr>
        <w:rFonts w:ascii="SimSun" w:hAnsi="SimSun"/>
      </w:rPr>
      <w:fldChar w:fldCharType="begin"/>
    </w:r>
    <w:r w:rsidRPr="00F15E6C">
      <w:rPr>
        <w:rFonts w:ascii="SimSun" w:hAnsi="SimSun"/>
        <w:lang w:val="fr-FR"/>
      </w:rPr>
      <w:instrText xml:space="preserve"> PAGE   \* MERGEFORMAT </w:instrText>
    </w:r>
    <w:r w:rsidRPr="00F15E6C">
      <w:rPr>
        <w:rFonts w:ascii="SimSun" w:hAnsi="SimSun"/>
      </w:rPr>
      <w:fldChar w:fldCharType="separate"/>
    </w:r>
    <w:r w:rsidR="00A940A7">
      <w:rPr>
        <w:rFonts w:ascii="SimSun" w:hAnsi="SimSun"/>
        <w:noProof/>
        <w:lang w:val="fr-FR"/>
      </w:rPr>
      <w:t>2</w:t>
    </w:r>
    <w:r w:rsidRPr="00F15E6C">
      <w:rPr>
        <w:rFonts w:ascii="SimSun" w:hAnsi="SimSun"/>
      </w:rPr>
      <w:fldChar w:fldCharType="end"/>
    </w:r>
  </w:p>
  <w:p w:rsidR="0039745F" w:rsidRPr="00F15E6C" w:rsidRDefault="0039745F">
    <w:pPr>
      <w:pStyle w:val="ac"/>
      <w:jc w:val="right"/>
      <w:rPr>
        <w:rFonts w:ascii="SimSun" w:hAnsi="SimSun"/>
        <w:lang w:val="fr-FR"/>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F" w:rsidRPr="000749CC" w:rsidRDefault="0039745F" w:rsidP="000749CC">
    <w:pPr>
      <w:jc w:val="right"/>
      <w:rPr>
        <w:rFonts w:ascii="SimSun" w:hAnsi="SimSun"/>
        <w:sz w:val="21"/>
        <w:szCs w:val="21"/>
      </w:rPr>
    </w:pPr>
    <w:r w:rsidRPr="000749CC">
      <w:rPr>
        <w:rFonts w:ascii="SimSun" w:hAnsi="SimSun"/>
        <w:sz w:val="21"/>
        <w:szCs w:val="21"/>
      </w:rPr>
      <w:t>WO/PBC/26/9</w:t>
    </w:r>
  </w:p>
  <w:p w:rsidR="0039745F" w:rsidRPr="000749CC" w:rsidRDefault="0039745F" w:rsidP="000749CC">
    <w:pPr>
      <w:pStyle w:val="ac"/>
      <w:jc w:val="right"/>
      <w:rPr>
        <w:rFonts w:ascii="SimSun" w:hAnsi="SimSun"/>
        <w:sz w:val="21"/>
      </w:rPr>
    </w:pPr>
    <w:r w:rsidRPr="000749CC">
      <w:rPr>
        <w:rFonts w:ascii="SimSun" w:hAnsi="SimSun" w:hint="eastAsia"/>
        <w:sz w:val="21"/>
        <w:szCs w:val="21"/>
      </w:rPr>
      <w:t>附件</w:t>
    </w:r>
    <w:r>
      <w:rPr>
        <w:rFonts w:ascii="SimSun" w:hAnsi="SimSun" w:hint="eastAsia"/>
        <w:sz w:val="21"/>
        <w:szCs w:val="21"/>
      </w:rPr>
      <w:t>八</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F" w:rsidRPr="000749CC" w:rsidRDefault="0039745F">
    <w:pPr>
      <w:jc w:val="right"/>
      <w:rPr>
        <w:rFonts w:ascii="SimSun" w:hAnsi="SimSun"/>
        <w:sz w:val="21"/>
      </w:rPr>
    </w:pPr>
    <w:r w:rsidRPr="000749CC">
      <w:rPr>
        <w:rFonts w:ascii="SimSun" w:hAnsi="SimSun"/>
        <w:sz w:val="21"/>
      </w:rPr>
      <w:t>WO/PBC/26/9</w:t>
    </w:r>
  </w:p>
  <w:p w:rsidR="0039745F" w:rsidRPr="000749CC" w:rsidRDefault="0039745F">
    <w:pPr>
      <w:pStyle w:val="ac"/>
      <w:jc w:val="right"/>
      <w:rPr>
        <w:rFonts w:ascii="SimSun" w:hAnsi="SimSun"/>
        <w:sz w:val="21"/>
      </w:rPr>
    </w:pPr>
    <w:r w:rsidRPr="000749CC">
      <w:rPr>
        <w:rFonts w:ascii="SimSun" w:hAnsi="SimSun" w:hint="eastAsia"/>
        <w:sz w:val="21"/>
      </w:rPr>
      <w:t>附件一</w:t>
    </w:r>
  </w:p>
  <w:p w:rsidR="0039745F" w:rsidRPr="000749CC" w:rsidRDefault="0039745F">
    <w:pPr>
      <w:pStyle w:val="ac"/>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F" w:rsidRPr="000749CC" w:rsidRDefault="0039745F" w:rsidP="000749CC">
    <w:pPr>
      <w:jc w:val="right"/>
      <w:rPr>
        <w:rFonts w:ascii="SimSun" w:hAnsi="SimSun"/>
        <w:sz w:val="21"/>
        <w:szCs w:val="21"/>
      </w:rPr>
    </w:pPr>
    <w:r w:rsidRPr="000749CC">
      <w:rPr>
        <w:rFonts w:ascii="SimSun" w:hAnsi="SimSun"/>
        <w:sz w:val="21"/>
        <w:szCs w:val="21"/>
      </w:rPr>
      <w:t>WO/PBC/26/9</w:t>
    </w:r>
  </w:p>
  <w:p w:rsidR="0039745F" w:rsidRPr="000749CC" w:rsidRDefault="0039745F" w:rsidP="000749CC">
    <w:pPr>
      <w:pStyle w:val="ac"/>
      <w:jc w:val="right"/>
      <w:rPr>
        <w:rFonts w:ascii="SimSun" w:hAnsi="SimSun"/>
        <w:sz w:val="21"/>
        <w:szCs w:val="21"/>
        <w:lang w:val="fr-FR"/>
      </w:rPr>
    </w:pPr>
    <w:proofErr w:type="gramStart"/>
    <w:r w:rsidRPr="000749CC">
      <w:rPr>
        <w:rFonts w:ascii="SimSun" w:hAnsi="SimSun" w:hint="eastAsia"/>
        <w:sz w:val="21"/>
        <w:szCs w:val="21"/>
      </w:rPr>
      <w:t>附件二第</w:t>
    </w:r>
    <w:proofErr w:type="gramEnd"/>
    <w:r w:rsidRPr="000749CC">
      <w:rPr>
        <w:rFonts w:ascii="SimSun" w:hAnsi="SimSun"/>
        <w:sz w:val="21"/>
        <w:szCs w:val="21"/>
      </w:rPr>
      <w:fldChar w:fldCharType="begin"/>
    </w:r>
    <w:r w:rsidRPr="000749CC">
      <w:rPr>
        <w:rFonts w:ascii="SimSun" w:hAnsi="SimSun"/>
        <w:sz w:val="21"/>
        <w:szCs w:val="21"/>
        <w:lang w:val="fr-FR"/>
      </w:rPr>
      <w:instrText xml:space="preserve"> PAGE   \* MERGEFORMAT </w:instrText>
    </w:r>
    <w:r w:rsidRPr="000749CC">
      <w:rPr>
        <w:rFonts w:ascii="SimSun" w:hAnsi="SimSun"/>
        <w:sz w:val="21"/>
        <w:szCs w:val="21"/>
      </w:rPr>
      <w:fldChar w:fldCharType="separate"/>
    </w:r>
    <w:r w:rsidR="008E4F4F">
      <w:rPr>
        <w:rFonts w:ascii="SimSun" w:hAnsi="SimSun"/>
        <w:noProof/>
        <w:sz w:val="21"/>
        <w:szCs w:val="21"/>
        <w:lang w:val="fr-FR"/>
      </w:rPr>
      <w:t>2</w:t>
    </w:r>
    <w:r w:rsidRPr="000749CC">
      <w:rPr>
        <w:rFonts w:ascii="SimSun" w:hAnsi="SimSun"/>
        <w:sz w:val="21"/>
        <w:szCs w:val="21"/>
      </w:rPr>
      <w:fldChar w:fldCharType="end"/>
    </w:r>
    <w:r w:rsidRPr="000749CC">
      <w:rPr>
        <w:rFonts w:ascii="SimSun" w:hAnsi="SimSun" w:hint="eastAsia"/>
        <w:sz w:val="21"/>
        <w:szCs w:val="21"/>
      </w:rPr>
      <w:t>页</w:t>
    </w:r>
  </w:p>
  <w:p w:rsidR="0039745F" w:rsidRPr="000749CC" w:rsidRDefault="0039745F">
    <w:pPr>
      <w:pStyle w:val="ac"/>
      <w:jc w:val="right"/>
      <w:rPr>
        <w:rFonts w:ascii="SimSun" w:hAnsi="SimSun"/>
        <w:sz w:val="21"/>
        <w:szCs w:val="21"/>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F" w:rsidRPr="000749CC" w:rsidRDefault="0039745F">
    <w:pPr>
      <w:jc w:val="right"/>
      <w:rPr>
        <w:rFonts w:ascii="SimSun" w:hAnsi="SimSun"/>
        <w:sz w:val="21"/>
        <w:szCs w:val="21"/>
      </w:rPr>
    </w:pPr>
    <w:r w:rsidRPr="000749CC">
      <w:rPr>
        <w:rFonts w:ascii="SimSun" w:hAnsi="SimSun"/>
        <w:sz w:val="21"/>
        <w:szCs w:val="21"/>
      </w:rPr>
      <w:t>WO/PBC/26/9</w:t>
    </w:r>
  </w:p>
  <w:p w:rsidR="0039745F" w:rsidRPr="000749CC" w:rsidRDefault="0039745F">
    <w:pPr>
      <w:pStyle w:val="ac"/>
      <w:jc w:val="right"/>
      <w:rPr>
        <w:rFonts w:ascii="SimSun" w:hAnsi="SimSun"/>
        <w:sz w:val="21"/>
        <w:szCs w:val="21"/>
      </w:rPr>
    </w:pPr>
    <w:r w:rsidRPr="000749CC">
      <w:rPr>
        <w:rFonts w:ascii="SimSun" w:hAnsi="SimSun" w:hint="eastAsia"/>
        <w:sz w:val="21"/>
        <w:szCs w:val="21"/>
      </w:rPr>
      <w:t>附件二</w:t>
    </w:r>
  </w:p>
  <w:p w:rsidR="0039745F" w:rsidRPr="000749CC" w:rsidRDefault="0039745F">
    <w:pPr>
      <w:pStyle w:val="ac"/>
      <w:jc w:val="right"/>
      <w:rPr>
        <w:rFonts w:ascii="SimSun" w:hAnsi="SimSun"/>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F" w:rsidRPr="000749CC" w:rsidRDefault="0039745F" w:rsidP="000749CC">
    <w:pPr>
      <w:jc w:val="right"/>
      <w:rPr>
        <w:rFonts w:ascii="SimSun" w:hAnsi="SimSun"/>
        <w:sz w:val="21"/>
        <w:szCs w:val="21"/>
      </w:rPr>
    </w:pPr>
    <w:r w:rsidRPr="000749CC">
      <w:rPr>
        <w:rFonts w:ascii="SimSun" w:hAnsi="SimSun"/>
        <w:sz w:val="21"/>
        <w:szCs w:val="21"/>
      </w:rPr>
      <w:t>WO/PBC/26/9</w:t>
    </w:r>
  </w:p>
  <w:p w:rsidR="0039745F" w:rsidRPr="000749CC" w:rsidRDefault="0039745F" w:rsidP="000749CC">
    <w:pPr>
      <w:pStyle w:val="ac"/>
      <w:jc w:val="right"/>
      <w:rPr>
        <w:rFonts w:ascii="SimSun" w:hAnsi="SimSun"/>
        <w:sz w:val="21"/>
        <w:szCs w:val="21"/>
        <w:lang w:val="fr-FR"/>
      </w:rPr>
    </w:pPr>
    <w:proofErr w:type="gramStart"/>
    <w:r w:rsidRPr="000749CC">
      <w:rPr>
        <w:rFonts w:ascii="SimSun" w:hAnsi="SimSun" w:hint="eastAsia"/>
        <w:sz w:val="21"/>
        <w:szCs w:val="21"/>
      </w:rPr>
      <w:t>附件三第</w:t>
    </w:r>
    <w:proofErr w:type="gramEnd"/>
    <w:r w:rsidRPr="000749CC">
      <w:rPr>
        <w:rFonts w:ascii="SimSun" w:hAnsi="SimSun"/>
        <w:sz w:val="21"/>
        <w:szCs w:val="21"/>
      </w:rPr>
      <w:fldChar w:fldCharType="begin"/>
    </w:r>
    <w:r w:rsidRPr="000749CC">
      <w:rPr>
        <w:rFonts w:ascii="SimSun" w:hAnsi="SimSun"/>
        <w:sz w:val="21"/>
        <w:szCs w:val="21"/>
        <w:lang w:val="fr-FR"/>
      </w:rPr>
      <w:instrText xml:space="preserve"> PAGE   \* MERGEFORMAT </w:instrText>
    </w:r>
    <w:r w:rsidRPr="000749CC">
      <w:rPr>
        <w:rFonts w:ascii="SimSun" w:hAnsi="SimSun"/>
        <w:sz w:val="21"/>
        <w:szCs w:val="21"/>
      </w:rPr>
      <w:fldChar w:fldCharType="separate"/>
    </w:r>
    <w:r w:rsidR="008E4F4F">
      <w:rPr>
        <w:rFonts w:ascii="SimSun" w:hAnsi="SimSun"/>
        <w:noProof/>
        <w:sz w:val="21"/>
        <w:szCs w:val="21"/>
        <w:lang w:val="fr-FR"/>
      </w:rPr>
      <w:t>2</w:t>
    </w:r>
    <w:r w:rsidRPr="000749CC">
      <w:rPr>
        <w:rFonts w:ascii="SimSun" w:hAnsi="SimSun"/>
        <w:sz w:val="21"/>
        <w:szCs w:val="21"/>
      </w:rPr>
      <w:fldChar w:fldCharType="end"/>
    </w:r>
    <w:r w:rsidRPr="000749CC">
      <w:rPr>
        <w:rFonts w:ascii="SimSun" w:hAnsi="SimSun" w:hint="eastAsia"/>
        <w:sz w:val="21"/>
        <w:szCs w:val="21"/>
      </w:rPr>
      <w:t>页</w:t>
    </w:r>
  </w:p>
  <w:p w:rsidR="0039745F" w:rsidRPr="000749CC" w:rsidRDefault="0039745F">
    <w:pPr>
      <w:pStyle w:val="ac"/>
      <w:jc w:val="right"/>
      <w:rPr>
        <w:rFonts w:ascii="SimSun" w:hAnsi="SimSun"/>
        <w:sz w:val="21"/>
        <w:szCs w:val="21"/>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F" w:rsidRPr="000749CC" w:rsidRDefault="0039745F" w:rsidP="000749CC">
    <w:pPr>
      <w:jc w:val="right"/>
      <w:rPr>
        <w:rFonts w:ascii="SimSun" w:hAnsi="SimSun"/>
        <w:sz w:val="21"/>
        <w:szCs w:val="21"/>
      </w:rPr>
    </w:pPr>
    <w:r w:rsidRPr="000749CC">
      <w:rPr>
        <w:rFonts w:ascii="SimSun" w:hAnsi="SimSun"/>
        <w:sz w:val="21"/>
        <w:szCs w:val="21"/>
      </w:rPr>
      <w:t>WO/PBC/26/9</w:t>
    </w:r>
  </w:p>
  <w:p w:rsidR="0039745F" w:rsidRPr="00F15E6C" w:rsidRDefault="0039745F" w:rsidP="000749CC">
    <w:pPr>
      <w:pStyle w:val="ac"/>
      <w:jc w:val="right"/>
      <w:rPr>
        <w:rFonts w:ascii="SimSun" w:hAnsi="SimSun"/>
      </w:rPr>
    </w:pPr>
    <w:r w:rsidRPr="000749CC">
      <w:rPr>
        <w:rFonts w:ascii="SimSun" w:hAnsi="SimSun" w:hint="eastAsia"/>
        <w:sz w:val="21"/>
        <w:szCs w:val="21"/>
      </w:rPr>
      <w:t>附件</w:t>
    </w:r>
    <w:r>
      <w:rPr>
        <w:rFonts w:ascii="SimSun" w:hAnsi="SimSun" w:hint="eastAsia"/>
        <w:sz w:val="21"/>
        <w:szCs w:val="21"/>
      </w:rPr>
      <w:t>三</w:t>
    </w:r>
  </w:p>
  <w:p w:rsidR="0039745F" w:rsidRPr="00F15E6C" w:rsidRDefault="0039745F">
    <w:pPr>
      <w:pStyle w:val="ac"/>
      <w:jc w:val="right"/>
      <w:rPr>
        <w:rFonts w:ascii="SimSun" w:hAnsi="SimSu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F" w:rsidRPr="000749CC" w:rsidRDefault="0039745F" w:rsidP="000749CC">
    <w:pPr>
      <w:jc w:val="right"/>
      <w:rPr>
        <w:rFonts w:ascii="SimSun" w:hAnsi="SimSun"/>
        <w:sz w:val="21"/>
        <w:szCs w:val="21"/>
      </w:rPr>
    </w:pPr>
    <w:r w:rsidRPr="000749CC">
      <w:rPr>
        <w:rFonts w:ascii="SimSun" w:hAnsi="SimSun"/>
        <w:sz w:val="21"/>
        <w:szCs w:val="21"/>
      </w:rPr>
      <w:t>WO/PBC/26/9</w:t>
    </w:r>
  </w:p>
  <w:p w:rsidR="0039745F" w:rsidRPr="000749CC" w:rsidRDefault="0039745F" w:rsidP="000749CC">
    <w:pPr>
      <w:pStyle w:val="ac"/>
      <w:jc w:val="right"/>
      <w:rPr>
        <w:rFonts w:ascii="SimSun" w:hAnsi="SimSun"/>
        <w:sz w:val="21"/>
        <w:szCs w:val="21"/>
        <w:lang w:val="fr-FR"/>
      </w:rPr>
    </w:pPr>
    <w:r w:rsidRPr="000749CC">
      <w:rPr>
        <w:rFonts w:ascii="SimSun" w:hAnsi="SimSun" w:hint="eastAsia"/>
        <w:sz w:val="21"/>
        <w:szCs w:val="21"/>
      </w:rPr>
      <w:t>附件四第</w:t>
    </w:r>
    <w:r w:rsidRPr="000749CC">
      <w:rPr>
        <w:rFonts w:ascii="SimSun" w:hAnsi="SimSun"/>
        <w:sz w:val="21"/>
        <w:szCs w:val="21"/>
      </w:rPr>
      <w:fldChar w:fldCharType="begin"/>
    </w:r>
    <w:r w:rsidRPr="000749CC">
      <w:rPr>
        <w:rFonts w:ascii="SimSun" w:hAnsi="SimSun"/>
        <w:sz w:val="21"/>
        <w:szCs w:val="21"/>
        <w:lang w:val="fr-FR"/>
      </w:rPr>
      <w:instrText xml:space="preserve"> PAGE   \* MERGEFORMAT </w:instrText>
    </w:r>
    <w:r w:rsidRPr="000749CC">
      <w:rPr>
        <w:rFonts w:ascii="SimSun" w:hAnsi="SimSun"/>
        <w:sz w:val="21"/>
        <w:szCs w:val="21"/>
      </w:rPr>
      <w:fldChar w:fldCharType="separate"/>
    </w:r>
    <w:r w:rsidR="008E4F4F">
      <w:rPr>
        <w:rFonts w:ascii="SimSun" w:hAnsi="SimSun"/>
        <w:noProof/>
        <w:sz w:val="21"/>
        <w:szCs w:val="21"/>
        <w:lang w:val="fr-FR"/>
      </w:rPr>
      <w:t>2</w:t>
    </w:r>
    <w:r w:rsidRPr="000749CC">
      <w:rPr>
        <w:rFonts w:ascii="SimSun" w:hAnsi="SimSun"/>
        <w:sz w:val="21"/>
        <w:szCs w:val="21"/>
      </w:rPr>
      <w:fldChar w:fldCharType="end"/>
    </w:r>
    <w:r w:rsidRPr="000749CC">
      <w:rPr>
        <w:rFonts w:ascii="SimSun" w:hAnsi="SimSun" w:hint="eastAsia"/>
        <w:sz w:val="21"/>
        <w:szCs w:val="21"/>
      </w:rPr>
      <w:t>页</w:t>
    </w:r>
  </w:p>
  <w:p w:rsidR="0039745F" w:rsidRPr="000749CC" w:rsidRDefault="0039745F">
    <w:pPr>
      <w:pStyle w:val="ac"/>
      <w:jc w:val="right"/>
      <w:rPr>
        <w:rFonts w:ascii="SimSun" w:hAnsi="SimSun"/>
        <w:sz w:val="21"/>
        <w:szCs w:val="21"/>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F" w:rsidRPr="000749CC" w:rsidRDefault="0039745F" w:rsidP="000749CC">
    <w:pPr>
      <w:jc w:val="right"/>
      <w:rPr>
        <w:rFonts w:ascii="SimSun" w:hAnsi="SimSun"/>
        <w:sz w:val="21"/>
        <w:szCs w:val="21"/>
      </w:rPr>
    </w:pPr>
    <w:r w:rsidRPr="000749CC">
      <w:rPr>
        <w:rFonts w:ascii="SimSun" w:hAnsi="SimSun"/>
        <w:sz w:val="21"/>
        <w:szCs w:val="21"/>
      </w:rPr>
      <w:t>WO/PBC/26/9</w:t>
    </w:r>
  </w:p>
  <w:p w:rsidR="0039745F" w:rsidRDefault="0039745F" w:rsidP="000749CC">
    <w:pPr>
      <w:pStyle w:val="ac"/>
      <w:jc w:val="right"/>
      <w:rPr>
        <w:rFonts w:ascii="SimSun" w:hAnsi="SimSun"/>
        <w:sz w:val="21"/>
        <w:szCs w:val="21"/>
      </w:rPr>
    </w:pPr>
    <w:r w:rsidRPr="000749CC">
      <w:rPr>
        <w:rFonts w:ascii="SimSun" w:hAnsi="SimSun" w:hint="eastAsia"/>
        <w:sz w:val="21"/>
        <w:szCs w:val="21"/>
      </w:rPr>
      <w:t>附件</w:t>
    </w:r>
    <w:r>
      <w:rPr>
        <w:rFonts w:ascii="SimSun" w:hAnsi="SimSun" w:hint="eastAsia"/>
        <w:sz w:val="21"/>
        <w:szCs w:val="21"/>
      </w:rPr>
      <w:t>四</w:t>
    </w:r>
  </w:p>
  <w:p w:rsidR="0039745F" w:rsidRPr="00F15E6C" w:rsidRDefault="0039745F" w:rsidP="000749CC">
    <w:pPr>
      <w:pStyle w:val="ac"/>
      <w:jc w:val="right"/>
      <w:rPr>
        <w:rFonts w:ascii="SimSun" w:hAnsi="SimSu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F" w:rsidRPr="00F15E6C" w:rsidRDefault="0039745F">
    <w:pPr>
      <w:jc w:val="right"/>
      <w:rPr>
        <w:rFonts w:ascii="SimSun" w:hAnsi="SimSun"/>
        <w:lang w:val="fr-FR"/>
      </w:rPr>
    </w:pPr>
    <w:r w:rsidRPr="00F15E6C">
      <w:rPr>
        <w:rFonts w:ascii="SimSun" w:hAnsi="SimSun"/>
        <w:lang w:val="fr-FR"/>
      </w:rPr>
      <w:t>WO/PBC/26/9</w:t>
    </w:r>
  </w:p>
  <w:p w:rsidR="0039745F" w:rsidRPr="00F15E6C" w:rsidRDefault="0039745F">
    <w:pPr>
      <w:pStyle w:val="ac"/>
      <w:jc w:val="right"/>
      <w:rPr>
        <w:rFonts w:ascii="SimSun" w:hAnsi="SimSun"/>
        <w:lang w:val="fr-FR"/>
      </w:rPr>
    </w:pPr>
    <w:proofErr w:type="spellStart"/>
    <w:r w:rsidRPr="00F15E6C">
      <w:rPr>
        <w:rFonts w:ascii="SimSun" w:hAnsi="SimSun"/>
        <w:lang w:val="fr-FR"/>
      </w:rPr>
      <w:t>Annex</w:t>
    </w:r>
    <w:proofErr w:type="spellEnd"/>
    <w:r w:rsidRPr="00F15E6C">
      <w:rPr>
        <w:rFonts w:ascii="SimSun" w:hAnsi="SimSun"/>
        <w:lang w:val="fr-FR"/>
      </w:rPr>
      <w:t xml:space="preserve"> V, page </w:t>
    </w:r>
    <w:r w:rsidRPr="00F15E6C">
      <w:rPr>
        <w:rFonts w:ascii="SimSun" w:hAnsi="SimSun"/>
      </w:rPr>
      <w:fldChar w:fldCharType="begin"/>
    </w:r>
    <w:r w:rsidRPr="00F15E6C">
      <w:rPr>
        <w:rFonts w:ascii="SimSun" w:hAnsi="SimSun"/>
        <w:lang w:val="fr-FR"/>
      </w:rPr>
      <w:instrText xml:space="preserve"> PAGE   \* MERGEFORMAT </w:instrText>
    </w:r>
    <w:r w:rsidRPr="00F15E6C">
      <w:rPr>
        <w:rFonts w:ascii="SimSun" w:hAnsi="SimSun"/>
      </w:rPr>
      <w:fldChar w:fldCharType="separate"/>
    </w:r>
    <w:r w:rsidRPr="00F15E6C">
      <w:rPr>
        <w:rFonts w:ascii="SimSun" w:hAnsi="SimSun"/>
        <w:lang w:val="fr-FR"/>
      </w:rPr>
      <w:t>2</w:t>
    </w:r>
    <w:r w:rsidRPr="00F15E6C">
      <w:rPr>
        <w:rFonts w:ascii="SimSun" w:hAnsi="SimSun"/>
      </w:rPr>
      <w:fldChar w:fldCharType="end"/>
    </w:r>
  </w:p>
  <w:p w:rsidR="0039745F" w:rsidRPr="00F15E6C" w:rsidRDefault="0039745F">
    <w:pPr>
      <w:pStyle w:val="ac"/>
      <w:jc w:val="right"/>
      <w:rPr>
        <w:rFonts w:ascii="SimSun" w:hAnsi="SimSun"/>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B164B"/>
    <w:multiLevelType w:val="multilevel"/>
    <w:tmpl w:val="B838F542"/>
    <w:lvl w:ilvl="0">
      <w:start w:val="1"/>
      <w:numFmt w:val="lowerRoman"/>
      <w:lvlText w:val="(%1)"/>
      <w:lvlJc w:val="left"/>
      <w:pPr>
        <w:ind w:left="720" w:hanging="360"/>
      </w:pPr>
      <w:rPr>
        <w:rFonts w:ascii="SimSun" w:eastAsia="SimSun" w:hAnsi="SimSun" w:cs="Arial" w:hint="default"/>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6D85B20"/>
    <w:multiLevelType w:val="multilevel"/>
    <w:tmpl w:val="26D85B20"/>
    <w:lvl w:ilvl="0">
      <w:start w:val="1"/>
      <w:numFmt w:val="decimal"/>
      <w:lvlText w:val="%1."/>
      <w:lvlJc w:val="left"/>
      <w:pPr>
        <w:ind w:left="720" w:hanging="360"/>
      </w:pPr>
      <w:rPr>
        <w:b w:val="0"/>
        <w:bCs w:val="0"/>
      </w:rPr>
    </w:lvl>
    <w:lvl w:ilvl="1">
      <w:start w:val="1"/>
      <w:numFmt w:val="lowerRoman"/>
      <w:lvlText w:val="(%2)"/>
      <w:lvlJc w:val="left"/>
      <w:pPr>
        <w:ind w:left="1440" w:hanging="360"/>
      </w:pPr>
      <w:rPr>
        <w:rFonts w:ascii="Arial" w:hAnsi="Arial" w:cs="Arial" w:hint="default"/>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4D03E7A"/>
    <w:multiLevelType w:val="multilevel"/>
    <w:tmpl w:val="9EBE80D0"/>
    <w:lvl w:ilvl="0">
      <w:start w:val="270"/>
      <w:numFmt w:val="bullet"/>
      <w:lvlText w:val="-"/>
      <w:lvlJc w:val="left"/>
      <w:pPr>
        <w:ind w:left="720" w:hanging="360"/>
      </w:pPr>
      <w:rPr>
        <w:rFonts w:ascii="SimSun" w:eastAsia="SimSun" w:hAnsi="SimSun"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D594C6A"/>
    <w:multiLevelType w:val="multilevel"/>
    <w:tmpl w:val="3D594C6A"/>
    <w:lvl w:ilvl="0">
      <w:start w:val="27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EC512A0"/>
    <w:multiLevelType w:val="multilevel"/>
    <w:tmpl w:val="4EC512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12B1340"/>
    <w:multiLevelType w:val="multilevel"/>
    <w:tmpl w:val="512B1340"/>
    <w:lvl w:ilvl="0">
      <w:start w:val="270"/>
      <w:numFmt w:val="bullet"/>
      <w:lvlText w:val="-"/>
      <w:lvlJc w:val="left"/>
      <w:pPr>
        <w:ind w:left="778" w:hanging="360"/>
      </w:pPr>
      <w:rPr>
        <w:rFonts w:ascii="Arial" w:eastAsia="SimSun" w:hAnsi="Arial" w:cs="Aria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
    <w:nsid w:val="58103276"/>
    <w:multiLevelType w:val="multilevel"/>
    <w:tmpl w:val="58103276"/>
    <w:lvl w:ilvl="0">
      <w:start w:val="27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E203ED3"/>
    <w:multiLevelType w:val="multilevel"/>
    <w:tmpl w:val="5E203ED3"/>
    <w:lvl w:ilvl="0">
      <w:start w:val="1"/>
      <w:numFmt w:val="decimal"/>
      <w:pStyle w:val="a"/>
      <w:lvlText w:val="03.%1."/>
      <w:lvlJc w:val="left"/>
      <w:pPr>
        <w:tabs>
          <w:tab w:val="left" w:pos="567"/>
        </w:tabs>
        <w:ind w:left="0" w:firstLine="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60F15563"/>
    <w:multiLevelType w:val="multilevel"/>
    <w:tmpl w:val="60F15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3726741"/>
    <w:multiLevelType w:val="multilevel"/>
    <w:tmpl w:val="6372674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938645E"/>
    <w:multiLevelType w:val="multilevel"/>
    <w:tmpl w:val="6938645E"/>
    <w:lvl w:ilvl="0">
      <w:start w:val="1"/>
      <w:numFmt w:val="decimal"/>
      <w:pStyle w:val="ONUMFS"/>
      <w:lvlText w:val="%1."/>
      <w:lvlJc w:val="left"/>
      <w:pPr>
        <w:tabs>
          <w:tab w:val="left" w:pos="567"/>
        </w:tabs>
        <w:ind w:left="0" w:firstLine="0"/>
      </w:pPr>
    </w:lvl>
    <w:lvl w:ilvl="1">
      <w:start w:val="1"/>
      <w:numFmt w:val="lowerLetter"/>
      <w:lvlText w:val="%2)"/>
      <w:lvlJc w:val="left"/>
      <w:pPr>
        <w:tabs>
          <w:tab w:val="left" w:pos="1134"/>
        </w:tabs>
        <w:ind w:left="567" w:firstLine="0"/>
      </w:pPr>
    </w:lvl>
    <w:lvl w:ilvl="2">
      <w:start w:val="1"/>
      <w:numFmt w:val="lowerRoman"/>
      <w:lvlText w:val="%3)"/>
      <w:lvlJc w:val="left"/>
      <w:pPr>
        <w:tabs>
          <w:tab w:val="left" w:pos="1701"/>
        </w:tabs>
        <w:ind w:left="1134" w:firstLine="0"/>
      </w:pPr>
    </w:lvl>
    <w:lvl w:ilvl="3">
      <w:start w:val="1"/>
      <w:numFmt w:val="bullet"/>
      <w:lvlText w:val=""/>
      <w:lvlJc w:val="left"/>
      <w:pPr>
        <w:tabs>
          <w:tab w:val="left" w:pos="2268"/>
        </w:tabs>
        <w:ind w:left="1701" w:firstLine="0"/>
      </w:pPr>
    </w:lvl>
    <w:lvl w:ilvl="4">
      <w:start w:val="1"/>
      <w:numFmt w:val="bullet"/>
      <w:lvlText w:val=""/>
      <w:lvlJc w:val="left"/>
      <w:pPr>
        <w:tabs>
          <w:tab w:val="left" w:pos="2835"/>
        </w:tabs>
        <w:ind w:left="2268" w:firstLine="0"/>
      </w:pPr>
    </w:lvl>
    <w:lvl w:ilvl="5">
      <w:start w:val="1"/>
      <w:numFmt w:val="bullet"/>
      <w:lvlText w:val=""/>
      <w:lvlJc w:val="left"/>
      <w:pPr>
        <w:tabs>
          <w:tab w:val="left" w:pos="3402"/>
        </w:tabs>
        <w:ind w:left="2835" w:firstLine="0"/>
      </w:pPr>
    </w:lvl>
    <w:lvl w:ilvl="6">
      <w:start w:val="1"/>
      <w:numFmt w:val="bullet"/>
      <w:lvlText w:val=""/>
      <w:lvlJc w:val="left"/>
      <w:pPr>
        <w:tabs>
          <w:tab w:val="left" w:pos="3969"/>
        </w:tabs>
        <w:ind w:left="3402" w:firstLine="0"/>
      </w:pPr>
    </w:lvl>
    <w:lvl w:ilvl="7">
      <w:start w:val="1"/>
      <w:numFmt w:val="bullet"/>
      <w:lvlText w:val=""/>
      <w:lvlJc w:val="left"/>
      <w:pPr>
        <w:tabs>
          <w:tab w:val="left" w:pos="4535"/>
        </w:tabs>
        <w:ind w:left="3969" w:firstLine="0"/>
      </w:pPr>
    </w:lvl>
    <w:lvl w:ilvl="8">
      <w:start w:val="1"/>
      <w:numFmt w:val="bullet"/>
      <w:lvlText w:val=""/>
      <w:lvlJc w:val="left"/>
      <w:pPr>
        <w:tabs>
          <w:tab w:val="left" w:pos="5102"/>
        </w:tabs>
        <w:ind w:left="4535" w:firstLine="0"/>
      </w:pPr>
    </w:lvl>
  </w:abstractNum>
  <w:abstractNum w:abstractNumId="11">
    <w:nsid w:val="69FE7540"/>
    <w:multiLevelType w:val="multilevel"/>
    <w:tmpl w:val="71FC3C14"/>
    <w:lvl w:ilvl="0">
      <w:start w:val="270"/>
      <w:numFmt w:val="bullet"/>
      <w:lvlText w:val="-"/>
      <w:lvlJc w:val="left"/>
      <w:pPr>
        <w:ind w:left="720" w:hanging="360"/>
      </w:pPr>
      <w:rPr>
        <w:rFonts w:ascii="SimSun" w:eastAsia="SimSun" w:hAnsi="SimSun"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5D11C28"/>
    <w:multiLevelType w:val="multilevel"/>
    <w:tmpl w:val="75D11C28"/>
    <w:lvl w:ilvl="0">
      <w:start w:val="1"/>
      <w:numFmt w:val="decimal"/>
      <w:pStyle w:val="ONUME"/>
      <w:lvlText w:val="%1."/>
      <w:lvlJc w:val="left"/>
      <w:pPr>
        <w:tabs>
          <w:tab w:val="left" w:pos="567"/>
        </w:tabs>
        <w:ind w:left="0" w:firstLine="0"/>
      </w:pPr>
    </w:lvl>
    <w:lvl w:ilvl="1">
      <w:start w:val="1"/>
      <w:numFmt w:val="lowerLetter"/>
      <w:lvlText w:val="(%2)"/>
      <w:lvlJc w:val="left"/>
      <w:pPr>
        <w:tabs>
          <w:tab w:val="left" w:pos="1134"/>
        </w:tabs>
        <w:ind w:left="567" w:firstLine="0"/>
      </w:pPr>
    </w:lvl>
    <w:lvl w:ilvl="2">
      <w:start w:val="1"/>
      <w:numFmt w:val="lowerRoman"/>
      <w:lvlText w:val="(%3)"/>
      <w:lvlJc w:val="left"/>
      <w:pPr>
        <w:tabs>
          <w:tab w:val="left" w:pos="1701"/>
        </w:tabs>
        <w:ind w:left="1134" w:firstLine="0"/>
      </w:pPr>
    </w:lvl>
    <w:lvl w:ilvl="3">
      <w:start w:val="1"/>
      <w:numFmt w:val="bullet"/>
      <w:lvlText w:val=""/>
      <w:lvlJc w:val="left"/>
      <w:pPr>
        <w:tabs>
          <w:tab w:val="left" w:pos="2268"/>
        </w:tabs>
        <w:ind w:left="1701" w:firstLine="0"/>
      </w:pPr>
    </w:lvl>
    <w:lvl w:ilvl="4">
      <w:start w:val="1"/>
      <w:numFmt w:val="bullet"/>
      <w:lvlText w:val=""/>
      <w:lvlJc w:val="left"/>
      <w:pPr>
        <w:tabs>
          <w:tab w:val="left" w:pos="2835"/>
        </w:tabs>
        <w:ind w:left="2268" w:firstLine="0"/>
      </w:pPr>
    </w:lvl>
    <w:lvl w:ilvl="5">
      <w:start w:val="1"/>
      <w:numFmt w:val="bullet"/>
      <w:lvlText w:val=""/>
      <w:lvlJc w:val="left"/>
      <w:pPr>
        <w:tabs>
          <w:tab w:val="left" w:pos="3402"/>
        </w:tabs>
        <w:ind w:left="2835" w:firstLine="0"/>
      </w:pPr>
    </w:lvl>
    <w:lvl w:ilvl="6">
      <w:start w:val="1"/>
      <w:numFmt w:val="bullet"/>
      <w:lvlText w:val=""/>
      <w:lvlJc w:val="left"/>
      <w:pPr>
        <w:tabs>
          <w:tab w:val="left" w:pos="3969"/>
        </w:tabs>
        <w:ind w:left="3402" w:firstLine="0"/>
      </w:pPr>
    </w:lvl>
    <w:lvl w:ilvl="7">
      <w:start w:val="1"/>
      <w:numFmt w:val="bullet"/>
      <w:lvlText w:val=""/>
      <w:lvlJc w:val="left"/>
      <w:pPr>
        <w:tabs>
          <w:tab w:val="left" w:pos="4535"/>
        </w:tabs>
        <w:ind w:left="3969" w:firstLine="0"/>
      </w:pPr>
    </w:lvl>
    <w:lvl w:ilvl="8">
      <w:start w:val="1"/>
      <w:numFmt w:val="bullet"/>
      <w:lvlText w:val=""/>
      <w:lvlJc w:val="left"/>
      <w:pPr>
        <w:tabs>
          <w:tab w:val="left" w:pos="5102"/>
        </w:tabs>
        <w:ind w:left="4535" w:firstLine="0"/>
      </w:pPr>
    </w:lvl>
  </w:abstractNum>
  <w:abstractNum w:abstractNumId="13">
    <w:nsid w:val="76CC4620"/>
    <w:multiLevelType w:val="multilevel"/>
    <w:tmpl w:val="76CC4620"/>
    <w:lvl w:ilvl="0">
      <w:start w:val="27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8A70109"/>
    <w:multiLevelType w:val="multilevel"/>
    <w:tmpl w:val="05C486C0"/>
    <w:lvl w:ilvl="0">
      <w:start w:val="1"/>
      <w:numFmt w:val="decimal"/>
      <w:lvlText w:val="%1."/>
      <w:lvlJc w:val="left"/>
      <w:pPr>
        <w:ind w:left="720" w:hanging="360"/>
      </w:pPr>
      <w:rPr>
        <w:rFonts w:hint="default"/>
      </w:rPr>
    </w:lvl>
    <w:lvl w:ilvl="1">
      <w:start w:val="1"/>
      <w:numFmt w:val="lowerRoman"/>
      <w:lvlText w:val="(%2)"/>
      <w:lvlJc w:val="left"/>
      <w:pPr>
        <w:ind w:left="1440" w:hanging="360"/>
      </w:pPr>
      <w:rPr>
        <w:rFonts w:ascii="SimSun" w:eastAsia="SimSun" w:hAnsi="SimSun" w:cs="Arial" w:hint="default"/>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0"/>
  </w:num>
  <w:num w:numId="3">
    <w:abstractNumId w:val="12"/>
  </w:num>
  <w:num w:numId="4">
    <w:abstractNumId w:val="1"/>
  </w:num>
  <w:num w:numId="5">
    <w:abstractNumId w:val="9"/>
  </w:num>
  <w:num w:numId="6">
    <w:abstractNumId w:val="4"/>
  </w:num>
  <w:num w:numId="7">
    <w:abstractNumId w:val="8"/>
  </w:num>
  <w:num w:numId="8">
    <w:abstractNumId w:val="3"/>
  </w:num>
  <w:num w:numId="9">
    <w:abstractNumId w:val="13"/>
  </w:num>
  <w:num w:numId="10">
    <w:abstractNumId w:val="0"/>
  </w:num>
  <w:num w:numId="11">
    <w:abstractNumId w:val="2"/>
  </w:num>
  <w:num w:numId="12">
    <w:abstractNumId w:val="14"/>
  </w:num>
  <w:num w:numId="13">
    <w:abstractNumId w:val="11"/>
  </w:num>
  <w:num w:numId="14">
    <w:abstractNumId w:val="6"/>
  </w:num>
  <w:num w:numId="15">
    <w:abstractNumId w:val="5"/>
  </w:num>
  <w:num w:numId="16">
    <w:abstractNumId w:val="1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7A"/>
    <w:rsid w:val="00011824"/>
    <w:rsid w:val="00011C66"/>
    <w:rsid w:val="000200CF"/>
    <w:rsid w:val="00026EAC"/>
    <w:rsid w:val="0003042D"/>
    <w:rsid w:val="00032E26"/>
    <w:rsid w:val="00033E56"/>
    <w:rsid w:val="00040809"/>
    <w:rsid w:val="00040FDF"/>
    <w:rsid w:val="0004545E"/>
    <w:rsid w:val="0004621A"/>
    <w:rsid w:val="00051179"/>
    <w:rsid w:val="00061674"/>
    <w:rsid w:val="00062073"/>
    <w:rsid w:val="00063B55"/>
    <w:rsid w:val="00064B27"/>
    <w:rsid w:val="00066A75"/>
    <w:rsid w:val="000733CC"/>
    <w:rsid w:val="000749CC"/>
    <w:rsid w:val="00080032"/>
    <w:rsid w:val="00080399"/>
    <w:rsid w:val="00080E57"/>
    <w:rsid w:val="00090CC3"/>
    <w:rsid w:val="00093F4A"/>
    <w:rsid w:val="00095D91"/>
    <w:rsid w:val="000A0F0F"/>
    <w:rsid w:val="000A14B7"/>
    <w:rsid w:val="000A3E5D"/>
    <w:rsid w:val="000A52FE"/>
    <w:rsid w:val="000B1D60"/>
    <w:rsid w:val="000C47FD"/>
    <w:rsid w:val="000C4998"/>
    <w:rsid w:val="000C4CD2"/>
    <w:rsid w:val="000C7049"/>
    <w:rsid w:val="000C7785"/>
    <w:rsid w:val="000D29E6"/>
    <w:rsid w:val="000D3314"/>
    <w:rsid w:val="000D3644"/>
    <w:rsid w:val="000D5F5B"/>
    <w:rsid w:val="000E3C49"/>
    <w:rsid w:val="000F09CE"/>
    <w:rsid w:val="000F0FB7"/>
    <w:rsid w:val="000F228A"/>
    <w:rsid w:val="000F5E56"/>
    <w:rsid w:val="0010054E"/>
    <w:rsid w:val="00104C70"/>
    <w:rsid w:val="00106ABB"/>
    <w:rsid w:val="00107169"/>
    <w:rsid w:val="001122D3"/>
    <w:rsid w:val="00114EE8"/>
    <w:rsid w:val="0013762C"/>
    <w:rsid w:val="001419B4"/>
    <w:rsid w:val="00146525"/>
    <w:rsid w:val="001617BC"/>
    <w:rsid w:val="001667C9"/>
    <w:rsid w:val="0017043C"/>
    <w:rsid w:val="001718CC"/>
    <w:rsid w:val="001735FF"/>
    <w:rsid w:val="00173FDE"/>
    <w:rsid w:val="0018205C"/>
    <w:rsid w:val="00182AA9"/>
    <w:rsid w:val="00187721"/>
    <w:rsid w:val="00190B57"/>
    <w:rsid w:val="0019259C"/>
    <w:rsid w:val="00194298"/>
    <w:rsid w:val="00194FAB"/>
    <w:rsid w:val="00197BF4"/>
    <w:rsid w:val="001A06F4"/>
    <w:rsid w:val="001A3413"/>
    <w:rsid w:val="001A6CD3"/>
    <w:rsid w:val="001B4DF4"/>
    <w:rsid w:val="001B60AD"/>
    <w:rsid w:val="001C2541"/>
    <w:rsid w:val="001C4865"/>
    <w:rsid w:val="001C55EF"/>
    <w:rsid w:val="001D1FE7"/>
    <w:rsid w:val="001D4851"/>
    <w:rsid w:val="001E233D"/>
    <w:rsid w:val="001E54F8"/>
    <w:rsid w:val="001F24E3"/>
    <w:rsid w:val="00201B22"/>
    <w:rsid w:val="002049AA"/>
    <w:rsid w:val="0020788D"/>
    <w:rsid w:val="00207BFD"/>
    <w:rsid w:val="00214BCA"/>
    <w:rsid w:val="00221618"/>
    <w:rsid w:val="00223C7B"/>
    <w:rsid w:val="00226F0B"/>
    <w:rsid w:val="0023007B"/>
    <w:rsid w:val="00234B88"/>
    <w:rsid w:val="002417F4"/>
    <w:rsid w:val="0024444B"/>
    <w:rsid w:val="00245C66"/>
    <w:rsid w:val="00251C01"/>
    <w:rsid w:val="00251CE0"/>
    <w:rsid w:val="00252C39"/>
    <w:rsid w:val="00273294"/>
    <w:rsid w:val="00275137"/>
    <w:rsid w:val="002771BA"/>
    <w:rsid w:val="00284D5B"/>
    <w:rsid w:val="00284EE1"/>
    <w:rsid w:val="002861E5"/>
    <w:rsid w:val="00290252"/>
    <w:rsid w:val="00290D03"/>
    <w:rsid w:val="00292242"/>
    <w:rsid w:val="002A3AAC"/>
    <w:rsid w:val="002B207F"/>
    <w:rsid w:val="002B35EF"/>
    <w:rsid w:val="002B6780"/>
    <w:rsid w:val="002C04F5"/>
    <w:rsid w:val="002C2304"/>
    <w:rsid w:val="002C23B5"/>
    <w:rsid w:val="002F135C"/>
    <w:rsid w:val="002F7014"/>
    <w:rsid w:val="002F77FB"/>
    <w:rsid w:val="00322EB5"/>
    <w:rsid w:val="0032390A"/>
    <w:rsid w:val="00331982"/>
    <w:rsid w:val="00335CA1"/>
    <w:rsid w:val="00345017"/>
    <w:rsid w:val="0035245F"/>
    <w:rsid w:val="00352FA4"/>
    <w:rsid w:val="00355B1E"/>
    <w:rsid w:val="00356243"/>
    <w:rsid w:val="003573F0"/>
    <w:rsid w:val="00371DFE"/>
    <w:rsid w:val="00372A12"/>
    <w:rsid w:val="00377769"/>
    <w:rsid w:val="00384DB6"/>
    <w:rsid w:val="003868F7"/>
    <w:rsid w:val="00396E12"/>
    <w:rsid w:val="0039745F"/>
    <w:rsid w:val="003A558E"/>
    <w:rsid w:val="003A7FE7"/>
    <w:rsid w:val="003B037D"/>
    <w:rsid w:val="003B05E6"/>
    <w:rsid w:val="003B1985"/>
    <w:rsid w:val="003C25B2"/>
    <w:rsid w:val="003C25D8"/>
    <w:rsid w:val="003C51B4"/>
    <w:rsid w:val="003C7F9F"/>
    <w:rsid w:val="003E4CC5"/>
    <w:rsid w:val="003F2F9A"/>
    <w:rsid w:val="003F4D41"/>
    <w:rsid w:val="00400E2A"/>
    <w:rsid w:val="00401C27"/>
    <w:rsid w:val="00405ECF"/>
    <w:rsid w:val="004105E2"/>
    <w:rsid w:val="00425D78"/>
    <w:rsid w:val="00431118"/>
    <w:rsid w:val="0043347A"/>
    <w:rsid w:val="004348A1"/>
    <w:rsid w:val="004350C7"/>
    <w:rsid w:val="00436A96"/>
    <w:rsid w:val="00437181"/>
    <w:rsid w:val="0044082F"/>
    <w:rsid w:val="004445A8"/>
    <w:rsid w:val="00445570"/>
    <w:rsid w:val="00447D87"/>
    <w:rsid w:val="004556F5"/>
    <w:rsid w:val="00460C2F"/>
    <w:rsid w:val="004615A6"/>
    <w:rsid w:val="00470A2A"/>
    <w:rsid w:val="004718BF"/>
    <w:rsid w:val="00481F42"/>
    <w:rsid w:val="004827D6"/>
    <w:rsid w:val="00482837"/>
    <w:rsid w:val="0048572C"/>
    <w:rsid w:val="004860C9"/>
    <w:rsid w:val="00486738"/>
    <w:rsid w:val="004943E0"/>
    <w:rsid w:val="00497490"/>
    <w:rsid w:val="0049794C"/>
    <w:rsid w:val="00497BD2"/>
    <w:rsid w:val="004C23E8"/>
    <w:rsid w:val="004E0B03"/>
    <w:rsid w:val="004E0BD1"/>
    <w:rsid w:val="004E7110"/>
    <w:rsid w:val="004E7D6C"/>
    <w:rsid w:val="004F7559"/>
    <w:rsid w:val="004F7E15"/>
    <w:rsid w:val="00500E10"/>
    <w:rsid w:val="00503ADA"/>
    <w:rsid w:val="00504966"/>
    <w:rsid w:val="005101D2"/>
    <w:rsid w:val="0051047B"/>
    <w:rsid w:val="00516365"/>
    <w:rsid w:val="005174E1"/>
    <w:rsid w:val="005235F9"/>
    <w:rsid w:val="00525858"/>
    <w:rsid w:val="00527D27"/>
    <w:rsid w:val="00541F39"/>
    <w:rsid w:val="005444C4"/>
    <w:rsid w:val="00551056"/>
    <w:rsid w:val="005760A9"/>
    <w:rsid w:val="00581E45"/>
    <w:rsid w:val="00582B6C"/>
    <w:rsid w:val="00587956"/>
    <w:rsid w:val="0059122A"/>
    <w:rsid w:val="005B7808"/>
    <w:rsid w:val="005C126C"/>
    <w:rsid w:val="005C26F2"/>
    <w:rsid w:val="005C327D"/>
    <w:rsid w:val="005C6A80"/>
    <w:rsid w:val="005D3BBC"/>
    <w:rsid w:val="005D7C23"/>
    <w:rsid w:val="005E013D"/>
    <w:rsid w:val="005E16FA"/>
    <w:rsid w:val="005E226A"/>
    <w:rsid w:val="005F1CAB"/>
    <w:rsid w:val="005F5996"/>
    <w:rsid w:val="005F68FF"/>
    <w:rsid w:val="006012D2"/>
    <w:rsid w:val="00603A36"/>
    <w:rsid w:val="00604792"/>
    <w:rsid w:val="00604B94"/>
    <w:rsid w:val="006112C9"/>
    <w:rsid w:val="00611A6B"/>
    <w:rsid w:val="0061246F"/>
    <w:rsid w:val="00620A95"/>
    <w:rsid w:val="00622AAE"/>
    <w:rsid w:val="00623B29"/>
    <w:rsid w:val="006250B1"/>
    <w:rsid w:val="00625F97"/>
    <w:rsid w:val="00634275"/>
    <w:rsid w:val="0064155B"/>
    <w:rsid w:val="006449A2"/>
    <w:rsid w:val="00646A86"/>
    <w:rsid w:val="006476FE"/>
    <w:rsid w:val="00653B7A"/>
    <w:rsid w:val="00691105"/>
    <w:rsid w:val="0069268D"/>
    <w:rsid w:val="00694474"/>
    <w:rsid w:val="006A256F"/>
    <w:rsid w:val="006A27BE"/>
    <w:rsid w:val="006A73F2"/>
    <w:rsid w:val="006C0887"/>
    <w:rsid w:val="006C165A"/>
    <w:rsid w:val="006C379E"/>
    <w:rsid w:val="006D2D44"/>
    <w:rsid w:val="006E606D"/>
    <w:rsid w:val="006F7707"/>
    <w:rsid w:val="00702E1E"/>
    <w:rsid w:val="0071027A"/>
    <w:rsid w:val="00714347"/>
    <w:rsid w:val="00715559"/>
    <w:rsid w:val="007231D8"/>
    <w:rsid w:val="0072641B"/>
    <w:rsid w:val="00730476"/>
    <w:rsid w:val="00736B7E"/>
    <w:rsid w:val="00743939"/>
    <w:rsid w:val="00753464"/>
    <w:rsid w:val="00755C05"/>
    <w:rsid w:val="0076194A"/>
    <w:rsid w:val="007710F4"/>
    <w:rsid w:val="00773CB9"/>
    <w:rsid w:val="00774E21"/>
    <w:rsid w:val="00782B49"/>
    <w:rsid w:val="00783E32"/>
    <w:rsid w:val="0078664B"/>
    <w:rsid w:val="00787511"/>
    <w:rsid w:val="00793653"/>
    <w:rsid w:val="007A2108"/>
    <w:rsid w:val="007B136D"/>
    <w:rsid w:val="007B240C"/>
    <w:rsid w:val="007C36A3"/>
    <w:rsid w:val="007D53C7"/>
    <w:rsid w:val="007D7B44"/>
    <w:rsid w:val="007E6B5E"/>
    <w:rsid w:val="007E6B7D"/>
    <w:rsid w:val="007F4A91"/>
    <w:rsid w:val="007F6B25"/>
    <w:rsid w:val="00804DB7"/>
    <w:rsid w:val="0080625D"/>
    <w:rsid w:val="00806E47"/>
    <w:rsid w:val="00811659"/>
    <w:rsid w:val="00813CB5"/>
    <w:rsid w:val="00832549"/>
    <w:rsid w:val="008330C1"/>
    <w:rsid w:val="00835290"/>
    <w:rsid w:val="008438D1"/>
    <w:rsid w:val="00843D71"/>
    <w:rsid w:val="00850C08"/>
    <w:rsid w:val="00851D9C"/>
    <w:rsid w:val="00865A54"/>
    <w:rsid w:val="00872963"/>
    <w:rsid w:val="00881824"/>
    <w:rsid w:val="008861D5"/>
    <w:rsid w:val="00892A93"/>
    <w:rsid w:val="00894AE4"/>
    <w:rsid w:val="00894DB5"/>
    <w:rsid w:val="00895921"/>
    <w:rsid w:val="008B092D"/>
    <w:rsid w:val="008B4DB9"/>
    <w:rsid w:val="008B7186"/>
    <w:rsid w:val="008C284C"/>
    <w:rsid w:val="008C2ECF"/>
    <w:rsid w:val="008C350E"/>
    <w:rsid w:val="008C75DC"/>
    <w:rsid w:val="008D0387"/>
    <w:rsid w:val="008E4F4F"/>
    <w:rsid w:val="008E5052"/>
    <w:rsid w:val="008E5A15"/>
    <w:rsid w:val="008E6E53"/>
    <w:rsid w:val="008F4D76"/>
    <w:rsid w:val="00911806"/>
    <w:rsid w:val="0091509E"/>
    <w:rsid w:val="00915483"/>
    <w:rsid w:val="0092101F"/>
    <w:rsid w:val="0092207D"/>
    <w:rsid w:val="009354E4"/>
    <w:rsid w:val="00942303"/>
    <w:rsid w:val="00944DBE"/>
    <w:rsid w:val="00954BCB"/>
    <w:rsid w:val="009556CE"/>
    <w:rsid w:val="009603A5"/>
    <w:rsid w:val="00961996"/>
    <w:rsid w:val="00963E2A"/>
    <w:rsid w:val="009667F9"/>
    <w:rsid w:val="00970894"/>
    <w:rsid w:val="00973B06"/>
    <w:rsid w:val="00980D47"/>
    <w:rsid w:val="00987143"/>
    <w:rsid w:val="0099107E"/>
    <w:rsid w:val="009B0223"/>
    <w:rsid w:val="009C48F5"/>
    <w:rsid w:val="009C6F71"/>
    <w:rsid w:val="009C7018"/>
    <w:rsid w:val="009C75B6"/>
    <w:rsid w:val="009D27D3"/>
    <w:rsid w:val="009D4512"/>
    <w:rsid w:val="00A162C5"/>
    <w:rsid w:val="00A20C9C"/>
    <w:rsid w:val="00A26BD6"/>
    <w:rsid w:val="00A30BF2"/>
    <w:rsid w:val="00A32631"/>
    <w:rsid w:val="00A40CB1"/>
    <w:rsid w:val="00A416AE"/>
    <w:rsid w:val="00A464B2"/>
    <w:rsid w:val="00A51A68"/>
    <w:rsid w:val="00A52A50"/>
    <w:rsid w:val="00A545FE"/>
    <w:rsid w:val="00A55A5F"/>
    <w:rsid w:val="00A70747"/>
    <w:rsid w:val="00A720F7"/>
    <w:rsid w:val="00A7231E"/>
    <w:rsid w:val="00A804AA"/>
    <w:rsid w:val="00A940A7"/>
    <w:rsid w:val="00A95462"/>
    <w:rsid w:val="00AA162B"/>
    <w:rsid w:val="00AB747C"/>
    <w:rsid w:val="00AC0770"/>
    <w:rsid w:val="00AC5671"/>
    <w:rsid w:val="00AC6C69"/>
    <w:rsid w:val="00AD0F36"/>
    <w:rsid w:val="00AD4B21"/>
    <w:rsid w:val="00AD6D24"/>
    <w:rsid w:val="00AF0542"/>
    <w:rsid w:val="00B03E5E"/>
    <w:rsid w:val="00B1492D"/>
    <w:rsid w:val="00B22F66"/>
    <w:rsid w:val="00B25249"/>
    <w:rsid w:val="00B264CA"/>
    <w:rsid w:val="00B27883"/>
    <w:rsid w:val="00B35A79"/>
    <w:rsid w:val="00B36C2B"/>
    <w:rsid w:val="00B4685C"/>
    <w:rsid w:val="00B471A7"/>
    <w:rsid w:val="00B53115"/>
    <w:rsid w:val="00B80E44"/>
    <w:rsid w:val="00B80EF2"/>
    <w:rsid w:val="00B83F7E"/>
    <w:rsid w:val="00B85BA1"/>
    <w:rsid w:val="00B85D3C"/>
    <w:rsid w:val="00B921CB"/>
    <w:rsid w:val="00BA511B"/>
    <w:rsid w:val="00BB3E02"/>
    <w:rsid w:val="00BB5A80"/>
    <w:rsid w:val="00BB753C"/>
    <w:rsid w:val="00BF2459"/>
    <w:rsid w:val="00C0295A"/>
    <w:rsid w:val="00C04A28"/>
    <w:rsid w:val="00C07BED"/>
    <w:rsid w:val="00C15272"/>
    <w:rsid w:val="00C220CE"/>
    <w:rsid w:val="00C23409"/>
    <w:rsid w:val="00C24AE0"/>
    <w:rsid w:val="00C25034"/>
    <w:rsid w:val="00C25C67"/>
    <w:rsid w:val="00C27D5D"/>
    <w:rsid w:val="00C33FF4"/>
    <w:rsid w:val="00C34889"/>
    <w:rsid w:val="00C3752C"/>
    <w:rsid w:val="00C42894"/>
    <w:rsid w:val="00C454C9"/>
    <w:rsid w:val="00C52082"/>
    <w:rsid w:val="00C554EC"/>
    <w:rsid w:val="00C64CF5"/>
    <w:rsid w:val="00C730BD"/>
    <w:rsid w:val="00C74667"/>
    <w:rsid w:val="00C83B65"/>
    <w:rsid w:val="00C853CC"/>
    <w:rsid w:val="00C94BA1"/>
    <w:rsid w:val="00CA058B"/>
    <w:rsid w:val="00CA458E"/>
    <w:rsid w:val="00CA5E06"/>
    <w:rsid w:val="00CA6F47"/>
    <w:rsid w:val="00CB3654"/>
    <w:rsid w:val="00CC49C4"/>
    <w:rsid w:val="00CF16A2"/>
    <w:rsid w:val="00CF37CA"/>
    <w:rsid w:val="00CF5060"/>
    <w:rsid w:val="00CF6833"/>
    <w:rsid w:val="00D06645"/>
    <w:rsid w:val="00D166BA"/>
    <w:rsid w:val="00D224A7"/>
    <w:rsid w:val="00D30DA4"/>
    <w:rsid w:val="00D32AA3"/>
    <w:rsid w:val="00D34959"/>
    <w:rsid w:val="00D36186"/>
    <w:rsid w:val="00D43026"/>
    <w:rsid w:val="00D45F87"/>
    <w:rsid w:val="00D54B7D"/>
    <w:rsid w:val="00D63F20"/>
    <w:rsid w:val="00D640D3"/>
    <w:rsid w:val="00D64B6C"/>
    <w:rsid w:val="00D83854"/>
    <w:rsid w:val="00D84167"/>
    <w:rsid w:val="00D908E7"/>
    <w:rsid w:val="00D90DFC"/>
    <w:rsid w:val="00D93619"/>
    <w:rsid w:val="00DA44D1"/>
    <w:rsid w:val="00DB1104"/>
    <w:rsid w:val="00DB1F15"/>
    <w:rsid w:val="00DB30F6"/>
    <w:rsid w:val="00DB70A6"/>
    <w:rsid w:val="00DC14C5"/>
    <w:rsid w:val="00DC61EA"/>
    <w:rsid w:val="00DE3CDE"/>
    <w:rsid w:val="00DF1219"/>
    <w:rsid w:val="00E0315F"/>
    <w:rsid w:val="00E115AC"/>
    <w:rsid w:val="00E13D8B"/>
    <w:rsid w:val="00E20CEB"/>
    <w:rsid w:val="00E23B76"/>
    <w:rsid w:val="00E254CC"/>
    <w:rsid w:val="00E31CC4"/>
    <w:rsid w:val="00E35F27"/>
    <w:rsid w:val="00E4111B"/>
    <w:rsid w:val="00E413D0"/>
    <w:rsid w:val="00E46337"/>
    <w:rsid w:val="00E52514"/>
    <w:rsid w:val="00E567E5"/>
    <w:rsid w:val="00E71B92"/>
    <w:rsid w:val="00E71D73"/>
    <w:rsid w:val="00E75704"/>
    <w:rsid w:val="00E8145F"/>
    <w:rsid w:val="00E81B0E"/>
    <w:rsid w:val="00E95A3E"/>
    <w:rsid w:val="00E97F0B"/>
    <w:rsid w:val="00EA421B"/>
    <w:rsid w:val="00EA6DBC"/>
    <w:rsid w:val="00EB0B88"/>
    <w:rsid w:val="00EB4EF9"/>
    <w:rsid w:val="00EC02D9"/>
    <w:rsid w:val="00EC50A6"/>
    <w:rsid w:val="00ED285D"/>
    <w:rsid w:val="00ED694E"/>
    <w:rsid w:val="00EF1F5E"/>
    <w:rsid w:val="00EF5D02"/>
    <w:rsid w:val="00EF6BD0"/>
    <w:rsid w:val="00EF6C4D"/>
    <w:rsid w:val="00F005FF"/>
    <w:rsid w:val="00F021AE"/>
    <w:rsid w:val="00F0557F"/>
    <w:rsid w:val="00F15B69"/>
    <w:rsid w:val="00F15E6C"/>
    <w:rsid w:val="00F22A9E"/>
    <w:rsid w:val="00F2666A"/>
    <w:rsid w:val="00F35355"/>
    <w:rsid w:val="00F373B5"/>
    <w:rsid w:val="00F56C27"/>
    <w:rsid w:val="00F613CD"/>
    <w:rsid w:val="00F6375B"/>
    <w:rsid w:val="00F644D5"/>
    <w:rsid w:val="00F647E7"/>
    <w:rsid w:val="00F72166"/>
    <w:rsid w:val="00F97C5F"/>
    <w:rsid w:val="00FA0EA3"/>
    <w:rsid w:val="00FA2C25"/>
    <w:rsid w:val="00FA5B68"/>
    <w:rsid w:val="00FA6F7E"/>
    <w:rsid w:val="00FA71B8"/>
    <w:rsid w:val="00FA7D54"/>
    <w:rsid w:val="00FB1239"/>
    <w:rsid w:val="00FB217E"/>
    <w:rsid w:val="00FC361C"/>
    <w:rsid w:val="00FC392E"/>
    <w:rsid w:val="00FC3D79"/>
    <w:rsid w:val="00FC73E5"/>
    <w:rsid w:val="00FD1959"/>
    <w:rsid w:val="00FD717A"/>
    <w:rsid w:val="00FD7501"/>
    <w:rsid w:val="00FF31C1"/>
    <w:rsid w:val="00FF4980"/>
    <w:rsid w:val="011C6977"/>
    <w:rsid w:val="01FA07F1"/>
    <w:rsid w:val="0442760B"/>
    <w:rsid w:val="046574FF"/>
    <w:rsid w:val="049F678B"/>
    <w:rsid w:val="05B86722"/>
    <w:rsid w:val="06BF2F29"/>
    <w:rsid w:val="09A3143D"/>
    <w:rsid w:val="0C290766"/>
    <w:rsid w:val="0CDA2043"/>
    <w:rsid w:val="0E89149E"/>
    <w:rsid w:val="111D0500"/>
    <w:rsid w:val="118B60BE"/>
    <w:rsid w:val="118B63B9"/>
    <w:rsid w:val="147077FC"/>
    <w:rsid w:val="1506358F"/>
    <w:rsid w:val="15261E6E"/>
    <w:rsid w:val="161E714B"/>
    <w:rsid w:val="16343760"/>
    <w:rsid w:val="1788379E"/>
    <w:rsid w:val="17BB3CA9"/>
    <w:rsid w:val="18B829A5"/>
    <w:rsid w:val="190807B3"/>
    <w:rsid w:val="1B1B6E87"/>
    <w:rsid w:val="1BC176E8"/>
    <w:rsid w:val="1BCA656D"/>
    <w:rsid w:val="1C3D79D1"/>
    <w:rsid w:val="1D3D485A"/>
    <w:rsid w:val="1DFF37EE"/>
    <w:rsid w:val="1E1805A4"/>
    <w:rsid w:val="1F1F6A39"/>
    <w:rsid w:val="1F97208A"/>
    <w:rsid w:val="1FD447D1"/>
    <w:rsid w:val="208C0F47"/>
    <w:rsid w:val="23036726"/>
    <w:rsid w:val="23717E91"/>
    <w:rsid w:val="24E73841"/>
    <w:rsid w:val="26BB0ACE"/>
    <w:rsid w:val="27757425"/>
    <w:rsid w:val="27E8680E"/>
    <w:rsid w:val="29960FEA"/>
    <w:rsid w:val="29B528FA"/>
    <w:rsid w:val="2A610CDB"/>
    <w:rsid w:val="2AC46B4A"/>
    <w:rsid w:val="2B3E4D03"/>
    <w:rsid w:val="2C085823"/>
    <w:rsid w:val="2C6E7713"/>
    <w:rsid w:val="2C8E48A1"/>
    <w:rsid w:val="2D0D3428"/>
    <w:rsid w:val="2E54330B"/>
    <w:rsid w:val="2E7A041F"/>
    <w:rsid w:val="2F1A6A83"/>
    <w:rsid w:val="2F4B601F"/>
    <w:rsid w:val="2F9477EE"/>
    <w:rsid w:val="32FB1A5D"/>
    <w:rsid w:val="33011DD9"/>
    <w:rsid w:val="336629BC"/>
    <w:rsid w:val="37140C7D"/>
    <w:rsid w:val="37E343B4"/>
    <w:rsid w:val="37E72329"/>
    <w:rsid w:val="3858513B"/>
    <w:rsid w:val="3A751643"/>
    <w:rsid w:val="3B2D3E1E"/>
    <w:rsid w:val="3BE967B2"/>
    <w:rsid w:val="3C907828"/>
    <w:rsid w:val="3D1105A9"/>
    <w:rsid w:val="3DA604F5"/>
    <w:rsid w:val="3E5952E3"/>
    <w:rsid w:val="3FD92644"/>
    <w:rsid w:val="405149A5"/>
    <w:rsid w:val="405B273F"/>
    <w:rsid w:val="43594116"/>
    <w:rsid w:val="439E4769"/>
    <w:rsid w:val="445569F1"/>
    <w:rsid w:val="448036F8"/>
    <w:rsid w:val="44B50E52"/>
    <w:rsid w:val="45D92A01"/>
    <w:rsid w:val="463A4BDA"/>
    <w:rsid w:val="47833AE6"/>
    <w:rsid w:val="48C36156"/>
    <w:rsid w:val="4A8E0A3A"/>
    <w:rsid w:val="4D211CE0"/>
    <w:rsid w:val="4DE86AA9"/>
    <w:rsid w:val="519A74BA"/>
    <w:rsid w:val="52513958"/>
    <w:rsid w:val="53942A7D"/>
    <w:rsid w:val="540742AA"/>
    <w:rsid w:val="546C5857"/>
    <w:rsid w:val="54F04C04"/>
    <w:rsid w:val="5567712E"/>
    <w:rsid w:val="56ED11F6"/>
    <w:rsid w:val="56FA16DF"/>
    <w:rsid w:val="58531521"/>
    <w:rsid w:val="5A6C78E8"/>
    <w:rsid w:val="5C467550"/>
    <w:rsid w:val="5CAA0363"/>
    <w:rsid w:val="5D4F5A1F"/>
    <w:rsid w:val="5E573AE1"/>
    <w:rsid w:val="5F4C648D"/>
    <w:rsid w:val="5FE77A46"/>
    <w:rsid w:val="60AD6C99"/>
    <w:rsid w:val="60F17F3B"/>
    <w:rsid w:val="620B535E"/>
    <w:rsid w:val="627F0EE3"/>
    <w:rsid w:val="641F29D9"/>
    <w:rsid w:val="64672984"/>
    <w:rsid w:val="66992B6F"/>
    <w:rsid w:val="675D5481"/>
    <w:rsid w:val="69CA13F0"/>
    <w:rsid w:val="6CF321F7"/>
    <w:rsid w:val="6EC94E83"/>
    <w:rsid w:val="6F875BAB"/>
    <w:rsid w:val="6FB6484C"/>
    <w:rsid w:val="6FC368C1"/>
    <w:rsid w:val="70AA2BFC"/>
    <w:rsid w:val="737C41E1"/>
    <w:rsid w:val="73C7587A"/>
    <w:rsid w:val="74DE39C0"/>
    <w:rsid w:val="74F52616"/>
    <w:rsid w:val="75A34235"/>
    <w:rsid w:val="76D41CEE"/>
    <w:rsid w:val="775153A4"/>
    <w:rsid w:val="78566F28"/>
    <w:rsid w:val="788109BB"/>
    <w:rsid w:val="790D6528"/>
    <w:rsid w:val="798564D2"/>
    <w:rsid w:val="7A022F00"/>
    <w:rsid w:val="7A4E7404"/>
    <w:rsid w:val="7A7E5A2D"/>
    <w:rsid w:val="7A8A7B59"/>
    <w:rsid w:val="7AC9001A"/>
    <w:rsid w:val="7B0A586E"/>
    <w:rsid w:val="7C7377FE"/>
    <w:rsid w:val="7DE57E6C"/>
    <w:rsid w:val="7E0148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annotation text" w:semiHidden="1" w:qFormat="1"/>
    <w:lsdException w:name="header" w:uiPriority="99" w:qFormat="1"/>
    <w:lsdException w:name="footer" w:semiHidden="1" w:qFormat="1"/>
    <w:lsdException w:name="caption" w:qFormat="1"/>
    <w:lsdException w:name="footnote reference" w:qFormat="1"/>
    <w:lsdException w:name="annotation reference" w:qFormat="1"/>
    <w:lsdException w:name="endnote text" w:semiHidden="1" w:qFormat="1"/>
    <w:lsdException w:name="List Number" w:semiHidden="1" w:qFormat="1"/>
    <w:lsdException w:name="Title" w:qFormat="1"/>
    <w:lsdException w:name="Signature" w:semiHidden="1" w:qFormat="1"/>
    <w:lsdException w:name="Default Paragraph Font" w:uiPriority="1" w:unhideWhenUsed="1" w:qFormat="1"/>
    <w:lsdException w:name="Body Text" w:qFormat="1"/>
    <w:lsdException w:name="Subtitle" w:qFormat="1"/>
    <w:lsdException w:name="Salutation"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eastAsia="SimSun"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link w:val="2Char"/>
    <w:qFormat/>
    <w:pPr>
      <w:keepNext/>
      <w:spacing w:before="240" w:after="60"/>
      <w:outlineLvl w:val="1"/>
    </w:pPr>
    <w:rPr>
      <w:bCs/>
      <w:iCs/>
      <w:caps/>
      <w:szCs w:val="28"/>
    </w:rPr>
  </w:style>
  <w:style w:type="paragraph" w:styleId="3">
    <w:name w:val="heading 3"/>
    <w:basedOn w:val="a0"/>
    <w:next w:val="a0"/>
    <w:link w:val="3Char"/>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sz w:val="20"/>
    </w:rPr>
  </w:style>
  <w:style w:type="paragraph" w:styleId="a5">
    <w:name w:val="annotation text"/>
    <w:basedOn w:val="a0"/>
    <w:link w:val="Char0"/>
    <w:semiHidden/>
    <w:qFormat/>
    <w:rPr>
      <w:sz w:val="18"/>
    </w:rPr>
  </w:style>
  <w:style w:type="paragraph" w:styleId="a">
    <w:name w:val="List Number"/>
    <w:basedOn w:val="a0"/>
    <w:semiHidden/>
    <w:qFormat/>
    <w:pPr>
      <w:numPr>
        <w:numId w:val="1"/>
      </w:numPr>
    </w:pPr>
  </w:style>
  <w:style w:type="paragraph" w:styleId="a6">
    <w:name w:val="caption"/>
    <w:basedOn w:val="a0"/>
    <w:next w:val="a0"/>
    <w:qFormat/>
    <w:rPr>
      <w:b/>
      <w:bCs/>
      <w:sz w:val="18"/>
    </w:rPr>
  </w:style>
  <w:style w:type="paragraph" w:styleId="a7">
    <w:name w:val="Salutation"/>
    <w:basedOn w:val="a0"/>
    <w:next w:val="a0"/>
    <w:semiHidden/>
    <w:qFormat/>
  </w:style>
  <w:style w:type="paragraph" w:styleId="a8">
    <w:name w:val="Body Text"/>
    <w:basedOn w:val="a0"/>
    <w:qFormat/>
    <w:pPr>
      <w:spacing w:after="220"/>
    </w:pPr>
  </w:style>
  <w:style w:type="paragraph" w:styleId="a9">
    <w:name w:val="endnote text"/>
    <w:basedOn w:val="a0"/>
    <w:semiHidden/>
    <w:qFormat/>
    <w:rPr>
      <w:sz w:val="18"/>
    </w:rPr>
  </w:style>
  <w:style w:type="paragraph" w:styleId="aa">
    <w:name w:val="Balloon Text"/>
    <w:basedOn w:val="a0"/>
    <w:link w:val="Char1"/>
    <w:qFormat/>
    <w:rPr>
      <w:rFonts w:ascii="Tahoma" w:hAnsi="Tahoma" w:cs="Tahoma"/>
      <w:sz w:val="16"/>
      <w:szCs w:val="16"/>
    </w:rPr>
  </w:style>
  <w:style w:type="paragraph" w:styleId="ab">
    <w:name w:val="footer"/>
    <w:basedOn w:val="a0"/>
    <w:semiHidden/>
    <w:qFormat/>
    <w:pPr>
      <w:tabs>
        <w:tab w:val="center" w:pos="4320"/>
        <w:tab w:val="right" w:pos="8640"/>
      </w:tabs>
    </w:pPr>
  </w:style>
  <w:style w:type="paragraph" w:styleId="ac">
    <w:name w:val="header"/>
    <w:basedOn w:val="a0"/>
    <w:link w:val="Char2"/>
    <w:uiPriority w:val="99"/>
    <w:qFormat/>
    <w:pPr>
      <w:tabs>
        <w:tab w:val="center" w:pos="4536"/>
        <w:tab w:val="right" w:pos="9072"/>
      </w:tabs>
    </w:pPr>
  </w:style>
  <w:style w:type="paragraph" w:styleId="ad">
    <w:name w:val="Signature"/>
    <w:basedOn w:val="a0"/>
    <w:semiHidden/>
    <w:qFormat/>
    <w:pPr>
      <w:ind w:left="5250"/>
    </w:pPr>
  </w:style>
  <w:style w:type="paragraph" w:styleId="ae">
    <w:name w:val="footnote text"/>
    <w:basedOn w:val="a0"/>
    <w:semiHidden/>
    <w:qFormat/>
    <w:rPr>
      <w:sz w:val="18"/>
    </w:rPr>
  </w:style>
  <w:style w:type="paragraph" w:styleId="af">
    <w:name w:val="Normal (Web)"/>
    <w:basedOn w:val="a0"/>
    <w:uiPriority w:val="99"/>
    <w:unhideWhenUsed/>
    <w:qFormat/>
    <w:rPr>
      <w:rFonts w:ascii="Times New Roman" w:eastAsiaTheme="minorHAnsi" w:hAnsi="Times New Roman" w:cs="Times New Roman"/>
      <w:sz w:val="24"/>
      <w:szCs w:val="24"/>
      <w:lang w:eastAsia="en-US"/>
    </w:rPr>
  </w:style>
  <w:style w:type="character" w:styleId="af0">
    <w:name w:val="annotation reference"/>
    <w:basedOn w:val="a1"/>
    <w:qFormat/>
    <w:rPr>
      <w:sz w:val="16"/>
      <w:szCs w:val="16"/>
    </w:rPr>
  </w:style>
  <w:style w:type="character" w:styleId="af1">
    <w:name w:val="footnote reference"/>
    <w:basedOn w:val="a1"/>
    <w:qFormat/>
    <w:rPr>
      <w:vertAlign w:val="superscript"/>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UMFS">
    <w:name w:val="ONUM FS"/>
    <w:basedOn w:val="a8"/>
    <w:qFormat/>
    <w:pPr>
      <w:numPr>
        <w:numId w:val="2"/>
      </w:numPr>
    </w:pPr>
  </w:style>
  <w:style w:type="paragraph" w:customStyle="1" w:styleId="ONUME">
    <w:name w:val="ONUM E"/>
    <w:basedOn w:val="a8"/>
    <w:link w:val="ONUMEChar"/>
    <w:qFormat/>
    <w:pPr>
      <w:numPr>
        <w:numId w:val="3"/>
      </w:numPr>
    </w:pPr>
  </w:style>
  <w:style w:type="character" w:customStyle="1" w:styleId="Char1">
    <w:name w:val="批注框文本 Char"/>
    <w:basedOn w:val="a1"/>
    <w:link w:val="aa"/>
    <w:qFormat/>
    <w:rPr>
      <w:rFonts w:ascii="Tahoma" w:eastAsia="SimSun" w:hAnsi="Tahoma" w:cs="Tahoma"/>
      <w:sz w:val="16"/>
      <w:szCs w:val="16"/>
      <w:lang w:eastAsia="zh-CN"/>
    </w:rPr>
  </w:style>
  <w:style w:type="paragraph" w:customStyle="1" w:styleId="10">
    <w:name w:val="列出段落1"/>
    <w:basedOn w:val="a0"/>
    <w:uiPriority w:val="34"/>
    <w:qFormat/>
    <w:pPr>
      <w:ind w:left="720"/>
      <w:contextualSpacing/>
    </w:pPr>
  </w:style>
  <w:style w:type="character" w:customStyle="1" w:styleId="ONUMEChar">
    <w:name w:val="ONUM E Char"/>
    <w:link w:val="ONUME"/>
    <w:qFormat/>
    <w:rPr>
      <w:rFonts w:ascii="Arial" w:eastAsia="SimSun" w:hAnsi="Arial" w:cs="Arial"/>
      <w:sz w:val="22"/>
    </w:rPr>
  </w:style>
  <w:style w:type="character" w:customStyle="1" w:styleId="Char0">
    <w:name w:val="批注文字 Char"/>
    <w:basedOn w:val="a1"/>
    <w:link w:val="a5"/>
    <w:semiHidden/>
    <w:qFormat/>
    <w:rPr>
      <w:rFonts w:ascii="Arial" w:eastAsia="SimSun" w:hAnsi="Arial" w:cs="Arial"/>
      <w:sz w:val="18"/>
      <w:lang w:eastAsia="zh-CN"/>
    </w:rPr>
  </w:style>
  <w:style w:type="character" w:customStyle="1" w:styleId="Char">
    <w:name w:val="批注主题 Char"/>
    <w:basedOn w:val="Char0"/>
    <w:link w:val="a4"/>
    <w:qFormat/>
    <w:rPr>
      <w:rFonts w:ascii="Arial" w:eastAsia="SimSun" w:hAnsi="Arial" w:cs="Arial"/>
      <w:b/>
      <w:bCs/>
      <w:sz w:val="18"/>
      <w:lang w:eastAsia="zh-CN"/>
    </w:rPr>
  </w:style>
  <w:style w:type="character" w:customStyle="1" w:styleId="Char2">
    <w:name w:val="页眉 Char"/>
    <w:basedOn w:val="a1"/>
    <w:link w:val="ac"/>
    <w:uiPriority w:val="99"/>
    <w:qFormat/>
    <w:rPr>
      <w:rFonts w:ascii="Arial" w:eastAsia="SimSun" w:hAnsi="Arial" w:cs="Arial"/>
      <w:sz w:val="22"/>
      <w:lang w:eastAsia="zh-CN"/>
    </w:rPr>
  </w:style>
  <w:style w:type="paragraph" w:customStyle="1" w:styleId="11">
    <w:name w:val="修订1"/>
    <w:hidden/>
    <w:uiPriority w:val="99"/>
    <w:semiHidden/>
    <w:qFormat/>
    <w:rPr>
      <w:rFonts w:ascii="Arial" w:eastAsia="SimSun" w:hAnsi="Arial" w:cs="Arial"/>
      <w:sz w:val="22"/>
    </w:rPr>
  </w:style>
  <w:style w:type="paragraph" w:customStyle="1" w:styleId="StyleStyleHeading3ComplexItalicLatin">
    <w:name w:val="Style Style Heading 3 + (Complex) Italic + (Latin)"/>
    <w:basedOn w:val="a0"/>
    <w:link w:val="StyleStyleHeading3ComplexItalicLatinChar"/>
    <w:qFormat/>
    <w:pPr>
      <w:keepNext/>
      <w:tabs>
        <w:tab w:val="left" w:pos="2835"/>
      </w:tabs>
      <w:ind w:left="2835" w:hanging="2835"/>
      <w:outlineLvl w:val="2"/>
    </w:pPr>
    <w:rPr>
      <w:rFonts w:eastAsia="Times New Roman"/>
      <w:b/>
      <w:bCs/>
      <w:szCs w:val="22"/>
      <w:lang w:eastAsia="en-US"/>
    </w:rPr>
  </w:style>
  <w:style w:type="character" w:customStyle="1" w:styleId="StyleStyleHeading3ComplexItalicLatinChar">
    <w:name w:val="Style Style Heading 3 + (Complex) Italic + (Latin) Char"/>
    <w:link w:val="StyleStyleHeading3ComplexItalicLatin"/>
    <w:qFormat/>
    <w:rPr>
      <w:rFonts w:ascii="Arial" w:hAnsi="Arial" w:cs="Arial"/>
      <w:b/>
      <w:bCs/>
      <w:sz w:val="22"/>
      <w:szCs w:val="22"/>
    </w:rPr>
  </w:style>
  <w:style w:type="character" w:customStyle="1" w:styleId="2Char">
    <w:name w:val="标题 2 Char"/>
    <w:basedOn w:val="a1"/>
    <w:link w:val="2"/>
    <w:qFormat/>
    <w:rPr>
      <w:rFonts w:ascii="Arial" w:eastAsia="SimSun" w:hAnsi="Arial" w:cs="Arial"/>
      <w:bCs/>
      <w:iCs/>
      <w:caps/>
      <w:sz w:val="22"/>
      <w:szCs w:val="28"/>
      <w:lang w:eastAsia="zh-CN"/>
    </w:rPr>
  </w:style>
  <w:style w:type="character" w:customStyle="1" w:styleId="3Char">
    <w:name w:val="标题 3 Char"/>
    <w:basedOn w:val="a1"/>
    <w:link w:val="3"/>
    <w:qFormat/>
    <w:rPr>
      <w:rFonts w:ascii="Arial" w:eastAsia="SimSun" w:hAnsi="Arial" w:cs="Arial"/>
      <w:bCs/>
      <w:sz w:val="22"/>
      <w:szCs w:val="26"/>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annotation text" w:semiHidden="1" w:qFormat="1"/>
    <w:lsdException w:name="header" w:uiPriority="99" w:qFormat="1"/>
    <w:lsdException w:name="footer" w:semiHidden="1" w:qFormat="1"/>
    <w:lsdException w:name="caption" w:qFormat="1"/>
    <w:lsdException w:name="footnote reference" w:qFormat="1"/>
    <w:lsdException w:name="annotation reference" w:qFormat="1"/>
    <w:lsdException w:name="endnote text" w:semiHidden="1" w:qFormat="1"/>
    <w:lsdException w:name="List Number" w:semiHidden="1" w:qFormat="1"/>
    <w:lsdException w:name="Title" w:qFormat="1"/>
    <w:lsdException w:name="Signature" w:semiHidden="1" w:qFormat="1"/>
    <w:lsdException w:name="Default Paragraph Font" w:uiPriority="1" w:unhideWhenUsed="1" w:qFormat="1"/>
    <w:lsdException w:name="Body Text" w:qFormat="1"/>
    <w:lsdException w:name="Subtitle" w:qFormat="1"/>
    <w:lsdException w:name="Salutation"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eastAsia="SimSun"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link w:val="2Char"/>
    <w:qFormat/>
    <w:pPr>
      <w:keepNext/>
      <w:spacing w:before="240" w:after="60"/>
      <w:outlineLvl w:val="1"/>
    </w:pPr>
    <w:rPr>
      <w:bCs/>
      <w:iCs/>
      <w:caps/>
      <w:szCs w:val="28"/>
    </w:rPr>
  </w:style>
  <w:style w:type="paragraph" w:styleId="3">
    <w:name w:val="heading 3"/>
    <w:basedOn w:val="a0"/>
    <w:next w:val="a0"/>
    <w:link w:val="3Char"/>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sz w:val="20"/>
    </w:rPr>
  </w:style>
  <w:style w:type="paragraph" w:styleId="a5">
    <w:name w:val="annotation text"/>
    <w:basedOn w:val="a0"/>
    <w:link w:val="Char0"/>
    <w:semiHidden/>
    <w:qFormat/>
    <w:rPr>
      <w:sz w:val="18"/>
    </w:rPr>
  </w:style>
  <w:style w:type="paragraph" w:styleId="a">
    <w:name w:val="List Number"/>
    <w:basedOn w:val="a0"/>
    <w:semiHidden/>
    <w:qFormat/>
    <w:pPr>
      <w:numPr>
        <w:numId w:val="1"/>
      </w:numPr>
    </w:pPr>
  </w:style>
  <w:style w:type="paragraph" w:styleId="a6">
    <w:name w:val="caption"/>
    <w:basedOn w:val="a0"/>
    <w:next w:val="a0"/>
    <w:qFormat/>
    <w:rPr>
      <w:b/>
      <w:bCs/>
      <w:sz w:val="18"/>
    </w:rPr>
  </w:style>
  <w:style w:type="paragraph" w:styleId="a7">
    <w:name w:val="Salutation"/>
    <w:basedOn w:val="a0"/>
    <w:next w:val="a0"/>
    <w:semiHidden/>
    <w:qFormat/>
  </w:style>
  <w:style w:type="paragraph" w:styleId="a8">
    <w:name w:val="Body Text"/>
    <w:basedOn w:val="a0"/>
    <w:qFormat/>
    <w:pPr>
      <w:spacing w:after="220"/>
    </w:pPr>
  </w:style>
  <w:style w:type="paragraph" w:styleId="a9">
    <w:name w:val="endnote text"/>
    <w:basedOn w:val="a0"/>
    <w:semiHidden/>
    <w:qFormat/>
    <w:rPr>
      <w:sz w:val="18"/>
    </w:rPr>
  </w:style>
  <w:style w:type="paragraph" w:styleId="aa">
    <w:name w:val="Balloon Text"/>
    <w:basedOn w:val="a0"/>
    <w:link w:val="Char1"/>
    <w:qFormat/>
    <w:rPr>
      <w:rFonts w:ascii="Tahoma" w:hAnsi="Tahoma" w:cs="Tahoma"/>
      <w:sz w:val="16"/>
      <w:szCs w:val="16"/>
    </w:rPr>
  </w:style>
  <w:style w:type="paragraph" w:styleId="ab">
    <w:name w:val="footer"/>
    <w:basedOn w:val="a0"/>
    <w:semiHidden/>
    <w:qFormat/>
    <w:pPr>
      <w:tabs>
        <w:tab w:val="center" w:pos="4320"/>
        <w:tab w:val="right" w:pos="8640"/>
      </w:tabs>
    </w:pPr>
  </w:style>
  <w:style w:type="paragraph" w:styleId="ac">
    <w:name w:val="header"/>
    <w:basedOn w:val="a0"/>
    <w:link w:val="Char2"/>
    <w:uiPriority w:val="99"/>
    <w:qFormat/>
    <w:pPr>
      <w:tabs>
        <w:tab w:val="center" w:pos="4536"/>
        <w:tab w:val="right" w:pos="9072"/>
      </w:tabs>
    </w:pPr>
  </w:style>
  <w:style w:type="paragraph" w:styleId="ad">
    <w:name w:val="Signature"/>
    <w:basedOn w:val="a0"/>
    <w:semiHidden/>
    <w:qFormat/>
    <w:pPr>
      <w:ind w:left="5250"/>
    </w:pPr>
  </w:style>
  <w:style w:type="paragraph" w:styleId="ae">
    <w:name w:val="footnote text"/>
    <w:basedOn w:val="a0"/>
    <w:semiHidden/>
    <w:qFormat/>
    <w:rPr>
      <w:sz w:val="18"/>
    </w:rPr>
  </w:style>
  <w:style w:type="paragraph" w:styleId="af">
    <w:name w:val="Normal (Web)"/>
    <w:basedOn w:val="a0"/>
    <w:uiPriority w:val="99"/>
    <w:unhideWhenUsed/>
    <w:qFormat/>
    <w:rPr>
      <w:rFonts w:ascii="Times New Roman" w:eastAsiaTheme="minorHAnsi" w:hAnsi="Times New Roman" w:cs="Times New Roman"/>
      <w:sz w:val="24"/>
      <w:szCs w:val="24"/>
      <w:lang w:eastAsia="en-US"/>
    </w:rPr>
  </w:style>
  <w:style w:type="character" w:styleId="af0">
    <w:name w:val="annotation reference"/>
    <w:basedOn w:val="a1"/>
    <w:qFormat/>
    <w:rPr>
      <w:sz w:val="16"/>
      <w:szCs w:val="16"/>
    </w:rPr>
  </w:style>
  <w:style w:type="character" w:styleId="af1">
    <w:name w:val="footnote reference"/>
    <w:basedOn w:val="a1"/>
    <w:qFormat/>
    <w:rPr>
      <w:vertAlign w:val="superscript"/>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UMFS">
    <w:name w:val="ONUM FS"/>
    <w:basedOn w:val="a8"/>
    <w:qFormat/>
    <w:pPr>
      <w:numPr>
        <w:numId w:val="2"/>
      </w:numPr>
    </w:pPr>
  </w:style>
  <w:style w:type="paragraph" w:customStyle="1" w:styleId="ONUME">
    <w:name w:val="ONUM E"/>
    <w:basedOn w:val="a8"/>
    <w:link w:val="ONUMEChar"/>
    <w:qFormat/>
    <w:pPr>
      <w:numPr>
        <w:numId w:val="3"/>
      </w:numPr>
    </w:pPr>
  </w:style>
  <w:style w:type="character" w:customStyle="1" w:styleId="Char1">
    <w:name w:val="批注框文本 Char"/>
    <w:basedOn w:val="a1"/>
    <w:link w:val="aa"/>
    <w:qFormat/>
    <w:rPr>
      <w:rFonts w:ascii="Tahoma" w:eastAsia="SimSun" w:hAnsi="Tahoma" w:cs="Tahoma"/>
      <w:sz w:val="16"/>
      <w:szCs w:val="16"/>
      <w:lang w:eastAsia="zh-CN"/>
    </w:rPr>
  </w:style>
  <w:style w:type="paragraph" w:customStyle="1" w:styleId="10">
    <w:name w:val="列出段落1"/>
    <w:basedOn w:val="a0"/>
    <w:uiPriority w:val="34"/>
    <w:qFormat/>
    <w:pPr>
      <w:ind w:left="720"/>
      <w:contextualSpacing/>
    </w:pPr>
  </w:style>
  <w:style w:type="character" w:customStyle="1" w:styleId="ONUMEChar">
    <w:name w:val="ONUM E Char"/>
    <w:link w:val="ONUME"/>
    <w:qFormat/>
    <w:rPr>
      <w:rFonts w:ascii="Arial" w:eastAsia="SimSun" w:hAnsi="Arial" w:cs="Arial"/>
      <w:sz w:val="22"/>
    </w:rPr>
  </w:style>
  <w:style w:type="character" w:customStyle="1" w:styleId="Char0">
    <w:name w:val="批注文字 Char"/>
    <w:basedOn w:val="a1"/>
    <w:link w:val="a5"/>
    <w:semiHidden/>
    <w:qFormat/>
    <w:rPr>
      <w:rFonts w:ascii="Arial" w:eastAsia="SimSun" w:hAnsi="Arial" w:cs="Arial"/>
      <w:sz w:val="18"/>
      <w:lang w:eastAsia="zh-CN"/>
    </w:rPr>
  </w:style>
  <w:style w:type="character" w:customStyle="1" w:styleId="Char">
    <w:name w:val="批注主题 Char"/>
    <w:basedOn w:val="Char0"/>
    <w:link w:val="a4"/>
    <w:qFormat/>
    <w:rPr>
      <w:rFonts w:ascii="Arial" w:eastAsia="SimSun" w:hAnsi="Arial" w:cs="Arial"/>
      <w:b/>
      <w:bCs/>
      <w:sz w:val="18"/>
      <w:lang w:eastAsia="zh-CN"/>
    </w:rPr>
  </w:style>
  <w:style w:type="character" w:customStyle="1" w:styleId="Char2">
    <w:name w:val="页眉 Char"/>
    <w:basedOn w:val="a1"/>
    <w:link w:val="ac"/>
    <w:uiPriority w:val="99"/>
    <w:qFormat/>
    <w:rPr>
      <w:rFonts w:ascii="Arial" w:eastAsia="SimSun" w:hAnsi="Arial" w:cs="Arial"/>
      <w:sz w:val="22"/>
      <w:lang w:eastAsia="zh-CN"/>
    </w:rPr>
  </w:style>
  <w:style w:type="paragraph" w:customStyle="1" w:styleId="11">
    <w:name w:val="修订1"/>
    <w:hidden/>
    <w:uiPriority w:val="99"/>
    <w:semiHidden/>
    <w:qFormat/>
    <w:rPr>
      <w:rFonts w:ascii="Arial" w:eastAsia="SimSun" w:hAnsi="Arial" w:cs="Arial"/>
      <w:sz w:val="22"/>
    </w:rPr>
  </w:style>
  <w:style w:type="paragraph" w:customStyle="1" w:styleId="StyleStyleHeading3ComplexItalicLatin">
    <w:name w:val="Style Style Heading 3 + (Complex) Italic + (Latin)"/>
    <w:basedOn w:val="a0"/>
    <w:link w:val="StyleStyleHeading3ComplexItalicLatinChar"/>
    <w:qFormat/>
    <w:pPr>
      <w:keepNext/>
      <w:tabs>
        <w:tab w:val="left" w:pos="2835"/>
      </w:tabs>
      <w:ind w:left="2835" w:hanging="2835"/>
      <w:outlineLvl w:val="2"/>
    </w:pPr>
    <w:rPr>
      <w:rFonts w:eastAsia="Times New Roman"/>
      <w:b/>
      <w:bCs/>
      <w:szCs w:val="22"/>
      <w:lang w:eastAsia="en-US"/>
    </w:rPr>
  </w:style>
  <w:style w:type="character" w:customStyle="1" w:styleId="StyleStyleHeading3ComplexItalicLatinChar">
    <w:name w:val="Style Style Heading 3 + (Complex) Italic + (Latin) Char"/>
    <w:link w:val="StyleStyleHeading3ComplexItalicLatin"/>
    <w:qFormat/>
    <w:rPr>
      <w:rFonts w:ascii="Arial" w:hAnsi="Arial" w:cs="Arial"/>
      <w:b/>
      <w:bCs/>
      <w:sz w:val="22"/>
      <w:szCs w:val="22"/>
    </w:rPr>
  </w:style>
  <w:style w:type="character" w:customStyle="1" w:styleId="2Char">
    <w:name w:val="标题 2 Char"/>
    <w:basedOn w:val="a1"/>
    <w:link w:val="2"/>
    <w:qFormat/>
    <w:rPr>
      <w:rFonts w:ascii="Arial" w:eastAsia="SimSun" w:hAnsi="Arial" w:cs="Arial"/>
      <w:bCs/>
      <w:iCs/>
      <w:caps/>
      <w:sz w:val="22"/>
      <w:szCs w:val="28"/>
      <w:lang w:eastAsia="zh-CN"/>
    </w:rPr>
  </w:style>
  <w:style w:type="character" w:customStyle="1" w:styleId="3Char">
    <w:name w:val="标题 3 Char"/>
    <w:basedOn w:val="a1"/>
    <w:link w:val="3"/>
    <w:qFormat/>
    <w:rPr>
      <w:rFonts w:ascii="Arial" w:eastAsia="SimSun" w:hAnsi="Arial" w:cs="Arial"/>
      <w:bCs/>
      <w:sz w:val="22"/>
      <w:szCs w:val="26"/>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eader" Target="header10.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header" Target="header9.xml"/><Relationship Id="rId28"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587578-DA4B-40D4-8E93-08220D5A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22</Pages>
  <Words>12187</Words>
  <Characters>1595</Characters>
  <Application>Microsoft Office Word</Application>
  <DocSecurity>0</DocSecurity>
  <Lines>72</Lines>
  <Paragraphs>328</Paragraphs>
  <ScaleCrop>false</ScaleCrop>
  <Company>World Intellectual Property Organization</Company>
  <LinksUpToDate>false</LinksUpToDate>
  <CharactersWithSpaces>13454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WO/PBC/26/9</dc:title>
  <dc:subject>2018-2027年基本建设总计划</dc:subject>
  <dc:creator/>
  <cp:lastModifiedBy>MA Weihai</cp:lastModifiedBy>
  <cp:revision>26</cp:revision>
  <cp:lastPrinted>2017-06-16T07:00:00Z</cp:lastPrinted>
  <dcterms:created xsi:type="dcterms:W3CDTF">2017-06-16T06:50:00Z</dcterms:created>
  <dcterms:modified xsi:type="dcterms:W3CDTF">2017-06-21T16:07:00Z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