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577D4" w:rsidRPr="00207928" w:rsidTr="00BC2AD3">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8577D4" w:rsidRPr="00207928" w:rsidRDefault="008577D4" w:rsidP="00BC2AD3">
            <w:pPr>
              <w:widowControl w:val="0"/>
              <w:jc w:val="both"/>
              <w:rPr>
                <w:rFonts w:ascii="Calibri" w:hAnsi="Calibri" w:cs="Times New Roman"/>
                <w:kern w:val="2"/>
                <w:sz w:val="21"/>
                <w:szCs w:val="22"/>
              </w:rPr>
            </w:pPr>
            <w:r w:rsidRPr="00207928">
              <w:rPr>
                <w:rFonts w:ascii="Calibri" w:hAnsi="Calibri" w:cs="Times New Roman"/>
                <w:noProof/>
                <w:kern w:val="2"/>
                <w:sz w:val="21"/>
                <w:szCs w:val="22"/>
              </w:rPr>
              <w:drawing>
                <wp:anchor distT="0" distB="0" distL="114300" distR="114300" simplePos="0" relativeHeight="251659264" behindDoc="1" locked="0" layoutInCell="0" allowOverlap="1" wp14:anchorId="381FCCFA" wp14:editId="3707720E">
                  <wp:simplePos x="0" y="0"/>
                  <wp:positionH relativeFrom="page">
                    <wp:posOffset>3834130</wp:posOffset>
                  </wp:positionH>
                  <wp:positionV relativeFrom="margin">
                    <wp:posOffset>0</wp:posOffset>
                  </wp:positionV>
                  <wp:extent cx="866775" cy="1323975"/>
                  <wp:effectExtent l="0" t="0" r="9525" b="9525"/>
                  <wp:wrapNone/>
                  <wp:docPr id="12" name="图片 1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8577D4" w:rsidRPr="00207928" w:rsidRDefault="008577D4" w:rsidP="00BC2AD3">
            <w:pPr>
              <w:widowControl w:val="0"/>
              <w:jc w:val="both"/>
              <w:rPr>
                <w:rFonts w:ascii="Calibri" w:hAnsi="Calibri" w:cs="Times New Roman"/>
                <w:kern w:val="2"/>
                <w:sz w:val="21"/>
                <w:szCs w:val="22"/>
              </w:rPr>
            </w:pPr>
          </w:p>
        </w:tc>
        <w:tc>
          <w:tcPr>
            <w:tcW w:w="425" w:type="dxa"/>
            <w:tcBorders>
              <w:top w:val="nil"/>
              <w:left w:val="nil"/>
              <w:bottom w:val="single" w:sz="4" w:space="0" w:color="auto"/>
              <w:right w:val="nil"/>
            </w:tcBorders>
            <w:tcMar>
              <w:top w:w="0" w:type="dxa"/>
              <w:left w:w="0" w:type="dxa"/>
              <w:bottom w:w="0" w:type="dxa"/>
              <w:right w:w="0" w:type="dxa"/>
            </w:tcMar>
            <w:hideMark/>
          </w:tcPr>
          <w:p w:rsidR="008577D4" w:rsidRPr="00207928" w:rsidRDefault="008577D4" w:rsidP="00BC2AD3">
            <w:pPr>
              <w:widowControl w:val="0"/>
              <w:jc w:val="right"/>
              <w:rPr>
                <w:kern w:val="2"/>
                <w:sz w:val="21"/>
                <w:szCs w:val="22"/>
              </w:rPr>
            </w:pPr>
            <w:r w:rsidRPr="00207928">
              <w:rPr>
                <w:b/>
                <w:kern w:val="2"/>
                <w:sz w:val="40"/>
                <w:szCs w:val="40"/>
              </w:rPr>
              <w:t>C</w:t>
            </w:r>
          </w:p>
        </w:tc>
      </w:tr>
      <w:tr w:rsidR="008577D4" w:rsidRPr="00207928" w:rsidTr="00BC2AD3">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8577D4" w:rsidRPr="00207928" w:rsidRDefault="008577D4" w:rsidP="003E198D">
            <w:pPr>
              <w:widowControl w:val="0"/>
              <w:wordWrap w:val="0"/>
              <w:jc w:val="right"/>
              <w:rPr>
                <w:rFonts w:ascii="Arial Black" w:eastAsia="SimHei" w:hAnsi="Arial Black" w:cs="Times New Roman"/>
                <w:caps/>
                <w:kern w:val="2"/>
                <w:sz w:val="15"/>
                <w:szCs w:val="22"/>
              </w:rPr>
            </w:pPr>
            <w:r w:rsidRPr="00207928">
              <w:rPr>
                <w:rFonts w:ascii="Arial Black" w:eastAsia="SimHei" w:hAnsi="Arial Black" w:cs="Times New Roman"/>
                <w:caps/>
                <w:kern w:val="2"/>
                <w:sz w:val="15"/>
                <w:szCs w:val="22"/>
              </w:rPr>
              <w:t>WO/PBC/</w:t>
            </w:r>
            <w:r w:rsidRPr="00207928">
              <w:rPr>
                <w:rFonts w:ascii="Arial Black" w:eastAsia="SimHei" w:hAnsi="Arial Black" w:cs="Times New Roman" w:hint="eastAsia"/>
                <w:caps/>
                <w:kern w:val="2"/>
                <w:sz w:val="15"/>
                <w:szCs w:val="22"/>
              </w:rPr>
              <w:t>22</w:t>
            </w:r>
            <w:r w:rsidRPr="00207928">
              <w:rPr>
                <w:rFonts w:ascii="Arial Black" w:eastAsia="SimHei" w:hAnsi="Arial Black" w:cs="Times New Roman"/>
                <w:caps/>
                <w:kern w:val="2"/>
                <w:sz w:val="15"/>
                <w:szCs w:val="22"/>
              </w:rPr>
              <w:t>/</w:t>
            </w:r>
            <w:r w:rsidRPr="00207928">
              <w:rPr>
                <w:rFonts w:ascii="Arial Black" w:eastAsia="SimHei" w:hAnsi="Arial Black" w:cs="Times New Roman" w:hint="eastAsia"/>
                <w:caps/>
                <w:kern w:val="2"/>
                <w:sz w:val="15"/>
                <w:szCs w:val="22"/>
              </w:rPr>
              <w:t>1</w:t>
            </w:r>
            <w:r w:rsidR="003E198D">
              <w:rPr>
                <w:rFonts w:ascii="Arial Black" w:eastAsia="SimHei" w:hAnsi="Arial Black" w:cs="Times New Roman" w:hint="eastAsia"/>
                <w:caps/>
                <w:kern w:val="2"/>
                <w:sz w:val="15"/>
                <w:szCs w:val="22"/>
              </w:rPr>
              <w:t>9</w:t>
            </w:r>
          </w:p>
        </w:tc>
      </w:tr>
      <w:tr w:rsidR="008577D4" w:rsidRPr="00207928" w:rsidTr="00BC2AD3">
        <w:trPr>
          <w:trHeight w:hRule="exact" w:val="170"/>
        </w:trPr>
        <w:tc>
          <w:tcPr>
            <w:tcW w:w="9356" w:type="dxa"/>
            <w:gridSpan w:val="3"/>
            <w:noWrap/>
            <w:tcMar>
              <w:top w:w="0" w:type="dxa"/>
              <w:left w:w="0" w:type="dxa"/>
              <w:bottom w:w="0" w:type="dxa"/>
              <w:right w:w="0" w:type="dxa"/>
            </w:tcMar>
            <w:vAlign w:val="bottom"/>
            <w:hideMark/>
          </w:tcPr>
          <w:p w:rsidR="008577D4" w:rsidRPr="00207928" w:rsidRDefault="008577D4" w:rsidP="00BC2AD3">
            <w:pPr>
              <w:widowControl w:val="0"/>
              <w:jc w:val="right"/>
              <w:rPr>
                <w:rFonts w:ascii="Arial Black" w:eastAsia="SimHei" w:hAnsi="Arial Black" w:cs="Times New Roman"/>
                <w:b/>
                <w:caps/>
                <w:kern w:val="2"/>
                <w:sz w:val="15"/>
                <w:szCs w:val="15"/>
              </w:rPr>
            </w:pPr>
            <w:r w:rsidRPr="00207928">
              <w:rPr>
                <w:rFonts w:ascii="Arial Black" w:eastAsia="SimHei" w:hAnsi="Arial Black" w:cs="Times New Roman" w:hint="eastAsia"/>
                <w:b/>
                <w:kern w:val="2"/>
                <w:sz w:val="15"/>
                <w:szCs w:val="15"/>
              </w:rPr>
              <w:t>原</w:t>
            </w:r>
            <w:r w:rsidRPr="00207928">
              <w:rPr>
                <w:rFonts w:ascii="Arial Black" w:eastAsia="SimHei" w:hAnsi="Arial Black" w:cs="Times New Roman" w:hint="eastAsia"/>
                <w:b/>
                <w:kern w:val="2"/>
                <w:sz w:val="15"/>
                <w:szCs w:val="15"/>
                <w:lang w:val="pt-BR"/>
              </w:rPr>
              <w:t xml:space="preserve">　</w:t>
            </w:r>
            <w:r w:rsidRPr="00207928">
              <w:rPr>
                <w:rFonts w:ascii="Arial Black" w:eastAsia="SimHei" w:hAnsi="Arial Black" w:cs="Times New Roman" w:hint="eastAsia"/>
                <w:b/>
                <w:kern w:val="2"/>
                <w:sz w:val="15"/>
                <w:szCs w:val="15"/>
              </w:rPr>
              <w:t>文</w:t>
            </w:r>
            <w:r w:rsidRPr="00207928">
              <w:rPr>
                <w:rFonts w:ascii="Arial Black" w:eastAsia="SimHei" w:hAnsi="Arial Black" w:cs="Times New Roman" w:hint="eastAsia"/>
                <w:b/>
                <w:kern w:val="2"/>
                <w:sz w:val="15"/>
                <w:szCs w:val="15"/>
                <w:lang w:val="pt-BR"/>
              </w:rPr>
              <w:t>：</w:t>
            </w:r>
            <w:r w:rsidRPr="00207928">
              <w:rPr>
                <w:rFonts w:ascii="Arial Black" w:eastAsia="SimHei" w:hAnsi="Arial Black" w:cs="Times New Roman" w:hint="eastAsia"/>
                <w:b/>
                <w:kern w:val="2"/>
                <w:sz w:val="15"/>
                <w:szCs w:val="15"/>
              </w:rPr>
              <w:t>英文</w:t>
            </w:r>
          </w:p>
        </w:tc>
      </w:tr>
      <w:tr w:rsidR="008577D4" w:rsidRPr="00207928" w:rsidTr="00BC2AD3">
        <w:trPr>
          <w:trHeight w:hRule="exact" w:val="198"/>
        </w:trPr>
        <w:tc>
          <w:tcPr>
            <w:tcW w:w="9356" w:type="dxa"/>
            <w:gridSpan w:val="3"/>
            <w:tcMar>
              <w:top w:w="0" w:type="dxa"/>
              <w:left w:w="0" w:type="dxa"/>
              <w:bottom w:w="0" w:type="dxa"/>
              <w:right w:w="0" w:type="dxa"/>
            </w:tcMar>
            <w:vAlign w:val="bottom"/>
            <w:hideMark/>
          </w:tcPr>
          <w:p w:rsidR="008577D4" w:rsidRPr="00207928" w:rsidRDefault="008577D4" w:rsidP="003E198D">
            <w:pPr>
              <w:widowControl w:val="0"/>
              <w:jc w:val="right"/>
              <w:rPr>
                <w:rFonts w:ascii="Arial Black" w:eastAsia="SimHei" w:hAnsi="Arial Black" w:cs="Times New Roman"/>
                <w:kern w:val="2"/>
                <w:sz w:val="15"/>
                <w:szCs w:val="15"/>
                <w:lang w:val="pt-BR"/>
              </w:rPr>
            </w:pPr>
            <w:r w:rsidRPr="00207928">
              <w:rPr>
                <w:rFonts w:ascii="Arial Black" w:eastAsia="SimHei" w:hAnsi="Arial Black" w:cs="Times New Roman" w:hint="eastAsia"/>
                <w:b/>
                <w:kern w:val="2"/>
                <w:sz w:val="15"/>
                <w:szCs w:val="15"/>
                <w:lang w:val="pt-BR"/>
              </w:rPr>
              <w:t>日　期：</w:t>
            </w:r>
            <w:r w:rsidRPr="00207928">
              <w:rPr>
                <w:rFonts w:ascii="Arial Black" w:eastAsia="SimHei" w:hAnsi="Arial Black" w:cs="Times New Roman"/>
                <w:kern w:val="2"/>
                <w:sz w:val="15"/>
                <w:szCs w:val="15"/>
                <w:lang w:val="pt-BR"/>
              </w:rPr>
              <w:t>201</w:t>
            </w:r>
            <w:r w:rsidRPr="00207928">
              <w:rPr>
                <w:rFonts w:ascii="Arial Black" w:eastAsia="SimHei" w:hAnsi="Arial Black" w:cs="Times New Roman" w:hint="eastAsia"/>
                <w:kern w:val="2"/>
                <w:sz w:val="15"/>
                <w:szCs w:val="15"/>
                <w:lang w:val="pt-BR"/>
              </w:rPr>
              <w:t>4</w:t>
            </w:r>
            <w:r w:rsidRPr="00207928">
              <w:rPr>
                <w:rFonts w:ascii="Arial Black" w:eastAsia="SimHei" w:hAnsi="Arial Black" w:cs="Times New Roman" w:hint="eastAsia"/>
                <w:b/>
                <w:kern w:val="2"/>
                <w:sz w:val="15"/>
                <w:szCs w:val="15"/>
                <w:lang w:val="pt-BR"/>
              </w:rPr>
              <w:t>年</w:t>
            </w:r>
            <w:r>
              <w:rPr>
                <w:rFonts w:ascii="Arial Black" w:eastAsia="SimHei" w:hAnsi="Arial Black" w:cs="Times New Roman" w:hint="eastAsia"/>
                <w:kern w:val="2"/>
                <w:sz w:val="15"/>
                <w:szCs w:val="15"/>
                <w:lang w:val="pt-BR"/>
              </w:rPr>
              <w:t>7</w:t>
            </w:r>
            <w:r w:rsidRPr="00207928">
              <w:rPr>
                <w:rFonts w:ascii="Arial Black" w:eastAsia="SimHei" w:hAnsi="Arial Black" w:cs="Times New Roman" w:hint="eastAsia"/>
                <w:b/>
                <w:kern w:val="2"/>
                <w:sz w:val="15"/>
                <w:szCs w:val="15"/>
                <w:lang w:val="pt-BR"/>
              </w:rPr>
              <w:t>月</w:t>
            </w:r>
            <w:r>
              <w:rPr>
                <w:rFonts w:ascii="Arial Black" w:eastAsia="SimHei" w:hAnsi="Arial Black" w:cs="Times New Roman" w:hint="eastAsia"/>
                <w:b/>
                <w:kern w:val="2"/>
                <w:sz w:val="15"/>
                <w:szCs w:val="15"/>
                <w:lang w:val="pt-BR"/>
              </w:rPr>
              <w:t>1</w:t>
            </w:r>
            <w:r w:rsidR="003E198D">
              <w:rPr>
                <w:rFonts w:ascii="Arial Black" w:eastAsia="SimHei" w:hAnsi="Arial Black" w:cs="Times New Roman" w:hint="eastAsia"/>
                <w:b/>
                <w:kern w:val="2"/>
                <w:sz w:val="15"/>
                <w:szCs w:val="15"/>
                <w:lang w:val="pt-BR"/>
              </w:rPr>
              <w:t>7</w:t>
            </w:r>
            <w:r w:rsidRPr="00207928">
              <w:rPr>
                <w:rFonts w:ascii="Arial Black" w:eastAsia="SimHei" w:hAnsi="Arial Black" w:cs="Times New Roman" w:hint="eastAsia"/>
                <w:b/>
                <w:kern w:val="2"/>
                <w:sz w:val="15"/>
                <w:szCs w:val="15"/>
                <w:lang w:val="pt-BR"/>
              </w:rPr>
              <w:t>日</w:t>
            </w:r>
          </w:p>
        </w:tc>
      </w:tr>
    </w:tbl>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SimHei" w:eastAsia="SimHei" w:hAnsi="Calibri" w:cs="Times New Roman"/>
          <w:kern w:val="2"/>
          <w:sz w:val="28"/>
          <w:szCs w:val="28"/>
        </w:rPr>
      </w:pPr>
      <w:r w:rsidRPr="006E202E">
        <w:rPr>
          <w:rFonts w:ascii="SimHei" w:eastAsia="SimHei" w:hAnsi="Calibri" w:cs="Times New Roman" w:hint="eastAsia"/>
          <w:kern w:val="2"/>
          <w:sz w:val="28"/>
          <w:szCs w:val="28"/>
        </w:rPr>
        <w:t>计划和预算委员会</w:t>
      </w: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autoSpaceDE w:val="0"/>
        <w:autoSpaceDN w:val="0"/>
        <w:spacing w:line="380" w:lineRule="atLeast"/>
        <w:jc w:val="both"/>
        <w:textAlignment w:val="bottom"/>
        <w:rPr>
          <w:rFonts w:ascii="KaiTi" w:eastAsia="KaiTi" w:hAnsi="Calibri" w:cs="Times New Roman"/>
          <w:b/>
          <w:kern w:val="2"/>
          <w:sz w:val="24"/>
          <w:szCs w:val="24"/>
        </w:rPr>
      </w:pPr>
      <w:r w:rsidRPr="006E202E">
        <w:rPr>
          <w:rFonts w:ascii="KaiTi" w:eastAsia="KaiTi" w:hAnsi="Calibri" w:cs="Times New Roman" w:hint="eastAsia"/>
          <w:b/>
          <w:kern w:val="2"/>
          <w:sz w:val="24"/>
          <w:szCs w:val="24"/>
        </w:rPr>
        <w:t>第二十二届会议</w:t>
      </w:r>
    </w:p>
    <w:p w:rsidR="008577D4" w:rsidRPr="006E202E" w:rsidRDefault="008577D4" w:rsidP="008577D4">
      <w:pPr>
        <w:widowControl w:val="0"/>
        <w:spacing w:line="336" w:lineRule="exact"/>
        <w:jc w:val="both"/>
        <w:rPr>
          <w:rFonts w:ascii="KaiTi" w:eastAsia="KaiTi" w:hAnsi="KaiTi" w:cs="Times New Roman"/>
          <w:b/>
          <w:kern w:val="2"/>
          <w:sz w:val="24"/>
          <w:szCs w:val="24"/>
        </w:rPr>
      </w:pPr>
      <w:r w:rsidRPr="006E202E">
        <w:rPr>
          <w:rFonts w:ascii="KaiTi" w:eastAsia="KaiTi" w:hAnsi="KaiTi" w:cs="Times New Roman"/>
          <w:kern w:val="2"/>
          <w:sz w:val="24"/>
          <w:szCs w:val="24"/>
        </w:rPr>
        <w:t>201</w:t>
      </w:r>
      <w:r w:rsidRPr="006E202E">
        <w:rPr>
          <w:rFonts w:ascii="KaiTi" w:eastAsia="KaiTi" w:hAnsi="KaiTi" w:cs="Times New Roman" w:hint="eastAsia"/>
          <w:kern w:val="2"/>
          <w:sz w:val="24"/>
          <w:szCs w:val="24"/>
        </w:rPr>
        <w:t>4</w:t>
      </w:r>
      <w:r w:rsidRPr="006E202E">
        <w:rPr>
          <w:rFonts w:ascii="KaiTi" w:eastAsia="KaiTi" w:hAnsi="KaiTi" w:hint="eastAsia"/>
          <w:b/>
          <w:kern w:val="2"/>
          <w:sz w:val="24"/>
          <w:szCs w:val="24"/>
        </w:rPr>
        <w:t>年</w:t>
      </w:r>
      <w:r w:rsidRPr="006E202E">
        <w:rPr>
          <w:rFonts w:ascii="KaiTi" w:eastAsia="KaiTi" w:hAnsi="KaiTi" w:cs="Times New Roman" w:hint="eastAsia"/>
          <w:kern w:val="2"/>
          <w:sz w:val="24"/>
          <w:szCs w:val="24"/>
        </w:rPr>
        <w:t>9</w:t>
      </w:r>
      <w:r w:rsidRPr="006E202E">
        <w:rPr>
          <w:rFonts w:ascii="KaiTi" w:eastAsia="KaiTi" w:hAnsi="KaiTi" w:hint="eastAsia"/>
          <w:b/>
          <w:kern w:val="2"/>
          <w:sz w:val="24"/>
          <w:szCs w:val="24"/>
        </w:rPr>
        <w:t>月</w:t>
      </w:r>
      <w:r w:rsidRPr="006E202E">
        <w:rPr>
          <w:rFonts w:ascii="KaiTi" w:eastAsia="KaiTi" w:hAnsi="KaiTi" w:hint="eastAsia"/>
          <w:kern w:val="2"/>
          <w:sz w:val="24"/>
          <w:szCs w:val="24"/>
        </w:rPr>
        <w:t>1</w:t>
      </w:r>
      <w:r w:rsidRPr="006E202E">
        <w:rPr>
          <w:rFonts w:ascii="KaiTi" w:eastAsia="KaiTi" w:hAnsi="KaiTi" w:hint="eastAsia"/>
          <w:b/>
          <w:kern w:val="2"/>
          <w:sz w:val="24"/>
          <w:szCs w:val="24"/>
        </w:rPr>
        <w:t>日至</w:t>
      </w:r>
      <w:r w:rsidRPr="006E202E">
        <w:rPr>
          <w:rFonts w:ascii="KaiTi" w:eastAsia="KaiTi" w:hAnsi="KaiTi" w:cs="Times New Roman" w:hint="eastAsia"/>
          <w:kern w:val="2"/>
          <w:sz w:val="24"/>
          <w:szCs w:val="24"/>
        </w:rPr>
        <w:t>5</w:t>
      </w:r>
      <w:r w:rsidRPr="006E202E">
        <w:rPr>
          <w:rFonts w:ascii="KaiTi" w:eastAsia="KaiTi" w:hAnsi="KaiTi" w:hint="eastAsia"/>
          <w:b/>
          <w:kern w:val="2"/>
          <w:sz w:val="24"/>
          <w:szCs w:val="24"/>
        </w:rPr>
        <w:t>日，日内瓦</w:t>
      </w: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rPr>
          <w:rFonts w:ascii="KaiTi" w:eastAsia="KaiTi" w:hAnsi="KaiTi"/>
          <w:caps/>
          <w:kern w:val="2"/>
          <w:sz w:val="24"/>
          <w:szCs w:val="24"/>
        </w:rPr>
      </w:pPr>
      <w:r w:rsidRPr="008577D4">
        <w:rPr>
          <w:rFonts w:ascii="KaiTi" w:eastAsia="KaiTi" w:hAnsi="KaiTi" w:hint="eastAsia"/>
          <w:caps/>
          <w:kern w:val="2"/>
          <w:sz w:val="24"/>
          <w:szCs w:val="24"/>
        </w:rPr>
        <w:t>投资政策修正建议</w:t>
      </w:r>
    </w:p>
    <w:p w:rsidR="008577D4" w:rsidRPr="006E202E" w:rsidRDefault="008577D4" w:rsidP="008577D4">
      <w:pPr>
        <w:widowControl w:val="0"/>
        <w:jc w:val="both"/>
        <w:rPr>
          <w:rFonts w:ascii="Calibri" w:hAnsi="Calibri" w:cs="Times New Roman"/>
          <w:kern w:val="2"/>
          <w:szCs w:val="22"/>
        </w:rPr>
      </w:pPr>
    </w:p>
    <w:p w:rsidR="008577D4" w:rsidRPr="006E202E" w:rsidRDefault="008577D4" w:rsidP="008577D4">
      <w:pPr>
        <w:widowControl w:val="0"/>
        <w:jc w:val="both"/>
        <w:rPr>
          <w:rFonts w:ascii="KaiTi" w:eastAsia="KaiTi" w:hAnsi="KaiTi"/>
          <w:i/>
          <w:kern w:val="2"/>
          <w:sz w:val="21"/>
          <w:szCs w:val="21"/>
        </w:rPr>
      </w:pPr>
      <w:r w:rsidRPr="008577D4">
        <w:rPr>
          <w:rFonts w:ascii="KaiTi" w:eastAsia="KaiTi" w:hAnsi="KaiTi" w:hint="eastAsia"/>
          <w:i/>
          <w:kern w:val="2"/>
          <w:sz w:val="21"/>
          <w:szCs w:val="21"/>
        </w:rPr>
        <w:t>秘书处编拟的文件</w:t>
      </w:r>
    </w:p>
    <w:p w:rsidR="008577D4" w:rsidRPr="006E202E" w:rsidRDefault="008577D4" w:rsidP="008577D4">
      <w:pPr>
        <w:widowControl w:val="0"/>
        <w:rPr>
          <w:kern w:val="2"/>
          <w:szCs w:val="22"/>
        </w:rPr>
      </w:pPr>
    </w:p>
    <w:p w:rsidR="008577D4" w:rsidRPr="006E202E" w:rsidRDefault="008577D4" w:rsidP="008577D4">
      <w:pPr>
        <w:widowControl w:val="0"/>
        <w:rPr>
          <w:kern w:val="2"/>
          <w:szCs w:val="22"/>
        </w:rPr>
      </w:pPr>
    </w:p>
    <w:p w:rsidR="008577D4" w:rsidRPr="006E202E" w:rsidRDefault="008577D4" w:rsidP="008577D4">
      <w:pPr>
        <w:widowControl w:val="0"/>
        <w:rPr>
          <w:kern w:val="2"/>
          <w:szCs w:val="22"/>
        </w:rPr>
      </w:pPr>
    </w:p>
    <w:p w:rsidR="008577D4" w:rsidRPr="006E202E" w:rsidRDefault="008577D4" w:rsidP="008577D4">
      <w:pPr>
        <w:widowControl w:val="0"/>
        <w:rPr>
          <w:kern w:val="2"/>
          <w:szCs w:val="22"/>
        </w:rPr>
      </w:pPr>
    </w:p>
    <w:p w:rsidR="006466E1" w:rsidRPr="00DE4D66" w:rsidRDefault="009C3F59" w:rsidP="008577D4">
      <w:pPr>
        <w:pStyle w:val="1"/>
        <w:spacing w:beforeLines="100" w:afterLines="50" w:after="120" w:line="340" w:lineRule="atLeast"/>
        <w:jc w:val="both"/>
        <w:rPr>
          <w:rFonts w:ascii="SimHei" w:eastAsia="SimHei" w:hAnsi="SimHei"/>
          <w:b w:val="0"/>
          <w:sz w:val="21"/>
          <w:szCs w:val="22"/>
        </w:rPr>
      </w:pPr>
      <w:r w:rsidRPr="00DE4D66">
        <w:rPr>
          <w:rFonts w:ascii="SimHei" w:eastAsia="SimHei" w:hAnsi="SimHei" w:hint="eastAsia"/>
          <w:b w:val="0"/>
          <w:sz w:val="21"/>
          <w:szCs w:val="22"/>
        </w:rPr>
        <w:t>背　景</w:t>
      </w:r>
    </w:p>
    <w:p w:rsidR="00525644" w:rsidRPr="00B23470" w:rsidRDefault="008577D4"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投资政策于</w:t>
      </w:r>
      <w:r w:rsidR="00B23470">
        <w:rPr>
          <w:rFonts w:ascii="SimSun" w:hint="eastAsia"/>
          <w:sz w:val="21"/>
        </w:rPr>
        <w:t>2010年9月根据财务条例4.10</w:t>
      </w:r>
      <w:r>
        <w:rPr>
          <w:rFonts w:ascii="SimSun" w:hint="eastAsia"/>
          <w:sz w:val="21"/>
        </w:rPr>
        <w:t>首次提交给</w:t>
      </w:r>
      <w:r w:rsidR="00B23470">
        <w:rPr>
          <w:rFonts w:ascii="SimSun" w:hint="eastAsia"/>
          <w:sz w:val="21"/>
        </w:rPr>
        <w:t>计划和</w:t>
      </w:r>
      <w:r w:rsidR="001A7354">
        <w:rPr>
          <w:rFonts w:ascii="SimSun" w:hint="eastAsia"/>
          <w:sz w:val="21"/>
        </w:rPr>
        <w:t>预</w:t>
      </w:r>
      <w:r w:rsidR="00B23470">
        <w:rPr>
          <w:rFonts w:ascii="SimSun" w:hint="eastAsia"/>
          <w:sz w:val="21"/>
        </w:rPr>
        <w:t>算委员会</w:t>
      </w:r>
      <w:r w:rsidR="006466E1" w:rsidRPr="003623C2">
        <w:rPr>
          <w:rFonts w:ascii="SimSun"/>
          <w:sz w:val="21"/>
        </w:rPr>
        <w:t>(PBC)(</w:t>
      </w:r>
      <w:r w:rsidR="00B23470">
        <w:rPr>
          <w:rFonts w:ascii="SimSun" w:hint="eastAsia"/>
          <w:sz w:val="21"/>
        </w:rPr>
        <w:t>文件</w:t>
      </w:r>
      <w:r w:rsidR="006466E1" w:rsidRPr="003623C2">
        <w:rPr>
          <w:rFonts w:ascii="SimSun"/>
          <w:sz w:val="21"/>
        </w:rPr>
        <w:t>WO/PBC/15/8)</w:t>
      </w:r>
      <w:r w:rsidR="00B23470">
        <w:rPr>
          <w:rFonts w:ascii="SimSun" w:hint="eastAsia"/>
          <w:sz w:val="21"/>
        </w:rPr>
        <w:t>。委员会对文件进行了审查，并“请秘书处在PBC再次举行的会议上改写</w:t>
      </w:r>
      <w:r w:rsidR="001A7354">
        <w:rPr>
          <w:rFonts w:ascii="SimSun" w:hint="eastAsia"/>
          <w:sz w:val="21"/>
        </w:rPr>
        <w:t>建议</w:t>
      </w:r>
      <w:r w:rsidR="00B23470">
        <w:rPr>
          <w:rFonts w:ascii="SimSun" w:hint="eastAsia"/>
          <w:sz w:val="21"/>
        </w:rPr>
        <w:t>，以对成员国所发表的看法和意见加以考虑”。这些看法和意见主要涉及不愿使用外部投资经理</w:t>
      </w:r>
      <w:r>
        <w:rPr>
          <w:rFonts w:ascii="SimSun" w:hint="eastAsia"/>
          <w:sz w:val="21"/>
        </w:rPr>
        <w:t>，不愿</w:t>
      </w:r>
      <w:r w:rsidR="00B23470">
        <w:rPr>
          <w:rFonts w:ascii="SimSun" w:hint="eastAsia"/>
          <w:sz w:val="21"/>
        </w:rPr>
        <w:t>用非当期业务</w:t>
      </w:r>
      <w:r w:rsidR="00630C47">
        <w:rPr>
          <w:rFonts w:ascii="SimSun" w:hint="eastAsia"/>
          <w:sz w:val="21"/>
        </w:rPr>
        <w:t>和</w:t>
      </w:r>
      <w:r w:rsidR="00B23470">
        <w:rPr>
          <w:rFonts w:ascii="SimSun" w:hint="eastAsia"/>
          <w:sz w:val="21"/>
        </w:rPr>
        <w:t>储备金</w:t>
      </w:r>
      <w:r>
        <w:rPr>
          <w:rFonts w:ascii="SimSun" w:hint="eastAsia"/>
          <w:sz w:val="21"/>
        </w:rPr>
        <w:t>供</w:t>
      </w:r>
      <w:r w:rsidR="00B23470">
        <w:rPr>
          <w:rFonts w:ascii="SimSun" w:hint="eastAsia"/>
          <w:sz w:val="21"/>
        </w:rPr>
        <w:t>资项目所需的不受限现金进行</w:t>
      </w:r>
      <w:r>
        <w:rPr>
          <w:rFonts w:ascii="SimSun" w:hint="eastAsia"/>
          <w:sz w:val="21"/>
        </w:rPr>
        <w:t>最长</w:t>
      </w:r>
      <w:r w:rsidR="00B23470">
        <w:rPr>
          <w:rFonts w:ascii="SimSun" w:hint="eastAsia"/>
          <w:sz w:val="21"/>
        </w:rPr>
        <w:t>两年的投资，以及希望考虑</w:t>
      </w:r>
      <w:r>
        <w:rPr>
          <w:rFonts w:ascii="SimSun" w:hint="eastAsia"/>
          <w:sz w:val="21"/>
        </w:rPr>
        <w:t>有必要使</w:t>
      </w:r>
      <w:r w:rsidR="00B23470">
        <w:rPr>
          <w:rFonts w:ascii="SimSun" w:hint="eastAsia"/>
          <w:sz w:val="21"/>
        </w:rPr>
        <w:t>投资符合</w:t>
      </w:r>
      <w:r w:rsidR="0032519C" w:rsidRPr="003623C2">
        <w:rPr>
          <w:rFonts w:ascii="SimSun" w:hint="eastAsia"/>
          <w:sz w:val="21"/>
        </w:rPr>
        <w:t>《联合国全球契约》</w:t>
      </w:r>
      <w:r>
        <w:rPr>
          <w:rFonts w:ascii="SimSun" w:hint="eastAsia"/>
          <w:sz w:val="21"/>
        </w:rPr>
        <w:t>的各项</w:t>
      </w:r>
      <w:r w:rsidR="00B23470">
        <w:rPr>
          <w:rFonts w:ascii="SimSun" w:hint="eastAsia"/>
          <w:sz w:val="21"/>
        </w:rPr>
        <w:t>原则。</w:t>
      </w:r>
    </w:p>
    <w:p w:rsidR="00B22BC7" w:rsidRPr="0032761E" w:rsidRDefault="00B23470"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随后对</w:t>
      </w:r>
      <w:r w:rsidR="0032761E">
        <w:rPr>
          <w:rFonts w:ascii="SimSun" w:hint="eastAsia"/>
          <w:sz w:val="21"/>
        </w:rPr>
        <w:t>政策进行了修改，修订稿被提交给2011年PBC举行的两次会议</w:t>
      </w:r>
      <w:r w:rsidR="00817DB4" w:rsidRPr="003623C2">
        <w:rPr>
          <w:rFonts w:ascii="SimSun"/>
          <w:sz w:val="21"/>
        </w:rPr>
        <w:t>(</w:t>
      </w:r>
      <w:r w:rsidR="0032761E">
        <w:rPr>
          <w:rFonts w:ascii="SimSun" w:hint="eastAsia"/>
          <w:sz w:val="21"/>
        </w:rPr>
        <w:t>文件</w:t>
      </w:r>
      <w:r w:rsidR="0032761E">
        <w:rPr>
          <w:rFonts w:ascii="SimSun"/>
          <w:sz w:val="21"/>
        </w:rPr>
        <w:t>WO/PBC/17/6)</w:t>
      </w:r>
      <w:r w:rsidR="0032761E">
        <w:rPr>
          <w:rFonts w:ascii="SimSun" w:hint="eastAsia"/>
          <w:sz w:val="21"/>
        </w:rPr>
        <w:t>，最后由2011年秋季成员国大会第四十九届会议批准。后一份文件(附件一)增加了对政策的下列修订：</w:t>
      </w:r>
    </w:p>
    <w:p w:rsidR="00817DB4" w:rsidRPr="003623C2" w:rsidRDefault="00E90FF6" w:rsidP="00E90FF6">
      <w:pPr>
        <w:pStyle w:val="ae"/>
        <w:tabs>
          <w:tab w:val="clear" w:pos="851"/>
          <w:tab w:val="clear" w:pos="1134"/>
        </w:tabs>
        <w:spacing w:before="0" w:afterLines="50" w:line="340" w:lineRule="atLeast"/>
        <w:ind w:left="567"/>
        <w:jc w:val="both"/>
        <w:rPr>
          <w:rFonts w:ascii="SimSun"/>
          <w:sz w:val="21"/>
        </w:rPr>
      </w:pPr>
      <w:r>
        <w:rPr>
          <w:rFonts w:ascii="SimSun" w:hint="eastAsia"/>
          <w:sz w:val="21"/>
        </w:rPr>
        <w:t>(a)</w:t>
      </w:r>
      <w:r>
        <w:rPr>
          <w:rFonts w:ascii="SimSun" w:hint="eastAsia"/>
          <w:sz w:val="21"/>
        </w:rPr>
        <w:tab/>
      </w:r>
      <w:r w:rsidR="007347E6">
        <w:rPr>
          <w:rFonts w:ascii="SimSun" w:hint="eastAsia"/>
          <w:sz w:val="21"/>
        </w:rPr>
        <w:t>具体提</w:t>
      </w:r>
      <w:r>
        <w:rPr>
          <w:rFonts w:ascii="SimSun" w:hint="eastAsia"/>
          <w:sz w:val="21"/>
        </w:rPr>
        <w:t>到</w:t>
      </w:r>
      <w:r w:rsidR="007347E6">
        <w:rPr>
          <w:rFonts w:ascii="SimSun" w:hint="eastAsia"/>
          <w:sz w:val="21"/>
        </w:rPr>
        <w:t>，非</w:t>
      </w:r>
      <w:r>
        <w:rPr>
          <w:rFonts w:ascii="SimSun" w:hint="eastAsia"/>
          <w:sz w:val="21"/>
        </w:rPr>
        <w:t>急</w:t>
      </w:r>
      <w:r w:rsidR="00A16DAA">
        <w:rPr>
          <w:rFonts w:ascii="SimSun" w:hint="eastAsia"/>
          <w:sz w:val="21"/>
        </w:rPr>
        <w:t>需</w:t>
      </w:r>
      <w:r w:rsidR="007347E6">
        <w:rPr>
          <w:rFonts w:ascii="SimSun" w:hint="eastAsia"/>
          <w:sz w:val="21"/>
        </w:rPr>
        <w:t>的瑞士法郎</w:t>
      </w:r>
      <w:r>
        <w:rPr>
          <w:rFonts w:ascii="SimSun" w:hint="eastAsia"/>
          <w:sz w:val="21"/>
        </w:rPr>
        <w:t>结余</w:t>
      </w:r>
      <w:r w:rsidR="007347E6">
        <w:rPr>
          <w:rFonts w:ascii="SimSun" w:hint="eastAsia"/>
          <w:sz w:val="21"/>
        </w:rPr>
        <w:t>现金储备将存入瑞士国家银行</w:t>
      </w:r>
      <w:r w:rsidR="00817DB4" w:rsidRPr="003623C2">
        <w:rPr>
          <w:rFonts w:ascii="SimSun"/>
          <w:sz w:val="21"/>
        </w:rPr>
        <w:t>(</w:t>
      </w:r>
      <w:r>
        <w:rPr>
          <w:rFonts w:ascii="SimSun" w:hint="eastAsia"/>
          <w:sz w:val="21"/>
        </w:rPr>
        <w:t>瑞士央行</w:t>
      </w:r>
      <w:r w:rsidR="00817DB4" w:rsidRPr="003623C2">
        <w:rPr>
          <w:rFonts w:ascii="SimSun"/>
          <w:sz w:val="21"/>
        </w:rPr>
        <w:t>)</w:t>
      </w:r>
      <w:r w:rsidR="00A16DAA">
        <w:rPr>
          <w:rFonts w:ascii="SimSun" w:hint="eastAsia"/>
          <w:sz w:val="21"/>
        </w:rPr>
        <w:t>，</w:t>
      </w:r>
      <w:r w:rsidR="007347E6">
        <w:rPr>
          <w:rFonts w:ascii="SimSun" w:hint="eastAsia"/>
          <w:sz w:val="21"/>
        </w:rPr>
        <w:t>除非可以</w:t>
      </w:r>
      <w:proofErr w:type="gramStart"/>
      <w:r w:rsidR="007347E6">
        <w:rPr>
          <w:rFonts w:ascii="SimSun" w:hint="eastAsia"/>
          <w:sz w:val="21"/>
        </w:rPr>
        <w:t>从具备</w:t>
      </w:r>
      <w:proofErr w:type="gramEnd"/>
      <w:r w:rsidR="007347E6">
        <w:rPr>
          <w:rFonts w:ascii="SimSun" w:hint="eastAsia"/>
          <w:sz w:val="21"/>
        </w:rPr>
        <w:t>必要信用评级</w:t>
      </w:r>
      <w:r w:rsidR="00817DB4" w:rsidRPr="003623C2">
        <w:rPr>
          <w:rFonts w:ascii="SimSun"/>
          <w:sz w:val="21"/>
        </w:rPr>
        <w:t>(</w:t>
      </w:r>
      <w:r w:rsidR="007347E6">
        <w:rPr>
          <w:rFonts w:ascii="SimSun" w:hint="eastAsia"/>
          <w:sz w:val="21"/>
        </w:rPr>
        <w:t>相当于</w:t>
      </w:r>
      <w:r w:rsidR="0032519C" w:rsidRPr="003623C2">
        <w:rPr>
          <w:rFonts w:ascii="SimSun" w:hint="eastAsia"/>
          <w:sz w:val="21"/>
        </w:rPr>
        <w:t>标准普尔</w:t>
      </w:r>
      <w:r w:rsidR="007347E6">
        <w:rPr>
          <w:rFonts w:ascii="SimSun"/>
          <w:sz w:val="21"/>
        </w:rPr>
        <w:t>AA-</w:t>
      </w:r>
      <w:r w:rsidR="001A7354">
        <w:rPr>
          <w:rFonts w:ascii="SimSun" w:hint="eastAsia"/>
          <w:sz w:val="21"/>
        </w:rPr>
        <w:t>级</w:t>
      </w:r>
      <w:r w:rsidR="007347E6">
        <w:rPr>
          <w:rFonts w:ascii="SimSun" w:hint="eastAsia"/>
          <w:sz w:val="21"/>
        </w:rPr>
        <w:t>和</w:t>
      </w:r>
      <w:r w:rsidR="0032519C" w:rsidRPr="003623C2">
        <w:rPr>
          <w:rFonts w:ascii="SimSun" w:hint="eastAsia"/>
          <w:sz w:val="21"/>
        </w:rPr>
        <w:t>穆迪</w:t>
      </w:r>
      <w:r w:rsidR="00BF2EC9" w:rsidRPr="003623C2">
        <w:rPr>
          <w:rFonts w:ascii="SimSun"/>
          <w:sz w:val="21"/>
        </w:rPr>
        <w:t>Aa3</w:t>
      </w:r>
      <w:r w:rsidR="001A7354">
        <w:rPr>
          <w:rFonts w:ascii="SimSun" w:hint="eastAsia"/>
          <w:sz w:val="21"/>
        </w:rPr>
        <w:t>级</w:t>
      </w:r>
      <w:r w:rsidR="007347E6">
        <w:rPr>
          <w:rFonts w:ascii="SimSun" w:hint="eastAsia"/>
          <w:sz w:val="21"/>
        </w:rPr>
        <w:t>)</w:t>
      </w:r>
      <w:r w:rsidR="00630C47">
        <w:rPr>
          <w:rFonts w:ascii="SimSun" w:hint="eastAsia"/>
          <w:sz w:val="21"/>
        </w:rPr>
        <w:t>的其他银行取得更高回报率</w:t>
      </w:r>
      <w:r w:rsidR="007347E6">
        <w:rPr>
          <w:rFonts w:ascii="SimSun" w:hint="eastAsia"/>
          <w:sz w:val="21"/>
        </w:rPr>
        <w:t>；</w:t>
      </w:r>
    </w:p>
    <w:p w:rsidR="00817DB4" w:rsidRPr="003623C2" w:rsidRDefault="00E90FF6" w:rsidP="00E90FF6">
      <w:pPr>
        <w:pStyle w:val="ae"/>
        <w:tabs>
          <w:tab w:val="clear" w:pos="851"/>
          <w:tab w:val="clear" w:pos="1134"/>
        </w:tabs>
        <w:spacing w:before="0" w:afterLines="50" w:line="340" w:lineRule="atLeast"/>
        <w:ind w:left="567"/>
        <w:jc w:val="both"/>
        <w:rPr>
          <w:rFonts w:ascii="SimSun"/>
          <w:sz w:val="21"/>
        </w:rPr>
      </w:pPr>
      <w:r>
        <w:rPr>
          <w:rFonts w:ascii="SimSun" w:hint="eastAsia"/>
          <w:sz w:val="21"/>
        </w:rPr>
        <w:t>(b)</w:t>
      </w:r>
      <w:r>
        <w:rPr>
          <w:rFonts w:ascii="SimSun" w:hint="eastAsia"/>
          <w:sz w:val="21"/>
        </w:rPr>
        <w:tab/>
      </w:r>
      <w:r w:rsidR="007347E6">
        <w:rPr>
          <w:rFonts w:ascii="SimSun" w:hint="eastAsia"/>
          <w:sz w:val="21"/>
        </w:rPr>
        <w:t>删除了使用外部投资经理的表述；并且</w:t>
      </w:r>
    </w:p>
    <w:p w:rsidR="00B22BC7" w:rsidRPr="003623C2" w:rsidRDefault="00E90FF6" w:rsidP="00E90FF6">
      <w:pPr>
        <w:pStyle w:val="ae"/>
        <w:tabs>
          <w:tab w:val="clear" w:pos="851"/>
          <w:tab w:val="clear" w:pos="1134"/>
        </w:tabs>
        <w:spacing w:before="0" w:afterLines="50" w:line="340" w:lineRule="atLeast"/>
        <w:ind w:left="567"/>
        <w:jc w:val="both"/>
        <w:rPr>
          <w:rFonts w:ascii="SimSun"/>
          <w:sz w:val="21"/>
        </w:rPr>
      </w:pPr>
      <w:r>
        <w:rPr>
          <w:rFonts w:ascii="SimSun" w:hint="eastAsia"/>
          <w:sz w:val="21"/>
        </w:rPr>
        <w:t>(c)</w:t>
      </w:r>
      <w:r>
        <w:rPr>
          <w:rFonts w:ascii="SimSun" w:hint="eastAsia"/>
          <w:sz w:val="21"/>
        </w:rPr>
        <w:tab/>
      </w:r>
      <w:r w:rsidR="007347E6">
        <w:rPr>
          <w:rFonts w:ascii="SimSun" w:hint="eastAsia"/>
          <w:sz w:val="21"/>
        </w:rPr>
        <w:t>要求WIPO</w:t>
      </w:r>
      <w:r w:rsidR="00630C47">
        <w:rPr>
          <w:rFonts w:ascii="SimSun" w:hint="eastAsia"/>
          <w:sz w:val="21"/>
        </w:rPr>
        <w:t>的</w:t>
      </w:r>
      <w:r w:rsidR="007347E6">
        <w:rPr>
          <w:rFonts w:ascii="SimSun" w:hint="eastAsia"/>
          <w:sz w:val="21"/>
        </w:rPr>
        <w:t>投资交易对手，除瑞士央行</w:t>
      </w:r>
      <w:r>
        <w:rPr>
          <w:rFonts w:ascii="SimSun" w:hint="eastAsia"/>
          <w:sz w:val="21"/>
        </w:rPr>
        <w:t>等</w:t>
      </w:r>
      <w:r w:rsidR="007347E6">
        <w:rPr>
          <w:rFonts w:ascii="SimSun" w:hint="eastAsia"/>
          <w:sz w:val="21"/>
        </w:rPr>
        <w:t>具有主权风险地位的</w:t>
      </w:r>
      <w:r w:rsidR="00A16DAA">
        <w:rPr>
          <w:rFonts w:ascii="SimSun" w:hint="eastAsia"/>
          <w:sz w:val="21"/>
        </w:rPr>
        <w:t>以外</w:t>
      </w:r>
      <w:r w:rsidR="007347E6">
        <w:rPr>
          <w:rFonts w:ascii="SimSun" w:hint="eastAsia"/>
          <w:sz w:val="21"/>
        </w:rPr>
        <w:t>，</w:t>
      </w:r>
      <w:r w:rsidR="00A16DAA">
        <w:rPr>
          <w:rFonts w:ascii="SimSun" w:hint="eastAsia"/>
          <w:sz w:val="21"/>
        </w:rPr>
        <w:t>必须</w:t>
      </w:r>
      <w:r w:rsidR="0032519C" w:rsidRPr="003623C2">
        <w:rPr>
          <w:rFonts w:ascii="SimSun" w:hint="eastAsia"/>
          <w:sz w:val="21"/>
        </w:rPr>
        <w:t>同意遵守《联合国全球契约》的十项原则。</w:t>
      </w:r>
    </w:p>
    <w:p w:rsidR="00B22BC7" w:rsidRPr="003623C2" w:rsidRDefault="00C82C1B"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这项经修订的政策比2010年提出的版本内容更简单，忠实地反映了目前做法。</w:t>
      </w:r>
    </w:p>
    <w:p w:rsidR="00985CD1" w:rsidRPr="003623C2" w:rsidRDefault="00E64131"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考虑到下文所述的近期发展，秘书处编拟了一系列建议，将根据成员国的反馈予以进一步发展。</w:t>
      </w:r>
    </w:p>
    <w:p w:rsidR="002928D3" w:rsidRPr="003F191C" w:rsidRDefault="00DC40EC" w:rsidP="008577D4">
      <w:pPr>
        <w:pStyle w:val="1"/>
        <w:spacing w:beforeLines="100" w:afterLines="50" w:after="120" w:line="340" w:lineRule="atLeast"/>
        <w:jc w:val="both"/>
        <w:rPr>
          <w:rFonts w:ascii="SimHei" w:eastAsia="SimHei" w:hAnsi="SimHei"/>
          <w:b w:val="0"/>
          <w:sz w:val="21"/>
          <w:szCs w:val="22"/>
        </w:rPr>
      </w:pPr>
      <w:r w:rsidRPr="003F191C">
        <w:rPr>
          <w:rFonts w:ascii="SimHei" w:eastAsia="SimHei" w:hAnsi="SimHei" w:hint="eastAsia"/>
          <w:b w:val="0"/>
          <w:sz w:val="21"/>
          <w:szCs w:val="22"/>
        </w:rPr>
        <w:lastRenderedPageBreak/>
        <w:t>近期发展</w:t>
      </w:r>
    </w:p>
    <w:p w:rsidR="00985CD1" w:rsidRPr="00DC40EC" w:rsidRDefault="00576106" w:rsidP="008577D4">
      <w:pPr>
        <w:pStyle w:val="ae"/>
        <w:keepNext/>
        <w:tabs>
          <w:tab w:val="clear" w:pos="851"/>
          <w:tab w:val="clear" w:pos="1134"/>
        </w:tabs>
        <w:spacing w:before="0" w:afterLines="50" w:line="340" w:lineRule="atLeast"/>
        <w:jc w:val="both"/>
        <w:rPr>
          <w:rFonts w:ascii="SimSun"/>
          <w:caps/>
          <w:sz w:val="21"/>
          <w:u w:val="single"/>
        </w:rPr>
      </w:pPr>
      <w:r w:rsidRPr="003623C2">
        <w:rPr>
          <w:rFonts w:ascii="SimSun"/>
          <w:sz w:val="21"/>
          <w:u w:val="single"/>
        </w:rPr>
        <w:t>WIPO</w:t>
      </w:r>
      <w:r w:rsidR="00DC40EC">
        <w:rPr>
          <w:rFonts w:ascii="SimSun" w:hint="eastAsia"/>
          <w:sz w:val="21"/>
          <w:u w:val="single"/>
        </w:rPr>
        <w:t>的银行账户</w:t>
      </w:r>
    </w:p>
    <w:p w:rsidR="008C4880" w:rsidRPr="00367403" w:rsidRDefault="00367403"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367403">
        <w:rPr>
          <w:rFonts w:ascii="SimSun" w:hint="eastAsia"/>
          <w:sz w:val="21"/>
        </w:rPr>
        <w:t>在2014年4月9日的来函中，瑞士央行通知WIPO总干事，由于瑞士联邦金融管理局实行了存款账户开户和维持的新规则，WIPO将不再能够在瑞士央行持有存款账户。</w:t>
      </w:r>
      <w:r w:rsidR="007965ED" w:rsidRPr="00367403">
        <w:rPr>
          <w:rFonts w:ascii="SimSun" w:hint="eastAsia"/>
          <w:sz w:val="21"/>
        </w:rPr>
        <w:t>收到类似通知</w:t>
      </w:r>
      <w:r w:rsidR="007965ED">
        <w:rPr>
          <w:rFonts w:ascii="SimSun" w:hint="eastAsia"/>
          <w:sz w:val="21"/>
        </w:rPr>
        <w:t>的还有</w:t>
      </w:r>
      <w:r w:rsidRPr="00367403">
        <w:rPr>
          <w:rFonts w:ascii="SimSun" w:hint="eastAsia"/>
          <w:sz w:val="21"/>
        </w:rPr>
        <w:t>国际电信联盟</w:t>
      </w:r>
      <w:r w:rsidR="00E25FA0" w:rsidRPr="00367403">
        <w:rPr>
          <w:rFonts w:ascii="SimSun"/>
          <w:sz w:val="21"/>
        </w:rPr>
        <w:t>(</w:t>
      </w:r>
      <w:r w:rsidR="003E198D">
        <w:rPr>
          <w:rFonts w:ascii="SimSun" w:hint="eastAsia"/>
          <w:sz w:val="21"/>
        </w:rPr>
        <w:t>国际电联</w:t>
      </w:r>
      <w:r w:rsidR="00E25FA0" w:rsidRPr="00367403">
        <w:rPr>
          <w:rFonts w:ascii="SimSun"/>
          <w:sz w:val="21"/>
        </w:rPr>
        <w:t>)</w:t>
      </w:r>
      <w:r w:rsidRPr="00367403">
        <w:rPr>
          <w:rFonts w:ascii="SimSun" w:hint="eastAsia"/>
          <w:sz w:val="21"/>
        </w:rPr>
        <w:t>和万国邮政联盟</w:t>
      </w:r>
      <w:r w:rsidR="00E25FA0" w:rsidRPr="00367403">
        <w:rPr>
          <w:rFonts w:ascii="SimSun"/>
          <w:sz w:val="21"/>
        </w:rPr>
        <w:t>(</w:t>
      </w:r>
      <w:r w:rsidR="003E198D">
        <w:rPr>
          <w:rFonts w:ascii="SimSun" w:hint="eastAsia"/>
          <w:sz w:val="21"/>
        </w:rPr>
        <w:t>万国邮联</w:t>
      </w:r>
      <w:r w:rsidR="00E25FA0" w:rsidRPr="00367403">
        <w:rPr>
          <w:rFonts w:ascii="SimSun"/>
          <w:sz w:val="21"/>
        </w:rPr>
        <w:t>)</w:t>
      </w:r>
      <w:r w:rsidRPr="00367403">
        <w:rPr>
          <w:rFonts w:ascii="SimSun" w:hint="eastAsia"/>
          <w:sz w:val="21"/>
        </w:rPr>
        <w:t>。由于需要找出可以持有WIPO投资的替代机构，瑞士央行同意</w:t>
      </w:r>
      <w:r w:rsidR="007965ED">
        <w:rPr>
          <w:rFonts w:ascii="SimSun" w:hint="eastAsia"/>
          <w:sz w:val="21"/>
        </w:rPr>
        <w:t>为此</w:t>
      </w:r>
      <w:r w:rsidRPr="00367403">
        <w:rPr>
          <w:rFonts w:ascii="SimSun" w:hint="eastAsia"/>
          <w:sz w:val="21"/>
        </w:rPr>
        <w:t>给WIPO一段过渡期，2015年年底截止。因此，WIPO被要求不晚于2015年12月1日向瑞士央行发出指示，将存款转出，然后关闭各个账户。</w:t>
      </w:r>
    </w:p>
    <w:p w:rsidR="00416863" w:rsidRPr="00367403" w:rsidRDefault="00367403"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总干事正</w:t>
      </w:r>
      <w:r w:rsidR="007965ED">
        <w:rPr>
          <w:rFonts w:ascii="SimSun" w:hint="eastAsia"/>
          <w:sz w:val="21"/>
        </w:rPr>
        <w:t>为</w:t>
      </w:r>
      <w:r>
        <w:rPr>
          <w:rFonts w:ascii="SimSun" w:hint="eastAsia"/>
          <w:sz w:val="21"/>
        </w:rPr>
        <w:t>此与瑞士当局进行磋商。这一发展对本组织有重要影响，详见下文。</w:t>
      </w:r>
    </w:p>
    <w:p w:rsidR="00416863" w:rsidRPr="008577D4" w:rsidRDefault="00E25FA0" w:rsidP="008577D4">
      <w:pPr>
        <w:pStyle w:val="1"/>
        <w:spacing w:beforeLines="100" w:afterLines="50" w:after="120" w:line="340" w:lineRule="atLeast"/>
        <w:jc w:val="both"/>
        <w:rPr>
          <w:rFonts w:ascii="SimHei" w:eastAsia="SimHei" w:hAnsi="SimHei"/>
          <w:b w:val="0"/>
          <w:sz w:val="21"/>
          <w:szCs w:val="22"/>
        </w:rPr>
      </w:pPr>
      <w:r w:rsidRPr="008577D4">
        <w:rPr>
          <w:rFonts w:ascii="SimHei" w:eastAsia="SimHei" w:hAnsi="SimHei"/>
          <w:b w:val="0"/>
          <w:sz w:val="21"/>
          <w:szCs w:val="22"/>
        </w:rPr>
        <w:t>WIPO</w:t>
      </w:r>
      <w:r w:rsidR="00E712BC" w:rsidRPr="008577D4">
        <w:rPr>
          <w:rFonts w:ascii="SimHei" w:eastAsia="SimHei" w:hAnsi="SimHei" w:hint="eastAsia"/>
          <w:b w:val="0"/>
          <w:sz w:val="21"/>
          <w:szCs w:val="22"/>
        </w:rPr>
        <w:t>的投资政策</w:t>
      </w:r>
    </w:p>
    <w:p w:rsidR="00990DD8" w:rsidRPr="003623C2" w:rsidRDefault="00E712BC" w:rsidP="008577D4">
      <w:pPr>
        <w:pStyle w:val="ae"/>
        <w:keepNext/>
        <w:tabs>
          <w:tab w:val="clear" w:pos="851"/>
          <w:tab w:val="clear" w:pos="1134"/>
        </w:tabs>
        <w:spacing w:before="0" w:afterLines="50" w:line="340" w:lineRule="atLeast"/>
        <w:jc w:val="both"/>
        <w:rPr>
          <w:rFonts w:ascii="SimSun"/>
          <w:sz w:val="21"/>
          <w:u w:val="single"/>
        </w:rPr>
      </w:pPr>
      <w:r>
        <w:rPr>
          <w:rFonts w:ascii="SimSun" w:hint="eastAsia"/>
          <w:sz w:val="21"/>
          <w:u w:val="single"/>
        </w:rPr>
        <w:t>信用评级</w:t>
      </w:r>
    </w:p>
    <w:p w:rsidR="006B7892" w:rsidRPr="003623C2" w:rsidRDefault="00E712B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如第</w:t>
      </w:r>
      <w:r w:rsidR="007965ED">
        <w:rPr>
          <w:rFonts w:ascii="SimSun" w:hint="eastAsia"/>
          <w:sz w:val="21"/>
        </w:rPr>
        <w:t>2</w:t>
      </w:r>
      <w:r w:rsidR="00630C47">
        <w:rPr>
          <w:rFonts w:ascii="SimSun" w:hint="eastAsia"/>
          <w:sz w:val="21"/>
        </w:rPr>
        <w:t>段所述，投资</w:t>
      </w:r>
      <w:r>
        <w:rPr>
          <w:rFonts w:ascii="SimSun" w:hint="eastAsia"/>
          <w:sz w:val="21"/>
        </w:rPr>
        <w:t>政策要求瑞士法郎投资“全部在瑞士央行进行，</w:t>
      </w:r>
      <w:r w:rsidR="00E342A8">
        <w:rPr>
          <w:rFonts w:ascii="SimSun" w:hint="eastAsia"/>
          <w:sz w:val="21"/>
        </w:rPr>
        <w:t>条件是所提供的</w:t>
      </w:r>
      <w:r w:rsidR="00AA7847">
        <w:rPr>
          <w:rFonts w:ascii="SimSun" w:hint="eastAsia"/>
          <w:sz w:val="21"/>
        </w:rPr>
        <w:t>利率高于具有必要信用评级的商业银行可以提供的利率</w:t>
      </w:r>
      <w:r>
        <w:rPr>
          <w:rFonts w:ascii="SimSun" w:hint="eastAsia"/>
          <w:sz w:val="21"/>
        </w:rPr>
        <w:t>”</w:t>
      </w:r>
      <w:r w:rsidR="00AA7847">
        <w:rPr>
          <w:rFonts w:ascii="SimSun" w:hint="eastAsia"/>
          <w:sz w:val="21"/>
        </w:rPr>
        <w:t>。</w:t>
      </w:r>
      <w:r>
        <w:rPr>
          <w:rFonts w:ascii="SimSun" w:hint="eastAsia"/>
          <w:sz w:val="21"/>
        </w:rPr>
        <w:t>此外，政策指出，在瑞士央行以外的投资“</w:t>
      </w:r>
      <w:r w:rsidR="00C82C1B" w:rsidRPr="00C82C1B">
        <w:rPr>
          <w:rFonts w:ascii="SimSun" w:hint="eastAsia"/>
          <w:sz w:val="21"/>
        </w:rPr>
        <w:t>限于在信誉评级为AA-/Aa3</w:t>
      </w:r>
      <w:r>
        <w:rPr>
          <w:rFonts w:ascii="SimSun" w:hint="eastAsia"/>
          <w:sz w:val="21"/>
        </w:rPr>
        <w:t>或更高的银行持有的货币市场基金和定期存款</w:t>
      </w:r>
      <w:r>
        <w:rPr>
          <w:rFonts w:ascii="SimSun" w:hAnsi="SimSun" w:hint="eastAsia"/>
          <w:sz w:val="21"/>
        </w:rPr>
        <w:t>……</w:t>
      </w:r>
      <w:r w:rsidR="008B13A9">
        <w:rPr>
          <w:rFonts w:ascii="SimSun" w:hAnsi="SimSun" w:hint="eastAsia"/>
          <w:sz w:val="21"/>
        </w:rPr>
        <w:t>”</w:t>
      </w:r>
      <w:r w:rsidR="008143BB">
        <w:rPr>
          <w:rFonts w:ascii="SimSun" w:hAnsi="SimSun" w:hint="eastAsia"/>
          <w:sz w:val="21"/>
        </w:rPr>
        <w:t>。</w:t>
      </w:r>
    </w:p>
    <w:p w:rsidR="00034074" w:rsidRDefault="008143BB"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8143BB">
        <w:rPr>
          <w:rFonts w:ascii="SimSun" w:hint="eastAsia"/>
          <w:sz w:val="21"/>
        </w:rPr>
        <w:t>下表1显示了2009年1月以来瑞士央行提供的利率</w:t>
      </w:r>
      <w:r w:rsidR="007965ED">
        <w:rPr>
          <w:rFonts w:ascii="SimSun" w:hint="eastAsia"/>
          <w:sz w:val="21"/>
        </w:rPr>
        <w:t>，</w:t>
      </w:r>
      <w:r w:rsidR="00630C47">
        <w:rPr>
          <w:rFonts w:ascii="SimSun" w:hint="eastAsia"/>
          <w:sz w:val="21"/>
        </w:rPr>
        <w:t>以及</w:t>
      </w:r>
      <w:r w:rsidRPr="008143BB">
        <w:rPr>
          <w:rFonts w:ascii="SimSun" w:hint="eastAsia"/>
          <w:sz w:val="21"/>
        </w:rPr>
        <w:t>与可从</w:t>
      </w:r>
      <w:r w:rsidRPr="009068C0">
        <w:rPr>
          <w:rFonts w:ascii="SimSun" w:hint="eastAsia"/>
          <w:sz w:val="21"/>
        </w:rPr>
        <w:t>瑞士信贷银行</w:t>
      </w:r>
      <w:r w:rsidRPr="008143BB">
        <w:rPr>
          <w:rFonts w:ascii="SimSun" w:hint="eastAsia"/>
          <w:sz w:val="21"/>
        </w:rPr>
        <w:t>(长期评级</w:t>
      </w:r>
      <w:r w:rsidR="00BF2EC9" w:rsidRPr="008143BB">
        <w:rPr>
          <w:rFonts w:ascii="SimSun"/>
          <w:sz w:val="21"/>
        </w:rPr>
        <w:t>A/A1</w:t>
      </w:r>
      <w:r w:rsidR="005976A6" w:rsidRPr="008143BB">
        <w:rPr>
          <w:rFonts w:ascii="SimSun"/>
          <w:sz w:val="21"/>
        </w:rPr>
        <w:t>)</w:t>
      </w:r>
      <w:r w:rsidRPr="008143BB">
        <w:rPr>
          <w:rFonts w:ascii="SimSun" w:hint="eastAsia"/>
          <w:sz w:val="21"/>
        </w:rPr>
        <w:t>获得的</w:t>
      </w:r>
      <w:r w:rsidR="007965ED">
        <w:rPr>
          <w:rFonts w:ascii="SimSun" w:hint="eastAsia"/>
          <w:sz w:val="21"/>
        </w:rPr>
        <w:t>六</w:t>
      </w:r>
      <w:r w:rsidRPr="008143BB">
        <w:rPr>
          <w:rFonts w:ascii="SimSun" w:hint="eastAsia"/>
          <w:sz w:val="21"/>
        </w:rPr>
        <w:t>个月存款利率</w:t>
      </w:r>
      <w:r w:rsidR="00630C47">
        <w:rPr>
          <w:rFonts w:ascii="SimSun" w:hint="eastAsia"/>
          <w:sz w:val="21"/>
        </w:rPr>
        <w:t>的</w:t>
      </w:r>
      <w:r w:rsidRPr="008143BB">
        <w:rPr>
          <w:rFonts w:ascii="SimSun" w:hint="eastAsia"/>
          <w:sz w:val="21"/>
        </w:rPr>
        <w:t>比</w:t>
      </w:r>
      <w:r w:rsidR="00630C47">
        <w:rPr>
          <w:rFonts w:ascii="SimSun" w:hint="eastAsia"/>
          <w:sz w:val="21"/>
        </w:rPr>
        <w:t>较</w:t>
      </w:r>
      <w:r w:rsidRPr="008143BB">
        <w:rPr>
          <w:rFonts w:ascii="SimSun" w:hint="eastAsia"/>
          <w:sz w:val="21"/>
        </w:rPr>
        <w:t>。</w:t>
      </w:r>
      <w:r w:rsidRPr="009068C0">
        <w:rPr>
          <w:rFonts w:ascii="SimSun" w:hint="eastAsia"/>
          <w:sz w:val="21"/>
        </w:rPr>
        <w:t>瑞士信贷银行</w:t>
      </w:r>
      <w:r w:rsidRPr="008143BB">
        <w:rPr>
          <w:rFonts w:ascii="SimSun" w:hint="eastAsia"/>
          <w:sz w:val="21"/>
        </w:rPr>
        <w:t>(瑞信)提供的利率与同期其他银行提供的利率相近。</w:t>
      </w:r>
    </w:p>
    <w:p w:rsidR="000561D2" w:rsidRPr="008143BB" w:rsidRDefault="003C439D" w:rsidP="007965ED">
      <w:pPr>
        <w:pStyle w:val="ae"/>
        <w:tabs>
          <w:tab w:val="clear" w:pos="851"/>
          <w:tab w:val="clear" w:pos="1134"/>
        </w:tabs>
        <w:spacing w:beforeLines="50" w:afterLines="50" w:line="340" w:lineRule="atLeast"/>
        <w:jc w:val="center"/>
        <w:rPr>
          <w:rFonts w:ascii="SimSun"/>
          <w:sz w:val="21"/>
        </w:rPr>
      </w:pPr>
      <w:r>
        <w:rPr>
          <w:rFonts w:ascii="SimSun" w:hint="eastAsia"/>
          <w:sz w:val="21"/>
        </w:rPr>
        <w:t>表</w:t>
      </w:r>
      <w:r w:rsidR="00C2471B" w:rsidRPr="008143BB">
        <w:rPr>
          <w:rFonts w:ascii="SimSun"/>
          <w:sz w:val="21"/>
        </w:rPr>
        <w:t>1</w:t>
      </w:r>
    </w:p>
    <w:p w:rsidR="006E2A97" w:rsidRPr="003623C2" w:rsidRDefault="00D14B2E" w:rsidP="00262626">
      <w:pPr>
        <w:pStyle w:val="ae"/>
        <w:tabs>
          <w:tab w:val="clear" w:pos="851"/>
          <w:tab w:val="clear" w:pos="1134"/>
          <w:tab w:val="left" w:pos="2410"/>
        </w:tabs>
        <w:spacing w:before="0" w:after="50" w:line="340" w:lineRule="atLeast"/>
        <w:jc w:val="center"/>
        <w:rPr>
          <w:rFonts w:ascii="SimSun"/>
          <w:sz w:val="21"/>
        </w:rPr>
      </w:pPr>
      <w:r w:rsidRPr="00D14B2E">
        <w:drawing>
          <wp:inline distT="0" distB="0" distL="0" distR="0">
            <wp:extent cx="4319425" cy="4463106"/>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3263" cy="4467072"/>
                    </a:xfrm>
                    <a:prstGeom prst="rect">
                      <a:avLst/>
                    </a:prstGeom>
                    <a:noFill/>
                    <a:ln>
                      <a:noFill/>
                    </a:ln>
                  </pic:spPr>
                </pic:pic>
              </a:graphicData>
            </a:graphic>
          </wp:inline>
        </w:drawing>
      </w:r>
    </w:p>
    <w:p w:rsidR="00314DEB" w:rsidRPr="00D9326B" w:rsidRDefault="008655A0"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lastRenderedPageBreak/>
        <w:t>如表</w:t>
      </w:r>
      <w:r w:rsidR="00630C47">
        <w:rPr>
          <w:rFonts w:ascii="SimSun" w:hint="eastAsia"/>
          <w:sz w:val="21"/>
        </w:rPr>
        <w:t>中</w:t>
      </w:r>
      <w:r>
        <w:rPr>
          <w:rFonts w:ascii="SimSun" w:hint="eastAsia"/>
          <w:sz w:val="21"/>
        </w:rPr>
        <w:t>所示，</w:t>
      </w:r>
      <w:r w:rsidR="004F6DBD">
        <w:rPr>
          <w:rFonts w:ascii="SimSun" w:hint="eastAsia"/>
          <w:sz w:val="21"/>
        </w:rPr>
        <w:t>瑞士</w:t>
      </w:r>
      <w:r w:rsidR="007965ED">
        <w:rPr>
          <w:rFonts w:ascii="SimSun" w:hint="eastAsia"/>
          <w:sz w:val="21"/>
        </w:rPr>
        <w:t>央</w:t>
      </w:r>
      <w:r w:rsidR="004F6DBD">
        <w:rPr>
          <w:rFonts w:ascii="SimSun" w:hint="eastAsia"/>
          <w:sz w:val="21"/>
        </w:rPr>
        <w:t>行提供的利率始终高于</w:t>
      </w:r>
      <w:proofErr w:type="gramStart"/>
      <w:r w:rsidR="004F6DBD">
        <w:rPr>
          <w:rFonts w:ascii="SimSun" w:hint="eastAsia"/>
          <w:sz w:val="21"/>
        </w:rPr>
        <w:t>别处提供</w:t>
      </w:r>
      <w:proofErr w:type="gramEnd"/>
      <w:r w:rsidR="004F6DBD">
        <w:rPr>
          <w:rFonts w:ascii="SimSun" w:hint="eastAsia"/>
          <w:sz w:val="21"/>
        </w:rPr>
        <w:t>的利率。另外，商业银行不仅在</w:t>
      </w:r>
      <w:r w:rsidR="00630C47">
        <w:rPr>
          <w:rFonts w:ascii="SimSun" w:hint="eastAsia"/>
          <w:sz w:val="21"/>
        </w:rPr>
        <w:t>回报</w:t>
      </w:r>
      <w:r>
        <w:rPr>
          <w:rFonts w:ascii="SimSun" w:hint="eastAsia"/>
          <w:sz w:val="21"/>
        </w:rPr>
        <w:t>方面无法与瑞士</w:t>
      </w:r>
      <w:r w:rsidR="007965ED">
        <w:rPr>
          <w:rFonts w:ascii="SimSun" w:hint="eastAsia"/>
          <w:sz w:val="21"/>
        </w:rPr>
        <w:t>央</w:t>
      </w:r>
      <w:r>
        <w:rPr>
          <w:rFonts w:ascii="SimSun" w:hint="eastAsia"/>
          <w:sz w:val="21"/>
        </w:rPr>
        <w:t>行提供的相比，而且WIPO与之有关系的银行也不具备WIPO投资政策</w:t>
      </w:r>
      <w:r w:rsidR="007965ED">
        <w:rPr>
          <w:rFonts w:ascii="SimSun" w:hint="eastAsia"/>
          <w:sz w:val="21"/>
        </w:rPr>
        <w:t>所</w:t>
      </w:r>
      <w:r>
        <w:rPr>
          <w:rFonts w:ascii="SimSun" w:hint="eastAsia"/>
          <w:sz w:val="21"/>
        </w:rPr>
        <w:t>要求的信用评级(表2)。</w:t>
      </w:r>
    </w:p>
    <w:p w:rsidR="00791E9A" w:rsidRPr="003623C2" w:rsidRDefault="008655A0" w:rsidP="007965ED">
      <w:pPr>
        <w:pStyle w:val="ae"/>
        <w:tabs>
          <w:tab w:val="clear" w:pos="851"/>
          <w:tab w:val="clear" w:pos="1134"/>
        </w:tabs>
        <w:spacing w:beforeLines="50" w:afterLines="50" w:line="340" w:lineRule="atLeast"/>
        <w:jc w:val="center"/>
        <w:rPr>
          <w:rFonts w:ascii="SimSun"/>
          <w:sz w:val="21"/>
        </w:rPr>
      </w:pPr>
      <w:r>
        <w:rPr>
          <w:rFonts w:ascii="SimSun" w:hint="eastAsia"/>
          <w:sz w:val="21"/>
        </w:rPr>
        <w:t>表</w:t>
      </w:r>
      <w:r w:rsidR="00791E9A" w:rsidRPr="003623C2">
        <w:rPr>
          <w:rFonts w:ascii="SimSun"/>
          <w:sz w:val="21"/>
        </w:rPr>
        <w:t>2</w:t>
      </w:r>
    </w:p>
    <w:p w:rsidR="00DB5303" w:rsidRPr="003623C2" w:rsidRDefault="00630C47" w:rsidP="00D9326B">
      <w:pPr>
        <w:pStyle w:val="ListparagraphII"/>
        <w:numPr>
          <w:ilvl w:val="0"/>
          <w:numId w:val="0"/>
        </w:numPr>
        <w:tabs>
          <w:tab w:val="clear" w:pos="851"/>
          <w:tab w:val="clear" w:pos="1134"/>
        </w:tabs>
        <w:spacing w:before="0" w:after="50" w:line="340" w:lineRule="atLeast"/>
        <w:jc w:val="center"/>
        <w:rPr>
          <w:rFonts w:ascii="SimSun"/>
          <w:sz w:val="21"/>
        </w:rPr>
      </w:pPr>
      <w:r w:rsidRPr="00630C47">
        <w:rPr>
          <w:noProof/>
        </w:rPr>
        <w:drawing>
          <wp:inline distT="0" distB="0" distL="0" distR="0">
            <wp:extent cx="3403600" cy="39941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3600" cy="3994150"/>
                    </a:xfrm>
                    <a:prstGeom prst="rect">
                      <a:avLst/>
                    </a:prstGeom>
                    <a:noFill/>
                    <a:ln>
                      <a:noFill/>
                    </a:ln>
                  </pic:spPr>
                </pic:pic>
              </a:graphicData>
            </a:graphic>
          </wp:inline>
        </w:drawing>
      </w:r>
    </w:p>
    <w:p w:rsidR="007A3EE9" w:rsidRPr="003623C2" w:rsidRDefault="00D9326B"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一种可能的解决办法是与</w:t>
      </w:r>
      <w:r w:rsidR="007965ED">
        <w:rPr>
          <w:rFonts w:ascii="SimSun" w:hint="eastAsia"/>
          <w:sz w:val="21"/>
        </w:rPr>
        <w:t>未达到</w:t>
      </w:r>
      <w:r>
        <w:rPr>
          <w:rFonts w:ascii="SimSun" w:hint="eastAsia"/>
          <w:sz w:val="21"/>
        </w:rPr>
        <w:t>所需信用评级标准的其他银行</w:t>
      </w:r>
      <w:r w:rsidR="007965ED">
        <w:rPr>
          <w:rFonts w:ascii="SimSun" w:hint="eastAsia"/>
          <w:sz w:val="21"/>
        </w:rPr>
        <w:t>建立</w:t>
      </w:r>
      <w:r>
        <w:rPr>
          <w:rFonts w:ascii="SimSun" w:hint="eastAsia"/>
          <w:sz w:val="21"/>
        </w:rPr>
        <w:t>关系。这方面</w:t>
      </w:r>
      <w:r w:rsidR="00630C47">
        <w:rPr>
          <w:rFonts w:ascii="SimSun" w:hint="eastAsia"/>
          <w:sz w:val="21"/>
        </w:rPr>
        <w:t>值得</w:t>
      </w:r>
      <w:r>
        <w:rPr>
          <w:rFonts w:ascii="SimSun" w:hint="eastAsia"/>
          <w:sz w:val="21"/>
        </w:rPr>
        <w:t>了解一下其</w:t>
      </w:r>
      <w:r w:rsidR="009F1BBF">
        <w:rPr>
          <w:rFonts w:ascii="SimSun" w:hint="eastAsia"/>
          <w:sz w:val="21"/>
        </w:rPr>
        <w:t>他机构和组织的经验。由于多数组织以美元或欧元运营，有瑞郎</w:t>
      </w:r>
      <w:r w:rsidR="007965ED">
        <w:rPr>
          <w:rFonts w:ascii="SimSun" w:hint="eastAsia"/>
          <w:sz w:val="21"/>
        </w:rPr>
        <w:t>盈余</w:t>
      </w:r>
      <w:r w:rsidR="009F1BBF">
        <w:rPr>
          <w:rFonts w:ascii="SimSun" w:hint="eastAsia"/>
          <w:sz w:val="21"/>
        </w:rPr>
        <w:t>用于</w:t>
      </w:r>
      <w:r>
        <w:rPr>
          <w:rFonts w:ascii="SimSun" w:hint="eastAsia"/>
          <w:sz w:val="21"/>
        </w:rPr>
        <w:t>投资的联合国机构很少</w:t>
      </w:r>
      <w:r w:rsidR="00333826">
        <w:rPr>
          <w:rFonts w:ascii="SimSun" w:hint="eastAsia"/>
          <w:sz w:val="21"/>
        </w:rPr>
        <w:t>。</w:t>
      </w:r>
      <w:r>
        <w:rPr>
          <w:rFonts w:ascii="SimSun" w:hint="eastAsia"/>
          <w:sz w:val="21"/>
        </w:rPr>
        <w:t>但是</w:t>
      </w:r>
      <w:r w:rsidR="00333826">
        <w:rPr>
          <w:rFonts w:ascii="SimSun" w:hint="eastAsia"/>
          <w:sz w:val="21"/>
        </w:rPr>
        <w:t>，通过对两个</w:t>
      </w:r>
      <w:proofErr w:type="gramStart"/>
      <w:r w:rsidR="00333826">
        <w:rPr>
          <w:rFonts w:ascii="SimSun" w:hint="eastAsia"/>
          <w:sz w:val="21"/>
        </w:rPr>
        <w:t>既用瑞郎</w:t>
      </w:r>
      <w:proofErr w:type="gramEnd"/>
      <w:r w:rsidR="00333826">
        <w:rPr>
          <w:rFonts w:ascii="SimSun" w:hint="eastAsia"/>
          <w:sz w:val="21"/>
        </w:rPr>
        <w:t>运营也用瑞</w:t>
      </w:r>
      <w:proofErr w:type="gramStart"/>
      <w:r w:rsidR="00333826">
        <w:rPr>
          <w:rFonts w:ascii="SimSun" w:hint="eastAsia"/>
          <w:sz w:val="21"/>
        </w:rPr>
        <w:t>郎投资</w:t>
      </w:r>
      <w:proofErr w:type="gramEnd"/>
      <w:r w:rsidR="00333826">
        <w:rPr>
          <w:rFonts w:ascii="SimSun" w:hint="eastAsia"/>
          <w:sz w:val="21"/>
        </w:rPr>
        <w:t>的机构——世界气象组织</w:t>
      </w:r>
      <w:r w:rsidR="00DB5303" w:rsidRPr="003623C2">
        <w:rPr>
          <w:rFonts w:ascii="SimSun"/>
          <w:sz w:val="21"/>
        </w:rPr>
        <w:t>(</w:t>
      </w:r>
      <w:r w:rsidR="007965ED">
        <w:rPr>
          <w:rFonts w:ascii="SimSun" w:hint="eastAsia"/>
          <w:sz w:val="21"/>
        </w:rPr>
        <w:t>气象组织</w:t>
      </w:r>
      <w:r w:rsidR="00DB5303" w:rsidRPr="003623C2">
        <w:rPr>
          <w:rFonts w:ascii="SimSun"/>
          <w:sz w:val="21"/>
        </w:rPr>
        <w:t>)</w:t>
      </w:r>
      <w:r w:rsidR="00333826">
        <w:rPr>
          <w:rFonts w:ascii="SimSun" w:hint="eastAsia"/>
          <w:sz w:val="21"/>
        </w:rPr>
        <w:t>和国际劳工组织</w:t>
      </w:r>
      <w:r w:rsidR="00DB5303" w:rsidRPr="003623C2">
        <w:rPr>
          <w:rFonts w:ascii="SimSun"/>
          <w:sz w:val="21"/>
        </w:rPr>
        <w:t>(</w:t>
      </w:r>
      <w:r w:rsidR="007965ED">
        <w:rPr>
          <w:rFonts w:ascii="SimSun" w:hint="eastAsia"/>
          <w:sz w:val="21"/>
        </w:rPr>
        <w:t>劳工组织</w:t>
      </w:r>
      <w:r w:rsidR="00DB5303" w:rsidRPr="003623C2">
        <w:rPr>
          <w:rFonts w:ascii="SimSun"/>
          <w:sz w:val="21"/>
        </w:rPr>
        <w:t>)</w:t>
      </w:r>
      <w:r w:rsidR="00333826">
        <w:rPr>
          <w:rFonts w:ascii="SimSun" w:hint="eastAsia"/>
          <w:sz w:val="21"/>
        </w:rPr>
        <w:t>进行咨询，发现目前愿意接受瑞郎存款并提供瑞郎回报的金融机构非常少，有的那些也设在瑞士。附件</w:t>
      </w:r>
      <w:proofErr w:type="gramStart"/>
      <w:r w:rsidR="00333826">
        <w:rPr>
          <w:rFonts w:ascii="SimSun" w:hint="eastAsia"/>
          <w:sz w:val="21"/>
        </w:rPr>
        <w:t>二显示</w:t>
      </w:r>
      <w:proofErr w:type="gramEnd"/>
      <w:r w:rsidR="00333826">
        <w:rPr>
          <w:rFonts w:ascii="SimSun" w:hint="eastAsia"/>
          <w:sz w:val="21"/>
        </w:rPr>
        <w:t>了气象组织和劳工组织最近所得</w:t>
      </w:r>
      <w:r w:rsidR="00630C47">
        <w:rPr>
          <w:rFonts w:ascii="SimSun" w:hint="eastAsia"/>
          <w:sz w:val="21"/>
        </w:rPr>
        <w:t>回报</w:t>
      </w:r>
      <w:r w:rsidR="00333826">
        <w:rPr>
          <w:rFonts w:ascii="SimSun" w:hint="eastAsia"/>
          <w:sz w:val="21"/>
        </w:rPr>
        <w:t>的详情，以及另外两家瑞</w:t>
      </w:r>
      <w:proofErr w:type="gramStart"/>
      <w:r w:rsidR="00333826">
        <w:rPr>
          <w:rFonts w:ascii="SimSun" w:hint="eastAsia"/>
          <w:sz w:val="21"/>
        </w:rPr>
        <w:t>郎投资</w:t>
      </w:r>
      <w:proofErr w:type="gramEnd"/>
      <w:r w:rsidR="00333826">
        <w:rPr>
          <w:rFonts w:ascii="SimSun" w:hint="eastAsia"/>
          <w:sz w:val="21"/>
        </w:rPr>
        <w:t>组织世界贸易组织(世贸组织)和互助会(一个旨在增进设在日内瓦的联合国及其各机构工作人员之间互助的非营利基金)所取得的</w:t>
      </w:r>
      <w:r w:rsidR="007965ED">
        <w:rPr>
          <w:rFonts w:ascii="SimSun" w:hint="eastAsia"/>
          <w:sz w:val="21"/>
        </w:rPr>
        <w:t>回报</w:t>
      </w:r>
      <w:r w:rsidR="00333826">
        <w:rPr>
          <w:rFonts w:ascii="SimSun" w:hint="eastAsia"/>
          <w:sz w:val="21"/>
        </w:rPr>
        <w:t>。存款</w:t>
      </w:r>
      <w:r w:rsidR="00630C47">
        <w:rPr>
          <w:rFonts w:ascii="SimSun" w:hint="eastAsia"/>
          <w:sz w:val="21"/>
        </w:rPr>
        <w:t>回报</w:t>
      </w:r>
      <w:r w:rsidR="00333826">
        <w:rPr>
          <w:rFonts w:ascii="SimSun" w:hint="eastAsia"/>
          <w:sz w:val="21"/>
        </w:rPr>
        <w:t>是从</w:t>
      </w:r>
      <w:r w:rsidR="005B2076">
        <w:rPr>
          <w:rFonts w:ascii="SimSun" w:hint="eastAsia"/>
          <w:sz w:val="21"/>
        </w:rPr>
        <w:t>UBS</w:t>
      </w:r>
      <w:r w:rsidR="00333826">
        <w:rPr>
          <w:rFonts w:ascii="SimSun" w:hint="eastAsia"/>
          <w:sz w:val="21"/>
        </w:rPr>
        <w:t>、瑞士信贷和日内瓦州立银行等商业银行以及瑞士邮局获得的。气象组织和劳工组织都报告曾经尝试在海外银</w:t>
      </w:r>
      <w:r w:rsidR="001363A2">
        <w:rPr>
          <w:rFonts w:ascii="SimSun" w:hint="eastAsia"/>
          <w:sz w:val="21"/>
        </w:rPr>
        <w:t>行进行投资，但</w:t>
      </w:r>
      <w:r w:rsidR="005B2076">
        <w:rPr>
          <w:rFonts w:ascii="SimSun" w:hint="eastAsia"/>
          <w:sz w:val="21"/>
        </w:rPr>
        <w:t>未获成功</w:t>
      </w:r>
      <w:r w:rsidR="001363A2">
        <w:rPr>
          <w:rFonts w:ascii="SimSun" w:hint="eastAsia"/>
          <w:sz w:val="21"/>
        </w:rPr>
        <w:t>。例如，气象组织为分散风险，设法在联合王国</w:t>
      </w:r>
      <w:r w:rsidR="009068C0">
        <w:rPr>
          <w:rFonts w:ascii="SimSun" w:hint="eastAsia"/>
          <w:sz w:val="21"/>
        </w:rPr>
        <w:t>的</w:t>
      </w:r>
      <w:r w:rsidR="00333826">
        <w:rPr>
          <w:rFonts w:ascii="SimSun" w:hint="eastAsia"/>
          <w:sz w:val="21"/>
        </w:rPr>
        <w:t>渣打银行存入款项，但这笔存款没有利息。</w:t>
      </w:r>
    </w:p>
    <w:p w:rsidR="00AD4BDF" w:rsidRPr="003623C2" w:rsidRDefault="00C75B46"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如果</w:t>
      </w:r>
      <w:r w:rsidR="006C112C" w:rsidRPr="003623C2">
        <w:rPr>
          <w:rFonts w:ascii="SimSun"/>
          <w:sz w:val="21"/>
        </w:rPr>
        <w:t>WIPO</w:t>
      </w:r>
      <w:r>
        <w:rPr>
          <w:rFonts w:ascii="SimSun" w:hint="eastAsia"/>
          <w:sz w:val="21"/>
        </w:rPr>
        <w:t>希望从存款中</w:t>
      </w:r>
      <w:r w:rsidR="001363A2">
        <w:rPr>
          <w:rFonts w:ascii="SimSun" w:hint="eastAsia"/>
          <w:sz w:val="21"/>
        </w:rPr>
        <w:t>挣取利息，即便是目前可得的低利率，似乎除了在瑞士商业银行存款以外</w:t>
      </w:r>
      <w:r>
        <w:rPr>
          <w:rFonts w:ascii="SimSun" w:hint="eastAsia"/>
          <w:sz w:val="21"/>
        </w:rPr>
        <w:t>别无选择，而且政策所规定的信用评级将需要降低，以便允许这样做。也可将款</w:t>
      </w:r>
      <w:r w:rsidR="003E198D">
        <w:rPr>
          <w:rFonts w:ascii="SimSun" w:hint="eastAsia"/>
          <w:sz w:val="21"/>
        </w:rPr>
        <w:t>项</w:t>
      </w:r>
      <w:r>
        <w:rPr>
          <w:rFonts w:ascii="SimSun" w:hint="eastAsia"/>
          <w:sz w:val="21"/>
        </w:rPr>
        <w:t>存入瑞士邮局(瑞士邮政金融公司)，其评级为</w:t>
      </w:r>
      <w:r w:rsidR="00AD4BDF" w:rsidRPr="003623C2">
        <w:rPr>
          <w:rFonts w:ascii="SimSun"/>
          <w:sz w:val="21"/>
        </w:rPr>
        <w:t>A+</w:t>
      </w:r>
      <w:r w:rsidR="00C81A71" w:rsidRPr="003623C2">
        <w:rPr>
          <w:rFonts w:ascii="SimSun"/>
          <w:sz w:val="21"/>
        </w:rPr>
        <w:t>(</w:t>
      </w:r>
      <w:r>
        <w:rPr>
          <w:rFonts w:ascii="SimSun" w:hint="eastAsia"/>
          <w:sz w:val="21"/>
        </w:rPr>
        <w:t>标准普尔</w:t>
      </w:r>
      <w:r w:rsidR="00C81A71" w:rsidRPr="003623C2">
        <w:rPr>
          <w:rFonts w:ascii="SimSun"/>
          <w:sz w:val="21"/>
        </w:rPr>
        <w:t>)</w:t>
      </w:r>
      <w:r w:rsidR="00E14642">
        <w:rPr>
          <w:rFonts w:ascii="SimSun" w:hint="eastAsia"/>
          <w:sz w:val="21"/>
        </w:rPr>
        <w:t>，并</w:t>
      </w:r>
      <w:r w:rsidR="003E198D">
        <w:rPr>
          <w:rFonts w:ascii="SimSun" w:hint="eastAsia"/>
          <w:sz w:val="21"/>
        </w:rPr>
        <w:t>有</w:t>
      </w:r>
      <w:r w:rsidR="00E14642">
        <w:rPr>
          <w:rFonts w:ascii="SimSun" w:hint="eastAsia"/>
          <w:sz w:val="21"/>
        </w:rPr>
        <w:t>瑞士联邦的支持。但是，</w:t>
      </w:r>
      <w:r w:rsidR="003E198D">
        <w:rPr>
          <w:rFonts w:ascii="SimSun" w:hint="eastAsia"/>
          <w:sz w:val="21"/>
        </w:rPr>
        <w:t>这家</w:t>
      </w:r>
      <w:r w:rsidR="00E14642">
        <w:rPr>
          <w:rFonts w:ascii="SimSun" w:hint="eastAsia"/>
          <w:sz w:val="21"/>
        </w:rPr>
        <w:t>机构对接受的存款有最高限额(附件一给出了劳工组织和气象组织的限额)</w:t>
      </w:r>
      <w:r w:rsidR="001363A2">
        <w:rPr>
          <w:rFonts w:ascii="SimSun" w:hint="eastAsia"/>
          <w:sz w:val="21"/>
        </w:rPr>
        <w:t>。</w:t>
      </w:r>
      <w:r w:rsidR="00E14642">
        <w:rPr>
          <w:rFonts w:ascii="SimSun" w:hint="eastAsia"/>
          <w:sz w:val="21"/>
        </w:rPr>
        <w:t>如果持有的信托基金款项要进行存款并获得</w:t>
      </w:r>
      <w:r w:rsidR="00630C47">
        <w:rPr>
          <w:rFonts w:ascii="SimSun" w:hint="eastAsia"/>
          <w:sz w:val="21"/>
        </w:rPr>
        <w:t>回报</w:t>
      </w:r>
      <w:r w:rsidR="00E14642">
        <w:rPr>
          <w:rFonts w:ascii="SimSun" w:hint="eastAsia"/>
          <w:sz w:val="21"/>
        </w:rPr>
        <w:t>，也将需要降低评级。</w:t>
      </w:r>
    </w:p>
    <w:p w:rsidR="00C47A0A" w:rsidRPr="003623C2" w:rsidRDefault="00E14642" w:rsidP="003E198D">
      <w:pPr>
        <w:pStyle w:val="ae"/>
        <w:keepNext/>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lastRenderedPageBreak/>
        <w:t>因此，建议按下表所示，降低可接受的长期信用评级，并增加其短期</w:t>
      </w:r>
      <w:r w:rsidR="003E198D">
        <w:rPr>
          <w:rFonts w:ascii="SimSun" w:hint="eastAsia"/>
          <w:sz w:val="21"/>
        </w:rPr>
        <w:t>信用</w:t>
      </w:r>
      <w:r>
        <w:rPr>
          <w:rFonts w:ascii="SimSun" w:hint="eastAsia"/>
          <w:sz w:val="21"/>
        </w:rPr>
        <w:t>评级：</w:t>
      </w:r>
    </w:p>
    <w:p w:rsidR="00CA4EAD" w:rsidRPr="009921B6" w:rsidRDefault="00E14642" w:rsidP="005B2076">
      <w:pPr>
        <w:pStyle w:val="ae"/>
        <w:keepNext/>
        <w:tabs>
          <w:tab w:val="clear" w:pos="851"/>
          <w:tab w:val="clear" w:pos="1134"/>
        </w:tabs>
        <w:spacing w:beforeLines="50" w:afterLines="50" w:line="340" w:lineRule="atLeast"/>
        <w:jc w:val="center"/>
        <w:rPr>
          <w:rFonts w:ascii="SimSun"/>
          <w:sz w:val="21"/>
        </w:rPr>
      </w:pPr>
      <w:r>
        <w:rPr>
          <w:rFonts w:ascii="SimSun" w:hint="eastAsia"/>
          <w:sz w:val="21"/>
        </w:rPr>
        <w:t>表</w:t>
      </w:r>
      <w:r w:rsidR="00CA4EAD" w:rsidRPr="003623C2">
        <w:rPr>
          <w:rFonts w:ascii="SimSun"/>
          <w:sz w:val="21"/>
        </w:rPr>
        <w:t>3</w:t>
      </w:r>
    </w:p>
    <w:p w:rsidR="00015BAB" w:rsidRDefault="003E198D" w:rsidP="007F51EE">
      <w:pPr>
        <w:spacing w:after="100" w:afterAutospacing="1" w:line="340" w:lineRule="atLeast"/>
        <w:jc w:val="center"/>
        <w:rPr>
          <w:rFonts w:ascii="SimSun"/>
          <w:i/>
          <w:sz w:val="21"/>
        </w:rPr>
      </w:pPr>
      <w:bookmarkStart w:id="0" w:name="_GoBack"/>
      <w:r w:rsidRPr="003E198D">
        <w:rPr>
          <w:noProof/>
        </w:rPr>
        <w:drawing>
          <wp:inline distT="0" distB="0" distL="0" distR="0">
            <wp:extent cx="3591560" cy="116332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1560" cy="1163320"/>
                    </a:xfrm>
                    <a:prstGeom prst="rect">
                      <a:avLst/>
                    </a:prstGeom>
                    <a:noFill/>
                    <a:ln>
                      <a:noFill/>
                    </a:ln>
                  </pic:spPr>
                </pic:pic>
              </a:graphicData>
            </a:graphic>
          </wp:inline>
        </w:drawing>
      </w:r>
      <w:bookmarkEnd w:id="0"/>
    </w:p>
    <w:p w:rsidR="00015BAB" w:rsidRPr="003623C2" w:rsidRDefault="00AD688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要获得接受，金融机构应当满足列出的两项标准(长期或短期)，这意味着长期投资只能在最低评级达到A和</w:t>
      </w:r>
      <w:r>
        <w:rPr>
          <w:rFonts w:ascii="SimSun"/>
          <w:sz w:val="21"/>
        </w:rPr>
        <w:t>A2</w:t>
      </w:r>
      <w:r>
        <w:rPr>
          <w:rFonts w:ascii="SimSun" w:hint="eastAsia"/>
          <w:sz w:val="21"/>
        </w:rPr>
        <w:t>的机构进行。</w:t>
      </w:r>
    </w:p>
    <w:p w:rsidR="00607690" w:rsidRPr="003623C2" w:rsidRDefault="00AD688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提出增加短期评级有两个原因：</w:t>
      </w:r>
      <w:r w:rsidR="005733D2" w:rsidRPr="003623C2">
        <w:rPr>
          <w:rFonts w:ascii="SimSun"/>
          <w:sz w:val="21"/>
        </w:rPr>
        <w:t>(</w:t>
      </w:r>
      <w:r w:rsidR="001363A2">
        <w:rPr>
          <w:rFonts w:ascii="SimSun"/>
          <w:sz w:val="21"/>
        </w:rPr>
        <w:t>1)</w:t>
      </w:r>
      <w:r>
        <w:rPr>
          <w:rFonts w:ascii="SimSun" w:hint="eastAsia"/>
          <w:sz w:val="21"/>
        </w:rPr>
        <w:t>这些评级表示一年内出现违约的概率，鉴于WIPO所有存款目前存期</w:t>
      </w:r>
      <w:r w:rsidR="003E198D">
        <w:rPr>
          <w:rFonts w:ascii="SimSun" w:hint="eastAsia"/>
          <w:sz w:val="21"/>
        </w:rPr>
        <w:t>均</w:t>
      </w:r>
      <w:r>
        <w:rPr>
          <w:rFonts w:ascii="SimSun" w:hint="eastAsia"/>
          <w:sz w:val="21"/>
        </w:rPr>
        <w:t>短于12个月，使用短期信用评级似乎是恰当的；</w:t>
      </w:r>
      <w:r w:rsidR="005733D2" w:rsidRPr="003623C2">
        <w:rPr>
          <w:rFonts w:ascii="SimSun"/>
          <w:sz w:val="21"/>
        </w:rPr>
        <w:t>(</w:t>
      </w:r>
      <w:r w:rsidR="001363A2">
        <w:rPr>
          <w:rFonts w:ascii="SimSun"/>
          <w:sz w:val="21"/>
        </w:rPr>
        <w:t>2)</w:t>
      </w:r>
      <w:r w:rsidR="003E198D">
        <w:rPr>
          <w:rFonts w:ascii="SimSun" w:hint="eastAsia"/>
          <w:sz w:val="21"/>
        </w:rPr>
        <w:t>金融</w:t>
      </w:r>
      <w:r>
        <w:rPr>
          <w:rFonts w:ascii="SimSun" w:hint="eastAsia"/>
          <w:sz w:val="21"/>
        </w:rPr>
        <w:t>机构</w:t>
      </w:r>
      <w:r w:rsidR="003E198D">
        <w:rPr>
          <w:rFonts w:ascii="SimSun" w:hint="eastAsia"/>
          <w:sz w:val="21"/>
        </w:rPr>
        <w:t>有时</w:t>
      </w:r>
      <w:r>
        <w:rPr>
          <w:rFonts w:ascii="SimSun" w:hint="eastAsia"/>
          <w:sz w:val="21"/>
        </w:rPr>
        <w:t>得到的短期信用评级</w:t>
      </w:r>
      <w:r w:rsidR="00630C47">
        <w:rPr>
          <w:rFonts w:ascii="SimSun" w:hint="eastAsia"/>
          <w:sz w:val="21"/>
        </w:rPr>
        <w:t>比</w:t>
      </w:r>
      <w:r>
        <w:rPr>
          <w:rFonts w:ascii="SimSun" w:hint="eastAsia"/>
          <w:sz w:val="21"/>
        </w:rPr>
        <w:t>长期评级高。法国兴业银行</w:t>
      </w:r>
      <w:r w:rsidR="003E198D">
        <w:rPr>
          <w:rFonts w:ascii="SimSun" w:hint="eastAsia"/>
          <w:sz w:val="21"/>
        </w:rPr>
        <w:t>即</w:t>
      </w:r>
      <w:r>
        <w:rPr>
          <w:rFonts w:ascii="SimSun" w:hint="eastAsia"/>
          <w:sz w:val="21"/>
        </w:rPr>
        <w:t>是如此，其短期评级</w:t>
      </w:r>
      <w:r w:rsidR="00607690" w:rsidRPr="003623C2">
        <w:rPr>
          <w:rFonts w:ascii="SimSun"/>
          <w:sz w:val="21"/>
        </w:rPr>
        <w:t>(P1</w:t>
      </w:r>
      <w:r w:rsidR="00CA4EAD" w:rsidRPr="003623C2">
        <w:rPr>
          <w:rFonts w:ascii="SimSun"/>
          <w:sz w:val="21"/>
        </w:rPr>
        <w:t>)</w:t>
      </w:r>
      <w:r>
        <w:rPr>
          <w:rFonts w:ascii="SimSun" w:hint="eastAsia"/>
          <w:sz w:val="21"/>
        </w:rPr>
        <w:t>可被视为相当于政策所要求的</w:t>
      </w:r>
      <w:r w:rsidR="00607690" w:rsidRPr="003623C2">
        <w:rPr>
          <w:rFonts w:ascii="SimSun"/>
          <w:sz w:val="21"/>
        </w:rPr>
        <w:t>Aa3</w:t>
      </w:r>
      <w:r>
        <w:rPr>
          <w:rFonts w:ascii="SimSun" w:hint="eastAsia"/>
          <w:sz w:val="21"/>
        </w:rPr>
        <w:t>长期评级。</w:t>
      </w:r>
    </w:p>
    <w:p w:rsidR="00C01249" w:rsidRPr="003623C2" w:rsidRDefault="005D2CD2"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对其他机构的投资政策进行审查显示，许多</w:t>
      </w:r>
      <w:r w:rsidR="00630C47">
        <w:rPr>
          <w:rFonts w:ascii="SimSun" w:hint="eastAsia"/>
          <w:sz w:val="21"/>
        </w:rPr>
        <w:t>机构</w:t>
      </w:r>
      <w:r>
        <w:rPr>
          <w:rFonts w:ascii="SimSun" w:hint="eastAsia"/>
          <w:sz w:val="21"/>
        </w:rPr>
        <w:t>在短期投资和长期投资之间做区分，尽管何为短期没有统一的定义。对于一些机构，</w:t>
      </w:r>
      <w:r w:rsidR="00A9313C">
        <w:rPr>
          <w:rFonts w:ascii="SimSun" w:hint="eastAsia"/>
          <w:sz w:val="21"/>
        </w:rPr>
        <w:t>可以短至三个月，</w:t>
      </w:r>
      <w:r w:rsidR="00601A2E">
        <w:rPr>
          <w:rFonts w:ascii="SimSun" w:hint="eastAsia"/>
          <w:sz w:val="21"/>
        </w:rPr>
        <w:t>对其他机构，可以长至一年。对于WIPO，建议将最长六个月的投资视为短期。</w:t>
      </w:r>
    </w:p>
    <w:p w:rsidR="001E4F96" w:rsidRPr="003623C2" w:rsidRDefault="00601A2E" w:rsidP="008577D4">
      <w:pPr>
        <w:pStyle w:val="ae"/>
        <w:keepNext/>
        <w:tabs>
          <w:tab w:val="clear" w:pos="851"/>
          <w:tab w:val="clear" w:pos="1134"/>
        </w:tabs>
        <w:spacing w:before="0" w:afterLines="50" w:line="340" w:lineRule="atLeast"/>
        <w:jc w:val="both"/>
        <w:rPr>
          <w:rFonts w:ascii="SimSun"/>
          <w:sz w:val="21"/>
          <w:u w:val="single"/>
        </w:rPr>
      </w:pPr>
      <w:r>
        <w:rPr>
          <w:rFonts w:ascii="SimSun" w:hint="eastAsia"/>
          <w:sz w:val="21"/>
          <w:u w:val="single"/>
        </w:rPr>
        <w:t>金融机构多样化</w:t>
      </w:r>
    </w:p>
    <w:p w:rsidR="007E5702" w:rsidRPr="003623C2" w:rsidRDefault="00601A2E"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投资政策要求金融机构有适当的多样化</w:t>
      </w:r>
      <w:r w:rsidR="00513B4B">
        <w:rPr>
          <w:rFonts w:ascii="SimSun" w:hint="eastAsia"/>
          <w:sz w:val="21"/>
        </w:rPr>
        <w:t>，</w:t>
      </w:r>
      <w:r w:rsidR="004C67DF">
        <w:rPr>
          <w:rFonts w:ascii="SimSun" w:hint="eastAsia"/>
          <w:sz w:val="21"/>
        </w:rPr>
        <w:t>“</w:t>
      </w:r>
      <w:r w:rsidR="004C67DF" w:rsidRPr="004C67DF">
        <w:rPr>
          <w:rFonts w:ascii="SimSun" w:hint="eastAsia"/>
          <w:sz w:val="21"/>
        </w:rPr>
        <w:t>确保任一时间对</w:t>
      </w:r>
      <w:r w:rsidR="004C67DF">
        <w:rPr>
          <w:rFonts w:ascii="SimSun" w:hint="eastAsia"/>
          <w:sz w:val="21"/>
        </w:rPr>
        <w:t>同</w:t>
      </w:r>
      <w:r w:rsidR="004C67DF" w:rsidRPr="004C67DF">
        <w:rPr>
          <w:rFonts w:ascii="SimSun" w:hint="eastAsia"/>
          <w:sz w:val="21"/>
        </w:rPr>
        <w:t>一家机构的敞口不超过各项投资的10%，例外是主权风险机构或评级为</w:t>
      </w:r>
      <w:r w:rsidR="004C67DF">
        <w:rPr>
          <w:rFonts w:ascii="SimSun" w:hint="eastAsia"/>
          <w:sz w:val="21"/>
        </w:rPr>
        <w:t>AAA/</w:t>
      </w:r>
      <w:proofErr w:type="spellStart"/>
      <w:r w:rsidR="004C67DF">
        <w:rPr>
          <w:rFonts w:ascii="SimSun" w:hint="eastAsia"/>
          <w:sz w:val="21"/>
        </w:rPr>
        <w:t>Aaa</w:t>
      </w:r>
      <w:proofErr w:type="spellEnd"/>
      <w:r w:rsidR="004C67DF" w:rsidRPr="004C67DF">
        <w:rPr>
          <w:rFonts w:ascii="SimSun" w:hint="eastAsia"/>
          <w:sz w:val="21"/>
        </w:rPr>
        <w:t>的机构，对这些机构没有限制或限额</w:t>
      </w:r>
      <w:r w:rsidR="004C67DF">
        <w:rPr>
          <w:rFonts w:ascii="SimSun" w:hint="eastAsia"/>
          <w:sz w:val="21"/>
        </w:rPr>
        <w:t>”</w:t>
      </w:r>
      <w:r w:rsidR="004C67DF" w:rsidRPr="004C67DF">
        <w:rPr>
          <w:rFonts w:ascii="SimSun" w:hint="eastAsia"/>
          <w:sz w:val="21"/>
        </w:rPr>
        <w:t>。</w:t>
      </w:r>
      <w:r w:rsidR="00862C7E">
        <w:rPr>
          <w:rFonts w:ascii="SimSun" w:hint="eastAsia"/>
          <w:sz w:val="21"/>
        </w:rPr>
        <w:t>如上文第10段所述，已发现目前不可能在海外银行进行瑞郎存款并挣得利息。此外，劳工组织和气象组织的经验显示了在瑞士找到足够数量的机构，</w:t>
      </w:r>
      <w:r w:rsidR="002A62F5">
        <w:rPr>
          <w:rFonts w:ascii="SimSun" w:hint="eastAsia"/>
          <w:sz w:val="21"/>
        </w:rPr>
        <w:t>以</w:t>
      </w:r>
      <w:r w:rsidR="00862C7E">
        <w:rPr>
          <w:rFonts w:ascii="SimSun" w:hint="eastAsia"/>
          <w:sz w:val="21"/>
        </w:rPr>
        <w:t>适当分散风险的难度。与WIPO的政策一样，劳工组织的投资政策规定要将投资风险分散到至少</w:t>
      </w:r>
      <w:r w:rsidR="00ED5C1E">
        <w:rPr>
          <w:rFonts w:ascii="SimSun" w:hint="eastAsia"/>
          <w:sz w:val="21"/>
        </w:rPr>
        <w:t>十</w:t>
      </w:r>
      <w:r w:rsidR="00862C7E">
        <w:rPr>
          <w:rFonts w:ascii="SimSun" w:hint="eastAsia"/>
          <w:sz w:val="21"/>
        </w:rPr>
        <w:t>家机构，但为了在所有存款</w:t>
      </w:r>
      <w:r w:rsidR="002A62F5">
        <w:rPr>
          <w:rFonts w:ascii="SimSun" w:hint="eastAsia"/>
          <w:sz w:val="21"/>
        </w:rPr>
        <w:t>上</w:t>
      </w:r>
      <w:r w:rsidR="00862C7E">
        <w:rPr>
          <w:rFonts w:ascii="SimSun" w:hint="eastAsia"/>
          <w:sz w:val="21"/>
        </w:rPr>
        <w:t>挣得利息，财务主任对此颁布了不执行令，使劳工组织</w:t>
      </w:r>
      <w:proofErr w:type="gramStart"/>
      <w:r w:rsidR="00862C7E">
        <w:rPr>
          <w:rFonts w:ascii="SimSun" w:hint="eastAsia"/>
          <w:sz w:val="21"/>
        </w:rPr>
        <w:t>金库</w:t>
      </w:r>
      <w:r w:rsidR="002A62F5">
        <w:rPr>
          <w:rFonts w:ascii="SimSun" w:hint="eastAsia"/>
          <w:sz w:val="21"/>
        </w:rPr>
        <w:t>科</w:t>
      </w:r>
      <w:r w:rsidR="00862C7E">
        <w:rPr>
          <w:rFonts w:ascii="SimSun" w:hint="eastAsia"/>
          <w:sz w:val="21"/>
        </w:rPr>
        <w:t>可将</w:t>
      </w:r>
      <w:proofErr w:type="gramEnd"/>
      <w:r w:rsidR="00862C7E">
        <w:rPr>
          <w:rFonts w:ascii="SimSun" w:hint="eastAsia"/>
          <w:sz w:val="21"/>
        </w:rPr>
        <w:t>现金存款</w:t>
      </w:r>
      <w:r w:rsidR="009921B6">
        <w:rPr>
          <w:rFonts w:ascii="SimSun" w:hint="eastAsia"/>
          <w:sz w:val="21"/>
        </w:rPr>
        <w:t>分存在仅三家机构。</w:t>
      </w:r>
    </w:p>
    <w:p w:rsidR="000F45C7" w:rsidRPr="003623C2" w:rsidRDefault="009921B6"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为解决这一问题，</w:t>
      </w:r>
      <w:r w:rsidR="00911F65" w:rsidRPr="003623C2">
        <w:rPr>
          <w:rFonts w:ascii="SimSun"/>
          <w:sz w:val="21"/>
        </w:rPr>
        <w:t>WIPO</w:t>
      </w:r>
      <w:r>
        <w:rPr>
          <w:rFonts w:ascii="SimSun" w:hint="eastAsia"/>
          <w:sz w:val="21"/>
        </w:rPr>
        <w:t>将努力提高其银行业伙伴的数量，增加目前</w:t>
      </w:r>
      <w:proofErr w:type="gramStart"/>
      <w:r>
        <w:rPr>
          <w:rFonts w:ascii="SimSun" w:hint="eastAsia"/>
          <w:sz w:val="21"/>
        </w:rPr>
        <w:t>不对瑞</w:t>
      </w:r>
      <w:proofErr w:type="gramEnd"/>
      <w:r>
        <w:rPr>
          <w:rFonts w:ascii="SimSun" w:hint="eastAsia"/>
          <w:sz w:val="21"/>
        </w:rPr>
        <w:t>郎存款提供回报的银行，接受</w:t>
      </w:r>
      <w:r w:rsidR="00ED5C1E">
        <w:rPr>
          <w:rFonts w:ascii="SimSun" w:hint="eastAsia"/>
          <w:sz w:val="21"/>
        </w:rPr>
        <w:t>挣不到</w:t>
      </w:r>
      <w:r>
        <w:rPr>
          <w:rFonts w:ascii="SimSun" w:hint="eastAsia"/>
          <w:sz w:val="21"/>
        </w:rPr>
        <w:t>利息回报，</w:t>
      </w:r>
      <w:r w:rsidR="00630C47">
        <w:rPr>
          <w:rFonts w:ascii="SimSun" w:hint="eastAsia"/>
          <w:sz w:val="21"/>
        </w:rPr>
        <w:t>同时</w:t>
      </w:r>
      <w:r>
        <w:rPr>
          <w:rFonts w:ascii="SimSun" w:hint="eastAsia"/>
          <w:sz w:val="21"/>
        </w:rPr>
        <w:t>也可能按前边提到的那样与瑞士邮局建立关系。此外，可授权财务主任根据瑞郎货币市场的条件，不执行政策的这一部分。</w:t>
      </w:r>
    </w:p>
    <w:p w:rsidR="00990DD8" w:rsidRPr="003623C2" w:rsidRDefault="00CE638A" w:rsidP="008577D4">
      <w:pPr>
        <w:pStyle w:val="ae"/>
        <w:keepNext/>
        <w:tabs>
          <w:tab w:val="clear" w:pos="851"/>
          <w:tab w:val="clear" w:pos="1134"/>
        </w:tabs>
        <w:spacing w:before="0" w:afterLines="50" w:line="340" w:lineRule="atLeast"/>
        <w:jc w:val="both"/>
        <w:rPr>
          <w:rFonts w:ascii="SimSun"/>
          <w:sz w:val="21"/>
          <w:u w:val="single"/>
        </w:rPr>
      </w:pPr>
      <w:r>
        <w:rPr>
          <w:rFonts w:ascii="SimSun" w:hint="eastAsia"/>
          <w:sz w:val="21"/>
          <w:u w:val="single"/>
        </w:rPr>
        <w:t>回报基准</w:t>
      </w:r>
    </w:p>
    <w:p w:rsidR="007E5702" w:rsidRPr="003623C2" w:rsidRDefault="00CE638A"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政策设定了相当于瑞士央行存款所得回报率的基准。由于</w:t>
      </w:r>
      <w:r w:rsidR="00774A03">
        <w:rPr>
          <w:rFonts w:ascii="SimSun" w:hint="eastAsia"/>
          <w:sz w:val="21"/>
        </w:rPr>
        <w:t>瑞士央</w:t>
      </w:r>
      <w:r>
        <w:rPr>
          <w:rFonts w:ascii="SimSun" w:hint="eastAsia"/>
          <w:sz w:val="21"/>
        </w:rPr>
        <w:t>行的回报事实上始终高于市场利率，这一基准将不再具有现实性，而且这种信息将不再能够被WIPO得到。对其他机构进行的研究迄今未发现为瑞郎存款使用任何基准，但建议继续</w:t>
      </w:r>
      <w:r w:rsidR="00ED5C1E">
        <w:rPr>
          <w:rFonts w:ascii="SimSun" w:hint="eastAsia"/>
          <w:sz w:val="21"/>
        </w:rPr>
        <w:t>这</w:t>
      </w:r>
      <w:r>
        <w:rPr>
          <w:rFonts w:ascii="SimSun" w:hint="eastAsia"/>
          <w:sz w:val="21"/>
        </w:rPr>
        <w:t>方面的研究，争取提出适当的基准。</w:t>
      </w:r>
    </w:p>
    <w:p w:rsidR="004A5B35" w:rsidRPr="008577D4" w:rsidRDefault="00DB7C75" w:rsidP="008577D4">
      <w:pPr>
        <w:pStyle w:val="1"/>
        <w:spacing w:beforeLines="100" w:afterLines="50" w:after="120" w:line="340" w:lineRule="atLeast"/>
        <w:jc w:val="both"/>
        <w:rPr>
          <w:rFonts w:ascii="SimHei" w:eastAsia="SimHei" w:hAnsi="SimHei"/>
          <w:b w:val="0"/>
          <w:sz w:val="21"/>
          <w:szCs w:val="22"/>
        </w:rPr>
      </w:pPr>
      <w:r w:rsidRPr="008577D4">
        <w:rPr>
          <w:rFonts w:ascii="SimHei" w:eastAsia="SimHei" w:hAnsi="SimHei" w:hint="eastAsia"/>
          <w:b w:val="0"/>
          <w:sz w:val="21"/>
          <w:szCs w:val="22"/>
        </w:rPr>
        <w:t>金库交易对手风险政策</w:t>
      </w:r>
    </w:p>
    <w:p w:rsidR="00C43AF0" w:rsidRPr="00960E60" w:rsidRDefault="00DB7C75"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2013年，本组织委托编写了一项关于本组织金库和现金管理做法的研究，其中包括编写一项金库政策。为此进行了一次招标</w:t>
      </w:r>
      <w:r w:rsidR="00C81A71" w:rsidRPr="003623C2">
        <w:rPr>
          <w:rFonts w:ascii="SimSun"/>
          <w:sz w:val="21"/>
        </w:rPr>
        <w:t>(13/063)</w:t>
      </w:r>
      <w:r>
        <w:rPr>
          <w:rFonts w:ascii="SimSun" w:hint="eastAsia"/>
          <w:sz w:val="21"/>
        </w:rPr>
        <w:t>，中标方为咨询事务所</w:t>
      </w:r>
      <w:r w:rsidR="00EA4EAE" w:rsidRPr="003623C2">
        <w:rPr>
          <w:rFonts w:ascii="SimSun"/>
          <w:sz w:val="21"/>
        </w:rPr>
        <w:t>FTI Treasury</w:t>
      </w:r>
      <w:r>
        <w:rPr>
          <w:rFonts w:ascii="SimSun" w:hint="eastAsia"/>
          <w:sz w:val="21"/>
        </w:rPr>
        <w:t>，于2013年11月至2014年3月间开展</w:t>
      </w:r>
      <w:r w:rsidR="00ED5C1E">
        <w:rPr>
          <w:rFonts w:ascii="SimSun" w:hint="eastAsia"/>
          <w:sz w:val="21"/>
        </w:rPr>
        <w:t>工作</w:t>
      </w:r>
      <w:r>
        <w:rPr>
          <w:rFonts w:ascii="SimSun" w:hint="eastAsia"/>
          <w:sz w:val="21"/>
        </w:rPr>
        <w:t>。所编写的金库政策包含一系列政策陈述，其中许多不需要成员国批准，因为它们所依据的政策和做法</w:t>
      </w:r>
      <w:r w:rsidR="00ED5C1E">
        <w:rPr>
          <w:rFonts w:ascii="SimSun" w:hint="eastAsia"/>
          <w:sz w:val="21"/>
        </w:rPr>
        <w:t>此前</w:t>
      </w:r>
      <w:r>
        <w:rPr>
          <w:rFonts w:ascii="SimSun" w:hint="eastAsia"/>
          <w:sz w:val="21"/>
        </w:rPr>
        <w:t>已作为《财务条例与细则》</w:t>
      </w:r>
      <w:r w:rsidR="003B5CC5" w:rsidRPr="003623C2">
        <w:rPr>
          <w:rFonts w:ascii="SimSun"/>
          <w:sz w:val="21"/>
        </w:rPr>
        <w:t>(FRR)</w:t>
      </w:r>
      <w:r>
        <w:rPr>
          <w:rFonts w:ascii="SimSun" w:hint="eastAsia"/>
          <w:sz w:val="21"/>
        </w:rPr>
        <w:t>等其他文件的一部分获得批准。但是，其中</w:t>
      </w:r>
      <w:r w:rsidR="00ED5C1E">
        <w:rPr>
          <w:rFonts w:ascii="SimSun" w:hint="eastAsia"/>
          <w:sz w:val="21"/>
        </w:rPr>
        <w:t>有</w:t>
      </w:r>
      <w:r>
        <w:rPr>
          <w:rFonts w:ascii="SimSun" w:hint="eastAsia"/>
          <w:sz w:val="21"/>
        </w:rPr>
        <w:t>一项政策需要批准，即“金库交易对手风险”政策(附件二)。</w:t>
      </w:r>
    </w:p>
    <w:p w:rsidR="009D6E39" w:rsidRPr="00CB28FC" w:rsidRDefault="00CB28F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lastRenderedPageBreak/>
        <w:t>这项政策与投资政策之间有密切联系，因为金库交易对手风险政策提到了投资交易对手和提供银行业务(例如管理往来账户并通过这些账户处理交易)的交易对手两者的可接受信用评级。对投资交易对手要求的评级必然高于对业务</w:t>
      </w:r>
      <w:r w:rsidR="00ED5C1E">
        <w:rPr>
          <w:rFonts w:ascii="SimSun" w:hint="eastAsia"/>
          <w:sz w:val="21"/>
        </w:rPr>
        <w:t>性</w:t>
      </w:r>
      <w:r>
        <w:rPr>
          <w:rFonts w:ascii="SimSun" w:hint="eastAsia"/>
          <w:sz w:val="21"/>
        </w:rPr>
        <w:t>银行要求的评级，因为投资余额倾向于比</w:t>
      </w:r>
      <w:r w:rsidR="00630C47">
        <w:rPr>
          <w:rFonts w:ascii="SimSun" w:hint="eastAsia"/>
          <w:sz w:val="21"/>
        </w:rPr>
        <w:t>业务</w:t>
      </w:r>
      <w:r>
        <w:rPr>
          <w:rFonts w:ascii="SimSun" w:hint="eastAsia"/>
          <w:sz w:val="21"/>
        </w:rPr>
        <w:t>现金余额高，且由金融机构持有的时间长。为两种交易对手指明的评级现在需要调整，以反映投资交易对手所需最低信用评级的拟议修改。</w:t>
      </w:r>
    </w:p>
    <w:p w:rsidR="00EA4EAE" w:rsidRPr="00BB4254" w:rsidRDefault="00CB28F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因此，建议增加为投资交易对手提出的信用评级(表2)，并规定</w:t>
      </w:r>
      <w:r>
        <w:rPr>
          <w:rFonts w:ascii="SimSun"/>
          <w:sz w:val="21"/>
        </w:rPr>
        <w:t>BBB-/BAA3</w:t>
      </w:r>
      <w:r w:rsidR="00C01249" w:rsidRPr="003623C2">
        <w:rPr>
          <w:rFonts w:ascii="SimSun"/>
          <w:sz w:val="21"/>
        </w:rPr>
        <w:t>(</w:t>
      </w:r>
      <w:r>
        <w:rPr>
          <w:rFonts w:ascii="SimSun" w:hint="eastAsia"/>
          <w:sz w:val="21"/>
        </w:rPr>
        <w:t>长期</w:t>
      </w:r>
      <w:r w:rsidR="00902ED7" w:rsidRPr="003623C2">
        <w:rPr>
          <w:rFonts w:ascii="SimSun"/>
          <w:sz w:val="21"/>
        </w:rPr>
        <w:t>)</w:t>
      </w:r>
      <w:r>
        <w:rPr>
          <w:rFonts w:ascii="SimSun" w:hint="eastAsia"/>
          <w:sz w:val="21"/>
        </w:rPr>
        <w:t>为</w:t>
      </w:r>
      <w:r w:rsidR="00ED5C1E">
        <w:rPr>
          <w:rFonts w:ascii="SimSun" w:hint="eastAsia"/>
          <w:sz w:val="21"/>
        </w:rPr>
        <w:t>业务性</w:t>
      </w:r>
      <w:r>
        <w:rPr>
          <w:rFonts w:ascii="SimSun" w:hint="eastAsia"/>
          <w:sz w:val="21"/>
        </w:rPr>
        <w:t>银行的最低信用评级。此外，政策中的案文“用于投资的交易对手信用参数是2011年10月5日成员国大会批准的投资政策的一部分”将需要更新。</w:t>
      </w:r>
    </w:p>
    <w:p w:rsidR="00EA4EAE" w:rsidRPr="008577D4" w:rsidRDefault="00BB4254" w:rsidP="008577D4">
      <w:pPr>
        <w:pStyle w:val="1"/>
        <w:spacing w:beforeLines="100" w:afterLines="50" w:after="120" w:line="340" w:lineRule="atLeast"/>
        <w:jc w:val="both"/>
        <w:rPr>
          <w:rFonts w:ascii="SimHei" w:eastAsia="SimHei" w:hAnsi="SimHei"/>
          <w:b w:val="0"/>
          <w:sz w:val="21"/>
          <w:szCs w:val="22"/>
        </w:rPr>
      </w:pPr>
      <w:r w:rsidRPr="008577D4">
        <w:rPr>
          <w:rFonts w:ascii="SimHei" w:eastAsia="SimHei" w:hAnsi="SimHei" w:hint="eastAsia"/>
          <w:b w:val="0"/>
          <w:sz w:val="21"/>
          <w:szCs w:val="22"/>
        </w:rPr>
        <w:t>回报率</w:t>
      </w:r>
    </w:p>
    <w:p w:rsidR="00DD2ED5" w:rsidRPr="00C1399D" w:rsidRDefault="004A5B35"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3623C2">
        <w:rPr>
          <w:rStyle w:val="Char3"/>
          <w:rFonts w:ascii="SimSun"/>
          <w:sz w:val="21"/>
        </w:rPr>
        <w:t>WIPO</w:t>
      </w:r>
      <w:r w:rsidR="0082060A">
        <w:rPr>
          <w:rStyle w:val="Char3"/>
          <w:rFonts w:ascii="SimSun" w:hint="eastAsia"/>
          <w:sz w:val="21"/>
        </w:rPr>
        <w:t>的</w:t>
      </w:r>
      <w:proofErr w:type="gramStart"/>
      <w:r w:rsidR="0082060A">
        <w:rPr>
          <w:rStyle w:val="Char3"/>
          <w:rFonts w:ascii="SimSun" w:hint="eastAsia"/>
          <w:sz w:val="21"/>
        </w:rPr>
        <w:t>投政策</w:t>
      </w:r>
      <w:proofErr w:type="gramEnd"/>
      <w:r w:rsidR="0082060A">
        <w:rPr>
          <w:rStyle w:val="Char3"/>
          <w:rFonts w:ascii="SimSun" w:hint="eastAsia"/>
          <w:sz w:val="21"/>
        </w:rPr>
        <w:t>指出：“</w:t>
      </w:r>
      <w:r w:rsidR="0082060A" w:rsidRPr="0082060A">
        <w:rPr>
          <w:rStyle w:val="Char3"/>
          <w:rFonts w:ascii="SimSun" w:hint="eastAsia"/>
          <w:sz w:val="21"/>
        </w:rPr>
        <w:t>本组织投资管理的首要目标，按重要性依次为</w:t>
      </w:r>
      <w:r w:rsidR="001D0353">
        <w:rPr>
          <w:rStyle w:val="Char3"/>
          <w:rFonts w:ascii="SimSun" w:hint="eastAsia"/>
          <w:sz w:val="21"/>
        </w:rPr>
        <w:t>(</w:t>
      </w:r>
      <w:proofErr w:type="spellStart"/>
      <w:r w:rsidR="001D0353">
        <w:rPr>
          <w:rStyle w:val="Char3"/>
          <w:rFonts w:ascii="SimSun" w:hint="eastAsia"/>
          <w:sz w:val="21"/>
        </w:rPr>
        <w:t>i</w:t>
      </w:r>
      <w:proofErr w:type="spellEnd"/>
      <w:r w:rsidR="001D0353">
        <w:rPr>
          <w:rStyle w:val="Char3"/>
          <w:rFonts w:ascii="SimSun" w:hint="eastAsia"/>
          <w:sz w:val="21"/>
        </w:rPr>
        <w:t>)</w:t>
      </w:r>
      <w:r w:rsidR="0082060A" w:rsidRPr="0082060A">
        <w:rPr>
          <w:rStyle w:val="Char3"/>
          <w:rFonts w:ascii="SimSun" w:hint="eastAsia"/>
          <w:sz w:val="21"/>
        </w:rPr>
        <w:t>资本保全，</w:t>
      </w:r>
      <w:r w:rsidR="001D0353">
        <w:rPr>
          <w:rStyle w:val="Char3"/>
          <w:rFonts w:ascii="SimSun" w:hint="eastAsia"/>
          <w:sz w:val="21"/>
        </w:rPr>
        <w:t>(ii)</w:t>
      </w:r>
      <w:r w:rsidR="0082060A" w:rsidRPr="0082060A">
        <w:rPr>
          <w:rStyle w:val="Char3"/>
          <w:rFonts w:ascii="SimSun" w:hint="eastAsia"/>
          <w:sz w:val="21"/>
        </w:rPr>
        <w:t>流动性，以及</w:t>
      </w:r>
      <w:r w:rsidR="001D0353">
        <w:rPr>
          <w:rStyle w:val="Char3"/>
          <w:rFonts w:ascii="SimSun" w:hint="eastAsia"/>
          <w:sz w:val="21"/>
        </w:rPr>
        <w:t>(iii)</w:t>
      </w:r>
      <w:r w:rsidR="0082060A" w:rsidRPr="0082060A">
        <w:rPr>
          <w:rStyle w:val="Char3"/>
          <w:rFonts w:ascii="SimSun" w:hint="eastAsia"/>
          <w:sz w:val="21"/>
        </w:rPr>
        <w:t>在第(</w:t>
      </w:r>
      <w:proofErr w:type="spellStart"/>
      <w:r w:rsidR="0082060A" w:rsidRPr="0082060A">
        <w:rPr>
          <w:rStyle w:val="Char3"/>
          <w:rFonts w:ascii="SimSun" w:hint="eastAsia"/>
          <w:sz w:val="21"/>
        </w:rPr>
        <w:t>i</w:t>
      </w:r>
      <w:proofErr w:type="spellEnd"/>
      <w:r w:rsidR="0082060A" w:rsidRPr="0082060A">
        <w:rPr>
          <w:rStyle w:val="Char3"/>
          <w:rFonts w:ascii="SimSun" w:hint="eastAsia"/>
          <w:sz w:val="21"/>
        </w:rPr>
        <w:t>)项和第(ii)项的</w:t>
      </w:r>
      <w:r w:rsidR="0082060A" w:rsidRPr="008577D4">
        <w:rPr>
          <w:rFonts w:hint="eastAsia"/>
        </w:rPr>
        <w:t>约束</w:t>
      </w:r>
      <w:r w:rsidR="0082060A" w:rsidRPr="0082060A">
        <w:rPr>
          <w:rStyle w:val="Char3"/>
          <w:rFonts w:ascii="SimSun" w:hint="eastAsia"/>
          <w:sz w:val="21"/>
        </w:rPr>
        <w:t>下，收益率。</w:t>
      </w:r>
      <w:r w:rsidR="0082060A">
        <w:rPr>
          <w:rFonts w:ascii="SimSun" w:hint="eastAsia"/>
          <w:sz w:val="21"/>
        </w:rPr>
        <w:t>”</w:t>
      </w:r>
    </w:p>
    <w:p w:rsidR="00863D52" w:rsidRPr="00C1399D" w:rsidRDefault="00BB4254" w:rsidP="002D0A3D">
      <w:pPr>
        <w:pStyle w:val="ae"/>
        <w:numPr>
          <w:ilvl w:val="0"/>
          <w:numId w:val="8"/>
        </w:numPr>
        <w:tabs>
          <w:tab w:val="clear" w:pos="851"/>
          <w:tab w:val="clear" w:pos="1134"/>
        </w:tabs>
        <w:spacing w:before="0" w:afterLines="50" w:line="340" w:lineRule="atLeast"/>
        <w:ind w:left="0" w:firstLine="0"/>
        <w:jc w:val="both"/>
        <w:rPr>
          <w:rFonts w:ascii="SimSun"/>
          <w:sz w:val="21"/>
        </w:rPr>
      </w:pPr>
      <w:r w:rsidRPr="00C1399D">
        <w:rPr>
          <w:rStyle w:val="Char3"/>
          <w:rFonts w:ascii="SimSun" w:hint="eastAsia"/>
          <w:sz w:val="21"/>
        </w:rPr>
        <w:t>如</w:t>
      </w:r>
      <w:r w:rsidR="00630C47">
        <w:rPr>
          <w:rStyle w:val="Char3"/>
          <w:rFonts w:ascii="SimSun" w:hint="eastAsia"/>
          <w:sz w:val="21"/>
        </w:rPr>
        <w:t>前</w:t>
      </w:r>
      <w:r w:rsidRPr="00C1399D">
        <w:rPr>
          <w:rStyle w:val="Char3"/>
          <w:rFonts w:ascii="SimSun" w:hint="eastAsia"/>
          <w:sz w:val="21"/>
        </w:rPr>
        <w:t>表1所示，至少过去六年</w:t>
      </w:r>
      <w:r w:rsidR="00ED5C1E">
        <w:rPr>
          <w:rStyle w:val="Char3"/>
          <w:rFonts w:ascii="SimSun" w:hint="eastAsia"/>
          <w:sz w:val="21"/>
        </w:rPr>
        <w:t>以来</w:t>
      </w:r>
      <w:r w:rsidRPr="00C1399D">
        <w:rPr>
          <w:rStyle w:val="Char3"/>
          <w:rFonts w:ascii="SimSun" w:hint="eastAsia"/>
          <w:sz w:val="21"/>
        </w:rPr>
        <w:t>，瑞士央行始终向WIPO提供高于商业银行的利率，因此很明显，一旦</w:t>
      </w:r>
      <w:r w:rsidR="00960E60">
        <w:rPr>
          <w:rStyle w:val="Char3"/>
          <w:rFonts w:ascii="SimSun" w:hint="eastAsia"/>
          <w:sz w:val="21"/>
        </w:rPr>
        <w:t>本组织</w:t>
      </w:r>
      <w:r w:rsidRPr="00C1399D">
        <w:rPr>
          <w:rStyle w:val="Char3"/>
          <w:rFonts w:ascii="SimSun" w:hint="eastAsia"/>
          <w:sz w:val="21"/>
        </w:rPr>
        <w:t>不</w:t>
      </w:r>
      <w:r w:rsidR="00960E60">
        <w:rPr>
          <w:rStyle w:val="Char3"/>
          <w:rFonts w:ascii="SimSun" w:hint="eastAsia"/>
          <w:sz w:val="21"/>
        </w:rPr>
        <w:t>能在瑞士央行存入款项，而不得不在商业银行存款，投资收入将下降。</w:t>
      </w:r>
      <w:r w:rsidRPr="00C1399D">
        <w:rPr>
          <w:rStyle w:val="Char3"/>
          <w:rFonts w:ascii="SimSun" w:hint="eastAsia"/>
          <w:sz w:val="21"/>
        </w:rPr>
        <w:t>举例来说，2013年WIPO从瑞士央行存款中</w:t>
      </w:r>
      <w:r w:rsidR="00ED5C1E">
        <w:rPr>
          <w:rStyle w:val="Char3"/>
          <w:rFonts w:ascii="SimSun" w:hint="eastAsia"/>
          <w:sz w:val="21"/>
        </w:rPr>
        <w:t>挣</w:t>
      </w:r>
      <w:r w:rsidRPr="00C1399D">
        <w:rPr>
          <w:rStyle w:val="Char3"/>
          <w:rFonts w:ascii="SimSun" w:hint="eastAsia"/>
          <w:sz w:val="21"/>
        </w:rPr>
        <w:t>得了189</w:t>
      </w:r>
      <w:proofErr w:type="gramStart"/>
      <w:r w:rsidR="00960E60">
        <w:rPr>
          <w:rStyle w:val="Char3"/>
          <w:rFonts w:ascii="SimSun" w:hint="eastAsia"/>
          <w:sz w:val="21"/>
        </w:rPr>
        <w:t>万</w:t>
      </w:r>
      <w:r w:rsidR="006272B3">
        <w:rPr>
          <w:rStyle w:val="Char3"/>
          <w:rFonts w:ascii="SimSun" w:hint="eastAsia"/>
          <w:sz w:val="21"/>
        </w:rPr>
        <w:t>瑞</w:t>
      </w:r>
      <w:proofErr w:type="gramEnd"/>
      <w:r w:rsidR="006272B3">
        <w:rPr>
          <w:rStyle w:val="Char3"/>
          <w:rFonts w:ascii="SimSun" w:hint="eastAsia"/>
          <w:sz w:val="21"/>
        </w:rPr>
        <w:t>郎</w:t>
      </w:r>
      <w:r w:rsidR="00960E60">
        <w:rPr>
          <w:rStyle w:val="Char3"/>
          <w:rFonts w:ascii="SimSun" w:hint="eastAsia"/>
          <w:sz w:val="21"/>
        </w:rPr>
        <w:t>。</w:t>
      </w:r>
      <w:r w:rsidR="00ED5C1E" w:rsidRPr="00C1399D">
        <w:rPr>
          <w:rStyle w:val="Char3"/>
          <w:rFonts w:ascii="SimSun" w:hint="eastAsia"/>
          <w:sz w:val="21"/>
        </w:rPr>
        <w:t>如果</w:t>
      </w:r>
      <w:r w:rsidRPr="00C1399D">
        <w:rPr>
          <w:rStyle w:val="Char3"/>
          <w:rFonts w:ascii="SimSun" w:hint="eastAsia"/>
          <w:sz w:val="21"/>
        </w:rPr>
        <w:t>同期WIPO</w:t>
      </w:r>
      <w:r w:rsidR="00ED5C1E">
        <w:rPr>
          <w:rStyle w:val="Char3"/>
          <w:rFonts w:ascii="SimSun" w:hint="eastAsia"/>
          <w:sz w:val="21"/>
        </w:rPr>
        <w:t>按</w:t>
      </w:r>
      <w:r w:rsidR="00ED5C1E" w:rsidRPr="00C1399D">
        <w:rPr>
          <w:rStyle w:val="Char3"/>
          <w:rFonts w:ascii="SimSun" w:hint="eastAsia"/>
          <w:sz w:val="21"/>
        </w:rPr>
        <w:t>表1所示的利率</w:t>
      </w:r>
      <w:r w:rsidRPr="00C1399D">
        <w:rPr>
          <w:rStyle w:val="Char3"/>
          <w:rFonts w:ascii="SimSun" w:hint="eastAsia"/>
          <w:sz w:val="21"/>
        </w:rPr>
        <w:t>在瑞士信贷银行投资，将只能</w:t>
      </w:r>
      <w:r w:rsidR="002D0A3D">
        <w:rPr>
          <w:rStyle w:val="Char3"/>
          <w:rFonts w:ascii="SimSun" w:hint="eastAsia"/>
          <w:sz w:val="21"/>
        </w:rPr>
        <w:t>挣得</w:t>
      </w:r>
      <w:r w:rsidR="002D0A3D" w:rsidRPr="002D0A3D">
        <w:rPr>
          <w:rStyle w:val="Char3"/>
          <w:rFonts w:ascii="SimSun"/>
          <w:sz w:val="21"/>
        </w:rPr>
        <w:t>265,060</w:t>
      </w:r>
      <w:r w:rsidR="002D0A3D">
        <w:rPr>
          <w:rStyle w:val="Char3"/>
          <w:rFonts w:ascii="SimSun" w:hint="eastAsia"/>
          <w:sz w:val="21"/>
        </w:rPr>
        <w:t>瑞郎。同样，</w:t>
      </w:r>
      <w:r w:rsidRPr="00C1399D">
        <w:rPr>
          <w:rStyle w:val="Char3"/>
          <w:rFonts w:ascii="SimSun" w:hint="eastAsia"/>
          <w:sz w:val="21"/>
        </w:rPr>
        <w:t>如果WIPO按</w:t>
      </w:r>
      <w:r w:rsidR="0023789E">
        <w:rPr>
          <w:rStyle w:val="Char3"/>
          <w:rFonts w:ascii="SimSun" w:hint="eastAsia"/>
          <w:sz w:val="21"/>
        </w:rPr>
        <w:t>劳工</w:t>
      </w:r>
      <w:r w:rsidRPr="00C1399D">
        <w:rPr>
          <w:rStyle w:val="Char3"/>
          <w:rFonts w:ascii="SimSun" w:hint="eastAsia"/>
          <w:sz w:val="21"/>
        </w:rPr>
        <w:t>组织的方式投资，按</w:t>
      </w:r>
      <w:proofErr w:type="gramStart"/>
      <w:r w:rsidRPr="00C1399D">
        <w:rPr>
          <w:rStyle w:val="Char3"/>
          <w:rFonts w:ascii="SimSun" w:hint="eastAsia"/>
          <w:sz w:val="21"/>
        </w:rPr>
        <w:t>最</w:t>
      </w:r>
      <w:proofErr w:type="gramEnd"/>
      <w:r w:rsidRPr="00C1399D">
        <w:rPr>
          <w:rStyle w:val="Char3"/>
          <w:rFonts w:ascii="SimSun" w:hint="eastAsia"/>
          <w:sz w:val="21"/>
        </w:rPr>
        <w:t>高额</w:t>
      </w:r>
      <w:r w:rsidR="002D0A3D" w:rsidRPr="00C1399D">
        <w:rPr>
          <w:rStyle w:val="Char3"/>
          <w:rFonts w:ascii="SimSun" w:hint="eastAsia"/>
          <w:sz w:val="21"/>
        </w:rPr>
        <w:t>3</w:t>
      </w:r>
      <w:r w:rsidR="002D0A3D">
        <w:rPr>
          <w:rStyle w:val="Char3"/>
          <w:rFonts w:ascii="SimSun" w:hint="eastAsia"/>
          <w:sz w:val="21"/>
        </w:rPr>
        <w:t>,</w:t>
      </w:r>
      <w:r w:rsidR="002D0A3D" w:rsidRPr="00C1399D">
        <w:rPr>
          <w:rStyle w:val="Char3"/>
          <w:rFonts w:ascii="SimSun" w:hint="eastAsia"/>
          <w:sz w:val="21"/>
        </w:rPr>
        <w:t>800</w:t>
      </w:r>
      <w:proofErr w:type="gramStart"/>
      <w:r w:rsidR="002D0A3D" w:rsidRPr="00C1399D">
        <w:rPr>
          <w:rStyle w:val="Char3"/>
          <w:rFonts w:ascii="SimSun" w:hint="eastAsia"/>
          <w:sz w:val="21"/>
        </w:rPr>
        <w:t>万</w:t>
      </w:r>
      <w:r w:rsidR="002D0A3D">
        <w:rPr>
          <w:rStyle w:val="Char3"/>
          <w:rFonts w:ascii="SimSun" w:hint="eastAsia"/>
          <w:sz w:val="21"/>
        </w:rPr>
        <w:t>瑞</w:t>
      </w:r>
      <w:proofErr w:type="gramEnd"/>
      <w:r w:rsidR="002D0A3D">
        <w:rPr>
          <w:rStyle w:val="Char3"/>
          <w:rFonts w:ascii="SimSun" w:hint="eastAsia"/>
          <w:sz w:val="21"/>
        </w:rPr>
        <w:t>郎</w:t>
      </w:r>
      <w:r w:rsidRPr="00C1399D">
        <w:rPr>
          <w:rStyle w:val="Char3"/>
          <w:rFonts w:ascii="SimSun" w:hint="eastAsia"/>
          <w:sz w:val="21"/>
        </w:rPr>
        <w:t>在瑞士邮局存款</w:t>
      </w:r>
      <w:r w:rsidR="00C1399D" w:rsidRPr="00C1399D">
        <w:rPr>
          <w:rStyle w:val="Char3"/>
          <w:rFonts w:ascii="SimSun" w:hint="eastAsia"/>
          <w:sz w:val="21"/>
        </w:rPr>
        <w:t>，其余部分在瑞士信贷银行</w:t>
      </w:r>
      <w:r w:rsidR="002D0A3D">
        <w:rPr>
          <w:rStyle w:val="Char3"/>
          <w:rFonts w:ascii="SimSun" w:hint="eastAsia"/>
          <w:sz w:val="21"/>
        </w:rPr>
        <w:t>进行</w:t>
      </w:r>
      <w:r w:rsidR="00C1399D" w:rsidRPr="00C1399D">
        <w:rPr>
          <w:rStyle w:val="Char3"/>
          <w:rFonts w:ascii="SimSun" w:hint="eastAsia"/>
          <w:sz w:val="21"/>
        </w:rPr>
        <w:t>13个月定期存款，本组织将挣得</w:t>
      </w:r>
      <w:r w:rsidR="00C43AF0" w:rsidRPr="00C1399D">
        <w:rPr>
          <w:rFonts w:ascii="SimSun"/>
          <w:sz w:val="21"/>
        </w:rPr>
        <w:t>847,748</w:t>
      </w:r>
      <w:r w:rsidR="006272B3">
        <w:rPr>
          <w:rFonts w:ascii="SimSun" w:hint="eastAsia"/>
          <w:sz w:val="21"/>
        </w:rPr>
        <w:t>瑞郎</w:t>
      </w:r>
      <w:r w:rsidR="00C1399D" w:rsidRPr="00C1399D">
        <w:rPr>
          <w:rFonts w:ascii="SimSun" w:hint="eastAsia"/>
          <w:sz w:val="21"/>
        </w:rPr>
        <w:t>，利息收入仍然下跌。</w:t>
      </w:r>
    </w:p>
    <w:p w:rsidR="000F45C7" w:rsidRPr="00AA40ED" w:rsidRDefault="00F07688"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Style w:val="Char3"/>
          <w:rFonts w:ascii="SimSun" w:hint="eastAsia"/>
          <w:sz w:val="21"/>
        </w:rPr>
        <w:t>为努力维持(或提高)挣得的投资收入水平，有必要改变本组织在投资上的做法。这可以包括：</w:t>
      </w:r>
      <w:r w:rsidRPr="003623C2">
        <w:rPr>
          <w:rStyle w:val="Char3"/>
          <w:rFonts w:ascii="SimSun"/>
          <w:sz w:val="21"/>
        </w:rPr>
        <w:t>(1)</w:t>
      </w:r>
      <w:r w:rsidR="00340193">
        <w:rPr>
          <w:rStyle w:val="Char3"/>
          <w:rFonts w:ascii="SimSun" w:hint="eastAsia"/>
          <w:sz w:val="21"/>
        </w:rPr>
        <w:t>投资于</w:t>
      </w:r>
      <w:r>
        <w:rPr>
          <w:rStyle w:val="Char3"/>
          <w:rFonts w:ascii="SimSun" w:hint="eastAsia"/>
          <w:sz w:val="21"/>
        </w:rPr>
        <w:t>政策目前所不允许的(而且</w:t>
      </w:r>
      <w:r w:rsidR="00762B02">
        <w:rPr>
          <w:rStyle w:val="Char3"/>
          <w:rFonts w:ascii="SimSun" w:hint="eastAsia"/>
          <w:sz w:val="21"/>
        </w:rPr>
        <w:t>风险</w:t>
      </w:r>
      <w:r>
        <w:rPr>
          <w:rStyle w:val="Char3"/>
          <w:rFonts w:ascii="SimSun" w:hint="eastAsia"/>
          <w:sz w:val="21"/>
        </w:rPr>
        <w:t>可能更大的)产品，或者</w:t>
      </w:r>
      <w:r w:rsidR="00E674EC" w:rsidRPr="003623C2">
        <w:rPr>
          <w:rStyle w:val="Char3"/>
          <w:rFonts w:ascii="SimSun"/>
          <w:sz w:val="21"/>
        </w:rPr>
        <w:t>(2)</w:t>
      </w:r>
      <w:r>
        <w:rPr>
          <w:rStyle w:val="Char3"/>
          <w:rFonts w:ascii="SimSun" w:hint="eastAsia"/>
          <w:sz w:val="21"/>
        </w:rPr>
        <w:t>加长现金存期(因此减少短期流动性)，或者</w:t>
      </w:r>
      <w:r w:rsidR="00E674EC" w:rsidRPr="003623C2">
        <w:rPr>
          <w:rStyle w:val="Char3"/>
          <w:rFonts w:ascii="SimSun"/>
          <w:sz w:val="21"/>
        </w:rPr>
        <w:t>(3)</w:t>
      </w:r>
      <w:r>
        <w:rPr>
          <w:rStyle w:val="Char3"/>
          <w:rFonts w:ascii="SimSun" w:hint="eastAsia"/>
          <w:sz w:val="21"/>
        </w:rPr>
        <w:t>同时进行</w:t>
      </w:r>
      <w:r w:rsidR="008C1A3E">
        <w:rPr>
          <w:rStyle w:val="Char3"/>
          <w:rFonts w:ascii="SimSun" w:hint="eastAsia"/>
          <w:sz w:val="21"/>
        </w:rPr>
        <w:t>上述两者</w:t>
      </w:r>
      <w:r>
        <w:rPr>
          <w:rStyle w:val="Char3"/>
          <w:rFonts w:ascii="SimSun" w:hint="eastAsia"/>
          <w:sz w:val="21"/>
        </w:rPr>
        <w:t>。</w:t>
      </w:r>
    </w:p>
    <w:p w:rsidR="00BD1A9C" w:rsidRPr="00AA40ED" w:rsidRDefault="00AA40ED"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AA40ED">
        <w:rPr>
          <w:rFonts w:ascii="SimSun" w:hint="eastAsia"/>
          <w:sz w:val="21"/>
        </w:rPr>
        <w:t>对本组织的战略进行这种修改，将要求要么具备内部投资管理技能(目前没有)，</w:t>
      </w:r>
      <w:r w:rsidR="00630C47">
        <w:rPr>
          <w:rFonts w:ascii="SimSun" w:hint="eastAsia"/>
          <w:sz w:val="21"/>
        </w:rPr>
        <w:t>要么</w:t>
      </w:r>
      <w:r w:rsidRPr="00AA40ED">
        <w:rPr>
          <w:rFonts w:ascii="SimSun" w:hint="eastAsia"/>
          <w:sz w:val="21"/>
        </w:rPr>
        <w:t>使用外部基金经理，并对现金流进行密切监视，确保本组织</w:t>
      </w:r>
      <w:r w:rsidR="008F64D9">
        <w:rPr>
          <w:rFonts w:ascii="SimSun" w:hint="eastAsia"/>
          <w:sz w:val="21"/>
        </w:rPr>
        <w:t>不</w:t>
      </w:r>
      <w:r w:rsidRPr="00AA40ED">
        <w:rPr>
          <w:rFonts w:ascii="SimSun" w:hint="eastAsia"/>
          <w:sz w:val="21"/>
        </w:rPr>
        <w:t>出现现金短缺。</w:t>
      </w:r>
    </w:p>
    <w:p w:rsidR="009D6E39" w:rsidRPr="003623C2" w:rsidRDefault="008F64D9"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通过对联合国其他</w:t>
      </w:r>
      <w:r w:rsidR="00762B02">
        <w:rPr>
          <w:rFonts w:ascii="SimSun" w:hint="eastAsia"/>
          <w:sz w:val="21"/>
        </w:rPr>
        <w:t>机构</w:t>
      </w:r>
      <w:r>
        <w:rPr>
          <w:rFonts w:ascii="SimSun" w:hint="eastAsia"/>
          <w:sz w:val="21"/>
        </w:rPr>
        <w:t>(而不仅是进行</w:t>
      </w:r>
      <w:r w:rsidR="006272B3">
        <w:rPr>
          <w:rFonts w:ascii="SimSun" w:hint="eastAsia"/>
          <w:sz w:val="21"/>
        </w:rPr>
        <w:t>瑞</w:t>
      </w:r>
      <w:proofErr w:type="gramStart"/>
      <w:r w:rsidR="006272B3">
        <w:rPr>
          <w:rFonts w:ascii="SimSun" w:hint="eastAsia"/>
          <w:sz w:val="21"/>
        </w:rPr>
        <w:t>郎</w:t>
      </w:r>
      <w:r>
        <w:rPr>
          <w:rFonts w:ascii="SimSun" w:hint="eastAsia"/>
          <w:sz w:val="21"/>
        </w:rPr>
        <w:t>投资</w:t>
      </w:r>
      <w:proofErr w:type="gramEnd"/>
      <w:r>
        <w:rPr>
          <w:rFonts w:ascii="SimSun" w:hint="eastAsia"/>
          <w:sz w:val="21"/>
        </w:rPr>
        <w:t>的机构)的投资政策进行审查，发现各机构多数投资于固定收入产品，如定期存款和债券。但是，即使限</w:t>
      </w:r>
      <w:r w:rsidR="00762B02">
        <w:rPr>
          <w:rFonts w:ascii="SimSun" w:hint="eastAsia"/>
          <w:sz w:val="21"/>
        </w:rPr>
        <w:t>于</w:t>
      </w:r>
      <w:r>
        <w:rPr>
          <w:rFonts w:ascii="SimSun" w:hint="eastAsia"/>
          <w:sz w:val="21"/>
        </w:rPr>
        <w:t>仅使用固定收入产品，许多机构所投资的产品范围也广于WIPO。</w:t>
      </w:r>
    </w:p>
    <w:p w:rsidR="00DD0998" w:rsidRPr="0044389A" w:rsidRDefault="008F64D9"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44389A">
        <w:rPr>
          <w:rFonts w:ascii="SimSun" w:hint="eastAsia"/>
          <w:sz w:val="21"/>
        </w:rPr>
        <w:t>因此，一项建议是扩</w:t>
      </w:r>
      <w:r w:rsidR="00340193" w:rsidRPr="0044389A">
        <w:rPr>
          <w:rFonts w:ascii="SimSun" w:hint="eastAsia"/>
          <w:sz w:val="21"/>
        </w:rPr>
        <w:t>大可接受投资的范围，增加超国家机构发行的债券、零息票债券和保本存款</w:t>
      </w:r>
      <w:r w:rsidR="00762B02">
        <w:rPr>
          <w:rFonts w:ascii="SimSun" w:hint="eastAsia"/>
          <w:sz w:val="21"/>
        </w:rPr>
        <w:t>等产品</w:t>
      </w:r>
      <w:r w:rsidRPr="0044389A">
        <w:rPr>
          <w:rFonts w:ascii="SimSun" w:hint="eastAsia"/>
          <w:sz w:val="21"/>
        </w:rPr>
        <w:t>。</w:t>
      </w:r>
      <w:r w:rsidR="00762B02">
        <w:rPr>
          <w:rFonts w:ascii="SimSun" w:hint="eastAsia"/>
          <w:sz w:val="21"/>
        </w:rPr>
        <w:t>将需要</w:t>
      </w:r>
      <w:r w:rsidRPr="0044389A">
        <w:rPr>
          <w:rFonts w:ascii="SimSun" w:hint="eastAsia"/>
          <w:sz w:val="21"/>
        </w:rPr>
        <w:t>对可能合适的产品做进一步调查。另一项建议涉及WIPO的借款。由于为借款支付的利率(WIPO目前为新楼资金</w:t>
      </w:r>
      <w:r w:rsidR="00762B02">
        <w:rPr>
          <w:rFonts w:ascii="SimSun" w:hint="eastAsia"/>
          <w:sz w:val="21"/>
        </w:rPr>
        <w:t>支取的</w:t>
      </w:r>
      <w:r w:rsidRPr="0044389A">
        <w:rPr>
          <w:rFonts w:ascii="SimSun" w:hint="eastAsia"/>
          <w:sz w:val="21"/>
        </w:rPr>
        <w:t>贷款支付从</w:t>
      </w:r>
      <w:r w:rsidR="00183CB8" w:rsidRPr="0044389A">
        <w:rPr>
          <w:rFonts w:ascii="SimSun"/>
          <w:sz w:val="21"/>
        </w:rPr>
        <w:t>1.705</w:t>
      </w:r>
      <w:r w:rsidRPr="0044389A">
        <w:rPr>
          <w:rFonts w:ascii="SimSun" w:hint="eastAsia"/>
          <w:sz w:val="21"/>
        </w:rPr>
        <w:t>%到</w:t>
      </w:r>
      <w:r w:rsidR="00183CB8" w:rsidRPr="0044389A">
        <w:rPr>
          <w:rFonts w:ascii="SimSun"/>
          <w:sz w:val="21"/>
        </w:rPr>
        <w:t>3.0725</w:t>
      </w:r>
      <w:r w:rsidRPr="0044389A">
        <w:rPr>
          <w:rFonts w:ascii="SimSun" w:hint="eastAsia"/>
          <w:sz w:val="21"/>
        </w:rPr>
        <w:t>%</w:t>
      </w:r>
      <w:r w:rsidR="00762B02">
        <w:rPr>
          <w:rFonts w:ascii="SimSun" w:hint="eastAsia"/>
          <w:sz w:val="21"/>
        </w:rPr>
        <w:t>不等</w:t>
      </w:r>
      <w:r w:rsidRPr="0044389A">
        <w:rPr>
          <w:rFonts w:ascii="SimSun" w:hint="eastAsia"/>
          <w:sz w:val="21"/>
        </w:rPr>
        <w:t>的利率)和投资</w:t>
      </w:r>
      <w:r w:rsidR="00762B02">
        <w:rPr>
          <w:rFonts w:ascii="SimSun" w:hint="eastAsia"/>
          <w:sz w:val="21"/>
        </w:rPr>
        <w:t>所</w:t>
      </w:r>
      <w:r w:rsidRPr="0044389A">
        <w:rPr>
          <w:rFonts w:ascii="SimSun" w:hint="eastAsia"/>
          <w:sz w:val="21"/>
        </w:rPr>
        <w:t>得利率之间</w:t>
      </w:r>
      <w:r w:rsidR="00762B02">
        <w:rPr>
          <w:rFonts w:ascii="SimSun" w:hint="eastAsia"/>
          <w:sz w:val="21"/>
        </w:rPr>
        <w:t>存在</w:t>
      </w:r>
      <w:r w:rsidRPr="0044389A">
        <w:rPr>
          <w:rFonts w:ascii="SimSun" w:hint="eastAsia"/>
          <w:sz w:val="21"/>
        </w:rPr>
        <w:t>差异，而且</w:t>
      </w:r>
      <w:r w:rsidR="00762B02" w:rsidRPr="0044389A">
        <w:rPr>
          <w:rFonts w:ascii="SimSun" w:hint="eastAsia"/>
          <w:sz w:val="21"/>
        </w:rPr>
        <w:t>这种差异</w:t>
      </w:r>
      <w:r w:rsidR="00762B02">
        <w:rPr>
          <w:rFonts w:ascii="SimSun" w:hint="eastAsia"/>
          <w:sz w:val="21"/>
        </w:rPr>
        <w:t>将随着</w:t>
      </w:r>
      <w:r w:rsidRPr="0044389A">
        <w:rPr>
          <w:rFonts w:ascii="SimSun" w:hint="eastAsia"/>
          <w:sz w:val="21"/>
        </w:rPr>
        <w:t>WIPO与瑞士央行的安排结束</w:t>
      </w:r>
      <w:r w:rsidR="00762B02">
        <w:rPr>
          <w:rFonts w:ascii="SimSun" w:hint="eastAsia"/>
          <w:sz w:val="21"/>
        </w:rPr>
        <w:t>而</w:t>
      </w:r>
      <w:r w:rsidRPr="0044389A">
        <w:rPr>
          <w:rFonts w:ascii="SimSun" w:hint="eastAsia"/>
          <w:sz w:val="21"/>
        </w:rPr>
        <w:t>扩大，</w:t>
      </w:r>
      <w:r w:rsidR="00630C47">
        <w:rPr>
          <w:rFonts w:ascii="SimSun" w:hint="eastAsia"/>
          <w:sz w:val="21"/>
        </w:rPr>
        <w:t>所以</w:t>
      </w:r>
      <w:r w:rsidRPr="0044389A">
        <w:rPr>
          <w:rFonts w:ascii="SimSun" w:hint="eastAsia"/>
          <w:sz w:val="21"/>
        </w:rPr>
        <w:t>提高净利息额(付出的利息减去收到的利息)的一种办法将是用投资款项减少借款。如果这一建议获得接受，WIPO将努力进行2015年11月到期</w:t>
      </w:r>
      <w:r w:rsidR="00340193" w:rsidRPr="0044389A">
        <w:rPr>
          <w:rFonts w:ascii="SimSun" w:hint="eastAsia"/>
          <w:sz w:val="21"/>
        </w:rPr>
        <w:t>(2,</w:t>
      </w:r>
      <w:r w:rsidRPr="0044389A">
        <w:rPr>
          <w:rFonts w:ascii="SimSun" w:hint="eastAsia"/>
          <w:sz w:val="21"/>
        </w:rPr>
        <w:t>400</w:t>
      </w:r>
      <w:proofErr w:type="gramStart"/>
      <w:r w:rsidRPr="0044389A">
        <w:rPr>
          <w:rFonts w:ascii="SimSun" w:hint="eastAsia"/>
          <w:sz w:val="21"/>
        </w:rPr>
        <w:t>万</w:t>
      </w:r>
      <w:r w:rsidR="006272B3">
        <w:rPr>
          <w:rFonts w:ascii="SimSun" w:hint="eastAsia"/>
          <w:sz w:val="21"/>
        </w:rPr>
        <w:t>瑞</w:t>
      </w:r>
      <w:proofErr w:type="gramEnd"/>
      <w:r w:rsidR="006272B3">
        <w:rPr>
          <w:rFonts w:ascii="SimSun" w:hint="eastAsia"/>
          <w:sz w:val="21"/>
        </w:rPr>
        <w:t>郎</w:t>
      </w:r>
      <w:r w:rsidRPr="0044389A">
        <w:rPr>
          <w:rFonts w:ascii="SimSun" w:hint="eastAsia"/>
          <w:sz w:val="21"/>
        </w:rPr>
        <w:t>)和2016年1月到期的</w:t>
      </w:r>
      <w:r w:rsidR="00402C7E" w:rsidRPr="0044389A">
        <w:rPr>
          <w:rFonts w:ascii="SimSun"/>
          <w:sz w:val="21"/>
        </w:rPr>
        <w:t>(1</w:t>
      </w:r>
      <w:r w:rsidR="00340193" w:rsidRPr="0044389A">
        <w:rPr>
          <w:rFonts w:ascii="SimSun" w:hint="eastAsia"/>
          <w:sz w:val="21"/>
        </w:rPr>
        <w:t>,</w:t>
      </w:r>
      <w:r w:rsidR="00402C7E" w:rsidRPr="0044389A">
        <w:rPr>
          <w:rFonts w:ascii="SimSun"/>
          <w:sz w:val="21"/>
        </w:rPr>
        <w:t>6</w:t>
      </w:r>
      <w:r w:rsidRPr="0044389A">
        <w:rPr>
          <w:rFonts w:ascii="SimSun" w:hint="eastAsia"/>
          <w:sz w:val="21"/>
        </w:rPr>
        <w:t>00</w:t>
      </w:r>
      <w:proofErr w:type="gramStart"/>
      <w:r w:rsidRPr="0044389A">
        <w:rPr>
          <w:rFonts w:ascii="SimSun" w:hint="eastAsia"/>
          <w:sz w:val="21"/>
        </w:rPr>
        <w:t>万</w:t>
      </w:r>
      <w:r w:rsidR="006272B3">
        <w:rPr>
          <w:rFonts w:ascii="SimSun" w:hint="eastAsia"/>
          <w:sz w:val="21"/>
        </w:rPr>
        <w:t>瑞</w:t>
      </w:r>
      <w:proofErr w:type="gramEnd"/>
      <w:r w:rsidR="006272B3">
        <w:rPr>
          <w:rFonts w:ascii="SimSun" w:hint="eastAsia"/>
          <w:sz w:val="21"/>
        </w:rPr>
        <w:t>郎</w:t>
      </w:r>
      <w:r w:rsidR="00402C7E" w:rsidRPr="0044389A">
        <w:rPr>
          <w:rFonts w:ascii="SimSun"/>
          <w:sz w:val="21"/>
        </w:rPr>
        <w:t>)</w:t>
      </w:r>
      <w:r w:rsidRPr="0044389A">
        <w:rPr>
          <w:rFonts w:ascii="SimSun" w:hint="eastAsia"/>
          <w:sz w:val="21"/>
        </w:rPr>
        <w:t>的气球型还款，</w:t>
      </w:r>
      <w:r w:rsidR="00762B02">
        <w:rPr>
          <w:rFonts w:ascii="SimSun" w:hint="eastAsia"/>
          <w:sz w:val="21"/>
        </w:rPr>
        <w:t>而</w:t>
      </w:r>
      <w:r w:rsidRPr="0044389A">
        <w:rPr>
          <w:rFonts w:ascii="SimSun" w:hint="eastAsia"/>
          <w:sz w:val="21"/>
        </w:rPr>
        <w:t>不延长有关的两笔贷款，还将努力通过可用于投资的款项为会议厅筹资，不支取为此</w:t>
      </w:r>
      <w:r w:rsidR="00762B02">
        <w:rPr>
          <w:rFonts w:ascii="SimSun" w:hint="eastAsia"/>
          <w:sz w:val="21"/>
        </w:rPr>
        <w:t>目的</w:t>
      </w:r>
      <w:r w:rsidRPr="0044389A">
        <w:rPr>
          <w:rFonts w:ascii="SimSun" w:hint="eastAsia"/>
          <w:sz w:val="21"/>
        </w:rPr>
        <w:t>安排的贷款。很明显，只有在WIPO不会因此出现流动性问题时，才能部分或全部地采用这种</w:t>
      </w:r>
      <w:r w:rsidR="00762B02">
        <w:rPr>
          <w:rFonts w:ascii="SimSun" w:hint="eastAsia"/>
          <w:sz w:val="21"/>
        </w:rPr>
        <w:t>策</w:t>
      </w:r>
      <w:r w:rsidRPr="0044389A">
        <w:rPr>
          <w:rFonts w:ascii="SimSun" w:hint="eastAsia"/>
          <w:sz w:val="21"/>
        </w:rPr>
        <w:t>略。为确保这一点，财务司将继续监视本组织未来的现金流，并编制财务状况预测表(资产负债表)。有了这种信息，财务司将能够决定，</w:t>
      </w:r>
      <w:r w:rsidRPr="0044389A">
        <w:rPr>
          <w:rFonts w:ascii="SimSun" w:hint="eastAsia"/>
          <w:sz w:val="21"/>
        </w:rPr>
        <w:lastRenderedPageBreak/>
        <w:t>如果采用这种策略，是否将保持适当的现金比率(流动比率和流通比率)</w:t>
      </w:r>
      <w:r w:rsidR="001908BD" w:rsidRPr="003623C2">
        <w:rPr>
          <w:rStyle w:val="af2"/>
          <w:rFonts w:ascii="SimSun"/>
          <w:sz w:val="21"/>
        </w:rPr>
        <w:footnoteReference w:id="2"/>
      </w:r>
      <w:r w:rsidR="00C7217A" w:rsidRPr="0044389A">
        <w:rPr>
          <w:rFonts w:ascii="SimSun" w:hint="eastAsia"/>
          <w:sz w:val="21"/>
        </w:rPr>
        <w:t>。目前的预测(截至2015年12月31日)显示将是这种情况。</w:t>
      </w:r>
    </w:p>
    <w:p w:rsidR="006C49BF" w:rsidRPr="008577D4" w:rsidRDefault="007D3B5E" w:rsidP="008577D4">
      <w:pPr>
        <w:pStyle w:val="1"/>
        <w:spacing w:beforeLines="100" w:afterLines="50" w:after="120" w:line="340" w:lineRule="atLeast"/>
        <w:jc w:val="both"/>
        <w:rPr>
          <w:rFonts w:ascii="SimHei" w:eastAsia="SimHei" w:hAnsi="SimHei"/>
          <w:b w:val="0"/>
          <w:sz w:val="21"/>
          <w:szCs w:val="22"/>
        </w:rPr>
      </w:pPr>
      <w:r w:rsidRPr="008577D4">
        <w:rPr>
          <w:rFonts w:ascii="SimHei" w:eastAsia="SimHei" w:hAnsi="SimHei" w:hint="eastAsia"/>
          <w:b w:val="0"/>
          <w:sz w:val="21"/>
          <w:szCs w:val="22"/>
        </w:rPr>
        <w:t>离职后健康保险</w:t>
      </w:r>
      <w:r w:rsidR="006C49BF" w:rsidRPr="008577D4">
        <w:rPr>
          <w:rFonts w:ascii="SimHei" w:eastAsia="SimHei" w:hAnsi="SimHei"/>
          <w:b w:val="0"/>
          <w:sz w:val="21"/>
          <w:szCs w:val="22"/>
        </w:rPr>
        <w:t>(ASHI)</w:t>
      </w:r>
      <w:r w:rsidRPr="008577D4">
        <w:rPr>
          <w:rFonts w:ascii="SimHei" w:eastAsia="SimHei" w:hAnsi="SimHei" w:hint="eastAsia"/>
          <w:b w:val="0"/>
          <w:sz w:val="21"/>
          <w:szCs w:val="22"/>
        </w:rPr>
        <w:t>筹资用投资政策</w:t>
      </w:r>
    </w:p>
    <w:p w:rsidR="007E50A0" w:rsidRPr="007D3B5E" w:rsidRDefault="007D3B5E"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7D3B5E">
        <w:rPr>
          <w:rFonts w:ascii="SimSun" w:hint="eastAsia"/>
          <w:sz w:val="21"/>
        </w:rPr>
        <w:t>由</w:t>
      </w:r>
      <w:r w:rsidR="006C49BF" w:rsidRPr="007D3B5E">
        <w:rPr>
          <w:rFonts w:ascii="SimSun"/>
          <w:sz w:val="21"/>
        </w:rPr>
        <w:t>FTI Treasury</w:t>
      </w:r>
      <w:r w:rsidRPr="007D3B5E">
        <w:rPr>
          <w:rFonts w:ascii="SimSun" w:hint="eastAsia"/>
          <w:sz w:val="21"/>
        </w:rPr>
        <w:t>进行的金库研究指出，</w:t>
      </w:r>
      <w:r w:rsidR="006C49BF" w:rsidRPr="007D3B5E">
        <w:rPr>
          <w:rFonts w:ascii="SimSun"/>
          <w:sz w:val="21"/>
        </w:rPr>
        <w:t>ASHI</w:t>
      </w:r>
      <w:r w:rsidRPr="007D3B5E">
        <w:rPr>
          <w:rFonts w:ascii="SimSun" w:hint="eastAsia"/>
          <w:sz w:val="21"/>
        </w:rPr>
        <w:t>资金是一笔为满足长期雇员福利而</w:t>
      </w:r>
      <w:r w:rsidR="00B7654A">
        <w:rPr>
          <w:rFonts w:ascii="SimSun" w:hint="eastAsia"/>
          <w:sz w:val="21"/>
        </w:rPr>
        <w:t>计提</w:t>
      </w:r>
      <w:r w:rsidRPr="007D3B5E">
        <w:rPr>
          <w:rFonts w:ascii="SimSun" w:hint="eastAsia"/>
          <w:sz w:val="21"/>
        </w:rPr>
        <w:t>的一项长期资金，这种福利具有连续性，因此具有“退休基金型特征”。2013</w:t>
      </w:r>
      <w:r w:rsidR="00266C25">
        <w:rPr>
          <w:rFonts w:ascii="SimSun" w:hint="eastAsia"/>
          <w:sz w:val="21"/>
        </w:rPr>
        <w:t>年，成员国决定另</w:t>
      </w:r>
      <w:r w:rsidRPr="007D3B5E">
        <w:rPr>
          <w:rFonts w:ascii="SimSun" w:hint="eastAsia"/>
          <w:sz w:val="21"/>
        </w:rPr>
        <w:t>设银行账户，拨出款项，存入相当于2013年12月31日长期雇员福利负债总额50%的金额，然后</w:t>
      </w:r>
      <w:r w:rsidR="00630C47">
        <w:rPr>
          <w:rFonts w:ascii="SimSun" w:hint="eastAsia"/>
          <w:sz w:val="21"/>
        </w:rPr>
        <w:t>按预算中所列，</w:t>
      </w:r>
      <w:r w:rsidRPr="007D3B5E">
        <w:rPr>
          <w:rFonts w:ascii="SimSun" w:hint="eastAsia"/>
          <w:sz w:val="21"/>
        </w:rPr>
        <w:t>每年</w:t>
      </w:r>
      <w:r w:rsidR="00630C47">
        <w:rPr>
          <w:rFonts w:ascii="SimSun" w:hint="eastAsia"/>
          <w:sz w:val="21"/>
        </w:rPr>
        <w:t>从</w:t>
      </w:r>
      <w:r w:rsidRPr="007D3B5E">
        <w:rPr>
          <w:rFonts w:ascii="SimSun" w:hint="eastAsia"/>
          <w:sz w:val="21"/>
        </w:rPr>
        <w:t>薪资</w:t>
      </w:r>
      <w:r w:rsidR="00B7654A">
        <w:rPr>
          <w:rFonts w:ascii="SimSun" w:hint="eastAsia"/>
          <w:sz w:val="21"/>
        </w:rPr>
        <w:t>费用中提取</w:t>
      </w:r>
      <w:r w:rsidRPr="007D3B5E">
        <w:rPr>
          <w:rFonts w:ascii="SimSun" w:hint="eastAsia"/>
          <w:sz w:val="21"/>
        </w:rPr>
        <w:t>6%</w:t>
      </w:r>
      <w:r w:rsidR="00630C47">
        <w:rPr>
          <w:rFonts w:ascii="SimSun" w:hint="eastAsia"/>
          <w:sz w:val="21"/>
        </w:rPr>
        <w:t>，</w:t>
      </w:r>
      <w:r w:rsidR="00B7654A" w:rsidRPr="007D3B5E">
        <w:rPr>
          <w:rFonts w:ascii="SimSun" w:hint="eastAsia"/>
          <w:sz w:val="21"/>
        </w:rPr>
        <w:t>扣除长期雇员福利付款之后</w:t>
      </w:r>
      <w:r w:rsidR="00B7654A">
        <w:rPr>
          <w:rFonts w:ascii="SimSun" w:hint="eastAsia"/>
          <w:sz w:val="21"/>
        </w:rPr>
        <w:t>，将</w:t>
      </w:r>
      <w:r w:rsidRPr="007D3B5E">
        <w:rPr>
          <w:rFonts w:ascii="SimSun" w:hint="eastAsia"/>
          <w:sz w:val="21"/>
        </w:rPr>
        <w:t>可用余额作为其补充</w:t>
      </w:r>
      <w:r w:rsidR="00C121A6" w:rsidRPr="007D3B5E">
        <w:rPr>
          <w:rFonts w:ascii="SimSun"/>
          <w:sz w:val="21"/>
        </w:rPr>
        <w:t>(</w:t>
      </w:r>
      <w:r w:rsidRPr="007D3B5E">
        <w:rPr>
          <w:rFonts w:ascii="SimSun" w:hint="eastAsia"/>
          <w:sz w:val="21"/>
        </w:rPr>
        <w:t>文件</w:t>
      </w:r>
      <w:r w:rsidR="00C121A6" w:rsidRPr="007D3B5E">
        <w:rPr>
          <w:rFonts w:ascii="SimSun"/>
          <w:sz w:val="21"/>
        </w:rPr>
        <w:t>WO/PBC/20/6)</w:t>
      </w:r>
      <w:r w:rsidRPr="007D3B5E">
        <w:rPr>
          <w:rFonts w:ascii="SimSun" w:hint="eastAsia"/>
          <w:sz w:val="21"/>
        </w:rPr>
        <w:t>。到2014年6月30日，这笔资金的余额为8</w:t>
      </w:r>
      <w:r>
        <w:rPr>
          <w:rFonts w:ascii="SimSun" w:hint="eastAsia"/>
          <w:sz w:val="21"/>
        </w:rPr>
        <w:t>,</w:t>
      </w:r>
      <w:r w:rsidRPr="007D3B5E">
        <w:rPr>
          <w:rFonts w:ascii="SimSun" w:hint="eastAsia"/>
          <w:sz w:val="21"/>
        </w:rPr>
        <w:t>440</w:t>
      </w:r>
      <w:proofErr w:type="gramStart"/>
      <w:r w:rsidRPr="007D3B5E">
        <w:rPr>
          <w:rFonts w:ascii="SimSun" w:hint="eastAsia"/>
          <w:sz w:val="21"/>
        </w:rPr>
        <w:t>万</w:t>
      </w:r>
      <w:r w:rsidR="006272B3">
        <w:rPr>
          <w:rFonts w:ascii="SimSun" w:hint="eastAsia"/>
          <w:sz w:val="21"/>
        </w:rPr>
        <w:t>瑞</w:t>
      </w:r>
      <w:proofErr w:type="gramEnd"/>
      <w:r w:rsidR="006272B3">
        <w:rPr>
          <w:rFonts w:ascii="SimSun" w:hint="eastAsia"/>
          <w:sz w:val="21"/>
        </w:rPr>
        <w:t>郎</w:t>
      </w:r>
      <w:r w:rsidRPr="007D3B5E">
        <w:rPr>
          <w:rFonts w:ascii="SimSun" w:hint="eastAsia"/>
          <w:sz w:val="21"/>
        </w:rPr>
        <w:t>，目前存在瑞士央行。</w:t>
      </w:r>
    </w:p>
    <w:p w:rsidR="00FA1EE4" w:rsidRPr="003623C2" w:rsidRDefault="00266C25"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顾问认为，在所有条件相同的情况</w:t>
      </w:r>
      <w:r w:rsidR="001B10C0">
        <w:rPr>
          <w:rFonts w:ascii="SimSun" w:hint="eastAsia"/>
          <w:sz w:val="21"/>
        </w:rPr>
        <w:t>下，最初计提的款项(8,050</w:t>
      </w:r>
      <w:proofErr w:type="gramStart"/>
      <w:r w:rsidR="001B10C0">
        <w:rPr>
          <w:rFonts w:ascii="SimSun" w:hint="eastAsia"/>
          <w:sz w:val="21"/>
        </w:rPr>
        <w:t>万</w:t>
      </w:r>
      <w:r w:rsidR="006272B3">
        <w:rPr>
          <w:rFonts w:ascii="SimSun" w:hint="eastAsia"/>
          <w:sz w:val="21"/>
        </w:rPr>
        <w:t>瑞</w:t>
      </w:r>
      <w:proofErr w:type="gramEnd"/>
      <w:r w:rsidR="006272B3">
        <w:rPr>
          <w:rFonts w:ascii="SimSun" w:hint="eastAsia"/>
          <w:sz w:val="21"/>
        </w:rPr>
        <w:t>郎</w:t>
      </w:r>
      <w:r w:rsidR="001B10C0">
        <w:rPr>
          <w:rFonts w:ascii="SimSun" w:hint="eastAsia"/>
          <w:sz w:val="21"/>
        </w:rPr>
        <w:t>)</w:t>
      </w:r>
      <w:r w:rsidR="00FE5711">
        <w:rPr>
          <w:rFonts w:ascii="SimSun" w:hint="eastAsia"/>
          <w:sz w:val="21"/>
        </w:rPr>
        <w:t>要</w:t>
      </w:r>
      <w:r w:rsidR="001B10C0">
        <w:rPr>
          <w:rFonts w:ascii="SimSun" w:hint="eastAsia"/>
          <w:sz w:val="21"/>
        </w:rPr>
        <w:t>维持其相对比例(即负债的50%)，每年必须有2.3%的收入。更高的回报明显将提高这一</w:t>
      </w:r>
      <w:proofErr w:type="gramStart"/>
      <w:r w:rsidR="001B10C0">
        <w:rPr>
          <w:rFonts w:ascii="SimSun" w:hint="eastAsia"/>
          <w:sz w:val="21"/>
        </w:rPr>
        <w:t>50</w:t>
      </w:r>
      <w:proofErr w:type="gramEnd"/>
      <w:r w:rsidR="001B10C0">
        <w:rPr>
          <w:rFonts w:ascii="SimSun" w:hint="eastAsia"/>
          <w:sz w:val="21"/>
        </w:rPr>
        <w:t>%的比例，而较低的回报将降低这一比例。现在无法从银行存款(不论是在瑞士央行还是</w:t>
      </w:r>
      <w:proofErr w:type="gramStart"/>
      <w:r w:rsidR="001B10C0">
        <w:rPr>
          <w:rFonts w:ascii="SimSun" w:hint="eastAsia"/>
          <w:sz w:val="21"/>
        </w:rPr>
        <w:t>别处)</w:t>
      </w:r>
      <w:proofErr w:type="gramEnd"/>
      <w:r w:rsidR="00E11928">
        <w:rPr>
          <w:rFonts w:ascii="SimSun" w:hint="eastAsia"/>
          <w:sz w:val="21"/>
        </w:rPr>
        <w:t>或优质债券投资中获得2.3%的回报。从瑞士央行得到的预测显示，低利率环境预计在可预见的未来将在瑞士持续下去。举例来说，2014年5月瑞士联邦发行的</w:t>
      </w:r>
      <w:proofErr w:type="gramStart"/>
      <w:r w:rsidR="00E11928">
        <w:rPr>
          <w:rFonts w:ascii="SimSun" w:hint="eastAsia"/>
          <w:sz w:val="21"/>
        </w:rPr>
        <w:t>30年期</w:t>
      </w:r>
      <w:r w:rsidR="006272B3">
        <w:rPr>
          <w:rFonts w:ascii="SimSun" w:hint="eastAsia"/>
          <w:sz w:val="21"/>
        </w:rPr>
        <w:t>瑞郎</w:t>
      </w:r>
      <w:proofErr w:type="gramEnd"/>
      <w:r w:rsidR="00E11928">
        <w:rPr>
          <w:rFonts w:ascii="SimSun" w:hint="eastAsia"/>
          <w:sz w:val="21"/>
        </w:rPr>
        <w:t>债券回报率仅为1.59%。</w:t>
      </w:r>
    </w:p>
    <w:p w:rsidR="00FA1EE4" w:rsidRPr="003623C2" w:rsidRDefault="00A2561C"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在</w:t>
      </w:r>
      <w:r w:rsidR="00FA1EE4" w:rsidRPr="003623C2">
        <w:rPr>
          <w:rFonts w:ascii="SimSun"/>
          <w:sz w:val="21"/>
        </w:rPr>
        <w:t>ASHI</w:t>
      </w:r>
      <w:r w:rsidR="00266C25">
        <w:rPr>
          <w:rFonts w:ascii="SimSun" w:hint="eastAsia"/>
          <w:sz w:val="21"/>
        </w:rPr>
        <w:t>筹资方面，</w:t>
      </w:r>
      <w:r w:rsidR="00FE5711">
        <w:rPr>
          <w:rFonts w:ascii="SimSun" w:hint="eastAsia"/>
          <w:sz w:val="21"/>
        </w:rPr>
        <w:t>可以考虑选择几个</w:t>
      </w:r>
      <w:r w:rsidR="00266C25">
        <w:rPr>
          <w:rFonts w:ascii="SimSun" w:hint="eastAsia"/>
          <w:sz w:val="21"/>
        </w:rPr>
        <w:t>若干目标</w:t>
      </w:r>
      <w:r>
        <w:rPr>
          <w:rFonts w:ascii="SimSun" w:hint="eastAsia"/>
          <w:sz w:val="21"/>
        </w:rPr>
        <w:t>：</w:t>
      </w:r>
    </w:p>
    <w:p w:rsidR="00FA1EE4" w:rsidRPr="003623C2" w:rsidRDefault="00A2561C" w:rsidP="00C1400E">
      <w:pPr>
        <w:pStyle w:val="ae"/>
        <w:numPr>
          <w:ilvl w:val="0"/>
          <w:numId w:val="15"/>
        </w:numPr>
        <w:tabs>
          <w:tab w:val="clear" w:pos="851"/>
          <w:tab w:val="clear" w:pos="1134"/>
        </w:tabs>
        <w:spacing w:before="0" w:line="340" w:lineRule="atLeast"/>
        <w:ind w:left="567" w:firstLine="0"/>
        <w:jc w:val="both"/>
        <w:rPr>
          <w:rFonts w:ascii="SimSun"/>
          <w:sz w:val="21"/>
        </w:rPr>
      </w:pPr>
      <w:r>
        <w:rPr>
          <w:rFonts w:ascii="SimSun" w:hint="eastAsia"/>
          <w:sz w:val="21"/>
        </w:rPr>
        <w:t>确保资本得到完全保障，仅投资于低风险资产，例如银行存款和主权债券，接受其附带的低</w:t>
      </w:r>
      <w:r w:rsidR="00630C47">
        <w:rPr>
          <w:rFonts w:ascii="SimSun" w:hint="eastAsia"/>
          <w:sz w:val="21"/>
        </w:rPr>
        <w:t>回报</w:t>
      </w:r>
      <w:r>
        <w:rPr>
          <w:rFonts w:ascii="SimSun" w:hint="eastAsia"/>
          <w:sz w:val="21"/>
        </w:rPr>
        <w:t>，带来的风险是本</w:t>
      </w:r>
      <w:r w:rsidR="00630C47">
        <w:rPr>
          <w:rFonts w:ascii="SimSun" w:hint="eastAsia"/>
          <w:sz w:val="21"/>
        </w:rPr>
        <w:t>金</w:t>
      </w:r>
      <w:r>
        <w:rPr>
          <w:rFonts w:ascii="SimSun" w:hint="eastAsia"/>
          <w:sz w:val="21"/>
        </w:rPr>
        <w:t>价值将随着时间受损。这一选项可能意味着WIPO将不得不</w:t>
      </w:r>
      <w:r w:rsidR="00FE5711">
        <w:rPr>
          <w:rFonts w:ascii="SimSun" w:hint="eastAsia"/>
          <w:sz w:val="21"/>
        </w:rPr>
        <w:t>把</w:t>
      </w:r>
      <w:r>
        <w:rPr>
          <w:rFonts w:ascii="SimSun" w:hint="eastAsia"/>
          <w:sz w:val="21"/>
        </w:rPr>
        <w:t>年度供款额</w:t>
      </w:r>
      <w:r w:rsidR="00FE5711">
        <w:rPr>
          <w:rFonts w:ascii="SimSun" w:hint="eastAsia"/>
          <w:sz w:val="21"/>
        </w:rPr>
        <w:t>提高到高于</w:t>
      </w:r>
      <w:r>
        <w:rPr>
          <w:rFonts w:ascii="SimSun" w:hint="eastAsia"/>
          <w:sz w:val="21"/>
        </w:rPr>
        <w:t>扣除付款后的6%费用，以便为本</w:t>
      </w:r>
      <w:r w:rsidR="00630C47">
        <w:rPr>
          <w:rFonts w:ascii="SimSun" w:hint="eastAsia"/>
          <w:sz w:val="21"/>
        </w:rPr>
        <w:t>金</w:t>
      </w:r>
      <w:r>
        <w:rPr>
          <w:rFonts w:ascii="SimSun" w:hint="eastAsia"/>
          <w:sz w:val="21"/>
        </w:rPr>
        <w:t>不仅可能跟不上负债的增长，还可能无法维持在负债中的比例这一现实做出弥补。</w:t>
      </w:r>
    </w:p>
    <w:p w:rsidR="00FA1EE4" w:rsidRPr="003623C2" w:rsidRDefault="00F87639" w:rsidP="00C1400E">
      <w:pPr>
        <w:pStyle w:val="ae"/>
        <w:numPr>
          <w:ilvl w:val="0"/>
          <w:numId w:val="15"/>
        </w:numPr>
        <w:tabs>
          <w:tab w:val="clear" w:pos="851"/>
          <w:tab w:val="clear" w:pos="1134"/>
        </w:tabs>
        <w:spacing w:before="0" w:line="340" w:lineRule="atLeast"/>
        <w:ind w:left="567" w:firstLine="0"/>
        <w:jc w:val="both"/>
        <w:rPr>
          <w:rFonts w:ascii="SimSun"/>
          <w:sz w:val="21"/>
        </w:rPr>
      </w:pPr>
      <w:r>
        <w:rPr>
          <w:rFonts w:ascii="SimSun" w:hint="eastAsia"/>
          <w:sz w:val="21"/>
        </w:rPr>
        <w:t>争取实现2.3%的回报，以便保持对负债的</w:t>
      </w:r>
      <w:r w:rsidR="00FE5711">
        <w:rPr>
          <w:rFonts w:ascii="SimSun" w:hint="eastAsia"/>
          <w:sz w:val="21"/>
        </w:rPr>
        <w:t>按</w:t>
      </w:r>
      <w:r>
        <w:rPr>
          <w:rFonts w:ascii="SimSun" w:hint="eastAsia"/>
          <w:sz w:val="21"/>
        </w:rPr>
        <w:t>比例供款。</w:t>
      </w:r>
      <w:r w:rsidR="00FA1EE4" w:rsidRPr="003623C2">
        <w:rPr>
          <w:rFonts w:ascii="SimSun"/>
          <w:sz w:val="21"/>
        </w:rPr>
        <w:t>FTI Treasury</w:t>
      </w:r>
      <w:r w:rsidR="00A25EE3">
        <w:rPr>
          <w:rFonts w:ascii="SimSun" w:hint="eastAsia"/>
          <w:sz w:val="21"/>
        </w:rPr>
        <w:t>建议，这一目标将意味着投资于绝对回报基金等结构</w:t>
      </w:r>
      <w:r>
        <w:rPr>
          <w:rFonts w:ascii="SimSun" w:hint="eastAsia"/>
          <w:sz w:val="21"/>
        </w:rPr>
        <w:t>，这类基金在优化本</w:t>
      </w:r>
      <w:r w:rsidR="00630C47">
        <w:rPr>
          <w:rFonts w:ascii="SimSun" w:hint="eastAsia"/>
          <w:sz w:val="21"/>
        </w:rPr>
        <w:t>金</w:t>
      </w:r>
      <w:r>
        <w:rPr>
          <w:rFonts w:ascii="SimSun" w:hint="eastAsia"/>
          <w:sz w:val="21"/>
        </w:rPr>
        <w:t>安全的同时瞄准具体的回报。这些回报可以由年度供款予以补充，基金所代表的负债比例可能随着时间上升。</w:t>
      </w:r>
    </w:p>
    <w:p w:rsidR="00DF1B2A" w:rsidRPr="00126CEA" w:rsidRDefault="00126CEA" w:rsidP="00C1400E">
      <w:pPr>
        <w:pStyle w:val="ae"/>
        <w:numPr>
          <w:ilvl w:val="0"/>
          <w:numId w:val="15"/>
        </w:numPr>
        <w:tabs>
          <w:tab w:val="clear" w:pos="851"/>
          <w:tab w:val="clear" w:pos="1134"/>
        </w:tabs>
        <w:spacing w:before="0" w:line="340" w:lineRule="atLeast"/>
        <w:ind w:left="567" w:firstLine="0"/>
        <w:jc w:val="both"/>
        <w:rPr>
          <w:rFonts w:ascii="SimSun"/>
          <w:sz w:val="21"/>
        </w:rPr>
      </w:pPr>
      <w:r w:rsidRPr="00126CEA">
        <w:rPr>
          <w:rFonts w:ascii="SimSun" w:hint="eastAsia"/>
          <w:sz w:val="21"/>
        </w:rPr>
        <w:t>寻求更高的回报，但承认这将需要接受更高的风险水平。这种办法将意味着投资于风险更高的资产类别，如股票、财产和另类投资，如商品——典型情况下为基金而非固定资产。在</w:t>
      </w:r>
      <w:r w:rsidR="00FA1EE4" w:rsidRPr="00126CEA">
        <w:rPr>
          <w:rFonts w:ascii="SimSun"/>
          <w:sz w:val="21"/>
        </w:rPr>
        <w:t>ASHI</w:t>
      </w:r>
      <w:r w:rsidRPr="00126CEA">
        <w:rPr>
          <w:rFonts w:ascii="SimSun" w:hint="eastAsia"/>
          <w:sz w:val="21"/>
        </w:rPr>
        <w:t>投资上取得更高的回报，可能让本组织有能力降低或避免用6%薪资费用未用部分来补充基金的必要性。</w:t>
      </w:r>
    </w:p>
    <w:p w:rsidR="005733D2" w:rsidRPr="00D64B3B" w:rsidRDefault="00AF7ABB" w:rsidP="00FE5711">
      <w:pPr>
        <w:pStyle w:val="ae"/>
        <w:keepNext/>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lastRenderedPageBreak/>
        <w:t>一些联合国机构已经开始为其</w:t>
      </w:r>
      <w:r w:rsidR="00AD6650" w:rsidRPr="003623C2">
        <w:rPr>
          <w:rFonts w:ascii="SimSun"/>
          <w:sz w:val="21"/>
        </w:rPr>
        <w:t>ASHI</w:t>
      </w:r>
      <w:r>
        <w:rPr>
          <w:rFonts w:ascii="SimSun" w:hint="eastAsia"/>
          <w:sz w:val="21"/>
        </w:rPr>
        <w:t>负债筹资，下表提供了这些</w:t>
      </w:r>
      <w:r w:rsidR="00630C47">
        <w:rPr>
          <w:rFonts w:ascii="SimSun" w:hint="eastAsia"/>
          <w:sz w:val="21"/>
        </w:rPr>
        <w:t>资</w:t>
      </w:r>
      <w:r>
        <w:rPr>
          <w:rFonts w:ascii="SimSun" w:hint="eastAsia"/>
          <w:sz w:val="21"/>
        </w:rPr>
        <w:t>金如何进行投资的详情。</w:t>
      </w:r>
    </w:p>
    <w:p w:rsidR="0021717B" w:rsidRPr="003623C2" w:rsidRDefault="00D64B3B" w:rsidP="00C1400E">
      <w:pPr>
        <w:pStyle w:val="ae"/>
        <w:keepNext/>
        <w:tabs>
          <w:tab w:val="clear" w:pos="851"/>
          <w:tab w:val="clear" w:pos="1134"/>
        </w:tabs>
        <w:spacing w:beforeLines="50" w:afterLines="50" w:line="340" w:lineRule="atLeast"/>
        <w:jc w:val="center"/>
        <w:rPr>
          <w:rFonts w:ascii="SimSun"/>
          <w:sz w:val="21"/>
        </w:rPr>
      </w:pPr>
      <w:r>
        <w:rPr>
          <w:rFonts w:ascii="SimSun" w:hint="eastAsia"/>
          <w:sz w:val="21"/>
        </w:rPr>
        <w:t>表</w:t>
      </w:r>
      <w:r w:rsidR="00536DD5" w:rsidRPr="003623C2">
        <w:rPr>
          <w:rFonts w:ascii="SimSun"/>
          <w:sz w:val="21"/>
        </w:rPr>
        <w:t>4</w:t>
      </w:r>
    </w:p>
    <w:p w:rsidR="00536DD5" w:rsidRPr="003623C2" w:rsidRDefault="00FE5711" w:rsidP="00FE5711">
      <w:pPr>
        <w:spacing w:after="50" w:line="340" w:lineRule="atLeast"/>
        <w:jc w:val="both"/>
        <w:rPr>
          <w:rFonts w:ascii="SimSun"/>
          <w:i/>
          <w:sz w:val="21"/>
        </w:rPr>
      </w:pPr>
      <w:r w:rsidRPr="00FE5711">
        <w:rPr>
          <w:noProof/>
        </w:rPr>
        <w:drawing>
          <wp:inline distT="0" distB="0" distL="0" distR="0" wp14:anchorId="7AA8E409" wp14:editId="3C4120F6">
            <wp:extent cx="5940425" cy="3739887"/>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739887"/>
                    </a:xfrm>
                    <a:prstGeom prst="rect">
                      <a:avLst/>
                    </a:prstGeom>
                    <a:noFill/>
                    <a:ln>
                      <a:noFill/>
                    </a:ln>
                  </pic:spPr>
                </pic:pic>
              </a:graphicData>
            </a:graphic>
          </wp:inline>
        </w:drawing>
      </w:r>
    </w:p>
    <w:p w:rsidR="00FA1EE4" w:rsidRPr="000B0573" w:rsidRDefault="000B0573"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确定ASHI筹资策略的一个组成部分是对资金来源进行一次资产和负债管理分析</w:t>
      </w:r>
      <w:r w:rsidR="00FA1EE4" w:rsidRPr="003623C2">
        <w:rPr>
          <w:rFonts w:ascii="SimSun"/>
          <w:sz w:val="21"/>
        </w:rPr>
        <w:t>(ALM)</w:t>
      </w:r>
      <w:r>
        <w:rPr>
          <w:rFonts w:ascii="SimSun" w:hint="eastAsia"/>
          <w:sz w:val="21"/>
        </w:rPr>
        <w:t>，以便将总负债中所含的各个</w:t>
      </w:r>
      <w:r w:rsidR="00FE5711">
        <w:rPr>
          <w:rFonts w:ascii="SimSun" w:hint="eastAsia"/>
          <w:sz w:val="21"/>
        </w:rPr>
        <w:t>到期日</w:t>
      </w:r>
      <w:r>
        <w:rPr>
          <w:rFonts w:ascii="SimSun" w:hint="eastAsia"/>
          <w:sz w:val="21"/>
        </w:rPr>
        <w:t>与资金将要投入的资产匹配起来。然后资产负债分析师将就应使用</w:t>
      </w:r>
      <w:proofErr w:type="gramStart"/>
      <w:r>
        <w:rPr>
          <w:rFonts w:ascii="SimSun" w:hint="eastAsia"/>
          <w:sz w:val="21"/>
        </w:rPr>
        <w:t>哪些投资</w:t>
      </w:r>
      <w:proofErr w:type="gramEnd"/>
      <w:r>
        <w:rPr>
          <w:rFonts w:ascii="SimSun" w:hint="eastAsia"/>
          <w:sz w:val="21"/>
        </w:rPr>
        <w:t>资产类别提出咨询建议。这种分析的费用为2万至4</w:t>
      </w:r>
      <w:proofErr w:type="gramStart"/>
      <w:r>
        <w:rPr>
          <w:rFonts w:ascii="SimSun" w:hint="eastAsia"/>
          <w:sz w:val="21"/>
        </w:rPr>
        <w:t>万</w:t>
      </w:r>
      <w:r w:rsidR="006272B3">
        <w:rPr>
          <w:rFonts w:ascii="SimSun" w:hint="eastAsia"/>
          <w:sz w:val="21"/>
        </w:rPr>
        <w:t>瑞</w:t>
      </w:r>
      <w:proofErr w:type="gramEnd"/>
      <w:r w:rsidR="006272B3">
        <w:rPr>
          <w:rFonts w:ascii="SimSun" w:hint="eastAsia"/>
          <w:sz w:val="21"/>
        </w:rPr>
        <w:t>郎</w:t>
      </w:r>
      <w:r>
        <w:rPr>
          <w:rFonts w:ascii="SimSun" w:hint="eastAsia"/>
          <w:sz w:val="21"/>
        </w:rPr>
        <w:t>。</w:t>
      </w:r>
    </w:p>
    <w:p w:rsidR="00985CD1" w:rsidRPr="00DF14A7" w:rsidRDefault="00DF14A7"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sidRPr="00DF14A7">
        <w:rPr>
          <w:rFonts w:ascii="SimSun" w:hint="eastAsia"/>
          <w:sz w:val="21"/>
        </w:rPr>
        <w:t>因此，建议进行一次资产负债</w:t>
      </w:r>
      <w:r w:rsidR="009F4475">
        <w:rPr>
          <w:rFonts w:ascii="SimSun" w:hint="eastAsia"/>
          <w:sz w:val="21"/>
        </w:rPr>
        <w:t>管理</w:t>
      </w:r>
      <w:r w:rsidRPr="00DF14A7">
        <w:rPr>
          <w:rFonts w:ascii="SimSun" w:hint="eastAsia"/>
          <w:sz w:val="21"/>
        </w:rPr>
        <w:t>分析，然后单独为</w:t>
      </w:r>
      <w:r w:rsidRPr="00DF14A7">
        <w:rPr>
          <w:rFonts w:ascii="SimSun"/>
          <w:sz w:val="21"/>
        </w:rPr>
        <w:t>ASHI</w:t>
      </w:r>
      <w:r w:rsidRPr="00DF14A7">
        <w:rPr>
          <w:rFonts w:ascii="SimSun" w:hint="eastAsia"/>
          <w:sz w:val="21"/>
        </w:rPr>
        <w:t>编制一项投资政策，其中将借鉴其他联合国机构的做法，它们已经建立或正在建立</w:t>
      </w:r>
      <w:r w:rsidRPr="00DF14A7">
        <w:rPr>
          <w:rFonts w:ascii="SimSun"/>
          <w:sz w:val="21"/>
        </w:rPr>
        <w:t>ASHI</w:t>
      </w:r>
      <w:r w:rsidRPr="00DF14A7">
        <w:rPr>
          <w:rFonts w:ascii="SimSun" w:hint="eastAsia"/>
          <w:sz w:val="21"/>
        </w:rPr>
        <w:t>投资策略。这一政策将允许适合于长期资金的投资产品，如股票</w:t>
      </w:r>
      <w:r w:rsidR="004C4FF7">
        <w:rPr>
          <w:rFonts w:ascii="SimSun" w:hint="eastAsia"/>
          <w:sz w:val="21"/>
        </w:rPr>
        <w:t>。</w:t>
      </w:r>
      <w:r w:rsidRPr="00DF14A7">
        <w:rPr>
          <w:rFonts w:ascii="SimSun" w:hint="eastAsia"/>
          <w:sz w:val="21"/>
        </w:rPr>
        <w:t>可以考虑的一个产品是工作人员房屋贷款计划，使工作人员可以以略优于商业银行提供的条件购买住房。</w:t>
      </w:r>
      <w:r w:rsidRPr="00DF14A7">
        <w:rPr>
          <w:rFonts w:ascii="SimSun"/>
          <w:sz w:val="21"/>
        </w:rPr>
        <w:t>ASHI</w:t>
      </w:r>
      <w:r w:rsidRPr="00DF14A7">
        <w:rPr>
          <w:rFonts w:ascii="SimSun" w:hint="eastAsia"/>
          <w:sz w:val="21"/>
        </w:rPr>
        <w:t>资金将受惠于以大大高于银行</w:t>
      </w:r>
      <w:r w:rsidR="009F4475">
        <w:rPr>
          <w:rFonts w:ascii="SimSun" w:hint="eastAsia"/>
          <w:sz w:val="21"/>
        </w:rPr>
        <w:t>存</w:t>
      </w:r>
      <w:r w:rsidRPr="00DF14A7">
        <w:rPr>
          <w:rFonts w:ascii="SimSun" w:hint="eastAsia"/>
          <w:sz w:val="21"/>
        </w:rPr>
        <w:t>款所付利率借给工作人员的款项中收入利息。欧洲专利局提供这种住房贷款计划，可对其加以研究，以评估WIPO是否应提供这种计划。</w:t>
      </w:r>
    </w:p>
    <w:p w:rsidR="00AD6650" w:rsidRPr="004C4FF7" w:rsidRDefault="00996CA9" w:rsidP="008577D4">
      <w:pPr>
        <w:pStyle w:val="ae"/>
        <w:numPr>
          <w:ilvl w:val="0"/>
          <w:numId w:val="8"/>
        </w:numPr>
        <w:tabs>
          <w:tab w:val="clear" w:pos="851"/>
          <w:tab w:val="clear" w:pos="1134"/>
        </w:tabs>
        <w:spacing w:before="0" w:afterLines="50" w:line="340" w:lineRule="atLeast"/>
        <w:ind w:left="0" w:firstLine="0"/>
        <w:jc w:val="both"/>
        <w:rPr>
          <w:rFonts w:ascii="SimSun"/>
          <w:sz w:val="21"/>
        </w:rPr>
      </w:pPr>
      <w:r>
        <w:rPr>
          <w:rFonts w:ascii="SimSun" w:hint="eastAsia"/>
          <w:sz w:val="21"/>
        </w:rPr>
        <w:t>提议决定段落措辞如下。</w:t>
      </w:r>
    </w:p>
    <w:p w:rsidR="00A834CC" w:rsidRPr="001815F1" w:rsidRDefault="000F1561" w:rsidP="009F4475">
      <w:pPr>
        <w:numPr>
          <w:ilvl w:val="0"/>
          <w:numId w:val="8"/>
        </w:numPr>
        <w:spacing w:afterLines="50" w:after="120" w:line="340" w:lineRule="atLeast"/>
        <w:ind w:left="5534" w:firstLine="0"/>
        <w:jc w:val="both"/>
        <w:rPr>
          <w:rFonts w:ascii="KaiTi" w:eastAsia="KaiTi" w:hAnsi="KaiTi"/>
          <w:i/>
          <w:sz w:val="21"/>
        </w:rPr>
      </w:pPr>
      <w:r w:rsidRPr="001815F1">
        <w:rPr>
          <w:rFonts w:ascii="KaiTi" w:eastAsia="KaiTi" w:hAnsi="KaiTi" w:hint="eastAsia"/>
          <w:i/>
          <w:sz w:val="21"/>
        </w:rPr>
        <w:t>计划和预算委员会：</w:t>
      </w:r>
    </w:p>
    <w:p w:rsidR="009D5612" w:rsidRPr="001815F1" w:rsidRDefault="000F1561" w:rsidP="009F4475">
      <w:pPr>
        <w:pStyle w:val="Style2"/>
        <w:spacing w:afterLines="50" w:after="120" w:line="340" w:lineRule="atLeast"/>
        <w:ind w:left="6237" w:firstLine="0"/>
        <w:jc w:val="both"/>
        <w:rPr>
          <w:rFonts w:ascii="KaiTi" w:eastAsia="KaiTi" w:hAnsi="KaiTi"/>
          <w:i/>
          <w:sz w:val="21"/>
        </w:rPr>
      </w:pPr>
      <w:r w:rsidRPr="001815F1">
        <w:rPr>
          <w:rFonts w:ascii="KaiTi" w:eastAsia="KaiTi" w:hAnsi="KaiTi" w:hint="eastAsia"/>
          <w:i/>
          <w:sz w:val="21"/>
        </w:rPr>
        <w:t>承认有必要修正投资政策；并</w:t>
      </w:r>
      <w:r w:rsidR="00630C47">
        <w:rPr>
          <w:rFonts w:ascii="KaiTi" w:eastAsia="KaiTi" w:hAnsi="KaiTi" w:hint="eastAsia"/>
          <w:i/>
          <w:sz w:val="21"/>
        </w:rPr>
        <w:t>且</w:t>
      </w:r>
    </w:p>
    <w:p w:rsidR="004530C4" w:rsidRPr="001815F1" w:rsidRDefault="007D657B" w:rsidP="009F4475">
      <w:pPr>
        <w:pStyle w:val="Style2"/>
        <w:spacing w:afterLines="50" w:after="120" w:line="340" w:lineRule="atLeast"/>
        <w:ind w:left="6237" w:firstLine="0"/>
        <w:jc w:val="both"/>
        <w:rPr>
          <w:rFonts w:ascii="KaiTi" w:eastAsia="KaiTi" w:hAnsi="KaiTi"/>
          <w:i/>
          <w:sz w:val="21"/>
        </w:rPr>
      </w:pPr>
      <w:r w:rsidRPr="001815F1">
        <w:rPr>
          <w:rFonts w:ascii="KaiTi" w:eastAsia="KaiTi" w:hAnsi="KaiTi" w:hint="eastAsia"/>
          <w:i/>
          <w:sz w:val="21"/>
        </w:rPr>
        <w:t>要求秘书处：</w:t>
      </w:r>
    </w:p>
    <w:p w:rsidR="004530C4" w:rsidRPr="001815F1" w:rsidRDefault="007D657B" w:rsidP="009F4475">
      <w:pPr>
        <w:pStyle w:val="Style2"/>
        <w:numPr>
          <w:ilvl w:val="0"/>
          <w:numId w:val="18"/>
        </w:numPr>
        <w:spacing w:afterLines="50" w:after="120" w:line="340" w:lineRule="atLeast"/>
        <w:ind w:left="6804" w:firstLine="0"/>
        <w:jc w:val="both"/>
        <w:rPr>
          <w:rFonts w:ascii="KaiTi" w:eastAsia="KaiTi" w:hAnsi="KaiTi"/>
          <w:i/>
          <w:sz w:val="21"/>
        </w:rPr>
      </w:pPr>
      <w:r w:rsidRPr="001815F1">
        <w:rPr>
          <w:rFonts w:ascii="KaiTi" w:eastAsia="KaiTi" w:hAnsi="KaiTi" w:hint="eastAsia"/>
          <w:i/>
          <w:sz w:val="21"/>
        </w:rPr>
        <w:t>在投资咨询委员会</w:t>
      </w:r>
      <w:r w:rsidR="001815F1" w:rsidRPr="001815F1">
        <w:rPr>
          <w:rFonts w:ascii="KaiTi" w:eastAsia="KaiTi" w:hAnsi="KaiTi" w:hint="eastAsia"/>
          <w:i/>
          <w:sz w:val="21"/>
        </w:rPr>
        <w:t>审查和通过之后，</w:t>
      </w:r>
      <w:r w:rsidR="009F4475">
        <w:rPr>
          <w:rFonts w:ascii="KaiTi" w:eastAsia="KaiTi" w:hAnsi="KaiTi" w:hint="eastAsia"/>
          <w:i/>
          <w:sz w:val="21"/>
        </w:rPr>
        <w:t>在</w:t>
      </w:r>
      <w:r w:rsidR="004C4FF7">
        <w:rPr>
          <w:rFonts w:ascii="KaiTi" w:eastAsia="KaiTi" w:hAnsi="KaiTi" w:hint="eastAsia"/>
          <w:i/>
          <w:sz w:val="21"/>
        </w:rPr>
        <w:t>下届</w:t>
      </w:r>
      <w:r w:rsidR="001815F1" w:rsidRPr="001815F1">
        <w:rPr>
          <w:rFonts w:ascii="KaiTi" w:eastAsia="KaiTi" w:hAnsi="KaiTi" w:hint="eastAsia"/>
          <w:i/>
          <w:sz w:val="21"/>
        </w:rPr>
        <w:t>会议上提交政策修订稿的详细提案；</w:t>
      </w:r>
    </w:p>
    <w:p w:rsidR="00DF1B2A" w:rsidRPr="001815F1" w:rsidRDefault="001815F1" w:rsidP="009F4475">
      <w:pPr>
        <w:pStyle w:val="Style2"/>
        <w:numPr>
          <w:ilvl w:val="0"/>
          <w:numId w:val="18"/>
        </w:numPr>
        <w:spacing w:afterLines="50" w:after="120" w:line="340" w:lineRule="atLeast"/>
        <w:ind w:left="6804" w:firstLine="0"/>
        <w:jc w:val="both"/>
        <w:rPr>
          <w:rFonts w:ascii="KaiTi" w:eastAsia="KaiTi" w:hAnsi="KaiTi"/>
          <w:i/>
          <w:sz w:val="21"/>
        </w:rPr>
      </w:pPr>
      <w:r w:rsidRPr="001815F1">
        <w:rPr>
          <w:rFonts w:ascii="KaiTi" w:eastAsia="KaiTi" w:hAnsi="KaiTi" w:hint="eastAsia"/>
          <w:i/>
          <w:sz w:val="21"/>
        </w:rPr>
        <w:lastRenderedPageBreak/>
        <w:t>进行一次资产负债管理研究，并在投资咨询委员会审查和通过之后，为</w:t>
      </w:r>
      <w:r w:rsidRPr="001815F1">
        <w:rPr>
          <w:rFonts w:ascii="KaiTi" w:eastAsia="KaiTi" w:hAnsi="KaiTi"/>
          <w:i/>
          <w:sz w:val="21"/>
        </w:rPr>
        <w:t>ASHI</w:t>
      </w:r>
      <w:r w:rsidR="009F4475">
        <w:rPr>
          <w:rFonts w:ascii="KaiTi" w:eastAsia="KaiTi" w:hAnsi="KaiTi" w:hint="eastAsia"/>
          <w:i/>
          <w:sz w:val="21"/>
        </w:rPr>
        <w:t>筹资</w:t>
      </w:r>
      <w:r w:rsidRPr="001815F1">
        <w:rPr>
          <w:rFonts w:ascii="KaiTi" w:eastAsia="KaiTi" w:hAnsi="KaiTi" w:hint="eastAsia"/>
          <w:i/>
          <w:sz w:val="21"/>
        </w:rPr>
        <w:t>提交一份单独的投资政策；并</w:t>
      </w:r>
    </w:p>
    <w:p w:rsidR="00ED7CB8" w:rsidRPr="001815F1" w:rsidRDefault="001815F1" w:rsidP="009F4475">
      <w:pPr>
        <w:pStyle w:val="Style2"/>
        <w:numPr>
          <w:ilvl w:val="0"/>
          <w:numId w:val="18"/>
        </w:numPr>
        <w:spacing w:afterLines="50" w:after="120" w:line="340" w:lineRule="atLeast"/>
        <w:ind w:left="6804" w:firstLine="0"/>
        <w:jc w:val="both"/>
        <w:rPr>
          <w:rFonts w:ascii="KaiTi" w:eastAsia="KaiTi" w:hAnsi="KaiTi"/>
          <w:i/>
          <w:sz w:val="21"/>
        </w:rPr>
      </w:pPr>
      <w:r w:rsidRPr="001815F1">
        <w:rPr>
          <w:rFonts w:ascii="KaiTi" w:eastAsia="KaiTi" w:hAnsi="KaiTi" w:hint="eastAsia"/>
          <w:i/>
          <w:sz w:val="21"/>
        </w:rPr>
        <w:t>在有充足流动性可用的前提下，用投资款项为会议厅提供资金，而不支取为此</w:t>
      </w:r>
      <w:r w:rsidR="009F4475">
        <w:rPr>
          <w:rFonts w:ascii="KaiTi" w:eastAsia="KaiTi" w:hAnsi="KaiTi" w:hint="eastAsia"/>
          <w:i/>
          <w:sz w:val="21"/>
        </w:rPr>
        <w:t>目的安排</w:t>
      </w:r>
      <w:r w:rsidRPr="001815F1">
        <w:rPr>
          <w:rFonts w:ascii="KaiTi" w:eastAsia="KaiTi" w:hAnsi="KaiTi" w:hint="eastAsia"/>
          <w:i/>
          <w:sz w:val="21"/>
        </w:rPr>
        <w:t>的贷款</w:t>
      </w:r>
      <w:r w:rsidR="00630C47">
        <w:rPr>
          <w:rFonts w:ascii="KaiTi" w:eastAsia="KaiTi" w:hAnsi="KaiTi" w:hint="eastAsia"/>
          <w:i/>
          <w:sz w:val="21"/>
        </w:rPr>
        <w:t>，以及</w:t>
      </w:r>
      <w:r w:rsidRPr="001815F1">
        <w:rPr>
          <w:rFonts w:ascii="KaiTi" w:eastAsia="KaiTi" w:hAnsi="KaiTi" w:hint="eastAsia"/>
          <w:i/>
          <w:sz w:val="21"/>
        </w:rPr>
        <w:t>/或</w:t>
      </w:r>
      <w:r w:rsidR="00630C47">
        <w:rPr>
          <w:rFonts w:ascii="KaiTi" w:eastAsia="KaiTi" w:hAnsi="KaiTi" w:hint="eastAsia"/>
          <w:i/>
          <w:sz w:val="21"/>
        </w:rPr>
        <w:t>者</w:t>
      </w:r>
      <w:r w:rsidRPr="001815F1">
        <w:rPr>
          <w:rFonts w:ascii="KaiTi" w:eastAsia="KaiTi" w:hAnsi="KaiTi" w:hint="eastAsia"/>
          <w:i/>
          <w:sz w:val="21"/>
        </w:rPr>
        <w:t>偿还2015年11月和2016年</w:t>
      </w:r>
      <w:r w:rsidR="004C4FF7">
        <w:rPr>
          <w:rFonts w:ascii="KaiTi" w:eastAsia="KaiTi" w:hAnsi="KaiTi" w:hint="eastAsia"/>
          <w:i/>
          <w:sz w:val="21"/>
        </w:rPr>
        <w:t>1月</w:t>
      </w:r>
      <w:r w:rsidRPr="001815F1">
        <w:rPr>
          <w:rFonts w:ascii="KaiTi" w:eastAsia="KaiTi" w:hAnsi="KaiTi" w:hint="eastAsia"/>
          <w:i/>
          <w:sz w:val="21"/>
        </w:rPr>
        <w:t>到期的新建筑项目相关贷款中的一笔或两笔。</w:t>
      </w:r>
    </w:p>
    <w:p w:rsidR="00A834CC" w:rsidRDefault="00A834CC" w:rsidP="009F4475">
      <w:pPr>
        <w:spacing w:afterLines="50" w:after="120" w:line="340" w:lineRule="atLeast"/>
        <w:ind w:left="5534"/>
        <w:jc w:val="both"/>
        <w:rPr>
          <w:rFonts w:ascii="SimSun"/>
          <w:i/>
          <w:sz w:val="21"/>
        </w:rPr>
      </w:pPr>
    </w:p>
    <w:p w:rsidR="00692655" w:rsidRPr="001815F1" w:rsidRDefault="00692655" w:rsidP="009F4475">
      <w:pPr>
        <w:spacing w:afterLines="50" w:after="120" w:line="340" w:lineRule="atLeast"/>
        <w:ind w:left="5534"/>
        <w:jc w:val="both"/>
        <w:rPr>
          <w:rFonts w:ascii="KaiTi" w:eastAsia="KaiTi" w:hAnsi="KaiTi"/>
          <w:sz w:val="21"/>
        </w:rPr>
      </w:pPr>
      <w:r w:rsidRPr="001815F1">
        <w:rPr>
          <w:rFonts w:ascii="KaiTi" w:eastAsia="KaiTi" w:hAnsi="KaiTi"/>
          <w:sz w:val="21"/>
        </w:rPr>
        <w:sym w:font="Symbol" w:char="F05B"/>
      </w:r>
      <w:r w:rsidR="001815F1" w:rsidRPr="001815F1">
        <w:rPr>
          <w:rFonts w:ascii="KaiTi" w:eastAsia="KaiTi" w:hAnsi="KaiTi" w:hint="eastAsia"/>
          <w:sz w:val="21"/>
        </w:rPr>
        <w:t>后接附件</w:t>
      </w:r>
      <w:r w:rsidRPr="001815F1">
        <w:rPr>
          <w:rFonts w:ascii="KaiTi" w:eastAsia="KaiTi" w:hAnsi="KaiTi"/>
          <w:sz w:val="21"/>
        </w:rPr>
        <w:sym w:font="Symbol" w:char="F05D"/>
      </w:r>
    </w:p>
    <w:p w:rsidR="00692655" w:rsidRDefault="00692655" w:rsidP="00692655">
      <w:pPr>
        <w:spacing w:line="276" w:lineRule="auto"/>
        <w:ind w:left="5533"/>
        <w:sectPr w:rsidR="00692655" w:rsidSect="008577D4">
          <w:headerReference w:type="default" r:id="rId14"/>
          <w:endnotePr>
            <w:numFmt w:val="decimal"/>
          </w:endnotePr>
          <w:pgSz w:w="11907" w:h="16840" w:code="9"/>
          <w:pgMar w:top="567" w:right="1134" w:bottom="1418" w:left="1418" w:header="510" w:footer="1021" w:gutter="0"/>
          <w:cols w:space="720"/>
          <w:titlePg/>
          <w:docGrid w:linePitch="299"/>
        </w:sectPr>
      </w:pPr>
    </w:p>
    <w:p w:rsidR="00F74585" w:rsidRPr="00F74585" w:rsidRDefault="00F74585" w:rsidP="00F74585">
      <w:pPr>
        <w:pStyle w:val="ae"/>
        <w:tabs>
          <w:tab w:val="clear" w:pos="851"/>
          <w:tab w:val="clear" w:pos="1134"/>
        </w:tabs>
        <w:spacing w:beforeLines="100" w:before="240" w:afterLines="100" w:after="240" w:line="340" w:lineRule="atLeast"/>
        <w:rPr>
          <w:rFonts w:ascii="SimHei" w:eastAsia="SimHei" w:hAnsi="SimHei"/>
          <w:caps/>
          <w:sz w:val="21"/>
          <w:szCs w:val="22"/>
        </w:rPr>
      </w:pPr>
      <w:r w:rsidRPr="00F74585">
        <w:rPr>
          <w:rFonts w:ascii="SimHei" w:eastAsia="SimHei" w:hAnsi="SimHei" w:hint="eastAsia"/>
          <w:caps/>
          <w:sz w:val="21"/>
          <w:szCs w:val="22"/>
        </w:rPr>
        <w:lastRenderedPageBreak/>
        <w:t>投资政策</w:t>
      </w:r>
    </w:p>
    <w:p w:rsidR="00F74585" w:rsidRPr="009F4475" w:rsidRDefault="009F4475" w:rsidP="00F74585">
      <w:pPr>
        <w:adjustRightInd w:val="0"/>
        <w:spacing w:afterLines="50" w:after="120" w:line="340" w:lineRule="atLeast"/>
        <w:jc w:val="both"/>
        <w:rPr>
          <w:rFonts w:ascii="KaiTi" w:eastAsia="KaiTi" w:hAnsi="KaiTi"/>
          <w:i/>
          <w:iCs/>
          <w:color w:val="000000"/>
          <w:sz w:val="21"/>
          <w:szCs w:val="22"/>
        </w:rPr>
      </w:pPr>
      <w:r w:rsidRPr="009F4475">
        <w:rPr>
          <w:rFonts w:ascii="KaiTi" w:eastAsia="KaiTi" w:hAnsi="KaiTi" w:hint="eastAsia"/>
          <w:i/>
          <w:iCs/>
          <w:color w:val="000000"/>
          <w:sz w:val="21"/>
          <w:szCs w:val="22"/>
        </w:rPr>
        <w:t>经WIPO成员国大会在2011年9月26日至10月5日举行的第四十九届系列会议上批准</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权　力</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1.</w:t>
      </w:r>
      <w:r w:rsidRPr="00F74585">
        <w:rPr>
          <w:rFonts w:ascii="SimSun" w:hint="eastAsia"/>
          <w:color w:val="000000"/>
          <w:sz w:val="21"/>
          <w:szCs w:val="23"/>
        </w:rPr>
        <w:tab/>
        <w:t>制定本投资政策的依据是财务条例4.10，该条规定总干事有权依照成员国批准的本组织的投资政策，将各项非急需的款项作短期投资，以及财务条例4.11，该条规定总干事有权依照成员国批准的本组织的投资政策，将本组织的存余款项作长期投资。投资政策还考虑了财务细则104.10(a)，该条把依照成员国批准的投资政策进行投资并审慎管理投资的权力授予财务主任。</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目　标</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2.</w:t>
      </w:r>
      <w:r w:rsidRPr="00F74585">
        <w:rPr>
          <w:rFonts w:ascii="SimSun" w:hint="eastAsia"/>
          <w:color w:val="000000"/>
          <w:sz w:val="21"/>
          <w:szCs w:val="23"/>
        </w:rPr>
        <w:tab/>
        <w:t>投资政策的目标为财务细则104.10 (b)所规定，该条要求，财务主任“在选择资金所用的货币和投资时，首要重点是尽可能降低本金所受的风险，同时要确保有满足本组织现金流转需要所必需的流动资金”。本组织投资管理的首要目标，按重要性依次为(</w:t>
      </w:r>
      <w:proofErr w:type="spellStart"/>
      <w:r w:rsidRPr="00F74585">
        <w:rPr>
          <w:rFonts w:ascii="SimSun" w:hint="eastAsia"/>
          <w:color w:val="000000"/>
          <w:sz w:val="21"/>
          <w:szCs w:val="23"/>
        </w:rPr>
        <w:t>i</w:t>
      </w:r>
      <w:proofErr w:type="spellEnd"/>
      <w:r w:rsidRPr="00F74585">
        <w:rPr>
          <w:rFonts w:ascii="SimSun" w:hint="eastAsia"/>
          <w:color w:val="000000"/>
          <w:sz w:val="21"/>
          <w:szCs w:val="23"/>
        </w:rPr>
        <w:t>)</w:t>
      </w:r>
      <w:r w:rsidRPr="00F74585">
        <w:rPr>
          <w:rFonts w:ascii="SimSun"/>
          <w:color w:val="000000"/>
          <w:sz w:val="21"/>
          <w:szCs w:val="23"/>
        </w:rPr>
        <w:t> </w:t>
      </w:r>
      <w:r w:rsidRPr="00F74585">
        <w:rPr>
          <w:rFonts w:ascii="SimSun" w:hint="eastAsia"/>
          <w:color w:val="000000"/>
          <w:sz w:val="21"/>
          <w:szCs w:val="23"/>
        </w:rPr>
        <w:t>资本保全，(ii)</w:t>
      </w:r>
      <w:r w:rsidRPr="00F74585">
        <w:rPr>
          <w:rFonts w:ascii="SimSun"/>
          <w:color w:val="000000"/>
          <w:sz w:val="21"/>
          <w:szCs w:val="23"/>
        </w:rPr>
        <w:t> </w:t>
      </w:r>
      <w:r w:rsidRPr="00F74585">
        <w:rPr>
          <w:rFonts w:ascii="SimSun" w:hint="eastAsia"/>
          <w:color w:val="000000"/>
          <w:sz w:val="21"/>
          <w:szCs w:val="23"/>
        </w:rPr>
        <w:t>流动性，以及(iii)</w:t>
      </w:r>
      <w:r w:rsidRPr="00F74585">
        <w:rPr>
          <w:rFonts w:ascii="SimSun"/>
          <w:color w:val="000000"/>
          <w:sz w:val="21"/>
          <w:szCs w:val="23"/>
        </w:rPr>
        <w:t> </w:t>
      </w:r>
      <w:r w:rsidRPr="00F74585">
        <w:rPr>
          <w:rFonts w:ascii="SimSun" w:hint="eastAsia"/>
          <w:color w:val="000000"/>
          <w:sz w:val="21"/>
          <w:szCs w:val="23"/>
        </w:rPr>
        <w:t>在第(</w:t>
      </w:r>
      <w:proofErr w:type="spellStart"/>
      <w:r w:rsidRPr="00F74585">
        <w:rPr>
          <w:rFonts w:ascii="SimSun" w:hint="eastAsia"/>
          <w:color w:val="000000"/>
          <w:sz w:val="21"/>
          <w:szCs w:val="23"/>
        </w:rPr>
        <w:t>i</w:t>
      </w:r>
      <w:proofErr w:type="spellEnd"/>
      <w:r w:rsidRPr="00F74585">
        <w:rPr>
          <w:rFonts w:ascii="SimSun" w:hint="eastAsia"/>
          <w:color w:val="000000"/>
          <w:sz w:val="21"/>
          <w:szCs w:val="23"/>
        </w:rPr>
        <w:t>)项和第(ii)项的约束下，收益率。</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金融机构多样化</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3.</w:t>
      </w:r>
      <w:r w:rsidRPr="00F74585">
        <w:rPr>
          <w:rFonts w:ascii="SimSun" w:hint="eastAsia"/>
          <w:color w:val="000000"/>
          <w:sz w:val="21"/>
          <w:szCs w:val="23"/>
        </w:rPr>
        <w:tab/>
        <w:t>财务细则104.12 (a)规定：“所有投资须由财务主任指定的公认的财务机构来进行和维持”。本组织的投资应当分散在多家机构，确保任一时间对一家机构的敞口不超过各项投资的10%，例外是主权风险机构或评级为AAA/</w:t>
      </w:r>
      <w:proofErr w:type="spellStart"/>
      <w:r w:rsidRPr="00F74585">
        <w:rPr>
          <w:rFonts w:ascii="SimSun" w:hint="eastAsia"/>
          <w:color w:val="000000"/>
          <w:sz w:val="21"/>
          <w:szCs w:val="23"/>
        </w:rPr>
        <w:t>Aaa</w:t>
      </w:r>
      <w:proofErr w:type="spellEnd"/>
      <w:r w:rsidRPr="00F74585">
        <w:rPr>
          <w:rFonts w:ascii="SimSun"/>
          <w:color w:val="000000"/>
          <w:sz w:val="21"/>
          <w:szCs w:val="23"/>
          <w:vertAlign w:val="superscript"/>
          <w:lang w:eastAsia="en-US"/>
        </w:rPr>
        <w:footnoteReference w:id="3"/>
      </w:r>
      <w:r w:rsidRPr="00F74585">
        <w:rPr>
          <w:rFonts w:ascii="SimSun" w:hint="eastAsia"/>
          <w:color w:val="000000"/>
          <w:sz w:val="21"/>
          <w:szCs w:val="23"/>
        </w:rPr>
        <w:t>的机构，对这些机构没有限制或限额。</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投资币种</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4.</w:t>
      </w:r>
      <w:r w:rsidRPr="00F74585">
        <w:rPr>
          <w:rFonts w:ascii="SimSun" w:hint="eastAsia"/>
          <w:color w:val="000000"/>
          <w:sz w:val="21"/>
          <w:szCs w:val="23"/>
        </w:rPr>
        <w:tab/>
        <w:t>瑞士法郎是本组织核准预算、报告决算使用的货币，对外汇风险和敞口的管理，要尽可能降低风险，保存以瑞士法郎标价的资产的价值。对短期、中期和长期投资的管理，应当尽最大可能，在币种和期限方面使持有的货币、预计现金流入量和预计外付款持平。</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基　准</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5.</w:t>
      </w:r>
      <w:r w:rsidRPr="00F74585">
        <w:rPr>
          <w:rFonts w:ascii="SimSun" w:hint="eastAsia"/>
          <w:color w:val="000000"/>
          <w:sz w:val="21"/>
          <w:szCs w:val="23"/>
        </w:rPr>
        <w:tab/>
        <w:t>本组织各类现金资源的管理，将在内部进行，瑞士法郎参照本组织在瑞士国家银行(</w:t>
      </w:r>
      <w:proofErr w:type="spellStart"/>
      <w:r w:rsidRPr="00F74585">
        <w:rPr>
          <w:rFonts w:ascii="SimSun" w:hint="eastAsia"/>
          <w:color w:val="000000"/>
          <w:sz w:val="21"/>
          <w:szCs w:val="23"/>
        </w:rPr>
        <w:t>Banque</w:t>
      </w:r>
      <w:proofErr w:type="spellEnd"/>
      <w:r w:rsidRPr="00F74585">
        <w:rPr>
          <w:rFonts w:ascii="SimSun" w:hint="eastAsia"/>
          <w:color w:val="000000"/>
          <w:sz w:val="21"/>
          <w:szCs w:val="23"/>
        </w:rPr>
        <w:t xml:space="preserve"> </w:t>
      </w:r>
      <w:proofErr w:type="spellStart"/>
      <w:r w:rsidRPr="00F74585">
        <w:rPr>
          <w:rFonts w:ascii="SimSun" w:hint="eastAsia"/>
          <w:color w:val="000000"/>
          <w:sz w:val="21"/>
          <w:szCs w:val="23"/>
        </w:rPr>
        <w:t>Nationale</w:t>
      </w:r>
      <w:proofErr w:type="spellEnd"/>
      <w:r w:rsidRPr="00F74585">
        <w:rPr>
          <w:rFonts w:ascii="SimSun" w:hint="eastAsia"/>
          <w:color w:val="000000"/>
          <w:sz w:val="21"/>
          <w:szCs w:val="23"/>
        </w:rPr>
        <w:t xml:space="preserve"> Suisse，瑞士央行)存款所得的收益率，欧元参照三月期欧元同业拆借利率(</w:t>
      </w:r>
      <w:proofErr w:type="spellStart"/>
      <w:r w:rsidRPr="00F74585">
        <w:rPr>
          <w:rFonts w:ascii="SimSun" w:hint="eastAsia"/>
          <w:color w:val="000000"/>
          <w:sz w:val="21"/>
          <w:szCs w:val="23"/>
        </w:rPr>
        <w:t>Euribor</w:t>
      </w:r>
      <w:proofErr w:type="spellEnd"/>
      <w:r w:rsidRPr="00F74585">
        <w:rPr>
          <w:rFonts w:ascii="SimSun" w:hint="eastAsia"/>
          <w:color w:val="000000"/>
          <w:sz w:val="21"/>
          <w:szCs w:val="23"/>
        </w:rPr>
        <w:t>)，美元参照三月期美国国债利率。</w:t>
      </w:r>
    </w:p>
    <w:p w:rsidR="00F74585" w:rsidRPr="00F74585" w:rsidRDefault="00F74585" w:rsidP="00F74585">
      <w:pPr>
        <w:adjustRightInd w:val="0"/>
        <w:spacing w:beforeLines="100" w:before="240" w:afterLines="100" w:after="240" w:line="340" w:lineRule="atLeast"/>
        <w:jc w:val="both"/>
        <w:rPr>
          <w:rFonts w:ascii="SimSun"/>
          <w:color w:val="000000"/>
          <w:sz w:val="21"/>
          <w:szCs w:val="23"/>
        </w:rPr>
      </w:pPr>
      <w:r w:rsidRPr="00F74585">
        <w:rPr>
          <w:rFonts w:ascii="SimSun" w:hint="eastAsia"/>
          <w:color w:val="000000"/>
          <w:sz w:val="21"/>
          <w:szCs w:val="23"/>
          <w:u w:val="single"/>
        </w:rPr>
        <w:t>投资类型</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6.</w:t>
      </w:r>
      <w:r w:rsidRPr="00F74585">
        <w:rPr>
          <w:rFonts w:ascii="SimSun" w:hint="eastAsia"/>
          <w:color w:val="000000"/>
          <w:sz w:val="21"/>
          <w:szCs w:val="23"/>
        </w:rPr>
        <w:tab/>
        <w:t>投资将按以下方式进行：</w:t>
      </w:r>
    </w:p>
    <w:p w:rsidR="00F74585" w:rsidRPr="00F74585" w:rsidRDefault="00F74585" w:rsidP="009F4475">
      <w:pPr>
        <w:numPr>
          <w:ilvl w:val="0"/>
          <w:numId w:val="28"/>
        </w:numPr>
        <w:tabs>
          <w:tab w:val="clear" w:pos="1846"/>
        </w:tabs>
        <w:adjustRightInd w:val="0"/>
        <w:spacing w:afterLines="50" w:after="120" w:line="340" w:lineRule="atLeast"/>
        <w:ind w:left="567" w:firstLine="0"/>
        <w:jc w:val="both"/>
        <w:rPr>
          <w:rFonts w:ascii="SimSun"/>
          <w:color w:val="000000"/>
          <w:sz w:val="21"/>
          <w:szCs w:val="23"/>
        </w:rPr>
      </w:pPr>
      <w:r w:rsidRPr="00F74585">
        <w:rPr>
          <w:rFonts w:ascii="SimSun" w:hint="eastAsia"/>
          <w:color w:val="000000"/>
          <w:sz w:val="21"/>
          <w:szCs w:val="23"/>
        </w:rPr>
        <w:t>WIPO瑞士法郎投资将全部在瑞士央行进行，条件是所提供的利率高于具有必要信用评级的商业银行可以提供的利率。</w:t>
      </w:r>
    </w:p>
    <w:p w:rsidR="00F74585" w:rsidRPr="00F74585" w:rsidRDefault="00F74585" w:rsidP="009F4475">
      <w:pPr>
        <w:numPr>
          <w:ilvl w:val="0"/>
          <w:numId w:val="28"/>
        </w:numPr>
        <w:tabs>
          <w:tab w:val="clear" w:pos="1846"/>
        </w:tabs>
        <w:adjustRightInd w:val="0"/>
        <w:spacing w:afterLines="50" w:after="120" w:line="340" w:lineRule="atLeast"/>
        <w:ind w:left="567" w:firstLine="0"/>
        <w:jc w:val="both"/>
        <w:rPr>
          <w:rFonts w:ascii="SimSun"/>
          <w:color w:val="000000"/>
          <w:sz w:val="21"/>
          <w:szCs w:val="23"/>
        </w:rPr>
      </w:pPr>
      <w:r w:rsidRPr="00F74585">
        <w:rPr>
          <w:rFonts w:ascii="SimSun" w:hint="eastAsia"/>
          <w:color w:val="000000"/>
          <w:sz w:val="21"/>
          <w:szCs w:val="23"/>
        </w:rPr>
        <w:lastRenderedPageBreak/>
        <w:t>在瑞士国家银行以外的投资，限于在信誉评级为</w:t>
      </w:r>
      <w:r w:rsidRPr="00F74585">
        <w:rPr>
          <w:rFonts w:ascii="SimSun"/>
          <w:color w:val="000000"/>
          <w:sz w:val="21"/>
          <w:szCs w:val="23"/>
        </w:rPr>
        <w:t>AA-/Aa3</w:t>
      </w:r>
      <w:r w:rsidRPr="00F74585">
        <w:rPr>
          <w:rFonts w:ascii="SimSun" w:hint="eastAsia"/>
          <w:color w:val="000000"/>
          <w:sz w:val="21"/>
          <w:szCs w:val="23"/>
        </w:rPr>
        <w:t>或更高的银行持有的货币市场基金和定期存款，以及评级为</w:t>
      </w:r>
      <w:r w:rsidRPr="00F74585">
        <w:rPr>
          <w:rFonts w:ascii="SimSun"/>
          <w:color w:val="000000"/>
          <w:sz w:val="21"/>
          <w:szCs w:val="23"/>
        </w:rPr>
        <w:t>AA-/Aa3</w:t>
      </w:r>
      <w:r w:rsidRPr="00F74585">
        <w:rPr>
          <w:rFonts w:ascii="SimSun" w:hint="eastAsia"/>
          <w:color w:val="000000"/>
          <w:sz w:val="21"/>
          <w:szCs w:val="23"/>
        </w:rPr>
        <w:t>或更高的公司债券或政府债券。</w:t>
      </w:r>
    </w:p>
    <w:p w:rsidR="00F74585" w:rsidRPr="00F74585" w:rsidRDefault="00F74585" w:rsidP="009F4475">
      <w:pPr>
        <w:numPr>
          <w:ilvl w:val="0"/>
          <w:numId w:val="28"/>
        </w:numPr>
        <w:tabs>
          <w:tab w:val="clear" w:pos="1846"/>
        </w:tabs>
        <w:adjustRightInd w:val="0"/>
        <w:spacing w:afterLines="50" w:after="120" w:line="340" w:lineRule="atLeast"/>
        <w:ind w:left="567" w:firstLine="0"/>
        <w:jc w:val="both"/>
        <w:rPr>
          <w:rFonts w:ascii="SimSun"/>
          <w:color w:val="000000"/>
          <w:sz w:val="21"/>
          <w:szCs w:val="23"/>
        </w:rPr>
      </w:pPr>
      <w:r w:rsidRPr="00F74585">
        <w:rPr>
          <w:rFonts w:ascii="SimSun" w:hint="eastAsia"/>
          <w:color w:val="000000"/>
          <w:sz w:val="21"/>
          <w:szCs w:val="23"/>
        </w:rPr>
        <w:t>持有的信托基金款项将在符合必要信用评级的银行投入货币市场基金和定期存款。</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7.</w:t>
      </w:r>
      <w:r w:rsidRPr="00F74585">
        <w:rPr>
          <w:rFonts w:ascii="SimSun" w:hint="eastAsia"/>
          <w:color w:val="000000"/>
          <w:sz w:val="21"/>
          <w:szCs w:val="23"/>
        </w:rPr>
        <w:tab/>
        <w:t>不允许投资于投机性衍生工具。但是，投资用瑞士法郎以外的货币持有的，为尽可能降低因投资货币相对于瑞士法郎的波动而产生的风险，避免总投资收益为负，首席财务官/财务主任与总干事在内部设立的投资咨询委员会协商后，可以授权使用套期保值工具。</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8.</w:t>
      </w:r>
      <w:r w:rsidRPr="00F74585">
        <w:rPr>
          <w:rFonts w:ascii="SimSun" w:hint="eastAsia"/>
          <w:color w:val="000000"/>
          <w:sz w:val="21"/>
          <w:szCs w:val="23"/>
        </w:rPr>
        <w:tab/>
        <w:t>投资应当经首席财务官/财务主任批准，由本组织财务处进行内部管理。每一类的现金流量预测应当按需要进行定期更新，确保每一类均有</w:t>
      </w:r>
      <w:proofErr w:type="gramStart"/>
      <w:r w:rsidRPr="00F74585">
        <w:rPr>
          <w:rFonts w:ascii="SimSun" w:hint="eastAsia"/>
          <w:color w:val="000000"/>
          <w:sz w:val="21"/>
          <w:szCs w:val="23"/>
        </w:rPr>
        <w:t>充分资金</w:t>
      </w:r>
      <w:proofErr w:type="gramEnd"/>
      <w:r w:rsidRPr="00F74585">
        <w:rPr>
          <w:rFonts w:ascii="SimSun" w:hint="eastAsia"/>
          <w:color w:val="000000"/>
          <w:sz w:val="21"/>
          <w:szCs w:val="23"/>
        </w:rPr>
        <w:t>满足流动性要求。</w:t>
      </w:r>
    </w:p>
    <w:p w:rsidR="00F74585" w:rsidRPr="00F74585" w:rsidRDefault="00F74585" w:rsidP="00F74585">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9.</w:t>
      </w:r>
      <w:r w:rsidRPr="00F74585">
        <w:rPr>
          <w:rFonts w:ascii="SimSun" w:hint="eastAsia"/>
          <w:color w:val="000000"/>
          <w:sz w:val="21"/>
          <w:szCs w:val="23"/>
        </w:rPr>
        <w:tab/>
        <w:t>本组织资金的各笔投资，将由投资咨询委员会至少每年审查一次，确保其反映本组织业务模式和财务状况的任何变动。</w:t>
      </w:r>
    </w:p>
    <w:p w:rsidR="00F74585" w:rsidRPr="00F74585" w:rsidRDefault="00F74585" w:rsidP="00F74585">
      <w:pPr>
        <w:adjustRightInd w:val="0"/>
        <w:spacing w:beforeLines="100" w:before="240" w:afterLines="100" w:after="240" w:line="340" w:lineRule="atLeast"/>
        <w:jc w:val="both"/>
        <w:rPr>
          <w:rFonts w:ascii="SimSun"/>
          <w:color w:val="000000"/>
          <w:sz w:val="21"/>
          <w:szCs w:val="23"/>
          <w:u w:val="single"/>
        </w:rPr>
      </w:pPr>
      <w:r w:rsidRPr="00F74585">
        <w:rPr>
          <w:rFonts w:ascii="SimSun" w:hint="eastAsia"/>
          <w:color w:val="000000"/>
          <w:sz w:val="21"/>
          <w:szCs w:val="23"/>
          <w:u w:val="single"/>
        </w:rPr>
        <w:t>道德考虑</w:t>
      </w:r>
    </w:p>
    <w:p w:rsidR="00EF3EBB" w:rsidRPr="003B6ABB" w:rsidRDefault="00F74585" w:rsidP="003B6ABB">
      <w:pPr>
        <w:adjustRightInd w:val="0"/>
        <w:spacing w:afterLines="50" w:after="120" w:line="340" w:lineRule="atLeast"/>
        <w:jc w:val="both"/>
        <w:rPr>
          <w:rFonts w:ascii="SimSun"/>
          <w:color w:val="000000"/>
          <w:sz w:val="21"/>
          <w:szCs w:val="23"/>
        </w:rPr>
      </w:pPr>
      <w:r w:rsidRPr="00F74585">
        <w:rPr>
          <w:rFonts w:ascii="SimSun" w:hint="eastAsia"/>
          <w:color w:val="000000"/>
          <w:sz w:val="21"/>
          <w:szCs w:val="23"/>
        </w:rPr>
        <w:t>10.</w:t>
      </w:r>
      <w:r w:rsidRPr="00F74585">
        <w:rPr>
          <w:rFonts w:ascii="SimSun" w:hint="eastAsia"/>
          <w:color w:val="000000"/>
          <w:sz w:val="21"/>
          <w:szCs w:val="23"/>
        </w:rPr>
        <w:tab/>
        <w:t>投资于企业债券、定期存款和货币市场基金时，应当考虑发行这些投资的实体是否接受《联合国全球契约》在人权、劳工标准、环境和反腐败方面的十项原则。</w:t>
      </w:r>
      <w:r w:rsidRPr="00F74585">
        <w:rPr>
          <w:rFonts w:ascii="SimSun" w:hint="eastAsia"/>
          <w:color w:val="000000"/>
          <w:sz w:val="21"/>
          <w:szCs w:val="23"/>
          <w:lang w:eastAsia="en-US"/>
        </w:rPr>
        <w:t>(</w:t>
      </w:r>
      <w:r w:rsidRPr="00F74585">
        <w:rPr>
          <w:rFonts w:ascii="SimSun"/>
          <w:color w:val="000000"/>
          <w:sz w:val="21"/>
          <w:szCs w:val="23"/>
          <w:lang w:eastAsia="en-US"/>
        </w:rPr>
        <w:t>www.unglobalcompact.org</w:t>
      </w:r>
      <w:r w:rsidRPr="00F74585">
        <w:rPr>
          <w:rFonts w:ascii="SimSun" w:hint="eastAsia"/>
          <w:color w:val="000000"/>
          <w:sz w:val="21"/>
          <w:szCs w:val="23"/>
          <w:lang w:eastAsia="en-US"/>
        </w:rPr>
        <w:t>)</w:t>
      </w:r>
    </w:p>
    <w:p w:rsidR="00EF3EBB" w:rsidRDefault="00EF3EBB" w:rsidP="00502A73">
      <w:pPr>
        <w:spacing w:line="276" w:lineRule="auto"/>
        <w:jc w:val="center"/>
        <w:rPr>
          <w:rFonts w:eastAsia="Times New Roman"/>
          <w:color w:val="000000"/>
          <w:szCs w:val="22"/>
          <w:lang w:eastAsia="en-US"/>
        </w:rPr>
      </w:pPr>
    </w:p>
    <w:p w:rsidR="00EF3EBB" w:rsidRDefault="00EF3EBB" w:rsidP="00405DB2">
      <w:pPr>
        <w:spacing w:line="276" w:lineRule="auto"/>
        <w:rPr>
          <w:rFonts w:eastAsia="Times New Roman"/>
          <w:color w:val="000000"/>
          <w:szCs w:val="22"/>
          <w:lang w:eastAsia="en-US"/>
        </w:rPr>
        <w:sectPr w:rsidR="00EF3EBB" w:rsidSect="008577D4">
          <w:headerReference w:type="default" r:id="rId15"/>
          <w:headerReference w:type="first" r:id="rId16"/>
          <w:footerReference w:type="first" r:id="rId17"/>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tbl>
      <w:tblPr>
        <w:tblW w:w="12033" w:type="dxa"/>
        <w:jc w:val="center"/>
        <w:tblCellSpacing w:w="15" w:type="dxa"/>
        <w:tblInd w:w="-1435" w:type="dxa"/>
        <w:tblCellMar>
          <w:left w:w="0" w:type="dxa"/>
          <w:right w:w="0" w:type="dxa"/>
        </w:tblCellMar>
        <w:tblLook w:val="0000" w:firstRow="0" w:lastRow="0" w:firstColumn="0" w:lastColumn="0" w:noHBand="0" w:noVBand="0"/>
      </w:tblPr>
      <w:tblGrid>
        <w:gridCol w:w="1250"/>
        <w:gridCol w:w="1702"/>
        <w:gridCol w:w="1235"/>
        <w:gridCol w:w="1235"/>
        <w:gridCol w:w="1235"/>
        <w:gridCol w:w="1235"/>
        <w:gridCol w:w="4141"/>
      </w:tblGrid>
      <w:tr w:rsidR="00916371" w:rsidTr="004D5AC1">
        <w:trPr>
          <w:tblCellSpacing w:w="15" w:type="dxa"/>
          <w:jc w:val="center"/>
        </w:trPr>
        <w:tc>
          <w:tcPr>
            <w:tcW w:w="0" w:type="auto"/>
            <w:gridSpan w:val="2"/>
            <w:shd w:val="clear" w:color="auto" w:fill="FF7C80"/>
            <w:tcMar>
              <w:top w:w="15" w:type="dxa"/>
              <w:left w:w="15" w:type="dxa"/>
              <w:bottom w:w="15" w:type="dxa"/>
              <w:right w:w="15" w:type="dxa"/>
            </w:tcMar>
            <w:vAlign w:val="center"/>
          </w:tcPr>
          <w:p w:rsidR="00916371" w:rsidRDefault="00916371" w:rsidP="004D5AC1">
            <w:pPr>
              <w:jc w:val="center"/>
              <w:rPr>
                <w:b/>
                <w:bCs/>
              </w:rPr>
            </w:pPr>
            <w:r>
              <w:rPr>
                <w:rFonts w:hint="eastAsia"/>
                <w:b/>
                <w:bCs/>
              </w:rPr>
              <w:lastRenderedPageBreak/>
              <w:t>穆</w:t>
            </w:r>
            <w:r>
              <w:rPr>
                <w:rFonts w:hint="eastAsia"/>
                <w:b/>
                <w:bCs/>
              </w:rPr>
              <w:t xml:space="preserve">   </w:t>
            </w:r>
            <w:proofErr w:type="gramStart"/>
            <w:r>
              <w:rPr>
                <w:rFonts w:hint="eastAsia"/>
                <w:b/>
                <w:bCs/>
              </w:rPr>
              <w:t>迪</w:t>
            </w:r>
            <w:proofErr w:type="gramEnd"/>
          </w:p>
        </w:tc>
        <w:tc>
          <w:tcPr>
            <w:tcW w:w="0" w:type="auto"/>
            <w:gridSpan w:val="2"/>
            <w:tcMar>
              <w:top w:w="15" w:type="dxa"/>
              <w:left w:w="15" w:type="dxa"/>
              <w:bottom w:w="15" w:type="dxa"/>
              <w:right w:w="15" w:type="dxa"/>
            </w:tcMar>
            <w:vAlign w:val="center"/>
          </w:tcPr>
          <w:p w:rsidR="00916371" w:rsidRDefault="00916371" w:rsidP="004D5AC1">
            <w:pPr>
              <w:jc w:val="center"/>
              <w:rPr>
                <w:b/>
                <w:bCs/>
              </w:rPr>
            </w:pPr>
            <w:r>
              <w:rPr>
                <w:rFonts w:hint="eastAsia"/>
                <w:b/>
                <w:bCs/>
              </w:rPr>
              <w:t>标准普尔</w:t>
            </w:r>
          </w:p>
        </w:tc>
        <w:tc>
          <w:tcPr>
            <w:tcW w:w="0" w:type="auto"/>
            <w:gridSpan w:val="2"/>
            <w:shd w:val="clear" w:color="auto" w:fill="0099FF"/>
            <w:tcMar>
              <w:top w:w="15" w:type="dxa"/>
              <w:left w:w="15" w:type="dxa"/>
              <w:bottom w:w="15" w:type="dxa"/>
              <w:right w:w="15" w:type="dxa"/>
            </w:tcMar>
            <w:vAlign w:val="center"/>
          </w:tcPr>
          <w:p w:rsidR="00916371" w:rsidRPr="00D14583" w:rsidRDefault="00916371" w:rsidP="004D5AC1">
            <w:pPr>
              <w:jc w:val="center"/>
              <w:rPr>
                <w:b/>
                <w:bCs/>
              </w:rPr>
            </w:pPr>
            <w:r w:rsidRPr="00D14583">
              <w:rPr>
                <w:rFonts w:hint="eastAsia"/>
                <w:b/>
                <w:bCs/>
              </w:rPr>
              <w:t>惠</w:t>
            </w:r>
            <w:r>
              <w:rPr>
                <w:rFonts w:hint="eastAsia"/>
                <w:b/>
                <w:bCs/>
              </w:rPr>
              <w:t xml:space="preserve">   </w:t>
            </w:r>
            <w:r w:rsidRPr="00D14583">
              <w:rPr>
                <w:rFonts w:hint="eastAsia"/>
                <w:b/>
                <w:bCs/>
              </w:rPr>
              <w:t>誉</w:t>
            </w:r>
          </w:p>
        </w:tc>
        <w:tc>
          <w:tcPr>
            <w:tcW w:w="0" w:type="auto"/>
            <w:tcMar>
              <w:top w:w="15" w:type="dxa"/>
              <w:left w:w="15" w:type="dxa"/>
              <w:bottom w:w="15" w:type="dxa"/>
              <w:right w:w="15" w:type="dxa"/>
            </w:tcMar>
            <w:vAlign w:val="center"/>
          </w:tcPr>
          <w:p w:rsidR="00916371" w:rsidRDefault="00916371" w:rsidP="004D5AC1">
            <w:pPr>
              <w:jc w:val="center"/>
              <w:rPr>
                <w:b/>
                <w:bCs/>
              </w:rPr>
            </w:pPr>
            <w:r>
              <w:rPr>
                <w:b/>
                <w:bCs/>
              </w:rPr>
              <w:t> </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rPr>
                <w:b/>
                <w:bCs/>
              </w:rPr>
            </w:pPr>
            <w:r>
              <w:rPr>
                <w:b/>
                <w:bCs/>
              </w:rPr>
              <w:t>长</w:t>
            </w:r>
            <w:r>
              <w:rPr>
                <w:rFonts w:hint="eastAsia"/>
                <w:b/>
                <w:bCs/>
              </w:rPr>
              <w:t xml:space="preserve">   </w:t>
            </w:r>
            <w:r>
              <w:rPr>
                <w:b/>
                <w:bCs/>
              </w:rPr>
              <w:t>期</w:t>
            </w:r>
          </w:p>
        </w:tc>
        <w:tc>
          <w:tcPr>
            <w:tcW w:w="0" w:type="auto"/>
            <w:shd w:val="clear" w:color="auto" w:fill="FFC0CB"/>
            <w:tcMar>
              <w:top w:w="15" w:type="dxa"/>
              <w:left w:w="15" w:type="dxa"/>
              <w:bottom w:w="15" w:type="dxa"/>
              <w:right w:w="15" w:type="dxa"/>
            </w:tcMar>
            <w:vAlign w:val="center"/>
          </w:tcPr>
          <w:p w:rsidR="00916371" w:rsidRDefault="00916371" w:rsidP="004D5AC1">
            <w:pPr>
              <w:jc w:val="center"/>
              <w:rPr>
                <w:b/>
                <w:bCs/>
              </w:rPr>
            </w:pPr>
            <w:r>
              <w:rPr>
                <w:b/>
                <w:bCs/>
              </w:rPr>
              <w:t>短</w:t>
            </w:r>
            <w:r>
              <w:rPr>
                <w:b/>
                <w:bCs/>
              </w:rPr>
              <w:t xml:space="preserve">   </w:t>
            </w:r>
            <w:r>
              <w:rPr>
                <w:b/>
                <w:bCs/>
              </w:rPr>
              <w:t>期</w:t>
            </w:r>
          </w:p>
        </w:tc>
        <w:tc>
          <w:tcPr>
            <w:tcW w:w="0" w:type="auto"/>
            <w:shd w:val="clear" w:color="auto" w:fill="FFFF00"/>
            <w:tcMar>
              <w:top w:w="15" w:type="dxa"/>
              <w:left w:w="15" w:type="dxa"/>
              <w:bottom w:w="15" w:type="dxa"/>
              <w:right w:w="15" w:type="dxa"/>
            </w:tcMar>
            <w:vAlign w:val="center"/>
          </w:tcPr>
          <w:p w:rsidR="00916371" w:rsidRDefault="00916371" w:rsidP="004D5AC1">
            <w:pPr>
              <w:jc w:val="center"/>
              <w:rPr>
                <w:b/>
                <w:bCs/>
              </w:rPr>
            </w:pPr>
            <w:r>
              <w:rPr>
                <w:b/>
                <w:bCs/>
              </w:rPr>
              <w:t>长</w:t>
            </w:r>
            <w:r>
              <w:rPr>
                <w:rFonts w:hint="eastAsia"/>
                <w:b/>
                <w:bCs/>
              </w:rPr>
              <w:t xml:space="preserve">   </w:t>
            </w:r>
            <w:r>
              <w:rPr>
                <w:b/>
                <w:bCs/>
              </w:rPr>
              <w:t>期</w:t>
            </w:r>
          </w:p>
        </w:tc>
        <w:tc>
          <w:tcPr>
            <w:tcW w:w="0" w:type="auto"/>
            <w:shd w:val="clear" w:color="auto" w:fill="F0E68C"/>
            <w:tcMar>
              <w:top w:w="15" w:type="dxa"/>
              <w:left w:w="15" w:type="dxa"/>
              <w:bottom w:w="15" w:type="dxa"/>
              <w:right w:w="15" w:type="dxa"/>
            </w:tcMar>
            <w:vAlign w:val="center"/>
          </w:tcPr>
          <w:p w:rsidR="00916371" w:rsidRDefault="00916371" w:rsidP="004D5AC1">
            <w:pPr>
              <w:jc w:val="center"/>
              <w:rPr>
                <w:b/>
                <w:bCs/>
              </w:rPr>
            </w:pPr>
            <w:r>
              <w:rPr>
                <w:b/>
                <w:bCs/>
              </w:rPr>
              <w:t>短</w:t>
            </w:r>
            <w:r>
              <w:rPr>
                <w:b/>
                <w:bCs/>
              </w:rPr>
              <w:t xml:space="preserve">   </w:t>
            </w:r>
            <w:r>
              <w:rPr>
                <w:b/>
                <w:bCs/>
              </w:rPr>
              <w:t>期</w:t>
            </w:r>
          </w:p>
        </w:tc>
        <w:tc>
          <w:tcPr>
            <w:tcW w:w="0" w:type="auto"/>
            <w:shd w:val="clear" w:color="auto" w:fill="1E90FF"/>
            <w:tcMar>
              <w:top w:w="15" w:type="dxa"/>
              <w:left w:w="15" w:type="dxa"/>
              <w:bottom w:w="15" w:type="dxa"/>
              <w:right w:w="15" w:type="dxa"/>
            </w:tcMar>
            <w:vAlign w:val="center"/>
          </w:tcPr>
          <w:p w:rsidR="00916371" w:rsidRDefault="00916371" w:rsidP="004D5AC1">
            <w:pPr>
              <w:jc w:val="center"/>
              <w:rPr>
                <w:b/>
                <w:bCs/>
              </w:rPr>
            </w:pPr>
            <w:r>
              <w:rPr>
                <w:b/>
                <w:bCs/>
              </w:rPr>
              <w:t>长</w:t>
            </w:r>
            <w:r>
              <w:rPr>
                <w:rFonts w:hint="eastAsia"/>
                <w:b/>
                <w:bCs/>
              </w:rPr>
              <w:t xml:space="preserve">   </w:t>
            </w:r>
            <w:r>
              <w:rPr>
                <w:b/>
                <w:bCs/>
              </w:rPr>
              <w:t>期</w:t>
            </w:r>
          </w:p>
        </w:tc>
        <w:tc>
          <w:tcPr>
            <w:tcW w:w="0" w:type="auto"/>
            <w:shd w:val="clear" w:color="auto" w:fill="AFEEEE"/>
            <w:tcMar>
              <w:top w:w="15" w:type="dxa"/>
              <w:left w:w="15" w:type="dxa"/>
              <w:bottom w:w="15" w:type="dxa"/>
              <w:right w:w="15" w:type="dxa"/>
            </w:tcMar>
            <w:vAlign w:val="center"/>
          </w:tcPr>
          <w:p w:rsidR="00916371" w:rsidRDefault="00916371" w:rsidP="004D5AC1">
            <w:pPr>
              <w:jc w:val="center"/>
              <w:rPr>
                <w:b/>
                <w:bCs/>
              </w:rPr>
            </w:pPr>
            <w:r>
              <w:rPr>
                <w:b/>
                <w:bCs/>
              </w:rPr>
              <w:t>短</w:t>
            </w:r>
            <w:r>
              <w:rPr>
                <w:b/>
                <w:bCs/>
              </w:rPr>
              <w:t xml:space="preserve">   </w:t>
            </w:r>
            <w:r>
              <w:rPr>
                <w:b/>
                <w:bCs/>
              </w:rPr>
              <w:t>期</w:t>
            </w:r>
          </w:p>
        </w:tc>
        <w:tc>
          <w:tcPr>
            <w:tcW w:w="0" w:type="auto"/>
            <w:tcMar>
              <w:top w:w="15" w:type="dxa"/>
              <w:left w:w="15" w:type="dxa"/>
              <w:bottom w:w="15" w:type="dxa"/>
              <w:right w:w="15" w:type="dxa"/>
            </w:tcMar>
            <w:vAlign w:val="center"/>
          </w:tcPr>
          <w:p w:rsidR="00916371" w:rsidRDefault="00916371" w:rsidP="004D5AC1">
            <w:pPr>
              <w:jc w:val="center"/>
              <w:rPr>
                <w:b/>
                <w:bCs/>
              </w:rPr>
            </w:pPr>
            <w:r>
              <w:rPr>
                <w:b/>
                <w:bCs/>
              </w:rPr>
              <w:t> </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proofErr w:type="spellStart"/>
            <w:r>
              <w:t>Aaa</w:t>
            </w:r>
            <w:proofErr w:type="spellEnd"/>
          </w:p>
        </w:tc>
        <w:tc>
          <w:tcPr>
            <w:tcW w:w="0" w:type="auto"/>
            <w:vMerge w:val="restart"/>
            <w:shd w:val="clear" w:color="auto" w:fill="FFC0CB"/>
            <w:tcMar>
              <w:top w:w="15" w:type="dxa"/>
              <w:left w:w="15" w:type="dxa"/>
              <w:bottom w:w="15" w:type="dxa"/>
              <w:right w:w="15" w:type="dxa"/>
            </w:tcMar>
            <w:vAlign w:val="center"/>
          </w:tcPr>
          <w:p w:rsidR="00916371" w:rsidRDefault="00916371" w:rsidP="004D5AC1">
            <w:pPr>
              <w:jc w:val="center"/>
            </w:pPr>
            <w:r>
              <w:t>P-1</w:t>
            </w:r>
          </w:p>
        </w:tc>
        <w:tc>
          <w:tcPr>
            <w:tcW w:w="0" w:type="auto"/>
            <w:shd w:val="clear" w:color="auto" w:fill="FFFF00"/>
            <w:tcMar>
              <w:top w:w="15" w:type="dxa"/>
              <w:left w:w="15" w:type="dxa"/>
              <w:bottom w:w="15" w:type="dxa"/>
              <w:right w:w="15" w:type="dxa"/>
            </w:tcMar>
            <w:vAlign w:val="center"/>
          </w:tcPr>
          <w:p w:rsidR="00916371" w:rsidRDefault="00916371" w:rsidP="004D5AC1">
            <w:pPr>
              <w:jc w:val="center"/>
            </w:pPr>
            <w:r>
              <w:t>AAA</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A-1+</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AAA</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F1+</w:t>
            </w:r>
          </w:p>
        </w:tc>
        <w:tc>
          <w:tcPr>
            <w:tcW w:w="0" w:type="auto"/>
            <w:shd w:val="clear" w:color="auto" w:fill="D2B48C"/>
            <w:tcMar>
              <w:top w:w="15" w:type="dxa"/>
              <w:left w:w="15" w:type="dxa"/>
              <w:bottom w:w="15" w:type="dxa"/>
              <w:right w:w="15" w:type="dxa"/>
            </w:tcMar>
            <w:vAlign w:val="center"/>
          </w:tcPr>
          <w:p w:rsidR="00916371" w:rsidRDefault="00916371" w:rsidP="004D5AC1">
            <w:pPr>
              <w:jc w:val="center"/>
            </w:pPr>
            <w:r>
              <w:rPr>
                <w:rFonts w:hint="eastAsia"/>
              </w:rPr>
              <w:t>优先级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Aa1</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高级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Aa2</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Aa3</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AA-</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vAlign w:val="center"/>
          </w:tcPr>
          <w:p w:rsidR="00916371" w:rsidRDefault="00916371" w:rsidP="004D5AC1">
            <w:pPr>
              <w:jc w:val="center"/>
            </w:pPr>
            <w:r>
              <w:t>A1</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A+</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A-1</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A+</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F1</w:t>
            </w:r>
          </w:p>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中上级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A2</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A</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A</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A3</w:t>
            </w:r>
          </w:p>
        </w:tc>
        <w:tc>
          <w:tcPr>
            <w:tcW w:w="0" w:type="auto"/>
            <w:vMerge w:val="restart"/>
            <w:shd w:val="clear" w:color="auto" w:fill="FFC0CB"/>
            <w:tcMar>
              <w:top w:w="15" w:type="dxa"/>
              <w:left w:w="15" w:type="dxa"/>
              <w:bottom w:w="15" w:type="dxa"/>
              <w:right w:w="15" w:type="dxa"/>
            </w:tcMar>
            <w:vAlign w:val="center"/>
          </w:tcPr>
          <w:p w:rsidR="00916371" w:rsidRDefault="00916371" w:rsidP="004D5AC1">
            <w:pPr>
              <w:jc w:val="center"/>
            </w:pPr>
            <w:r>
              <w:t>P-2</w:t>
            </w:r>
          </w:p>
        </w:tc>
        <w:tc>
          <w:tcPr>
            <w:tcW w:w="0" w:type="auto"/>
            <w:shd w:val="clear" w:color="auto" w:fill="FFFF00"/>
            <w:tcMar>
              <w:top w:w="15" w:type="dxa"/>
              <w:left w:w="15" w:type="dxa"/>
              <w:bottom w:w="15" w:type="dxa"/>
              <w:right w:w="15" w:type="dxa"/>
            </w:tcMar>
            <w:vAlign w:val="center"/>
          </w:tcPr>
          <w:p w:rsidR="00916371" w:rsidRDefault="00916371" w:rsidP="004D5AC1">
            <w:pPr>
              <w:jc w:val="center"/>
            </w:pPr>
            <w:r>
              <w:t>A-</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A-2</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A-</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F2</w:t>
            </w:r>
          </w:p>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Baa1</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BBB+</w:t>
            </w:r>
          </w:p>
        </w:tc>
        <w:tc>
          <w:tcPr>
            <w:tcW w:w="0" w:type="auto"/>
            <w:vMerge/>
            <w:vAlign w:val="center"/>
          </w:tcPr>
          <w:p w:rsidR="00916371" w:rsidRDefault="00916371" w:rsidP="004D5AC1"/>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中下级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Baa2</w:t>
            </w:r>
          </w:p>
        </w:tc>
        <w:tc>
          <w:tcPr>
            <w:tcW w:w="0" w:type="auto"/>
            <w:vMerge w:val="restart"/>
            <w:shd w:val="clear" w:color="auto" w:fill="FFC0CB"/>
            <w:tcMar>
              <w:top w:w="15" w:type="dxa"/>
              <w:left w:w="15" w:type="dxa"/>
              <w:bottom w:w="15" w:type="dxa"/>
              <w:right w:w="15" w:type="dxa"/>
            </w:tcMar>
            <w:vAlign w:val="center"/>
          </w:tcPr>
          <w:p w:rsidR="00916371" w:rsidRDefault="00916371" w:rsidP="004D5AC1">
            <w:pPr>
              <w:jc w:val="center"/>
            </w:pPr>
            <w:r>
              <w:t>P-3</w:t>
            </w:r>
          </w:p>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BBB</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A-3</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BBB</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F3</w:t>
            </w:r>
          </w:p>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Baa3</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BBB-</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Ba1</w:t>
            </w:r>
          </w:p>
        </w:tc>
        <w:tc>
          <w:tcPr>
            <w:tcW w:w="0" w:type="auto"/>
            <w:vMerge w:val="restart"/>
            <w:shd w:val="clear" w:color="auto" w:fill="FFC0CB"/>
            <w:tcMar>
              <w:top w:w="15" w:type="dxa"/>
              <w:left w:w="15" w:type="dxa"/>
              <w:bottom w:w="15" w:type="dxa"/>
              <w:right w:w="15" w:type="dxa"/>
            </w:tcMar>
            <w:vAlign w:val="center"/>
          </w:tcPr>
          <w:p w:rsidR="00916371" w:rsidRDefault="00916371" w:rsidP="004D5AC1">
            <w:pPr>
              <w:jc w:val="center"/>
            </w:pPr>
            <w:r>
              <w:rPr>
                <w:rFonts w:hint="eastAsia"/>
              </w:rPr>
              <w:t>非优先级</w:t>
            </w:r>
          </w:p>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B</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B</w:t>
            </w:r>
          </w:p>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非投资级</w:t>
            </w:r>
            <w:r>
              <w:br/>
            </w:r>
            <w:r>
              <w:rPr>
                <w:rFonts w:hint="eastAsia"/>
              </w:rPr>
              <w:t>投机级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Ba2</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Ba3</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BB-</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B1</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高度投机性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B2</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B3</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shd w:val="clear" w:color="auto" w:fill="1E90FF"/>
            <w:tcMar>
              <w:top w:w="15" w:type="dxa"/>
              <w:left w:w="15" w:type="dxa"/>
              <w:bottom w:w="15" w:type="dxa"/>
              <w:right w:w="15" w:type="dxa"/>
            </w:tcMar>
            <w:vAlign w:val="center"/>
          </w:tcPr>
          <w:p w:rsidR="00916371" w:rsidRDefault="00916371" w:rsidP="004D5AC1">
            <w:pPr>
              <w:jc w:val="center"/>
            </w:pPr>
            <w:r>
              <w:t>B-</w:t>
            </w:r>
          </w:p>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vAlign w:val="center"/>
          </w:tcPr>
          <w:p w:rsidR="00916371" w:rsidRDefault="00916371" w:rsidP="004D5AC1">
            <w:pPr>
              <w:jc w:val="center"/>
            </w:pPr>
            <w:r>
              <w:t>Caa1</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CCC+</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C</w:t>
            </w:r>
          </w:p>
        </w:tc>
        <w:tc>
          <w:tcPr>
            <w:tcW w:w="0" w:type="auto"/>
            <w:vMerge w:val="restart"/>
            <w:shd w:val="clear" w:color="auto" w:fill="1E90FF"/>
            <w:tcMar>
              <w:top w:w="15" w:type="dxa"/>
              <w:left w:w="15" w:type="dxa"/>
              <w:bottom w:w="15" w:type="dxa"/>
              <w:right w:w="15" w:type="dxa"/>
            </w:tcMar>
            <w:vAlign w:val="center"/>
          </w:tcPr>
          <w:p w:rsidR="00916371" w:rsidRDefault="00916371" w:rsidP="004D5AC1">
            <w:pPr>
              <w:jc w:val="center"/>
            </w:pPr>
            <w:r>
              <w:t>CCC</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C</w:t>
            </w:r>
          </w:p>
        </w:tc>
        <w:tc>
          <w:tcPr>
            <w:tcW w:w="0" w:type="auto"/>
            <w:shd w:val="clear" w:color="auto" w:fill="D2B48C"/>
            <w:tcMar>
              <w:top w:w="15" w:type="dxa"/>
              <w:left w:w="15" w:type="dxa"/>
              <w:bottom w:w="15" w:type="dxa"/>
              <w:right w:w="15" w:type="dxa"/>
            </w:tcMar>
            <w:vAlign w:val="center"/>
          </w:tcPr>
          <w:p w:rsidR="00916371" w:rsidRDefault="00916371" w:rsidP="004D5AC1">
            <w:pPr>
              <w:jc w:val="center"/>
            </w:pPr>
            <w:r>
              <w:rPr>
                <w:rFonts w:hint="eastAsia"/>
              </w:rPr>
              <w:t>重大风险</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Caa2</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CCC</w:t>
            </w:r>
          </w:p>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c>
          <w:tcPr>
            <w:tcW w:w="0" w:type="auto"/>
            <w:shd w:val="clear" w:color="auto" w:fill="D2B48C"/>
            <w:tcMar>
              <w:top w:w="15" w:type="dxa"/>
              <w:left w:w="15" w:type="dxa"/>
              <w:bottom w:w="15" w:type="dxa"/>
              <w:right w:w="15" w:type="dxa"/>
            </w:tcMar>
            <w:vAlign w:val="center"/>
          </w:tcPr>
          <w:p w:rsidR="00916371" w:rsidRDefault="00916371" w:rsidP="004D5AC1">
            <w:pPr>
              <w:jc w:val="center"/>
            </w:pPr>
            <w:r>
              <w:rPr>
                <w:rFonts w:hint="eastAsia"/>
              </w:rPr>
              <w:t>极度投机性</w:t>
            </w:r>
          </w:p>
        </w:tc>
      </w:tr>
      <w:tr w:rsidR="00916371" w:rsidTr="004D5AC1">
        <w:trPr>
          <w:tblCellSpacing w:w="15" w:type="dxa"/>
          <w:jc w:val="center"/>
        </w:trPr>
        <w:tc>
          <w:tcPr>
            <w:tcW w:w="0" w:type="auto"/>
            <w:shd w:val="clear" w:color="auto" w:fill="F08080"/>
            <w:tcMar>
              <w:top w:w="15" w:type="dxa"/>
              <w:left w:w="15" w:type="dxa"/>
              <w:bottom w:w="15" w:type="dxa"/>
              <w:right w:w="15" w:type="dxa"/>
            </w:tcMar>
            <w:vAlign w:val="center"/>
          </w:tcPr>
          <w:p w:rsidR="00916371" w:rsidRDefault="00916371" w:rsidP="004D5AC1">
            <w:pPr>
              <w:jc w:val="center"/>
            </w:pPr>
            <w:r>
              <w:t>Caa3</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CCC-</w:t>
            </w:r>
          </w:p>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违约，</w:t>
            </w:r>
            <w:r w:rsidRPr="00242EAA">
              <w:rPr>
                <w:rFonts w:hint="eastAsia"/>
              </w:rPr>
              <w:t>偿本还息</w:t>
            </w:r>
            <w:r>
              <w:rPr>
                <w:rFonts w:hint="eastAsia"/>
              </w:rPr>
              <w:t>前景差</w:t>
            </w:r>
          </w:p>
        </w:tc>
      </w:tr>
      <w:tr w:rsidR="00916371" w:rsidTr="004D5AC1">
        <w:trPr>
          <w:tblCellSpacing w:w="15" w:type="dxa"/>
          <w:jc w:val="center"/>
        </w:trPr>
        <w:tc>
          <w:tcPr>
            <w:tcW w:w="0" w:type="auto"/>
            <w:vMerge w:val="restart"/>
            <w:shd w:val="clear" w:color="auto" w:fill="F08080"/>
            <w:tcMar>
              <w:top w:w="15" w:type="dxa"/>
              <w:left w:w="15" w:type="dxa"/>
              <w:bottom w:w="15" w:type="dxa"/>
              <w:right w:w="15" w:type="dxa"/>
            </w:tcMar>
            <w:vAlign w:val="center"/>
          </w:tcPr>
          <w:p w:rsidR="00916371" w:rsidRDefault="00916371" w:rsidP="004D5AC1">
            <w:pPr>
              <w:jc w:val="center"/>
            </w:pPr>
            <w:r>
              <w:t>Ca</w:t>
            </w:r>
          </w:p>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CC</w:t>
            </w:r>
          </w:p>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vMerge/>
            <w:vAlign w:val="center"/>
          </w:tcPr>
          <w:p w:rsidR="00916371" w:rsidRDefault="00916371" w:rsidP="004D5AC1"/>
        </w:tc>
        <w:tc>
          <w:tcPr>
            <w:tcW w:w="0" w:type="auto"/>
            <w:vMerge/>
            <w:vAlign w:val="center"/>
          </w:tcPr>
          <w:p w:rsidR="00916371" w:rsidRDefault="00916371" w:rsidP="004D5AC1"/>
        </w:tc>
        <w:tc>
          <w:tcPr>
            <w:tcW w:w="0" w:type="auto"/>
            <w:shd w:val="clear" w:color="auto" w:fill="FFFF00"/>
            <w:tcMar>
              <w:top w:w="15" w:type="dxa"/>
              <w:left w:w="15" w:type="dxa"/>
              <w:bottom w:w="15" w:type="dxa"/>
              <w:right w:w="15" w:type="dxa"/>
            </w:tcMar>
            <w:vAlign w:val="center"/>
          </w:tcPr>
          <w:p w:rsidR="00916371" w:rsidRDefault="00916371" w:rsidP="004D5AC1">
            <w:pPr>
              <w:jc w:val="center"/>
            </w:pPr>
            <w:r>
              <w:t>C</w:t>
            </w:r>
          </w:p>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r>
      <w:tr w:rsidR="00916371" w:rsidTr="004D5AC1">
        <w:trPr>
          <w:tblCellSpacing w:w="15" w:type="dxa"/>
          <w:jc w:val="center"/>
        </w:trPr>
        <w:tc>
          <w:tcPr>
            <w:tcW w:w="0" w:type="auto"/>
            <w:shd w:val="clear" w:color="auto" w:fill="F08080"/>
            <w:vAlign w:val="center"/>
          </w:tcPr>
          <w:p w:rsidR="00916371" w:rsidRDefault="00916371" w:rsidP="004D5AC1">
            <w:pPr>
              <w:jc w:val="center"/>
            </w:pPr>
            <w:r>
              <w:t>C</w:t>
            </w:r>
          </w:p>
        </w:tc>
        <w:tc>
          <w:tcPr>
            <w:tcW w:w="0" w:type="auto"/>
            <w:vMerge/>
            <w:vAlign w:val="center"/>
          </w:tcPr>
          <w:p w:rsidR="00916371" w:rsidRDefault="00916371" w:rsidP="004D5AC1"/>
        </w:tc>
        <w:tc>
          <w:tcPr>
            <w:tcW w:w="0" w:type="auto"/>
            <w:vMerge w:val="restart"/>
            <w:shd w:val="clear" w:color="auto" w:fill="FFFF00"/>
            <w:tcMar>
              <w:top w:w="15" w:type="dxa"/>
              <w:left w:w="15" w:type="dxa"/>
              <w:bottom w:w="15" w:type="dxa"/>
              <w:right w:w="15" w:type="dxa"/>
            </w:tcMar>
            <w:vAlign w:val="center"/>
          </w:tcPr>
          <w:p w:rsidR="00916371" w:rsidRDefault="00916371" w:rsidP="004D5AC1">
            <w:pPr>
              <w:jc w:val="center"/>
            </w:pPr>
            <w:r>
              <w:t>D</w:t>
            </w:r>
          </w:p>
        </w:tc>
        <w:tc>
          <w:tcPr>
            <w:tcW w:w="0" w:type="auto"/>
            <w:vMerge w:val="restart"/>
            <w:shd w:val="clear" w:color="auto" w:fill="F0E68C"/>
            <w:tcMar>
              <w:top w:w="15" w:type="dxa"/>
              <w:left w:w="15" w:type="dxa"/>
              <w:bottom w:w="15" w:type="dxa"/>
              <w:right w:w="15" w:type="dxa"/>
            </w:tcMar>
            <w:vAlign w:val="center"/>
          </w:tcPr>
          <w:p w:rsidR="00916371" w:rsidRDefault="00916371" w:rsidP="004D5AC1">
            <w:pPr>
              <w:jc w:val="center"/>
            </w:pPr>
            <w:r>
              <w:t>/</w:t>
            </w:r>
          </w:p>
        </w:tc>
        <w:tc>
          <w:tcPr>
            <w:tcW w:w="0" w:type="auto"/>
            <w:shd w:val="clear" w:color="auto" w:fill="1E90FF"/>
            <w:tcMar>
              <w:top w:w="15" w:type="dxa"/>
              <w:left w:w="15" w:type="dxa"/>
              <w:bottom w:w="15" w:type="dxa"/>
              <w:right w:w="15" w:type="dxa"/>
            </w:tcMar>
            <w:vAlign w:val="center"/>
          </w:tcPr>
          <w:p w:rsidR="00916371" w:rsidRDefault="00916371" w:rsidP="004D5AC1">
            <w:pPr>
              <w:jc w:val="center"/>
            </w:pPr>
            <w:r>
              <w:t>DDD</w:t>
            </w:r>
          </w:p>
        </w:tc>
        <w:tc>
          <w:tcPr>
            <w:tcW w:w="0" w:type="auto"/>
            <w:vMerge w:val="restart"/>
            <w:shd w:val="clear" w:color="auto" w:fill="AFEEEE"/>
            <w:tcMar>
              <w:top w:w="15" w:type="dxa"/>
              <w:left w:w="15" w:type="dxa"/>
              <w:bottom w:w="15" w:type="dxa"/>
              <w:right w:w="15" w:type="dxa"/>
            </w:tcMar>
            <w:vAlign w:val="center"/>
          </w:tcPr>
          <w:p w:rsidR="00916371" w:rsidRDefault="00916371" w:rsidP="004D5AC1">
            <w:pPr>
              <w:jc w:val="center"/>
            </w:pPr>
            <w:r>
              <w:t>/</w:t>
            </w:r>
          </w:p>
        </w:tc>
        <w:tc>
          <w:tcPr>
            <w:tcW w:w="0" w:type="auto"/>
            <w:vMerge w:val="restart"/>
            <w:shd w:val="clear" w:color="auto" w:fill="D2B48C"/>
            <w:tcMar>
              <w:top w:w="15" w:type="dxa"/>
              <w:left w:w="15" w:type="dxa"/>
              <w:bottom w:w="15" w:type="dxa"/>
              <w:right w:w="15" w:type="dxa"/>
            </w:tcMar>
            <w:vAlign w:val="center"/>
          </w:tcPr>
          <w:p w:rsidR="00916371" w:rsidRDefault="00916371" w:rsidP="004D5AC1">
            <w:pPr>
              <w:jc w:val="center"/>
            </w:pPr>
            <w:r>
              <w:rPr>
                <w:rFonts w:hint="eastAsia"/>
              </w:rPr>
              <w:t>违约</w:t>
            </w:r>
          </w:p>
        </w:tc>
      </w:tr>
      <w:tr w:rsidR="00916371" w:rsidTr="004D5AC1">
        <w:trPr>
          <w:tblCellSpacing w:w="15" w:type="dxa"/>
          <w:jc w:val="center"/>
        </w:trPr>
        <w:tc>
          <w:tcPr>
            <w:tcW w:w="0" w:type="auto"/>
            <w:shd w:val="clear" w:color="auto" w:fill="FF7C80"/>
            <w:tcMar>
              <w:top w:w="15" w:type="dxa"/>
              <w:left w:w="15" w:type="dxa"/>
              <w:bottom w:w="15" w:type="dxa"/>
              <w:right w:w="15" w:type="dxa"/>
            </w:tcMar>
            <w:vAlign w:val="center"/>
          </w:tcPr>
          <w:p w:rsidR="00916371" w:rsidRDefault="00916371" w:rsidP="004D5AC1">
            <w:pPr>
              <w:jc w:val="center"/>
            </w:pPr>
          </w:p>
        </w:tc>
        <w:tc>
          <w:tcPr>
            <w:tcW w:w="0" w:type="auto"/>
            <w:vMerge/>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c>
          <w:tcPr>
            <w:tcW w:w="0" w:type="auto"/>
            <w:shd w:val="clear" w:color="auto" w:fill="3399FF"/>
            <w:tcMar>
              <w:top w:w="15" w:type="dxa"/>
              <w:left w:w="15" w:type="dxa"/>
              <w:bottom w:w="15" w:type="dxa"/>
              <w:right w:w="15" w:type="dxa"/>
            </w:tcMar>
            <w:vAlign w:val="center"/>
          </w:tcPr>
          <w:p w:rsidR="00916371" w:rsidRDefault="00916371" w:rsidP="004D5AC1"/>
        </w:tc>
        <w:tc>
          <w:tcPr>
            <w:tcW w:w="0" w:type="auto"/>
            <w:vMerge/>
            <w:vAlign w:val="center"/>
          </w:tcPr>
          <w:p w:rsidR="00916371" w:rsidRDefault="00916371" w:rsidP="004D5AC1"/>
        </w:tc>
        <w:tc>
          <w:tcPr>
            <w:tcW w:w="0" w:type="auto"/>
            <w:vMerge/>
            <w:vAlign w:val="center"/>
          </w:tcPr>
          <w:p w:rsidR="00916371" w:rsidRDefault="00916371" w:rsidP="004D5AC1"/>
        </w:tc>
      </w:tr>
    </w:tbl>
    <w:p w:rsidR="00EF3EBB" w:rsidRDefault="00EF3EBB" w:rsidP="00502A73">
      <w:pPr>
        <w:spacing w:line="276" w:lineRule="auto"/>
        <w:jc w:val="center"/>
        <w:rPr>
          <w:rFonts w:eastAsia="Times New Roman"/>
          <w:color w:val="000000"/>
          <w:szCs w:val="22"/>
          <w:lang w:eastAsia="en-US"/>
        </w:rPr>
      </w:pPr>
    </w:p>
    <w:p w:rsidR="00EF3EBB" w:rsidRPr="008925DE" w:rsidRDefault="00BC1C84" w:rsidP="00CB6E29">
      <w:pPr>
        <w:spacing w:after="50" w:line="340" w:lineRule="atLeast"/>
        <w:ind w:left="5533"/>
        <w:jc w:val="center"/>
        <w:rPr>
          <w:rFonts w:ascii="KaiTi" w:eastAsia="KaiTi" w:hAnsi="KaiTi"/>
          <w:color w:val="000000"/>
          <w:sz w:val="21"/>
          <w:szCs w:val="21"/>
        </w:rPr>
        <w:sectPr w:rsidR="00EF3EBB" w:rsidRPr="008925DE" w:rsidSect="00405DB2">
          <w:headerReference w:type="first" r:id="rId18"/>
          <w:endnotePr>
            <w:numFmt w:val="decimal"/>
          </w:endnotePr>
          <w:pgSz w:w="16840" w:h="11907" w:orient="landscape" w:code="9"/>
          <w:pgMar w:top="1440" w:right="1440" w:bottom="1440" w:left="1440" w:header="510" w:footer="1021" w:gutter="0"/>
          <w:cols w:space="720"/>
          <w:titlePg/>
          <w:docGrid w:linePitch="299"/>
        </w:sectPr>
      </w:pPr>
      <w:r w:rsidRPr="008925DE">
        <w:rPr>
          <w:rFonts w:ascii="KaiTi" w:eastAsia="KaiTi" w:hAnsi="KaiTi"/>
          <w:color w:val="000000"/>
          <w:sz w:val="21"/>
          <w:szCs w:val="21"/>
          <w:lang w:eastAsia="en-US"/>
        </w:rPr>
        <w:sym w:font="Symbol" w:char="F05B"/>
      </w:r>
      <w:r w:rsidR="00927C12" w:rsidRPr="008925DE">
        <w:rPr>
          <w:rFonts w:ascii="KaiTi" w:eastAsia="KaiTi" w:hAnsi="KaiTi" w:hint="eastAsia"/>
          <w:color w:val="000000"/>
          <w:sz w:val="21"/>
          <w:szCs w:val="21"/>
        </w:rPr>
        <w:t>后接</w:t>
      </w:r>
      <w:r w:rsidR="00927C12" w:rsidRPr="009D68F4">
        <w:rPr>
          <w:rFonts w:ascii="KaiTi" w:eastAsia="KaiTi" w:hAnsi="KaiTi" w:hint="eastAsia"/>
          <w:sz w:val="21"/>
        </w:rPr>
        <w:t>附件</w:t>
      </w:r>
      <w:r w:rsidR="00927C12" w:rsidRPr="008925DE">
        <w:rPr>
          <w:rFonts w:ascii="KaiTi" w:eastAsia="KaiTi" w:hAnsi="KaiTi" w:hint="eastAsia"/>
          <w:color w:val="000000"/>
          <w:sz w:val="21"/>
          <w:szCs w:val="21"/>
        </w:rPr>
        <w:t>二</w:t>
      </w:r>
      <w:r w:rsidRPr="008925DE">
        <w:rPr>
          <w:rFonts w:ascii="KaiTi" w:eastAsia="KaiTi" w:hAnsi="KaiTi"/>
          <w:color w:val="000000"/>
          <w:sz w:val="21"/>
          <w:szCs w:val="21"/>
          <w:lang w:eastAsia="en-US"/>
        </w:rPr>
        <w:sym w:font="Symbol" w:char="F05D"/>
      </w:r>
    </w:p>
    <w:p w:rsidR="0021717B" w:rsidRPr="00C7067E" w:rsidRDefault="000821E2" w:rsidP="009F4475">
      <w:pPr>
        <w:pStyle w:val="ae"/>
        <w:tabs>
          <w:tab w:val="clear" w:pos="851"/>
          <w:tab w:val="clear" w:pos="1134"/>
        </w:tabs>
        <w:spacing w:beforeLines="100" w:before="240" w:afterLines="100" w:after="240" w:line="340" w:lineRule="atLeast"/>
        <w:rPr>
          <w:rFonts w:ascii="SimHei" w:eastAsia="SimHei" w:hAnsi="SimHei"/>
          <w:sz w:val="21"/>
          <w:szCs w:val="21"/>
        </w:rPr>
      </w:pPr>
      <w:r>
        <w:rPr>
          <w:rFonts w:ascii="SimHei" w:eastAsia="SimHei" w:hAnsi="SimHei" w:hint="eastAsia"/>
          <w:sz w:val="21"/>
          <w:szCs w:val="21"/>
        </w:rPr>
        <w:lastRenderedPageBreak/>
        <w:t>进行瑞士法郎投资的组织允许的投资产品和近期回报</w:t>
      </w:r>
    </w:p>
    <w:p w:rsidR="000821E2" w:rsidRDefault="00BB00AE" w:rsidP="007F51EE">
      <w:pPr>
        <w:spacing w:line="276" w:lineRule="auto"/>
        <w:jc w:val="center"/>
      </w:pPr>
      <w:r w:rsidRPr="00BB00AE">
        <w:rPr>
          <w:noProof/>
        </w:rPr>
        <w:drawing>
          <wp:inline distT="0" distB="0" distL="0" distR="0" wp14:anchorId="11C88B9E" wp14:editId="55A0E7AA">
            <wp:extent cx="5940425" cy="5555898"/>
            <wp:effectExtent l="0" t="0" r="317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5555898"/>
                    </a:xfrm>
                    <a:prstGeom prst="rect">
                      <a:avLst/>
                    </a:prstGeom>
                    <a:noFill/>
                    <a:ln>
                      <a:noFill/>
                    </a:ln>
                  </pic:spPr>
                </pic:pic>
              </a:graphicData>
            </a:graphic>
          </wp:inline>
        </w:drawing>
      </w:r>
    </w:p>
    <w:p w:rsidR="007F51EE" w:rsidRDefault="007F51EE" w:rsidP="00C1400E">
      <w:pPr>
        <w:spacing w:after="50" w:line="340" w:lineRule="atLeast"/>
        <w:ind w:left="5533"/>
        <w:jc w:val="both"/>
        <w:rPr>
          <w:rFonts w:ascii="KaiTi" w:eastAsia="KaiTi" w:hAnsi="KaiTi"/>
          <w:sz w:val="21"/>
        </w:rPr>
      </w:pPr>
    </w:p>
    <w:p w:rsidR="00730621" w:rsidRDefault="000821E2" w:rsidP="00C1400E">
      <w:pPr>
        <w:spacing w:after="50" w:line="340" w:lineRule="atLeast"/>
        <w:ind w:left="5533"/>
        <w:jc w:val="both"/>
      </w:pPr>
      <w:r w:rsidRPr="00C7067E">
        <w:rPr>
          <w:rFonts w:ascii="KaiTi" w:eastAsia="KaiTi" w:hAnsi="KaiTi"/>
          <w:sz w:val="21"/>
        </w:rPr>
        <w:sym w:font="Symbol" w:char="F05B"/>
      </w:r>
      <w:r w:rsidRPr="00C7067E">
        <w:rPr>
          <w:rFonts w:ascii="KaiTi" w:eastAsia="KaiTi" w:hAnsi="KaiTi" w:hint="eastAsia"/>
          <w:sz w:val="21"/>
        </w:rPr>
        <w:t>后接附件三</w:t>
      </w:r>
      <w:r w:rsidRPr="00C7067E">
        <w:rPr>
          <w:rFonts w:ascii="KaiTi" w:eastAsia="KaiTi" w:hAnsi="KaiTi"/>
          <w:sz w:val="21"/>
        </w:rPr>
        <w:sym w:font="Symbol" w:char="F05D"/>
      </w:r>
    </w:p>
    <w:p w:rsidR="00730621" w:rsidRDefault="00730621" w:rsidP="00692655">
      <w:pPr>
        <w:spacing w:line="276" w:lineRule="auto"/>
        <w:sectPr w:rsidR="00730621" w:rsidSect="008577D4">
          <w:headerReference w:type="first" r:id="rId20"/>
          <w:footerReference w:type="first" r:id="rId21"/>
          <w:endnotePr>
            <w:numFmt w:val="decimal"/>
          </w:endnotePr>
          <w:pgSz w:w="11907" w:h="16840" w:code="9"/>
          <w:pgMar w:top="567" w:right="1134" w:bottom="1418" w:left="1418" w:header="510" w:footer="1021" w:gutter="0"/>
          <w:cols w:space="720"/>
          <w:titlePg/>
          <w:docGrid w:linePitch="299"/>
        </w:sectPr>
      </w:pPr>
    </w:p>
    <w:p w:rsidR="00D95060" w:rsidRPr="009F4475" w:rsidRDefault="00842951" w:rsidP="009F4475">
      <w:pPr>
        <w:pStyle w:val="ae"/>
        <w:tabs>
          <w:tab w:val="clear" w:pos="851"/>
          <w:tab w:val="clear" w:pos="1134"/>
        </w:tabs>
        <w:spacing w:beforeLines="100" w:before="240" w:afterLines="100" w:after="240" w:line="340" w:lineRule="atLeast"/>
        <w:rPr>
          <w:rFonts w:ascii="SimHei" w:eastAsia="SimHei" w:hAnsi="SimHei"/>
          <w:caps/>
          <w:sz w:val="21"/>
          <w:szCs w:val="22"/>
        </w:rPr>
      </w:pPr>
      <w:r w:rsidRPr="009F4475">
        <w:rPr>
          <w:rFonts w:ascii="SimHei" w:eastAsia="SimHei" w:hAnsi="SimHei" w:hint="eastAsia"/>
          <w:caps/>
          <w:sz w:val="21"/>
          <w:szCs w:val="22"/>
        </w:rPr>
        <w:lastRenderedPageBreak/>
        <w:t>金库交易对手风险</w:t>
      </w:r>
    </w:p>
    <w:p w:rsidR="00D95060" w:rsidRPr="00927C12" w:rsidRDefault="00842951" w:rsidP="00E215CC">
      <w:pPr>
        <w:spacing w:afterLines="50" w:after="120" w:line="340" w:lineRule="atLeast"/>
        <w:jc w:val="both"/>
        <w:rPr>
          <w:rFonts w:ascii="SimSun"/>
          <w:sz w:val="21"/>
          <w:szCs w:val="22"/>
        </w:rPr>
      </w:pPr>
      <w:r>
        <w:rPr>
          <w:rFonts w:ascii="SimSun" w:hint="eastAsia"/>
          <w:sz w:val="21"/>
          <w:szCs w:val="22"/>
        </w:rPr>
        <w:t>金库相关资产的金库交易对手信</w:t>
      </w:r>
      <w:r w:rsidR="00E215CC">
        <w:rPr>
          <w:rFonts w:ascii="SimSun" w:hint="eastAsia"/>
          <w:sz w:val="21"/>
          <w:szCs w:val="22"/>
        </w:rPr>
        <w:t>用</w:t>
      </w:r>
      <w:r>
        <w:rPr>
          <w:rFonts w:ascii="SimSun" w:hint="eastAsia"/>
          <w:sz w:val="21"/>
          <w:szCs w:val="22"/>
        </w:rPr>
        <w:t>风险因持有现金投资、</w:t>
      </w:r>
      <w:r w:rsidR="00094503">
        <w:rPr>
          <w:rFonts w:ascii="SimSun" w:hint="eastAsia"/>
          <w:sz w:val="21"/>
          <w:szCs w:val="22"/>
        </w:rPr>
        <w:t>银行存款以及进入外</w:t>
      </w:r>
      <w:r w:rsidR="00BB00AE">
        <w:rPr>
          <w:rFonts w:ascii="SimSun" w:hint="eastAsia"/>
          <w:sz w:val="21"/>
          <w:szCs w:val="22"/>
        </w:rPr>
        <w:t>币</w:t>
      </w:r>
      <w:r w:rsidR="00094503">
        <w:rPr>
          <w:rFonts w:ascii="SimSun" w:hint="eastAsia"/>
          <w:sz w:val="21"/>
          <w:szCs w:val="22"/>
        </w:rPr>
        <w:t>交易</w:t>
      </w:r>
      <w:r w:rsidR="00E215CC">
        <w:rPr>
          <w:rFonts w:ascii="SimSun" w:hint="eastAsia"/>
          <w:sz w:val="21"/>
          <w:szCs w:val="22"/>
        </w:rPr>
        <w:t>而出现</w:t>
      </w:r>
      <w:r w:rsidR="00094503">
        <w:rPr>
          <w:rFonts w:ascii="SimSun" w:hint="eastAsia"/>
          <w:sz w:val="21"/>
          <w:szCs w:val="22"/>
        </w:rPr>
        <w:t>。金库交易对手违约对WIPO是一个重要风险。WIPO的政策是通过</w:t>
      </w:r>
      <w:r w:rsidR="00BB00AE">
        <w:rPr>
          <w:rFonts w:ascii="SimSun" w:hint="eastAsia"/>
          <w:sz w:val="21"/>
          <w:szCs w:val="22"/>
        </w:rPr>
        <w:t>分散</w:t>
      </w:r>
      <w:r w:rsidR="00094503">
        <w:rPr>
          <w:rFonts w:ascii="SimSun" w:hint="eastAsia"/>
          <w:sz w:val="21"/>
          <w:szCs w:val="22"/>
        </w:rPr>
        <w:t>风险</w:t>
      </w:r>
      <w:r w:rsidR="005A7403">
        <w:rPr>
          <w:rFonts w:ascii="SimSun" w:hint="eastAsia"/>
          <w:sz w:val="21"/>
          <w:szCs w:val="22"/>
        </w:rPr>
        <w:t>、</w:t>
      </w:r>
      <w:r w:rsidR="00094503">
        <w:rPr>
          <w:rFonts w:ascii="SimSun" w:hint="eastAsia"/>
          <w:sz w:val="21"/>
          <w:szCs w:val="22"/>
        </w:rPr>
        <w:t>评估</w:t>
      </w:r>
      <w:r w:rsidR="00BB00AE">
        <w:rPr>
          <w:rFonts w:ascii="SimSun" w:hint="eastAsia"/>
          <w:sz w:val="21"/>
          <w:szCs w:val="22"/>
        </w:rPr>
        <w:t>交易对手信用</w:t>
      </w:r>
      <w:r w:rsidR="00094503">
        <w:rPr>
          <w:rFonts w:ascii="SimSun" w:hint="eastAsia"/>
          <w:sz w:val="21"/>
          <w:szCs w:val="22"/>
        </w:rPr>
        <w:t>以及使用交易对手信用额度</w:t>
      </w:r>
      <w:r w:rsidR="00E215CC">
        <w:rPr>
          <w:rFonts w:ascii="SimSun" w:hint="eastAsia"/>
          <w:sz w:val="21"/>
          <w:szCs w:val="22"/>
        </w:rPr>
        <w:t>来管理这项风险</w:t>
      </w:r>
      <w:r w:rsidR="00094503">
        <w:rPr>
          <w:rFonts w:ascii="SimSun" w:hint="eastAsia"/>
          <w:sz w:val="21"/>
          <w:szCs w:val="22"/>
        </w:rPr>
        <w:t>。</w:t>
      </w:r>
    </w:p>
    <w:p w:rsidR="004B5121" w:rsidRPr="00927C12" w:rsidRDefault="00094503" w:rsidP="00927C12">
      <w:pPr>
        <w:spacing w:afterLines="50" w:after="120" w:line="340" w:lineRule="atLeast"/>
        <w:jc w:val="both"/>
        <w:rPr>
          <w:rFonts w:ascii="SimSun"/>
          <w:sz w:val="21"/>
          <w:szCs w:val="22"/>
        </w:rPr>
      </w:pPr>
      <w:r>
        <w:rPr>
          <w:rFonts w:ascii="SimSun" w:hint="eastAsia"/>
          <w:sz w:val="21"/>
          <w:szCs w:val="22"/>
        </w:rPr>
        <w:t>金库交易对手风险管理做下列</w:t>
      </w:r>
      <w:r w:rsidR="005A7403">
        <w:rPr>
          <w:rFonts w:ascii="SimSun" w:hint="eastAsia"/>
          <w:sz w:val="21"/>
          <w:szCs w:val="22"/>
        </w:rPr>
        <w:t>区分：</w:t>
      </w:r>
    </w:p>
    <w:p w:rsidR="004B5121" w:rsidRPr="00094503" w:rsidRDefault="00094503" w:rsidP="00094503">
      <w:pPr>
        <w:pStyle w:val="ae"/>
        <w:numPr>
          <w:ilvl w:val="0"/>
          <w:numId w:val="14"/>
        </w:numPr>
        <w:tabs>
          <w:tab w:val="clear" w:pos="851"/>
          <w:tab w:val="clear" w:pos="1134"/>
        </w:tabs>
        <w:spacing w:before="0" w:afterLines="50" w:line="340" w:lineRule="atLeast"/>
        <w:ind w:left="714" w:hanging="357"/>
        <w:jc w:val="both"/>
        <w:rPr>
          <w:rFonts w:ascii="SimSun"/>
          <w:sz w:val="21"/>
          <w:szCs w:val="22"/>
        </w:rPr>
      </w:pPr>
      <w:r>
        <w:rPr>
          <w:rFonts w:ascii="SimSun" w:hint="eastAsia"/>
          <w:sz w:val="21"/>
          <w:szCs w:val="22"/>
        </w:rPr>
        <w:t>投资交易对手——要遵守经批准的现金投资政策参数的核心现金结余和储备金</w:t>
      </w:r>
      <w:r w:rsidR="00BB00AE">
        <w:rPr>
          <w:rFonts w:ascii="SimSun" w:hint="eastAsia"/>
          <w:sz w:val="21"/>
          <w:szCs w:val="22"/>
        </w:rPr>
        <w:t>。</w:t>
      </w:r>
    </w:p>
    <w:p w:rsidR="00D95060" w:rsidRPr="00927C12" w:rsidRDefault="00094503" w:rsidP="00094503">
      <w:pPr>
        <w:pStyle w:val="ae"/>
        <w:numPr>
          <w:ilvl w:val="0"/>
          <w:numId w:val="14"/>
        </w:numPr>
        <w:tabs>
          <w:tab w:val="clear" w:pos="851"/>
          <w:tab w:val="clear" w:pos="1134"/>
        </w:tabs>
        <w:spacing w:before="0" w:afterLines="50" w:line="340" w:lineRule="atLeast"/>
        <w:jc w:val="both"/>
        <w:rPr>
          <w:rFonts w:ascii="SimSun"/>
          <w:sz w:val="21"/>
          <w:szCs w:val="22"/>
        </w:rPr>
      </w:pPr>
      <w:r>
        <w:rPr>
          <w:rFonts w:ascii="SimSun" w:hint="eastAsia"/>
          <w:sz w:val="21"/>
          <w:szCs w:val="22"/>
        </w:rPr>
        <w:t>银行交易对手：</w:t>
      </w:r>
    </w:p>
    <w:p w:rsidR="004B5121" w:rsidRPr="00FF7550" w:rsidRDefault="00FF7550" w:rsidP="002A1900">
      <w:pPr>
        <w:pStyle w:val="ae"/>
        <w:numPr>
          <w:ilvl w:val="1"/>
          <w:numId w:val="14"/>
        </w:numPr>
        <w:tabs>
          <w:tab w:val="clear" w:pos="851"/>
          <w:tab w:val="clear" w:pos="1134"/>
        </w:tabs>
        <w:spacing w:before="0" w:afterLines="50" w:line="340" w:lineRule="atLeast"/>
        <w:ind w:left="1434" w:hanging="357"/>
        <w:jc w:val="both"/>
        <w:rPr>
          <w:rFonts w:ascii="SimSun"/>
          <w:sz w:val="21"/>
          <w:szCs w:val="22"/>
        </w:rPr>
      </w:pPr>
      <w:r>
        <w:rPr>
          <w:rFonts w:ascii="SimSun" w:hint="eastAsia"/>
          <w:sz w:val="21"/>
          <w:szCs w:val="22"/>
        </w:rPr>
        <w:t>银行存款——为在到期时履行付款债务的用于流动性目的的现金</w:t>
      </w:r>
      <w:r w:rsidR="00E215CC">
        <w:rPr>
          <w:rFonts w:ascii="SimSun" w:hint="eastAsia"/>
          <w:sz w:val="21"/>
          <w:szCs w:val="22"/>
        </w:rPr>
        <w:t>；</w:t>
      </w:r>
    </w:p>
    <w:p w:rsidR="00D95060" w:rsidRPr="00927C12" w:rsidRDefault="00FF7550" w:rsidP="002A1900">
      <w:pPr>
        <w:pStyle w:val="ae"/>
        <w:numPr>
          <w:ilvl w:val="1"/>
          <w:numId w:val="14"/>
        </w:numPr>
        <w:tabs>
          <w:tab w:val="clear" w:pos="851"/>
          <w:tab w:val="clear" w:pos="1134"/>
        </w:tabs>
        <w:spacing w:before="0" w:afterLines="50" w:line="340" w:lineRule="atLeast"/>
        <w:ind w:left="1434" w:hanging="357"/>
        <w:jc w:val="both"/>
        <w:rPr>
          <w:rFonts w:ascii="SimSun"/>
          <w:sz w:val="21"/>
          <w:szCs w:val="22"/>
        </w:rPr>
      </w:pPr>
      <w:r>
        <w:rPr>
          <w:rFonts w:ascii="SimSun" w:hint="eastAsia"/>
          <w:sz w:val="21"/>
          <w:szCs w:val="22"/>
        </w:rPr>
        <w:t>外币</w:t>
      </w:r>
      <w:r w:rsidR="00E215CC">
        <w:rPr>
          <w:rFonts w:ascii="SimSun" w:hint="eastAsia"/>
          <w:sz w:val="21"/>
          <w:szCs w:val="22"/>
        </w:rPr>
        <w:t>业务</w:t>
      </w:r>
      <w:r>
        <w:rPr>
          <w:rFonts w:ascii="SimSun" w:hint="eastAsia"/>
          <w:sz w:val="21"/>
          <w:szCs w:val="22"/>
        </w:rPr>
        <w:t>——经批准的套期保值工具的价内公允价值。</w:t>
      </w:r>
    </w:p>
    <w:p w:rsidR="00D95060" w:rsidRPr="00FF7550" w:rsidRDefault="00ED5C1E" w:rsidP="00927C12">
      <w:pPr>
        <w:pStyle w:val="a4"/>
        <w:spacing w:afterLines="50" w:after="120" w:line="340" w:lineRule="atLeast"/>
        <w:jc w:val="both"/>
        <w:rPr>
          <w:rFonts w:ascii="KaiTi" w:eastAsia="KaiTi" w:hAnsi="KaiTi"/>
          <w:b/>
          <w:i/>
          <w:sz w:val="21"/>
          <w:szCs w:val="22"/>
        </w:rPr>
      </w:pPr>
      <w:r w:rsidRPr="00ED5C1E">
        <w:rPr>
          <w:rFonts w:ascii="KaiTi" w:eastAsia="KaiTi" w:hAnsi="KaiTi" w:hint="eastAsia"/>
          <w:b/>
          <w:i/>
          <w:sz w:val="21"/>
          <w:szCs w:val="22"/>
        </w:rPr>
        <w:t>用于投资的交易对手信用参数是2011年10月5日成员国大会批准的投资政策的一部分</w:t>
      </w:r>
      <w:r>
        <w:rPr>
          <w:rFonts w:ascii="KaiTi" w:eastAsia="KaiTi" w:hAnsi="KaiTi" w:hint="eastAsia"/>
          <w:b/>
          <w:i/>
          <w:sz w:val="21"/>
          <w:szCs w:val="22"/>
        </w:rPr>
        <w:t>。</w:t>
      </w:r>
    </w:p>
    <w:p w:rsidR="00D95060" w:rsidRPr="00FF7550" w:rsidRDefault="00FF7550" w:rsidP="00927C12">
      <w:pPr>
        <w:widowControl w:val="0"/>
        <w:spacing w:afterLines="50" w:after="120" w:line="340" w:lineRule="atLeast"/>
        <w:jc w:val="both"/>
        <w:rPr>
          <w:rFonts w:ascii="KaiTi" w:eastAsia="KaiTi" w:hAnsi="KaiTi"/>
          <w:b/>
          <w:i/>
          <w:sz w:val="21"/>
          <w:szCs w:val="22"/>
        </w:rPr>
      </w:pPr>
      <w:r w:rsidRPr="00FF7550">
        <w:rPr>
          <w:rFonts w:ascii="KaiTi" w:eastAsia="KaiTi" w:hAnsi="KaiTi" w:hint="eastAsia"/>
          <w:b/>
          <w:i/>
          <w:sz w:val="21"/>
          <w:szCs w:val="22"/>
        </w:rPr>
        <w:t>《财务条例与细则》</w:t>
      </w:r>
      <w:r>
        <w:rPr>
          <w:rFonts w:ascii="KaiTi" w:eastAsia="KaiTi" w:hAnsi="KaiTi" w:hint="eastAsia"/>
          <w:b/>
          <w:i/>
          <w:sz w:val="21"/>
          <w:szCs w:val="22"/>
        </w:rPr>
        <w:t>细则</w:t>
      </w:r>
      <w:r w:rsidR="00D95060" w:rsidRPr="00FF7550">
        <w:rPr>
          <w:rFonts w:ascii="KaiTi" w:eastAsia="KaiTi" w:hAnsi="KaiTi"/>
          <w:b/>
          <w:i/>
          <w:sz w:val="21"/>
          <w:szCs w:val="22"/>
        </w:rPr>
        <w:t>104.2</w:t>
      </w:r>
      <w:r>
        <w:rPr>
          <w:rFonts w:ascii="KaiTi" w:eastAsia="KaiTi" w:hAnsi="KaiTi" w:hint="eastAsia"/>
          <w:b/>
          <w:i/>
          <w:sz w:val="21"/>
          <w:szCs w:val="22"/>
        </w:rPr>
        <w:t>授权财务主任</w:t>
      </w:r>
      <w:r w:rsidR="00E215CC">
        <w:rPr>
          <w:rFonts w:ascii="KaiTi" w:eastAsia="KaiTi" w:hAnsi="KaiTi" w:hint="eastAsia"/>
          <w:b/>
          <w:i/>
          <w:sz w:val="21"/>
          <w:szCs w:val="22"/>
        </w:rPr>
        <w:t>指</w:t>
      </w:r>
      <w:r>
        <w:rPr>
          <w:rFonts w:ascii="KaiTi" w:eastAsia="KaiTi" w:hAnsi="KaiTi" w:hint="eastAsia"/>
          <w:b/>
          <w:i/>
          <w:sz w:val="21"/>
          <w:szCs w:val="22"/>
        </w:rPr>
        <w:t>定储存本组织资金的银行。这是银行存款和外币业务交易对手风险参数的权力来源。</w:t>
      </w:r>
    </w:p>
    <w:p w:rsidR="00D95060" w:rsidRPr="00FF7550" w:rsidRDefault="00FF7550" w:rsidP="00FF7550">
      <w:pPr>
        <w:tabs>
          <w:tab w:val="left" w:pos="-1440"/>
          <w:tab w:val="left" w:pos="-720"/>
          <w:tab w:val="left" w:pos="0"/>
        </w:tabs>
        <w:suppressAutoHyphens/>
        <w:spacing w:beforeLines="100" w:before="240" w:afterLines="100" w:after="240" w:line="340" w:lineRule="atLeast"/>
        <w:ind w:left="720" w:hanging="720"/>
        <w:jc w:val="both"/>
        <w:rPr>
          <w:rFonts w:ascii="KaiTi" w:eastAsia="KaiTi" w:hAnsi="KaiTi"/>
          <w:i/>
          <w:sz w:val="21"/>
          <w:szCs w:val="22"/>
          <w:u w:val="single"/>
        </w:rPr>
      </w:pPr>
      <w:r w:rsidRPr="00FF7550">
        <w:rPr>
          <w:rFonts w:ascii="KaiTi" w:eastAsia="KaiTi" w:hAnsi="KaiTi" w:hint="eastAsia"/>
          <w:bCs/>
          <w:i/>
          <w:sz w:val="21"/>
          <w:szCs w:val="22"/>
          <w:u w:val="single"/>
        </w:rPr>
        <w:t>政策陈述和规定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84"/>
        <w:gridCol w:w="11"/>
        <w:gridCol w:w="6544"/>
      </w:tblGrid>
      <w:tr w:rsidR="00D95060" w:rsidRPr="005440A7" w:rsidTr="00C950E7">
        <w:trPr>
          <w:tblHeader/>
        </w:trPr>
        <w:tc>
          <w:tcPr>
            <w:tcW w:w="2484" w:type="dxa"/>
            <w:shd w:val="clear" w:color="auto" w:fill="000000"/>
          </w:tcPr>
          <w:p w:rsidR="00D95060" w:rsidRPr="001D6847" w:rsidRDefault="001D6847" w:rsidP="00C81A71">
            <w:pPr>
              <w:tabs>
                <w:tab w:val="left" w:pos="-1440"/>
                <w:tab w:val="left" w:pos="-720"/>
              </w:tabs>
              <w:suppressAutoHyphens/>
              <w:spacing w:line="240" w:lineRule="atLeast"/>
              <w:jc w:val="both"/>
              <w:rPr>
                <w:rFonts w:ascii="SimHei" w:eastAsia="SimHei" w:hAnsi="SimHei"/>
                <w:color w:val="FFFFFF"/>
                <w:sz w:val="21"/>
                <w:szCs w:val="21"/>
              </w:rPr>
            </w:pPr>
            <w:r w:rsidRPr="001D6847">
              <w:rPr>
                <w:rFonts w:ascii="SimHei" w:eastAsia="SimHei" w:hAnsi="SimHei" w:hint="eastAsia"/>
                <w:color w:val="FFFFFF"/>
                <w:sz w:val="21"/>
                <w:szCs w:val="21"/>
              </w:rPr>
              <w:t>政策问题</w:t>
            </w:r>
          </w:p>
        </w:tc>
        <w:tc>
          <w:tcPr>
            <w:tcW w:w="6555" w:type="dxa"/>
            <w:gridSpan w:val="2"/>
            <w:shd w:val="clear" w:color="auto" w:fill="000000"/>
          </w:tcPr>
          <w:p w:rsidR="00D95060" w:rsidRPr="001D6847" w:rsidRDefault="001D6847" w:rsidP="00C81A71">
            <w:pPr>
              <w:tabs>
                <w:tab w:val="left" w:pos="-1440"/>
                <w:tab w:val="left" w:pos="-720"/>
              </w:tabs>
              <w:suppressAutoHyphens/>
              <w:spacing w:line="240" w:lineRule="atLeast"/>
              <w:jc w:val="both"/>
              <w:rPr>
                <w:rFonts w:ascii="SimHei" w:eastAsia="SimHei" w:hAnsi="SimHei"/>
                <w:color w:val="FFFFFF"/>
                <w:sz w:val="21"/>
                <w:szCs w:val="21"/>
              </w:rPr>
            </w:pPr>
            <w:r w:rsidRPr="001D6847">
              <w:rPr>
                <w:rFonts w:ascii="SimHei" w:eastAsia="SimHei" w:hAnsi="SimHei" w:hint="eastAsia"/>
                <w:color w:val="FFFFFF"/>
                <w:sz w:val="21"/>
                <w:szCs w:val="21"/>
              </w:rPr>
              <w:t>政策陈述和规定</w:t>
            </w:r>
          </w:p>
        </w:tc>
      </w:tr>
      <w:tr w:rsidR="00D95060" w:rsidRPr="001D6847" w:rsidTr="00C950E7">
        <w:tc>
          <w:tcPr>
            <w:tcW w:w="2495" w:type="dxa"/>
            <w:gridSpan w:val="2"/>
            <w:shd w:val="clear" w:color="auto" w:fill="auto"/>
          </w:tcPr>
          <w:p w:rsidR="00D95060" w:rsidRPr="001D6847" w:rsidRDefault="001D6847" w:rsidP="001D6847">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t>交易对手信用评级</w:t>
            </w:r>
          </w:p>
        </w:tc>
        <w:tc>
          <w:tcPr>
            <w:tcW w:w="6544" w:type="dxa"/>
            <w:shd w:val="clear" w:color="auto" w:fill="auto"/>
          </w:tcPr>
          <w:p w:rsidR="00D95060" w:rsidRPr="001D6847" w:rsidRDefault="00D95060" w:rsidP="001D6847">
            <w:pPr>
              <w:numPr>
                <w:ilvl w:val="0"/>
                <w:numId w:val="9"/>
              </w:numPr>
              <w:tabs>
                <w:tab w:val="left" w:pos="-1440"/>
                <w:tab w:val="left" w:pos="-720"/>
              </w:tabs>
              <w:suppressAutoHyphens/>
              <w:spacing w:afterLines="50" w:after="120" w:line="340" w:lineRule="atLeast"/>
              <w:ind w:left="714" w:hanging="357"/>
              <w:jc w:val="both"/>
              <w:rPr>
                <w:rFonts w:ascii="SimSun"/>
                <w:b/>
                <w:sz w:val="21"/>
                <w:szCs w:val="22"/>
              </w:rPr>
            </w:pPr>
            <w:r w:rsidRPr="001D6847">
              <w:rPr>
                <w:rFonts w:ascii="SimSun"/>
                <w:sz w:val="21"/>
                <w:szCs w:val="22"/>
              </w:rPr>
              <w:t>WIPO</w:t>
            </w:r>
            <w:r w:rsidR="00822334">
              <w:rPr>
                <w:rFonts w:ascii="SimSun" w:hint="eastAsia"/>
                <w:sz w:val="21"/>
                <w:szCs w:val="22"/>
              </w:rPr>
              <w:t>将只与经</w:t>
            </w:r>
            <w:r w:rsidR="00E215CC">
              <w:rPr>
                <w:rFonts w:ascii="SimSun" w:hint="eastAsia"/>
                <w:sz w:val="21"/>
                <w:szCs w:val="22"/>
              </w:rPr>
              <w:t>批</w:t>
            </w:r>
            <w:r w:rsidR="00822334">
              <w:rPr>
                <w:rFonts w:ascii="SimSun" w:hint="eastAsia"/>
                <w:sz w:val="21"/>
                <w:szCs w:val="22"/>
              </w:rPr>
              <w:t>准的交易对手和保持下列长期投资等级评级的交易对手进行交易：</w:t>
            </w:r>
          </w:p>
          <w:p w:rsidR="00D95060" w:rsidRPr="001D6847" w:rsidRDefault="00822334" w:rsidP="001D6847">
            <w:pPr>
              <w:numPr>
                <w:ilvl w:val="1"/>
                <w:numId w:val="9"/>
              </w:numPr>
              <w:tabs>
                <w:tab w:val="left" w:pos="-1440"/>
                <w:tab w:val="left" w:pos="-720"/>
              </w:tabs>
              <w:suppressAutoHyphens/>
              <w:spacing w:afterLines="50" w:after="120" w:line="340" w:lineRule="atLeast"/>
              <w:ind w:hanging="357"/>
              <w:jc w:val="both"/>
              <w:rPr>
                <w:rFonts w:ascii="SimSun"/>
                <w:b/>
                <w:sz w:val="21"/>
                <w:szCs w:val="22"/>
              </w:rPr>
            </w:pPr>
            <w:r>
              <w:rPr>
                <w:rFonts w:ascii="SimSun" w:hint="eastAsia"/>
                <w:sz w:val="21"/>
                <w:szCs w:val="22"/>
              </w:rPr>
              <w:t>投资交易对手：</w:t>
            </w:r>
          </w:p>
          <w:p w:rsidR="00D95060" w:rsidRPr="001D6847" w:rsidRDefault="00822334" w:rsidP="001D6847">
            <w:pPr>
              <w:numPr>
                <w:ilvl w:val="2"/>
                <w:numId w:val="9"/>
              </w:numPr>
              <w:tabs>
                <w:tab w:val="left" w:pos="-1440"/>
                <w:tab w:val="left" w:pos="-720"/>
              </w:tabs>
              <w:suppressAutoHyphens/>
              <w:spacing w:afterLines="50" w:after="120" w:line="340" w:lineRule="atLeast"/>
              <w:ind w:hanging="357"/>
              <w:jc w:val="both"/>
              <w:rPr>
                <w:rFonts w:ascii="SimSun"/>
                <w:b/>
                <w:sz w:val="21"/>
                <w:szCs w:val="22"/>
              </w:rPr>
            </w:pPr>
            <w:r>
              <w:rPr>
                <w:rFonts w:ascii="SimSun" w:hint="eastAsia"/>
                <w:sz w:val="21"/>
                <w:szCs w:val="22"/>
              </w:rPr>
              <w:t>最低信用评级</w:t>
            </w:r>
            <w:r w:rsidR="00D95060" w:rsidRPr="001D6847">
              <w:rPr>
                <w:rFonts w:ascii="SimSun"/>
                <w:sz w:val="21"/>
                <w:szCs w:val="22"/>
              </w:rPr>
              <w:t>AA-/Aa3</w:t>
            </w:r>
            <w:r w:rsidR="00E215CC">
              <w:rPr>
                <w:rFonts w:ascii="SimSun" w:hint="eastAsia"/>
                <w:sz w:val="21"/>
                <w:szCs w:val="22"/>
              </w:rPr>
              <w:t>。</w:t>
            </w:r>
          </w:p>
          <w:p w:rsidR="00D95060" w:rsidRPr="001D6847" w:rsidRDefault="006A74D7" w:rsidP="001D6847">
            <w:pPr>
              <w:numPr>
                <w:ilvl w:val="1"/>
                <w:numId w:val="9"/>
              </w:numPr>
              <w:tabs>
                <w:tab w:val="left" w:pos="-1440"/>
                <w:tab w:val="left" w:pos="-720"/>
              </w:tabs>
              <w:suppressAutoHyphens/>
              <w:spacing w:afterLines="50" w:after="120" w:line="340" w:lineRule="atLeast"/>
              <w:ind w:hanging="357"/>
              <w:jc w:val="both"/>
              <w:rPr>
                <w:rFonts w:ascii="SimSun"/>
                <w:b/>
                <w:sz w:val="21"/>
                <w:szCs w:val="22"/>
              </w:rPr>
            </w:pPr>
            <w:r>
              <w:rPr>
                <w:rFonts w:ascii="SimSun" w:hint="eastAsia"/>
                <w:sz w:val="21"/>
                <w:szCs w:val="22"/>
              </w:rPr>
              <w:t>银行交易对手：</w:t>
            </w:r>
          </w:p>
          <w:p w:rsidR="00D95060" w:rsidRPr="001D6847" w:rsidRDefault="00F54883" w:rsidP="001D6847">
            <w:pPr>
              <w:numPr>
                <w:ilvl w:val="2"/>
                <w:numId w:val="9"/>
              </w:numPr>
              <w:spacing w:afterLines="50" w:after="120" w:line="340" w:lineRule="atLeast"/>
              <w:ind w:hanging="357"/>
              <w:jc w:val="both"/>
              <w:rPr>
                <w:rFonts w:ascii="SimSun"/>
                <w:sz w:val="21"/>
                <w:szCs w:val="22"/>
              </w:rPr>
            </w:pPr>
            <w:r>
              <w:rPr>
                <w:rFonts w:ascii="SimSun" w:hint="eastAsia"/>
                <w:sz w:val="21"/>
                <w:szCs w:val="22"/>
              </w:rPr>
              <w:t>适用最低信用评级</w:t>
            </w:r>
            <w:r w:rsidR="00D95060" w:rsidRPr="001D6847">
              <w:rPr>
                <w:rFonts w:ascii="SimSun"/>
                <w:sz w:val="21"/>
                <w:szCs w:val="22"/>
              </w:rPr>
              <w:t>A-/A3</w:t>
            </w:r>
            <w:r>
              <w:rPr>
                <w:rFonts w:ascii="SimSun" w:hint="eastAsia"/>
                <w:sz w:val="21"/>
                <w:szCs w:val="22"/>
              </w:rPr>
              <w:t>。</w:t>
            </w:r>
          </w:p>
          <w:p w:rsidR="00D95060" w:rsidRPr="00F54883" w:rsidRDefault="00F54883" w:rsidP="00F54883">
            <w:pPr>
              <w:numPr>
                <w:ilvl w:val="2"/>
                <w:numId w:val="9"/>
              </w:numPr>
              <w:spacing w:afterLines="50" w:after="120" w:line="340" w:lineRule="atLeast"/>
              <w:jc w:val="both"/>
              <w:rPr>
                <w:rFonts w:ascii="SimSun"/>
                <w:sz w:val="21"/>
                <w:szCs w:val="22"/>
              </w:rPr>
            </w:pPr>
            <w:r>
              <w:rPr>
                <w:rFonts w:ascii="SimSun" w:hint="eastAsia"/>
                <w:sz w:val="21"/>
                <w:szCs w:val="22"/>
              </w:rPr>
              <w:t>或者投资咨询委员会明确批准的例外情况。</w:t>
            </w:r>
          </w:p>
          <w:p w:rsidR="00D95060" w:rsidRPr="00F54883" w:rsidRDefault="00F54883" w:rsidP="00F54883">
            <w:pPr>
              <w:numPr>
                <w:ilvl w:val="0"/>
                <w:numId w:val="9"/>
              </w:numPr>
              <w:tabs>
                <w:tab w:val="left" w:pos="-1440"/>
                <w:tab w:val="left" w:pos="-720"/>
              </w:tabs>
              <w:suppressAutoHyphens/>
              <w:spacing w:afterLines="50" w:after="120" w:line="340" w:lineRule="atLeast"/>
              <w:jc w:val="both"/>
              <w:rPr>
                <w:rFonts w:ascii="SimSun"/>
                <w:b/>
                <w:sz w:val="21"/>
                <w:szCs w:val="22"/>
              </w:rPr>
            </w:pPr>
            <w:r>
              <w:rPr>
                <w:rFonts w:ascii="SimSun" w:hint="eastAsia"/>
                <w:sz w:val="21"/>
                <w:szCs w:val="22"/>
              </w:rPr>
              <w:t>经批准的交易对手见</w:t>
            </w:r>
            <w:r w:rsidRPr="00F54883">
              <w:rPr>
                <w:rFonts w:ascii="SimHei" w:eastAsia="SimHei" w:hAnsi="SimHei" w:hint="eastAsia"/>
                <w:sz w:val="21"/>
                <w:szCs w:val="22"/>
              </w:rPr>
              <w:t>附件五</w:t>
            </w:r>
            <w:r>
              <w:rPr>
                <w:rFonts w:ascii="SimSun" w:hint="eastAsia"/>
                <w:sz w:val="21"/>
                <w:szCs w:val="22"/>
              </w:rPr>
              <w:t>。</w:t>
            </w:r>
          </w:p>
        </w:tc>
      </w:tr>
      <w:tr w:rsidR="00D95060" w:rsidRPr="001D6847" w:rsidTr="00C950E7">
        <w:tc>
          <w:tcPr>
            <w:tcW w:w="2495" w:type="dxa"/>
            <w:gridSpan w:val="2"/>
            <w:shd w:val="clear" w:color="auto" w:fill="auto"/>
          </w:tcPr>
          <w:p w:rsidR="00D95060" w:rsidRPr="001D6847" w:rsidRDefault="00A82A78" w:rsidP="001D6847">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t>交易对手审批</w:t>
            </w:r>
          </w:p>
        </w:tc>
        <w:tc>
          <w:tcPr>
            <w:tcW w:w="6544" w:type="dxa"/>
            <w:shd w:val="clear" w:color="auto" w:fill="auto"/>
          </w:tcPr>
          <w:p w:rsidR="00D95060" w:rsidRPr="00A82A78" w:rsidRDefault="00A82A78" w:rsidP="00A82A78">
            <w:pPr>
              <w:pStyle w:val="ae"/>
              <w:numPr>
                <w:ilvl w:val="0"/>
                <w:numId w:val="11"/>
              </w:numPr>
              <w:tabs>
                <w:tab w:val="clear" w:pos="851"/>
                <w:tab w:val="clear" w:pos="1134"/>
              </w:tabs>
              <w:spacing w:before="0" w:afterLines="50" w:line="340" w:lineRule="atLeast"/>
              <w:contextualSpacing/>
              <w:jc w:val="both"/>
              <w:rPr>
                <w:rFonts w:ascii="SimSun"/>
                <w:sz w:val="21"/>
                <w:szCs w:val="22"/>
              </w:rPr>
            </w:pPr>
            <w:r>
              <w:rPr>
                <w:rFonts w:ascii="SimSun" w:hint="eastAsia"/>
                <w:sz w:val="21"/>
                <w:szCs w:val="22"/>
              </w:rPr>
              <w:t>将只与获得批准的</w:t>
            </w:r>
            <w:r w:rsidR="00E215CC">
              <w:rPr>
                <w:rFonts w:ascii="SimSun" w:hint="eastAsia"/>
                <w:sz w:val="21"/>
                <w:szCs w:val="22"/>
              </w:rPr>
              <w:t>、满足</w:t>
            </w:r>
            <w:r>
              <w:rPr>
                <w:rFonts w:ascii="SimSun" w:hint="eastAsia"/>
                <w:sz w:val="21"/>
                <w:szCs w:val="22"/>
              </w:rPr>
              <w:t>本政策中定义的最低信用标准要求的交易对手执行金库交易。</w:t>
            </w:r>
          </w:p>
          <w:p w:rsidR="00D95060" w:rsidRPr="001D6847" w:rsidRDefault="00A82A78" w:rsidP="00A82A78">
            <w:pPr>
              <w:pStyle w:val="ae"/>
              <w:numPr>
                <w:ilvl w:val="0"/>
                <w:numId w:val="11"/>
              </w:numPr>
              <w:tabs>
                <w:tab w:val="clear" w:pos="851"/>
                <w:tab w:val="clear" w:pos="1134"/>
              </w:tabs>
              <w:spacing w:before="0" w:afterLines="50" w:line="340" w:lineRule="atLeast"/>
              <w:contextualSpacing/>
              <w:jc w:val="both"/>
              <w:rPr>
                <w:rFonts w:ascii="SimSun"/>
                <w:sz w:val="21"/>
                <w:szCs w:val="22"/>
              </w:rPr>
            </w:pPr>
            <w:r>
              <w:rPr>
                <w:rFonts w:ascii="SimSun" w:hint="eastAsia"/>
                <w:sz w:val="21"/>
                <w:szCs w:val="22"/>
              </w:rPr>
              <w:t>所有银行、外汇和投资交易对手必须预先经过投资咨询委员会批准。</w:t>
            </w:r>
          </w:p>
        </w:tc>
      </w:tr>
      <w:tr w:rsidR="00D95060" w:rsidRPr="001D6847" w:rsidTr="00C950E7">
        <w:tc>
          <w:tcPr>
            <w:tcW w:w="2495" w:type="dxa"/>
            <w:gridSpan w:val="2"/>
            <w:shd w:val="clear" w:color="auto" w:fill="auto"/>
          </w:tcPr>
          <w:p w:rsidR="00D95060" w:rsidRPr="001D6847" w:rsidRDefault="008D2843" w:rsidP="007F51EE">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t>信贷违约掉</w:t>
            </w:r>
            <w:proofErr w:type="gramStart"/>
            <w:r>
              <w:rPr>
                <w:rFonts w:ascii="SimSun" w:hint="eastAsia"/>
                <w:sz w:val="21"/>
                <w:szCs w:val="22"/>
              </w:rPr>
              <w:t>期水平</w:t>
            </w:r>
            <w:proofErr w:type="gramEnd"/>
          </w:p>
        </w:tc>
        <w:tc>
          <w:tcPr>
            <w:tcW w:w="6544" w:type="dxa"/>
            <w:shd w:val="clear" w:color="auto" w:fill="auto"/>
          </w:tcPr>
          <w:p w:rsidR="00D95060" w:rsidRPr="000B6E09" w:rsidRDefault="008D2843" w:rsidP="007F51EE">
            <w:pPr>
              <w:tabs>
                <w:tab w:val="left" w:pos="-1440"/>
                <w:tab w:val="left" w:pos="-720"/>
              </w:tabs>
              <w:suppressAutoHyphens/>
              <w:spacing w:afterLines="50" w:after="120" w:line="340" w:lineRule="atLeast"/>
              <w:ind w:left="252"/>
              <w:jc w:val="both"/>
              <w:rPr>
                <w:rFonts w:ascii="SimSun"/>
                <w:sz w:val="21"/>
                <w:szCs w:val="22"/>
              </w:rPr>
            </w:pPr>
            <w:r>
              <w:rPr>
                <w:rFonts w:ascii="SimSun" w:hint="eastAsia"/>
                <w:sz w:val="21"/>
                <w:szCs w:val="22"/>
              </w:rPr>
              <w:t>如果交易对手有现成可用的信贷违约掉期</w:t>
            </w:r>
            <w:r w:rsidR="00D95060" w:rsidRPr="001D6847">
              <w:rPr>
                <w:rFonts w:ascii="SimSun"/>
                <w:sz w:val="21"/>
                <w:szCs w:val="22"/>
              </w:rPr>
              <w:t>(CDS)</w:t>
            </w:r>
            <w:r>
              <w:rPr>
                <w:rFonts w:ascii="SimSun" w:hint="eastAsia"/>
                <w:sz w:val="21"/>
                <w:szCs w:val="22"/>
              </w:rPr>
              <w:t>率(彭博社或路透社)</w:t>
            </w:r>
            <w:r w:rsidR="000B6E09">
              <w:rPr>
                <w:rFonts w:ascii="SimSun" w:hint="eastAsia"/>
                <w:sz w:val="21"/>
                <w:szCs w:val="22"/>
              </w:rPr>
              <w:t>，WIPO将对这些进行监视，作为交易对手风险的一个指示。</w:t>
            </w:r>
          </w:p>
          <w:p w:rsidR="00D95060" w:rsidRPr="001D6847" w:rsidRDefault="00D95060" w:rsidP="007F51EE">
            <w:pPr>
              <w:pStyle w:val="ae"/>
              <w:keepNext/>
              <w:keepLines/>
              <w:numPr>
                <w:ilvl w:val="0"/>
                <w:numId w:val="11"/>
              </w:numPr>
              <w:tabs>
                <w:tab w:val="clear" w:pos="851"/>
                <w:tab w:val="clear" w:pos="1134"/>
              </w:tabs>
              <w:spacing w:before="0" w:afterLines="50" w:line="340" w:lineRule="atLeast"/>
              <w:contextualSpacing/>
              <w:jc w:val="both"/>
              <w:rPr>
                <w:rFonts w:ascii="SimSun"/>
                <w:sz w:val="21"/>
                <w:szCs w:val="22"/>
              </w:rPr>
            </w:pPr>
            <w:r w:rsidRPr="001D6847">
              <w:rPr>
                <w:rFonts w:ascii="SimSun"/>
                <w:sz w:val="21"/>
                <w:szCs w:val="22"/>
              </w:rPr>
              <w:t>WIPO</w:t>
            </w:r>
            <w:r w:rsidR="000B6E09">
              <w:rPr>
                <w:rFonts w:ascii="SimSun" w:hint="eastAsia"/>
                <w:sz w:val="21"/>
                <w:szCs w:val="22"/>
              </w:rPr>
              <w:t>尤其将</w:t>
            </w:r>
            <w:r w:rsidR="007F51EE">
              <w:rPr>
                <w:rFonts w:ascii="SimSun" w:hint="eastAsia"/>
                <w:sz w:val="21"/>
                <w:szCs w:val="22"/>
              </w:rPr>
              <w:t>密切</w:t>
            </w:r>
            <w:r w:rsidR="000B6E09">
              <w:rPr>
                <w:rFonts w:ascii="SimSun" w:hint="eastAsia"/>
                <w:sz w:val="21"/>
                <w:szCs w:val="22"/>
              </w:rPr>
              <w:t>监视信贷违约掉</w:t>
            </w:r>
            <w:proofErr w:type="gramStart"/>
            <w:r w:rsidR="000B6E09">
              <w:rPr>
                <w:rFonts w:ascii="SimSun" w:hint="eastAsia"/>
                <w:sz w:val="21"/>
                <w:szCs w:val="22"/>
              </w:rPr>
              <w:t>期水平</w:t>
            </w:r>
            <w:proofErr w:type="gramEnd"/>
            <w:r w:rsidR="000B6E09">
              <w:rPr>
                <w:rFonts w:ascii="SimSun" w:hint="eastAsia"/>
                <w:sz w:val="21"/>
                <w:szCs w:val="22"/>
              </w:rPr>
              <w:t>超过300点子的任何交易对手，并且可能减少/取消对这些交易对手的任何敞口。</w:t>
            </w:r>
          </w:p>
        </w:tc>
      </w:tr>
      <w:tr w:rsidR="00D95060" w:rsidRPr="001D6847" w:rsidTr="007F51EE">
        <w:trPr>
          <w:cantSplit/>
        </w:trPr>
        <w:tc>
          <w:tcPr>
            <w:tcW w:w="2484" w:type="dxa"/>
            <w:shd w:val="clear" w:color="auto" w:fill="auto"/>
          </w:tcPr>
          <w:p w:rsidR="00D95060" w:rsidRPr="001D6847" w:rsidRDefault="003E0A95" w:rsidP="001D6847">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lastRenderedPageBreak/>
              <w:t>交易对手信用风险框架和额度</w:t>
            </w:r>
          </w:p>
        </w:tc>
        <w:tc>
          <w:tcPr>
            <w:tcW w:w="6555" w:type="dxa"/>
            <w:gridSpan w:val="2"/>
            <w:shd w:val="clear" w:color="auto" w:fill="auto"/>
          </w:tcPr>
          <w:p w:rsidR="00D95060" w:rsidRPr="001D6847" w:rsidRDefault="003E0A95" w:rsidP="003E0A95">
            <w:pPr>
              <w:pStyle w:val="ae"/>
              <w:numPr>
                <w:ilvl w:val="0"/>
                <w:numId w:val="11"/>
              </w:numPr>
              <w:tabs>
                <w:tab w:val="clear" w:pos="851"/>
                <w:tab w:val="clear" w:pos="1134"/>
              </w:tabs>
              <w:spacing w:before="0" w:afterLines="50" w:line="340" w:lineRule="atLeast"/>
              <w:contextualSpacing/>
              <w:jc w:val="both"/>
              <w:rPr>
                <w:rFonts w:ascii="SimSun"/>
                <w:sz w:val="21"/>
                <w:szCs w:val="22"/>
              </w:rPr>
            </w:pPr>
            <w:r>
              <w:rPr>
                <w:rFonts w:ascii="SimSun" w:hint="eastAsia"/>
                <w:sz w:val="21"/>
                <w:szCs w:val="22"/>
              </w:rPr>
              <w:t>信用额度将适用于交易对手个体。敞口额度将考虑下列因</w:t>
            </w:r>
            <w:r>
              <w:rPr>
                <w:rFonts w:ascii="SimSun"/>
                <w:sz w:val="21"/>
                <w:szCs w:val="22"/>
              </w:rPr>
              <w:t>‍</w:t>
            </w:r>
            <w:r w:rsidR="002A1900">
              <w:rPr>
                <w:rFonts w:ascii="SimSun" w:hint="eastAsia"/>
                <w:sz w:val="21"/>
                <w:szCs w:val="22"/>
              </w:rPr>
              <w:t>素：</w:t>
            </w:r>
          </w:p>
          <w:p w:rsidR="00952937" w:rsidRPr="002A1900" w:rsidRDefault="0085789E" w:rsidP="002A1900">
            <w:pPr>
              <w:pStyle w:val="ae"/>
              <w:numPr>
                <w:ilvl w:val="1"/>
                <w:numId w:val="11"/>
              </w:numPr>
              <w:tabs>
                <w:tab w:val="clear" w:pos="851"/>
                <w:tab w:val="clear" w:pos="1134"/>
              </w:tabs>
              <w:spacing w:before="0" w:afterLines="50" w:line="340" w:lineRule="atLeast"/>
              <w:ind w:left="1434" w:hanging="357"/>
              <w:jc w:val="both"/>
              <w:rPr>
                <w:rFonts w:ascii="SimSun"/>
                <w:sz w:val="21"/>
                <w:szCs w:val="22"/>
              </w:rPr>
            </w:pPr>
            <w:r>
              <w:rPr>
                <w:rFonts w:ascii="SimSun" w:hint="eastAsia"/>
                <w:sz w:val="21"/>
                <w:szCs w:val="22"/>
              </w:rPr>
              <w:t>由交易对手持有的现金和投资的名义价值</w:t>
            </w:r>
          </w:p>
          <w:p w:rsidR="00D95060" w:rsidRPr="002A1900" w:rsidRDefault="002A1900" w:rsidP="001D6847">
            <w:pPr>
              <w:pStyle w:val="ae"/>
              <w:numPr>
                <w:ilvl w:val="1"/>
                <w:numId w:val="11"/>
              </w:numPr>
              <w:tabs>
                <w:tab w:val="clear" w:pos="851"/>
                <w:tab w:val="clear" w:pos="1134"/>
              </w:tabs>
              <w:spacing w:before="0" w:afterLines="50" w:line="340" w:lineRule="atLeast"/>
              <w:jc w:val="both"/>
              <w:rPr>
                <w:rFonts w:ascii="SimSun"/>
                <w:sz w:val="21"/>
                <w:szCs w:val="22"/>
              </w:rPr>
            </w:pPr>
            <w:r w:rsidRPr="002A1900">
              <w:rPr>
                <w:rFonts w:ascii="SimSun" w:hint="eastAsia"/>
                <w:sz w:val="21"/>
                <w:szCs w:val="22"/>
              </w:rPr>
              <w:t>交易对手以市值计价的外币业务敞口</w:t>
            </w:r>
          </w:p>
          <w:p w:rsidR="00D95060" w:rsidRPr="001D6847" w:rsidRDefault="00447BA4" w:rsidP="001D6847">
            <w:pPr>
              <w:pStyle w:val="ae"/>
              <w:numPr>
                <w:ilvl w:val="0"/>
                <w:numId w:val="11"/>
              </w:numPr>
              <w:tabs>
                <w:tab w:val="clear" w:pos="851"/>
                <w:tab w:val="clear" w:pos="1134"/>
                <w:tab w:val="left" w:pos="-1440"/>
                <w:tab w:val="left" w:pos="-720"/>
              </w:tabs>
              <w:suppressAutoHyphens/>
              <w:spacing w:before="0" w:afterLines="50" w:line="340" w:lineRule="atLeast"/>
              <w:ind w:left="714" w:hanging="357"/>
              <w:contextualSpacing/>
              <w:jc w:val="both"/>
              <w:rPr>
                <w:rFonts w:ascii="SimSun"/>
                <w:sz w:val="21"/>
                <w:szCs w:val="22"/>
              </w:rPr>
            </w:pPr>
            <w:r>
              <w:rPr>
                <w:rFonts w:ascii="SimSun" w:hint="eastAsia"/>
                <w:sz w:val="21"/>
                <w:szCs w:val="22"/>
              </w:rPr>
              <w:t>个体和类别敞口额度按下列办法适用于经批准的交易对手：</w:t>
            </w:r>
          </w:p>
          <w:p w:rsidR="00D95060" w:rsidRPr="004840CB" w:rsidRDefault="00084810" w:rsidP="004840CB">
            <w:pPr>
              <w:numPr>
                <w:ilvl w:val="1"/>
                <w:numId w:val="11"/>
              </w:numPr>
              <w:spacing w:afterLines="50" w:after="120" w:line="340" w:lineRule="atLeast"/>
              <w:jc w:val="both"/>
              <w:rPr>
                <w:rFonts w:ascii="SimSun"/>
                <w:sz w:val="21"/>
                <w:szCs w:val="22"/>
              </w:rPr>
            </w:pPr>
            <w:r>
              <w:rPr>
                <w:rFonts w:ascii="SimSun" w:hint="eastAsia"/>
                <w:sz w:val="21"/>
                <w:szCs w:val="22"/>
              </w:rPr>
              <w:t>信用评级低于</w:t>
            </w:r>
            <w:r w:rsidR="00D95060" w:rsidRPr="001D6847">
              <w:rPr>
                <w:rFonts w:ascii="SimSun"/>
                <w:sz w:val="21"/>
                <w:szCs w:val="22"/>
              </w:rPr>
              <w:t>AA/</w:t>
            </w:r>
            <w:proofErr w:type="spellStart"/>
            <w:r w:rsidR="00D95060" w:rsidRPr="001D6847">
              <w:rPr>
                <w:rFonts w:ascii="SimSun"/>
                <w:sz w:val="21"/>
                <w:szCs w:val="22"/>
              </w:rPr>
              <w:t>Aa</w:t>
            </w:r>
            <w:proofErr w:type="spellEnd"/>
            <w:r>
              <w:rPr>
                <w:rFonts w:ascii="SimSun" w:hint="eastAsia"/>
                <w:sz w:val="21"/>
                <w:szCs w:val="22"/>
              </w:rPr>
              <w:t>的银行交易对手适用最高2,000</w:t>
            </w:r>
            <w:proofErr w:type="gramStart"/>
            <w:r>
              <w:rPr>
                <w:rFonts w:ascii="SimSun" w:hint="eastAsia"/>
                <w:sz w:val="21"/>
                <w:szCs w:val="22"/>
              </w:rPr>
              <w:t>万瑞</w:t>
            </w:r>
            <w:proofErr w:type="gramEnd"/>
            <w:r>
              <w:rPr>
                <w:rFonts w:ascii="SimSun" w:hint="eastAsia"/>
                <w:sz w:val="21"/>
                <w:szCs w:val="22"/>
              </w:rPr>
              <w:t>郎的</w:t>
            </w:r>
            <w:r w:rsidRPr="00084810">
              <w:rPr>
                <w:rFonts w:ascii="SimHei" w:eastAsia="SimHei" w:hAnsi="SimHei" w:hint="eastAsia"/>
                <w:sz w:val="21"/>
                <w:szCs w:val="22"/>
              </w:rPr>
              <w:t>隔夜</w:t>
            </w:r>
            <w:r>
              <w:rPr>
                <w:rFonts w:ascii="SimSun" w:hint="eastAsia"/>
                <w:sz w:val="21"/>
                <w:szCs w:val="22"/>
              </w:rPr>
              <w:t>额度</w:t>
            </w:r>
          </w:p>
          <w:p w:rsidR="00D95060" w:rsidRPr="004840CB" w:rsidRDefault="004840CB" w:rsidP="004840CB">
            <w:pPr>
              <w:numPr>
                <w:ilvl w:val="1"/>
                <w:numId w:val="11"/>
              </w:numPr>
              <w:spacing w:afterLines="50" w:after="120" w:line="340" w:lineRule="atLeast"/>
              <w:jc w:val="both"/>
              <w:rPr>
                <w:rFonts w:ascii="SimSun"/>
                <w:sz w:val="21"/>
                <w:szCs w:val="22"/>
              </w:rPr>
            </w:pPr>
            <w:r>
              <w:rPr>
                <w:rFonts w:ascii="SimSun" w:hint="eastAsia"/>
                <w:sz w:val="21"/>
                <w:szCs w:val="22"/>
              </w:rPr>
              <w:t>在任何一个单独的交易对手处不得超过现金、价内衍生工具</w:t>
            </w:r>
            <w:r w:rsidRPr="004840CB">
              <w:rPr>
                <w:rFonts w:ascii="SimHei" w:eastAsia="SimHei" w:hAnsi="SimHei" w:hint="eastAsia"/>
                <w:sz w:val="21"/>
                <w:szCs w:val="22"/>
              </w:rPr>
              <w:t>和</w:t>
            </w:r>
            <w:r>
              <w:rPr>
                <w:rFonts w:ascii="SimSun" w:hint="eastAsia"/>
                <w:sz w:val="21"/>
                <w:szCs w:val="22"/>
              </w:rPr>
              <w:t>投资</w:t>
            </w:r>
            <w:r w:rsidR="007F51EE">
              <w:rPr>
                <w:rFonts w:ascii="SimSun" w:hint="eastAsia"/>
                <w:sz w:val="21"/>
                <w:szCs w:val="22"/>
              </w:rPr>
              <w:t>的10%</w:t>
            </w:r>
            <w:r w:rsidR="006F3EAC">
              <w:rPr>
                <w:rFonts w:ascii="SimSun" w:hint="eastAsia"/>
                <w:sz w:val="21"/>
                <w:szCs w:val="22"/>
              </w:rPr>
              <w:t>，除非其具有AAA信用评级</w:t>
            </w:r>
          </w:p>
        </w:tc>
      </w:tr>
      <w:tr w:rsidR="00D95060" w:rsidRPr="001D6847" w:rsidTr="00C950E7">
        <w:tc>
          <w:tcPr>
            <w:tcW w:w="2484" w:type="dxa"/>
            <w:shd w:val="clear" w:color="auto" w:fill="auto"/>
          </w:tcPr>
          <w:p w:rsidR="00D95060" w:rsidRPr="001D6847" w:rsidRDefault="006F3EAC" w:rsidP="007F51EE">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t>额度</w:t>
            </w:r>
            <w:r w:rsidR="007F51EE">
              <w:rPr>
                <w:rFonts w:ascii="SimSun" w:hint="eastAsia"/>
                <w:sz w:val="21"/>
                <w:szCs w:val="22"/>
              </w:rPr>
              <w:t>审批</w:t>
            </w:r>
          </w:p>
        </w:tc>
        <w:tc>
          <w:tcPr>
            <w:tcW w:w="6555" w:type="dxa"/>
            <w:gridSpan w:val="2"/>
            <w:shd w:val="clear" w:color="auto" w:fill="auto"/>
          </w:tcPr>
          <w:p w:rsidR="00D95060" w:rsidRPr="001D6847" w:rsidRDefault="006F3EAC" w:rsidP="007F51EE">
            <w:pPr>
              <w:pStyle w:val="ae"/>
              <w:numPr>
                <w:ilvl w:val="0"/>
                <w:numId w:val="12"/>
              </w:numPr>
              <w:tabs>
                <w:tab w:val="clear" w:pos="851"/>
                <w:tab w:val="clear" w:pos="1134"/>
              </w:tabs>
              <w:spacing w:before="0" w:afterLines="50" w:line="340" w:lineRule="atLeast"/>
              <w:ind w:left="777" w:hanging="426"/>
              <w:contextualSpacing/>
              <w:jc w:val="both"/>
              <w:rPr>
                <w:rFonts w:ascii="SimSun"/>
                <w:sz w:val="21"/>
                <w:szCs w:val="22"/>
              </w:rPr>
            </w:pPr>
            <w:r>
              <w:rPr>
                <w:rFonts w:ascii="SimSun" w:hint="eastAsia"/>
                <w:sz w:val="21"/>
                <w:szCs w:val="22"/>
              </w:rPr>
              <w:t>经</w:t>
            </w:r>
            <w:r w:rsidR="007F51EE">
              <w:rPr>
                <w:rFonts w:ascii="SimSun" w:hint="eastAsia"/>
                <w:sz w:val="21"/>
                <w:szCs w:val="22"/>
              </w:rPr>
              <w:t>批</w:t>
            </w:r>
            <w:r>
              <w:rPr>
                <w:rFonts w:ascii="SimSun" w:hint="eastAsia"/>
                <w:sz w:val="21"/>
                <w:szCs w:val="22"/>
              </w:rPr>
              <w:t>准的交易对手和敞口额度可以由总干事和财务主任共同修订。</w:t>
            </w:r>
          </w:p>
        </w:tc>
      </w:tr>
      <w:tr w:rsidR="00D95060" w:rsidRPr="001D6847" w:rsidTr="00C950E7">
        <w:tc>
          <w:tcPr>
            <w:tcW w:w="2484" w:type="dxa"/>
            <w:shd w:val="clear" w:color="auto" w:fill="auto"/>
          </w:tcPr>
          <w:p w:rsidR="00D95060" w:rsidRPr="001D6847" w:rsidRDefault="006F3EAC" w:rsidP="001D6847">
            <w:pPr>
              <w:tabs>
                <w:tab w:val="left" w:pos="-1440"/>
                <w:tab w:val="left" w:pos="-720"/>
              </w:tabs>
              <w:suppressAutoHyphens/>
              <w:spacing w:afterLines="50" w:after="120" w:line="340" w:lineRule="atLeast"/>
              <w:jc w:val="both"/>
              <w:rPr>
                <w:rFonts w:ascii="SimSun"/>
                <w:sz w:val="21"/>
                <w:szCs w:val="22"/>
              </w:rPr>
            </w:pPr>
            <w:r>
              <w:rPr>
                <w:rFonts w:ascii="SimSun" w:hint="eastAsia"/>
                <w:sz w:val="21"/>
                <w:szCs w:val="22"/>
              </w:rPr>
              <w:t>敞口监视</w:t>
            </w:r>
          </w:p>
        </w:tc>
        <w:tc>
          <w:tcPr>
            <w:tcW w:w="6555" w:type="dxa"/>
            <w:gridSpan w:val="2"/>
            <w:shd w:val="clear" w:color="auto" w:fill="auto"/>
          </w:tcPr>
          <w:p w:rsidR="00D95060" w:rsidRPr="001D6847" w:rsidRDefault="00D95060" w:rsidP="006F3EAC">
            <w:pPr>
              <w:pStyle w:val="ae"/>
              <w:numPr>
                <w:ilvl w:val="0"/>
                <w:numId w:val="13"/>
              </w:numPr>
              <w:tabs>
                <w:tab w:val="clear" w:pos="851"/>
                <w:tab w:val="clear" w:pos="1134"/>
              </w:tabs>
              <w:spacing w:before="0" w:afterLines="50" w:line="340" w:lineRule="atLeast"/>
              <w:ind w:left="777" w:hanging="426"/>
              <w:contextualSpacing/>
              <w:jc w:val="both"/>
              <w:rPr>
                <w:rFonts w:ascii="SimSun"/>
                <w:sz w:val="21"/>
                <w:szCs w:val="22"/>
              </w:rPr>
            </w:pPr>
            <w:r w:rsidRPr="001D6847">
              <w:rPr>
                <w:rFonts w:ascii="SimSun"/>
                <w:sz w:val="21"/>
                <w:szCs w:val="22"/>
              </w:rPr>
              <w:t>WIPO</w:t>
            </w:r>
            <w:r w:rsidR="006F3EAC">
              <w:rPr>
                <w:rFonts w:ascii="SimSun" w:hint="eastAsia"/>
                <w:sz w:val="21"/>
                <w:szCs w:val="22"/>
              </w:rPr>
              <w:t>必须定期评价、衡量和报告金库交易对手敞口。</w:t>
            </w:r>
          </w:p>
        </w:tc>
      </w:tr>
    </w:tbl>
    <w:p w:rsidR="00D95060" w:rsidRPr="001D6847" w:rsidRDefault="00D95060" w:rsidP="001D6847">
      <w:pPr>
        <w:tabs>
          <w:tab w:val="left" w:pos="-1440"/>
          <w:tab w:val="left" w:pos="-720"/>
        </w:tabs>
        <w:suppressAutoHyphens/>
        <w:spacing w:afterLines="50" w:after="120" w:line="340" w:lineRule="atLeast"/>
        <w:jc w:val="both"/>
        <w:rPr>
          <w:rFonts w:ascii="SimSun"/>
          <w:b/>
          <w:bCs/>
          <w:sz w:val="21"/>
          <w:szCs w:val="22"/>
          <w:u w:val="single"/>
        </w:rPr>
      </w:pPr>
    </w:p>
    <w:p w:rsidR="005305A4" w:rsidRPr="00405DB2" w:rsidRDefault="006F3EAC" w:rsidP="00C1400E">
      <w:pPr>
        <w:spacing w:after="50" w:line="340" w:lineRule="atLeast"/>
        <w:ind w:left="5533"/>
        <w:jc w:val="both"/>
      </w:pPr>
      <w:r w:rsidRPr="006F3EAC">
        <w:rPr>
          <w:rFonts w:ascii="KaiTi" w:eastAsia="KaiTi" w:hAnsi="KaiTi" w:hint="eastAsia"/>
          <w:bCs/>
          <w:sz w:val="21"/>
          <w:szCs w:val="21"/>
        </w:rPr>
        <w:t>[附件三和文件完]</w:t>
      </w:r>
    </w:p>
    <w:sectPr w:rsidR="005305A4" w:rsidRPr="00405DB2" w:rsidSect="008577D4">
      <w:headerReference w:type="default" r:id="rId22"/>
      <w:headerReference w:type="first" r:id="rId23"/>
      <w:foot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C1" w:rsidRDefault="004D5AC1">
      <w:r>
        <w:separator/>
      </w:r>
    </w:p>
  </w:endnote>
  <w:endnote w:type="continuationSeparator" w:id="0">
    <w:p w:rsidR="004D5AC1" w:rsidRDefault="004D5AC1" w:rsidP="003B38C1">
      <w:r>
        <w:separator/>
      </w:r>
    </w:p>
    <w:p w:rsidR="004D5AC1" w:rsidRPr="003B38C1" w:rsidRDefault="004D5AC1" w:rsidP="003B38C1">
      <w:pPr>
        <w:spacing w:after="60"/>
        <w:rPr>
          <w:sz w:val="17"/>
        </w:rPr>
      </w:pPr>
      <w:r>
        <w:rPr>
          <w:sz w:val="17"/>
        </w:rPr>
        <w:t>[Endnote continued from previous page]</w:t>
      </w:r>
    </w:p>
  </w:endnote>
  <w:endnote w:type="continuationNotice" w:id="1">
    <w:p w:rsidR="004D5AC1" w:rsidRPr="003B38C1" w:rsidRDefault="004D5A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EF3EBB" w:rsidRDefault="004D5A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0821E2" w:rsidRDefault="004D5AC1" w:rsidP="000821E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Default="004D5A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C1" w:rsidRDefault="004D5AC1">
      <w:r>
        <w:separator/>
      </w:r>
    </w:p>
  </w:footnote>
  <w:footnote w:type="continuationSeparator" w:id="0">
    <w:p w:rsidR="004D5AC1" w:rsidRDefault="004D5AC1" w:rsidP="008B60B2">
      <w:r>
        <w:separator/>
      </w:r>
    </w:p>
    <w:p w:rsidR="004D5AC1" w:rsidRPr="00ED77FB" w:rsidRDefault="004D5AC1" w:rsidP="008B60B2">
      <w:pPr>
        <w:spacing w:after="60"/>
        <w:rPr>
          <w:sz w:val="17"/>
          <w:szCs w:val="17"/>
        </w:rPr>
      </w:pPr>
      <w:r w:rsidRPr="00ED77FB">
        <w:rPr>
          <w:sz w:val="17"/>
          <w:szCs w:val="17"/>
        </w:rPr>
        <w:t>[Footnote continued from previous page]</w:t>
      </w:r>
    </w:p>
  </w:footnote>
  <w:footnote w:type="continuationNotice" w:id="1">
    <w:p w:rsidR="004D5AC1" w:rsidRPr="00ED77FB" w:rsidRDefault="004D5AC1" w:rsidP="008B60B2">
      <w:pPr>
        <w:spacing w:before="60"/>
        <w:jc w:val="right"/>
        <w:rPr>
          <w:sz w:val="17"/>
          <w:szCs w:val="17"/>
        </w:rPr>
      </w:pPr>
      <w:r w:rsidRPr="00ED77FB">
        <w:rPr>
          <w:sz w:val="17"/>
          <w:szCs w:val="17"/>
        </w:rPr>
        <w:t>[Footnote continued on next page]</w:t>
      </w:r>
    </w:p>
  </w:footnote>
  <w:footnote w:id="2">
    <w:p w:rsidR="004D5AC1" w:rsidRPr="00FE5711" w:rsidRDefault="004D5AC1" w:rsidP="00FE5711">
      <w:pPr>
        <w:pStyle w:val="a9"/>
        <w:jc w:val="both"/>
        <w:rPr>
          <w:rFonts w:ascii="SimSun" w:hAnsi="SimSun"/>
        </w:rPr>
      </w:pPr>
      <w:r w:rsidRPr="00FE5711">
        <w:rPr>
          <w:rStyle w:val="af2"/>
          <w:rFonts w:ascii="SimSun" w:hAnsi="SimSun"/>
        </w:rPr>
        <w:footnoteRef/>
      </w:r>
      <w:r w:rsidRPr="00FE5711">
        <w:rPr>
          <w:rFonts w:ascii="SimSun" w:hAnsi="SimSun" w:hint="eastAsia"/>
        </w:rPr>
        <w:tab/>
        <w:t>流动比率计算方法为流动资产除以流动负债，流通比率的计算方法为流通资产除以流动负债。</w:t>
      </w:r>
    </w:p>
  </w:footnote>
  <w:footnote w:id="3">
    <w:p w:rsidR="004D5AC1" w:rsidRPr="004C0381" w:rsidRDefault="004D5AC1" w:rsidP="00FE5711">
      <w:pPr>
        <w:pStyle w:val="a9"/>
        <w:rPr>
          <w:szCs w:val="18"/>
        </w:rPr>
      </w:pPr>
      <w:r w:rsidRPr="00FE5711">
        <w:rPr>
          <w:rStyle w:val="af2"/>
          <w:rFonts w:ascii="SimSun" w:hAnsi="SimSun"/>
          <w:szCs w:val="18"/>
        </w:rPr>
        <w:footnoteRef/>
      </w:r>
      <w:r w:rsidRPr="00FE5711">
        <w:rPr>
          <w:rFonts w:ascii="SimSun" w:hAnsi="SimSun"/>
          <w:szCs w:val="18"/>
        </w:rPr>
        <w:t xml:space="preserve"> </w:t>
      </w:r>
      <w:r w:rsidRPr="00FE5711">
        <w:rPr>
          <w:rFonts w:ascii="SimSun" w:hAnsi="SimSun" w:hint="eastAsia"/>
          <w:szCs w:val="18"/>
        </w:rPr>
        <w:tab/>
        <w:t>信用评级的详情见附件二。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4D06C2" w:rsidRDefault="004D5AC1" w:rsidP="00BC1C84">
    <w:pPr>
      <w:pStyle w:val="aa"/>
      <w:jc w:val="right"/>
      <w:rPr>
        <w:rFonts w:ascii="SimSun" w:hAnsi="SimSun"/>
        <w:sz w:val="21"/>
        <w:szCs w:val="21"/>
      </w:rPr>
    </w:pPr>
    <w:r w:rsidRPr="004D06C2">
      <w:rPr>
        <w:rFonts w:ascii="SimSun" w:hAnsi="SimSun"/>
        <w:sz w:val="21"/>
        <w:szCs w:val="21"/>
      </w:rPr>
      <w:t>WO/PBC/22/19</w:t>
    </w:r>
  </w:p>
  <w:p w:rsidR="004D5AC1" w:rsidRPr="004D06C2" w:rsidRDefault="004D5AC1">
    <w:pPr>
      <w:pStyle w:val="aa"/>
      <w:jc w:val="right"/>
      <w:rPr>
        <w:rFonts w:ascii="SimSun" w:hAnsi="SimSun"/>
        <w:sz w:val="21"/>
        <w:szCs w:val="21"/>
      </w:rPr>
    </w:pPr>
    <w:r>
      <w:rPr>
        <w:rFonts w:ascii="SimSun" w:hAnsi="SimSun" w:hint="eastAsia"/>
        <w:sz w:val="21"/>
        <w:szCs w:val="21"/>
      </w:rPr>
      <w:t>第</w:t>
    </w:r>
    <w:sdt>
      <w:sdtPr>
        <w:rPr>
          <w:rFonts w:ascii="SimSun" w:hAnsi="SimSun"/>
          <w:sz w:val="21"/>
          <w:szCs w:val="21"/>
        </w:rPr>
        <w:id w:val="-1498257049"/>
        <w:docPartObj>
          <w:docPartGallery w:val="Page Numbers (Top of Page)"/>
          <w:docPartUnique/>
        </w:docPartObj>
      </w:sdtPr>
      <w:sdtEndPr>
        <w:rPr>
          <w:noProof/>
        </w:rPr>
      </w:sdtEndPr>
      <w:sdtContent>
        <w:r w:rsidRPr="004D06C2">
          <w:rPr>
            <w:rFonts w:ascii="SimSun" w:hAnsi="SimSun"/>
            <w:sz w:val="21"/>
            <w:szCs w:val="21"/>
          </w:rPr>
          <w:fldChar w:fldCharType="begin"/>
        </w:r>
        <w:r w:rsidRPr="004D06C2">
          <w:rPr>
            <w:rFonts w:ascii="SimSun" w:hAnsi="SimSun"/>
            <w:sz w:val="21"/>
            <w:szCs w:val="21"/>
          </w:rPr>
          <w:instrText xml:space="preserve"> PAGE   \* MERGEFORMAT </w:instrText>
        </w:r>
        <w:r w:rsidRPr="004D06C2">
          <w:rPr>
            <w:rFonts w:ascii="SimSun" w:hAnsi="SimSun"/>
            <w:sz w:val="21"/>
            <w:szCs w:val="21"/>
          </w:rPr>
          <w:fldChar w:fldCharType="separate"/>
        </w:r>
        <w:r w:rsidR="00D14B2E">
          <w:rPr>
            <w:rFonts w:ascii="SimSun" w:hAnsi="SimSun"/>
            <w:noProof/>
            <w:sz w:val="21"/>
            <w:szCs w:val="21"/>
          </w:rPr>
          <w:t>4</w:t>
        </w:r>
        <w:r w:rsidRPr="004D06C2">
          <w:rPr>
            <w:rFonts w:ascii="SimSun" w:hAnsi="SimSun"/>
            <w:noProof/>
            <w:sz w:val="21"/>
            <w:szCs w:val="21"/>
          </w:rPr>
          <w:fldChar w:fldCharType="end"/>
        </w:r>
        <w:r>
          <w:rPr>
            <w:rFonts w:ascii="SimSun" w:hAnsi="SimSun" w:hint="eastAsia"/>
            <w:noProof/>
            <w:sz w:val="21"/>
            <w:szCs w:val="21"/>
          </w:rPr>
          <w:t>页</w:t>
        </w:r>
      </w:sdtContent>
    </w:sdt>
  </w:p>
  <w:p w:rsidR="004D5AC1" w:rsidRDefault="004D5AC1" w:rsidP="00477D6B">
    <w:pPr>
      <w:jc w:val="right"/>
    </w:pPr>
  </w:p>
  <w:p w:rsidR="004D5AC1" w:rsidRDefault="004D5AC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F37E9E" w:rsidRDefault="004D5AC1" w:rsidP="00BC1C84">
    <w:pPr>
      <w:pStyle w:val="aa"/>
      <w:jc w:val="right"/>
      <w:rPr>
        <w:rFonts w:ascii="SimSun" w:hAnsi="SimSun"/>
        <w:sz w:val="21"/>
        <w:szCs w:val="21"/>
      </w:rPr>
    </w:pPr>
    <w:r w:rsidRPr="00F37E9E">
      <w:rPr>
        <w:rFonts w:ascii="SimSun" w:hAnsi="SimSun"/>
        <w:sz w:val="21"/>
        <w:szCs w:val="21"/>
      </w:rPr>
      <w:t>WO/PBC/22/19</w:t>
    </w:r>
  </w:p>
  <w:p w:rsidR="004D5AC1" w:rsidRPr="00F37E9E" w:rsidRDefault="004D5AC1">
    <w:pPr>
      <w:pStyle w:val="aa"/>
      <w:jc w:val="right"/>
      <w:rPr>
        <w:rFonts w:ascii="SimSun" w:hAnsi="SimSun"/>
        <w:sz w:val="21"/>
        <w:szCs w:val="21"/>
      </w:rPr>
    </w:pPr>
    <w:r>
      <w:rPr>
        <w:rFonts w:ascii="SimSun" w:hAnsi="SimSun" w:hint="eastAsia"/>
        <w:sz w:val="21"/>
        <w:szCs w:val="21"/>
      </w:rPr>
      <w:t>附件一第</w:t>
    </w:r>
    <w:sdt>
      <w:sdtPr>
        <w:rPr>
          <w:rFonts w:ascii="SimSun" w:hAnsi="SimSun"/>
          <w:sz w:val="21"/>
          <w:szCs w:val="21"/>
        </w:rPr>
        <w:id w:val="-1655520801"/>
        <w:docPartObj>
          <w:docPartGallery w:val="Page Numbers (Top of Page)"/>
          <w:docPartUnique/>
        </w:docPartObj>
      </w:sdtPr>
      <w:sdtEndPr>
        <w:rPr>
          <w:noProof/>
        </w:rPr>
      </w:sdtEndPr>
      <w:sdtContent>
        <w:r w:rsidRPr="00F37E9E">
          <w:rPr>
            <w:rFonts w:ascii="SimSun" w:hAnsi="SimSun"/>
            <w:sz w:val="21"/>
            <w:szCs w:val="21"/>
          </w:rPr>
          <w:fldChar w:fldCharType="begin"/>
        </w:r>
        <w:r w:rsidRPr="00F37E9E">
          <w:rPr>
            <w:rFonts w:ascii="SimSun" w:hAnsi="SimSun"/>
            <w:sz w:val="21"/>
            <w:szCs w:val="21"/>
          </w:rPr>
          <w:instrText xml:space="preserve"> PAGE   \* MERGEFORMAT </w:instrText>
        </w:r>
        <w:r w:rsidRPr="00F37E9E">
          <w:rPr>
            <w:rFonts w:ascii="SimSun" w:hAnsi="SimSun"/>
            <w:sz w:val="21"/>
            <w:szCs w:val="21"/>
          </w:rPr>
          <w:fldChar w:fldCharType="separate"/>
        </w:r>
        <w:r w:rsidR="00D14B2E">
          <w:rPr>
            <w:rFonts w:ascii="SimSun" w:hAnsi="SimSun"/>
            <w:noProof/>
            <w:sz w:val="21"/>
            <w:szCs w:val="21"/>
          </w:rPr>
          <w:t>2</w:t>
        </w:r>
        <w:r w:rsidRPr="00F37E9E">
          <w:rPr>
            <w:rFonts w:ascii="SimSun" w:hAnsi="SimSun"/>
            <w:noProof/>
            <w:sz w:val="21"/>
            <w:szCs w:val="21"/>
          </w:rPr>
          <w:fldChar w:fldCharType="end"/>
        </w:r>
        <w:r>
          <w:rPr>
            <w:rFonts w:ascii="SimSun" w:hAnsi="SimSun" w:hint="eastAsia"/>
            <w:noProof/>
            <w:sz w:val="21"/>
            <w:szCs w:val="21"/>
          </w:rPr>
          <w:t>页</w:t>
        </w:r>
      </w:sdtContent>
    </w:sdt>
  </w:p>
  <w:p w:rsidR="004D5AC1" w:rsidRDefault="004D5AC1" w:rsidP="00477D6B">
    <w:pPr>
      <w:jc w:val="right"/>
    </w:pPr>
  </w:p>
  <w:p w:rsidR="004D5AC1" w:rsidRDefault="004D5AC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F37E9E" w:rsidRDefault="004D5AC1" w:rsidP="004412E7">
    <w:pPr>
      <w:pStyle w:val="aa"/>
      <w:jc w:val="right"/>
      <w:rPr>
        <w:rFonts w:ascii="SimSun" w:hAnsi="SimSun"/>
        <w:sz w:val="21"/>
        <w:szCs w:val="21"/>
      </w:rPr>
    </w:pPr>
    <w:r w:rsidRPr="00F37E9E">
      <w:rPr>
        <w:rFonts w:ascii="SimSun" w:hAnsi="SimSun"/>
        <w:sz w:val="21"/>
        <w:szCs w:val="21"/>
      </w:rPr>
      <w:t>WO/PBC/22/19</w:t>
    </w:r>
  </w:p>
  <w:p w:rsidR="004D5AC1" w:rsidRDefault="004D5AC1">
    <w:pPr>
      <w:pStyle w:val="aa"/>
      <w:jc w:val="right"/>
      <w:rPr>
        <w:rFonts w:ascii="SimSun" w:hAnsi="SimSun"/>
        <w:sz w:val="21"/>
        <w:szCs w:val="21"/>
      </w:rPr>
    </w:pPr>
    <w:r>
      <w:rPr>
        <w:rFonts w:ascii="SimSun" w:hAnsi="SimSun" w:hint="eastAsia"/>
        <w:sz w:val="21"/>
        <w:szCs w:val="21"/>
      </w:rPr>
      <w:t>附件一</w:t>
    </w:r>
  </w:p>
  <w:p w:rsidR="004D5AC1" w:rsidRPr="00F37E9E" w:rsidRDefault="004D5AC1">
    <w:pPr>
      <w:pStyle w:val="aa"/>
      <w:jc w:val="right"/>
      <w:rPr>
        <w:rFonts w:ascii="SimSun" w:hAnsi="SimSun"/>
        <w:sz w:val="21"/>
        <w:szCs w:val="21"/>
      </w:rPr>
    </w:pPr>
  </w:p>
  <w:p w:rsidR="004D5AC1" w:rsidRDefault="004D5AC1" w:rsidP="00405DB2">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927C12" w:rsidRDefault="004D5AC1" w:rsidP="00A217DC">
    <w:pPr>
      <w:pStyle w:val="aa"/>
      <w:jc w:val="right"/>
      <w:rPr>
        <w:rFonts w:ascii="SimSun" w:hAnsi="SimSun"/>
        <w:sz w:val="21"/>
        <w:szCs w:val="21"/>
      </w:rPr>
    </w:pPr>
    <w:r w:rsidRPr="00927C12">
      <w:rPr>
        <w:rFonts w:ascii="SimSun" w:hAnsi="SimSun"/>
        <w:sz w:val="21"/>
        <w:szCs w:val="21"/>
      </w:rPr>
      <w:t>WO/PBC/22/19</w:t>
    </w:r>
  </w:p>
  <w:p w:rsidR="004D5AC1" w:rsidRPr="00927C12" w:rsidRDefault="004D5AC1">
    <w:pPr>
      <w:pStyle w:val="aa"/>
      <w:jc w:val="right"/>
      <w:rPr>
        <w:rFonts w:ascii="SimSun" w:hAnsi="SimSun"/>
        <w:sz w:val="21"/>
        <w:szCs w:val="21"/>
      </w:rPr>
    </w:pPr>
    <w:r>
      <w:rPr>
        <w:rFonts w:ascii="SimSun" w:hAnsi="SimSun" w:hint="eastAsia"/>
        <w:sz w:val="21"/>
        <w:szCs w:val="21"/>
      </w:rPr>
      <w:t>附件一第</w:t>
    </w:r>
    <w:sdt>
      <w:sdtPr>
        <w:rPr>
          <w:rFonts w:ascii="SimSun" w:hAnsi="SimSun"/>
          <w:sz w:val="21"/>
          <w:szCs w:val="21"/>
        </w:rPr>
        <w:id w:val="1935859069"/>
        <w:docPartObj>
          <w:docPartGallery w:val="Page Numbers (Top of Page)"/>
          <w:docPartUnique/>
        </w:docPartObj>
      </w:sdtPr>
      <w:sdtEndPr>
        <w:rPr>
          <w:noProof/>
        </w:rPr>
      </w:sdtEndPr>
      <w:sdtContent>
        <w:r w:rsidRPr="00927C12">
          <w:rPr>
            <w:rFonts w:ascii="SimSun" w:hAnsi="SimSun"/>
            <w:sz w:val="21"/>
            <w:szCs w:val="21"/>
          </w:rPr>
          <w:fldChar w:fldCharType="begin"/>
        </w:r>
        <w:r w:rsidRPr="00927C12">
          <w:rPr>
            <w:rFonts w:ascii="SimSun" w:hAnsi="SimSun"/>
            <w:sz w:val="21"/>
            <w:szCs w:val="21"/>
          </w:rPr>
          <w:instrText xml:space="preserve"> PAGE   \* MERGEFORMAT </w:instrText>
        </w:r>
        <w:r w:rsidRPr="00927C12">
          <w:rPr>
            <w:rFonts w:ascii="SimSun" w:hAnsi="SimSun"/>
            <w:sz w:val="21"/>
            <w:szCs w:val="21"/>
          </w:rPr>
          <w:fldChar w:fldCharType="separate"/>
        </w:r>
        <w:r w:rsidR="00D14B2E">
          <w:rPr>
            <w:rFonts w:ascii="SimSun" w:hAnsi="SimSun"/>
            <w:noProof/>
            <w:sz w:val="21"/>
            <w:szCs w:val="21"/>
          </w:rPr>
          <w:t>3</w:t>
        </w:r>
        <w:r w:rsidRPr="00927C12">
          <w:rPr>
            <w:rFonts w:ascii="SimSun" w:hAnsi="SimSun"/>
            <w:noProof/>
            <w:sz w:val="21"/>
            <w:szCs w:val="21"/>
          </w:rPr>
          <w:fldChar w:fldCharType="end"/>
        </w:r>
        <w:r>
          <w:rPr>
            <w:rFonts w:ascii="SimSun" w:hAnsi="SimSun" w:hint="eastAsia"/>
            <w:noProof/>
            <w:sz w:val="21"/>
            <w:szCs w:val="21"/>
          </w:rPr>
          <w:t>页</w:t>
        </w:r>
      </w:sdtContent>
    </w:sdt>
  </w:p>
  <w:p w:rsidR="004D5AC1" w:rsidRDefault="004D5AC1" w:rsidP="00405DB2">
    <w:pPr>
      <w:pStyle w:val="aa"/>
      <w:jc w:val="right"/>
    </w:pPr>
  </w:p>
  <w:p w:rsidR="004D5AC1" w:rsidRDefault="004D5AC1" w:rsidP="00405DB2">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927C12" w:rsidRDefault="004D5AC1" w:rsidP="00405DB2">
    <w:pPr>
      <w:pStyle w:val="aa"/>
      <w:jc w:val="right"/>
      <w:rPr>
        <w:rFonts w:ascii="SimSun" w:hAnsi="SimSun"/>
        <w:sz w:val="21"/>
        <w:szCs w:val="21"/>
      </w:rPr>
    </w:pPr>
    <w:r w:rsidRPr="00927C12">
      <w:rPr>
        <w:rFonts w:ascii="SimSun" w:hAnsi="SimSun"/>
        <w:sz w:val="21"/>
        <w:szCs w:val="21"/>
      </w:rPr>
      <w:t>WO/PBC/22/19</w:t>
    </w:r>
  </w:p>
  <w:p w:rsidR="004D5AC1" w:rsidRDefault="004D5AC1" w:rsidP="00405DB2">
    <w:pPr>
      <w:pStyle w:val="aa"/>
      <w:jc w:val="right"/>
      <w:rPr>
        <w:rFonts w:ascii="SimSun" w:hAnsi="SimSun"/>
        <w:sz w:val="21"/>
        <w:szCs w:val="21"/>
      </w:rPr>
    </w:pPr>
    <w:r>
      <w:rPr>
        <w:rFonts w:ascii="SimSun" w:hAnsi="SimSun" w:hint="eastAsia"/>
        <w:sz w:val="21"/>
        <w:szCs w:val="21"/>
      </w:rPr>
      <w:t>附件二</w:t>
    </w:r>
  </w:p>
  <w:p w:rsidR="004D5AC1" w:rsidRDefault="004D5AC1" w:rsidP="00405DB2">
    <w:pPr>
      <w:pStyle w:val="aa"/>
      <w:jc w:val="right"/>
    </w:pPr>
  </w:p>
  <w:p w:rsidR="004D5AC1" w:rsidRDefault="004D5AC1" w:rsidP="00405DB2">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927C12" w:rsidRDefault="004D5AC1" w:rsidP="00477D6B">
    <w:pPr>
      <w:jc w:val="right"/>
      <w:rPr>
        <w:rFonts w:ascii="SimSun" w:hAnsi="SimSun"/>
        <w:sz w:val="21"/>
        <w:szCs w:val="21"/>
        <w:lang w:val="fr-FR"/>
      </w:rPr>
    </w:pPr>
    <w:r w:rsidRPr="00927C12">
      <w:rPr>
        <w:rFonts w:ascii="SimSun" w:hAnsi="SimSun"/>
        <w:sz w:val="21"/>
        <w:szCs w:val="21"/>
        <w:lang w:val="fr-FR"/>
      </w:rPr>
      <w:t>WO/PBC/22/19</w:t>
    </w:r>
  </w:p>
  <w:p w:rsidR="004D5AC1" w:rsidRPr="00927C12" w:rsidRDefault="004D5AC1" w:rsidP="00927C12">
    <w:pPr>
      <w:wordWrap w:val="0"/>
      <w:jc w:val="right"/>
      <w:rPr>
        <w:rFonts w:ascii="SimSun" w:hAnsi="SimSun"/>
        <w:sz w:val="21"/>
        <w:szCs w:val="21"/>
        <w:lang w:val="fr-FR"/>
      </w:rPr>
    </w:pPr>
    <w:r>
      <w:rPr>
        <w:rFonts w:ascii="SimSun" w:hAnsi="SimSun" w:hint="eastAsia"/>
        <w:sz w:val="21"/>
        <w:szCs w:val="21"/>
        <w:lang w:val="fr-FR"/>
      </w:rPr>
      <w:t>附件三第</w:t>
    </w:r>
    <w:r w:rsidRPr="00927C12">
      <w:rPr>
        <w:rFonts w:ascii="SimSun" w:hAnsi="SimSun"/>
        <w:sz w:val="21"/>
        <w:szCs w:val="21"/>
        <w:lang w:val="fr-FR"/>
      </w:rPr>
      <w:t>2</w:t>
    </w:r>
    <w:r>
      <w:rPr>
        <w:rFonts w:ascii="SimSun" w:hAnsi="SimSun" w:hint="eastAsia"/>
        <w:sz w:val="21"/>
        <w:szCs w:val="21"/>
        <w:lang w:val="fr-FR"/>
      </w:rPr>
      <w:t>页</w:t>
    </w:r>
  </w:p>
  <w:p w:rsidR="004D5AC1" w:rsidRDefault="004D5AC1" w:rsidP="00477D6B">
    <w:pPr>
      <w:jc w:val="right"/>
      <w:rPr>
        <w:lang w:val="fr-FR"/>
      </w:rPr>
    </w:pPr>
  </w:p>
  <w:p w:rsidR="004D5AC1" w:rsidRPr="00405DB2" w:rsidRDefault="004D5AC1"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C1" w:rsidRPr="00927C12" w:rsidRDefault="004D5AC1" w:rsidP="00405DB2">
    <w:pPr>
      <w:jc w:val="right"/>
      <w:rPr>
        <w:rFonts w:ascii="SimSun" w:hAnsi="SimSun"/>
        <w:sz w:val="21"/>
        <w:szCs w:val="21"/>
      </w:rPr>
    </w:pPr>
    <w:r w:rsidRPr="00927C12">
      <w:rPr>
        <w:rFonts w:ascii="SimSun" w:hAnsi="SimSun"/>
        <w:sz w:val="21"/>
        <w:szCs w:val="21"/>
      </w:rPr>
      <w:t>WO/PBC/</w:t>
    </w:r>
    <w:r>
      <w:rPr>
        <w:rFonts w:ascii="SimSun" w:hAnsi="SimSun"/>
        <w:sz w:val="21"/>
        <w:szCs w:val="21"/>
      </w:rPr>
      <w:t>22/19</w:t>
    </w:r>
  </w:p>
  <w:p w:rsidR="004D5AC1" w:rsidRDefault="004D5AC1" w:rsidP="00405DB2">
    <w:pPr>
      <w:jc w:val="right"/>
    </w:pPr>
    <w:r>
      <w:rPr>
        <w:rFonts w:ascii="SimSun" w:hAnsi="SimSun" w:hint="eastAsia"/>
        <w:sz w:val="21"/>
        <w:szCs w:val="21"/>
      </w:rPr>
      <w:t>附件三</w:t>
    </w:r>
  </w:p>
  <w:p w:rsidR="004D5AC1" w:rsidRDefault="004D5AC1" w:rsidP="00405DB2">
    <w:pPr>
      <w:jc w:val="right"/>
    </w:pPr>
  </w:p>
  <w:p w:rsidR="004D5AC1" w:rsidRDefault="004D5AC1" w:rsidP="00405DB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75154D8"/>
    <w:multiLevelType w:val="hybridMultilevel"/>
    <w:tmpl w:val="861EAF2A"/>
    <w:lvl w:ilvl="0" w:tplc="E59297DE">
      <w:start w:val="1"/>
      <w:numFmt w:val="lowerLetter"/>
      <w:lvlText w:val="(%1)"/>
      <w:lvlJc w:val="left"/>
      <w:pPr>
        <w:tabs>
          <w:tab w:val="num" w:pos="1846"/>
        </w:tabs>
        <w:ind w:left="1846" w:hanging="405"/>
      </w:pPr>
      <w:rPr>
        <w:rFonts w:hint="default"/>
      </w:rPr>
    </w:lvl>
    <w:lvl w:ilvl="1" w:tplc="04090019" w:tentative="1">
      <w:start w:val="1"/>
      <w:numFmt w:val="lowerLetter"/>
      <w:lvlText w:val="%2)"/>
      <w:lvlJc w:val="left"/>
      <w:pPr>
        <w:tabs>
          <w:tab w:val="num" w:pos="2281"/>
        </w:tabs>
        <w:ind w:left="2281" w:hanging="420"/>
      </w:pPr>
    </w:lvl>
    <w:lvl w:ilvl="2" w:tplc="0409001B" w:tentative="1">
      <w:start w:val="1"/>
      <w:numFmt w:val="lowerRoman"/>
      <w:lvlText w:val="%3."/>
      <w:lvlJc w:val="right"/>
      <w:pPr>
        <w:tabs>
          <w:tab w:val="num" w:pos="2701"/>
        </w:tabs>
        <w:ind w:left="2701" w:hanging="420"/>
      </w:pPr>
    </w:lvl>
    <w:lvl w:ilvl="3" w:tplc="0409000F" w:tentative="1">
      <w:start w:val="1"/>
      <w:numFmt w:val="decimal"/>
      <w:lvlText w:val="%4."/>
      <w:lvlJc w:val="left"/>
      <w:pPr>
        <w:tabs>
          <w:tab w:val="num" w:pos="3121"/>
        </w:tabs>
        <w:ind w:left="3121" w:hanging="420"/>
      </w:pPr>
    </w:lvl>
    <w:lvl w:ilvl="4" w:tplc="04090019" w:tentative="1">
      <w:start w:val="1"/>
      <w:numFmt w:val="lowerLetter"/>
      <w:lvlText w:val="%5)"/>
      <w:lvlJc w:val="left"/>
      <w:pPr>
        <w:tabs>
          <w:tab w:val="num" w:pos="3541"/>
        </w:tabs>
        <w:ind w:left="3541" w:hanging="420"/>
      </w:pPr>
    </w:lvl>
    <w:lvl w:ilvl="5" w:tplc="0409001B" w:tentative="1">
      <w:start w:val="1"/>
      <w:numFmt w:val="lowerRoman"/>
      <w:lvlText w:val="%6."/>
      <w:lvlJc w:val="right"/>
      <w:pPr>
        <w:tabs>
          <w:tab w:val="num" w:pos="3961"/>
        </w:tabs>
        <w:ind w:left="3961" w:hanging="420"/>
      </w:pPr>
    </w:lvl>
    <w:lvl w:ilvl="6" w:tplc="0409000F" w:tentative="1">
      <w:start w:val="1"/>
      <w:numFmt w:val="decimal"/>
      <w:lvlText w:val="%7."/>
      <w:lvlJc w:val="left"/>
      <w:pPr>
        <w:tabs>
          <w:tab w:val="num" w:pos="4381"/>
        </w:tabs>
        <w:ind w:left="4381" w:hanging="420"/>
      </w:pPr>
    </w:lvl>
    <w:lvl w:ilvl="7" w:tplc="04090019" w:tentative="1">
      <w:start w:val="1"/>
      <w:numFmt w:val="lowerLetter"/>
      <w:lvlText w:val="%8)"/>
      <w:lvlJc w:val="left"/>
      <w:pPr>
        <w:tabs>
          <w:tab w:val="num" w:pos="4801"/>
        </w:tabs>
        <w:ind w:left="4801" w:hanging="420"/>
      </w:pPr>
    </w:lvl>
    <w:lvl w:ilvl="8" w:tplc="0409001B" w:tentative="1">
      <w:start w:val="1"/>
      <w:numFmt w:val="lowerRoman"/>
      <w:lvlText w:val="%9."/>
      <w:lvlJc w:val="right"/>
      <w:pPr>
        <w:tabs>
          <w:tab w:val="num" w:pos="5221"/>
        </w:tabs>
        <w:ind w:left="5221" w:hanging="420"/>
      </w:pPr>
    </w:lvl>
  </w:abstractNum>
  <w:abstractNum w:abstractNumId="2">
    <w:nsid w:val="0CB77F04"/>
    <w:multiLevelType w:val="hybridMultilevel"/>
    <w:tmpl w:val="4D0402C6"/>
    <w:lvl w:ilvl="0" w:tplc="6B70141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017BC1"/>
    <w:multiLevelType w:val="hybridMultilevel"/>
    <w:tmpl w:val="FB42D1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41281"/>
    <w:multiLevelType w:val="hybridMultilevel"/>
    <w:tmpl w:val="09AE9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64DAD"/>
    <w:multiLevelType w:val="multilevel"/>
    <w:tmpl w:val="FDE0432C"/>
    <w:styleLink w:val="Styleletter"/>
    <w:lvl w:ilvl="0">
      <w:start w:val="1"/>
      <w:numFmt w:val="upperLetter"/>
      <w:lvlText w:val="%1)"/>
      <w:lvlJc w:val="left"/>
      <w:pPr>
        <w:ind w:left="360" w:hanging="360"/>
      </w:pPr>
      <w:rPr>
        <w:rFonts w:hint="default"/>
      </w:rPr>
    </w:lvl>
    <w:lvl w:ilvl="1">
      <w:start w:val="1"/>
      <w:numFmt w:val="none"/>
      <w:lvlText w:val="A."/>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561DDD9"/>
    <w:multiLevelType w:val="hybridMultilevel"/>
    <w:tmpl w:val="FD44B79E"/>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1834749"/>
    <w:multiLevelType w:val="hybridMultilevel"/>
    <w:tmpl w:val="EDD49822"/>
    <w:lvl w:ilvl="0" w:tplc="B2087C9A">
      <w:start w:val="1"/>
      <w:numFmt w:val="lowerLetter"/>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265591"/>
    <w:multiLevelType w:val="multilevel"/>
    <w:tmpl w:val="B84E1F48"/>
    <w:lvl w:ilvl="0">
      <w:start w:val="1"/>
      <w:numFmt w:val="none"/>
      <w:lvlText w:val=""/>
      <w:lvlJc w:val="left"/>
      <w:pPr>
        <w:tabs>
          <w:tab w:val="left" w:pos="0"/>
        </w:tabs>
        <w:ind w:left="432" w:hanging="432"/>
      </w:pPr>
    </w:lvl>
    <w:lvl w:ilvl="1">
      <w:start w:val="1"/>
      <w:numFmt w:val="none"/>
      <w:lvlText w:val=""/>
      <w:lvlJc w:val="left"/>
      <w:pPr>
        <w:tabs>
          <w:tab w:val="left" w:pos="0"/>
        </w:tabs>
        <w:ind w:left="576" w:hanging="576"/>
      </w:pPr>
    </w:lvl>
    <w:lvl w:ilvl="2">
      <w:start w:val="1"/>
      <w:numFmt w:val="none"/>
      <w:lvlText w:val=""/>
      <w:lvlJc w:val="left"/>
      <w:pPr>
        <w:tabs>
          <w:tab w:val="left" w:pos="0"/>
        </w:tabs>
        <w:ind w:left="720" w:hanging="720"/>
      </w:pPr>
    </w:lvl>
    <w:lvl w:ilvl="3">
      <w:start w:val="1"/>
      <w:numFmt w:val="none"/>
      <w:lvlText w:val=""/>
      <w:lvlJc w:val="left"/>
      <w:pPr>
        <w:tabs>
          <w:tab w:val="left" w:pos="0"/>
        </w:tabs>
        <w:ind w:left="864" w:hanging="864"/>
      </w:pPr>
    </w:lvl>
    <w:lvl w:ilvl="4">
      <w:start w:val="1"/>
      <w:numFmt w:val="none"/>
      <w:lvlText w:val=""/>
      <w:lvlJc w:val="left"/>
      <w:pPr>
        <w:tabs>
          <w:tab w:val="left" w:pos="0"/>
        </w:tabs>
        <w:ind w:left="1008" w:hanging="1008"/>
      </w:pPr>
    </w:lvl>
    <w:lvl w:ilvl="5">
      <w:start w:val="1"/>
      <w:numFmt w:val="none"/>
      <w:lvlText w:val=""/>
      <w:lvlJc w:val="left"/>
      <w:pPr>
        <w:tabs>
          <w:tab w:val="left" w:pos="0"/>
        </w:tabs>
        <w:ind w:left="1152" w:hanging="1152"/>
      </w:pPr>
    </w:lvl>
    <w:lvl w:ilvl="6">
      <w:start w:val="1"/>
      <w:numFmt w:val="none"/>
      <w:lvlText w:val=""/>
      <w:lvlJc w:val="left"/>
      <w:pPr>
        <w:tabs>
          <w:tab w:val="left" w:pos="0"/>
        </w:tabs>
        <w:ind w:left="1296" w:hanging="1296"/>
      </w:pPr>
    </w:lvl>
    <w:lvl w:ilvl="7">
      <w:start w:val="1"/>
      <w:numFmt w:val="none"/>
      <w:lvlText w:val=""/>
      <w:lvlJc w:val="left"/>
      <w:pPr>
        <w:tabs>
          <w:tab w:val="left" w:pos="0"/>
        </w:tabs>
        <w:ind w:left="1440" w:hanging="1440"/>
      </w:pPr>
    </w:lvl>
    <w:lvl w:ilvl="8">
      <w:start w:val="1"/>
      <w:numFmt w:val="none"/>
      <w:lvlText w:val=""/>
      <w:lvlJc w:val="left"/>
      <w:pPr>
        <w:tabs>
          <w:tab w:val="left" w:pos="0"/>
        </w:tabs>
        <w:ind w:left="1584" w:hanging="1584"/>
      </w:pPr>
    </w:lvl>
  </w:abstractNum>
  <w:abstractNum w:abstractNumId="10">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1">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37993"/>
    <w:multiLevelType w:val="hybridMultilevel"/>
    <w:tmpl w:val="E044110E"/>
    <w:lvl w:ilvl="0" w:tplc="55EA75E4">
      <w:start w:val="1"/>
      <w:numFmt w:val="decimal"/>
      <w:pStyle w:val="TOC1"/>
      <w:lvlText w:val="%1."/>
      <w:legacy w:legacy="1" w:legacySpace="120" w:legacyIndent="720"/>
      <w:lvlJc w:val="left"/>
      <w:pPr>
        <w:ind w:left="2160" w:hanging="720"/>
      </w:pPr>
    </w:lvl>
    <w:lvl w:ilvl="1" w:tplc="A860E4D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DA2083E"/>
    <w:multiLevelType w:val="hybridMultilevel"/>
    <w:tmpl w:val="D01432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85573A0"/>
    <w:multiLevelType w:val="hybridMultilevel"/>
    <w:tmpl w:val="EDD49822"/>
    <w:lvl w:ilvl="0" w:tplc="B2087C9A">
      <w:start w:val="1"/>
      <w:numFmt w:val="lowerLetter"/>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7E1E10D1"/>
    <w:multiLevelType w:val="hybridMultilevel"/>
    <w:tmpl w:val="A1C23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8"/>
  </w:num>
  <w:num w:numId="5">
    <w:abstractNumId w:val="18"/>
  </w:num>
  <w:num w:numId="6">
    <w:abstractNumId w:val="17"/>
  </w:num>
  <w:num w:numId="7">
    <w:abstractNumId w:val="5"/>
  </w:num>
  <w:num w:numId="8">
    <w:abstractNumId w:val="16"/>
  </w:num>
  <w:num w:numId="9">
    <w:abstractNumId w:val="2"/>
  </w:num>
  <w:num w:numId="10">
    <w:abstractNumId w:val="13"/>
  </w:num>
  <w:num w:numId="11">
    <w:abstractNumId w:val="3"/>
  </w:num>
  <w:num w:numId="12">
    <w:abstractNumId w:val="4"/>
  </w:num>
  <w:num w:numId="13">
    <w:abstractNumId w:val="19"/>
  </w:num>
  <w:num w:numId="14">
    <w:abstractNumId w:val="14"/>
  </w:num>
  <w:num w:numId="15">
    <w:abstractNumId w:val="15"/>
  </w:num>
  <w:num w:numId="16">
    <w:abstractNumId w:val="10"/>
  </w:num>
  <w:num w:numId="17">
    <w:abstractNumId w:val="6"/>
  </w:num>
  <w:num w:numId="18">
    <w:abstractNumId w:val="11"/>
  </w:num>
  <w:num w:numId="19">
    <w:abstractNumId w:val="8"/>
  </w:num>
  <w:num w:numId="20">
    <w:abstractNumId w:val="8"/>
  </w:num>
  <w:num w:numId="21">
    <w:abstractNumId w:val="8"/>
  </w:num>
  <w:num w:numId="22">
    <w:abstractNumId w:val="8"/>
  </w:num>
  <w:num w:numId="23">
    <w:abstractNumId w:val="9"/>
  </w:num>
  <w:num w:numId="24">
    <w:abstractNumId w:val="8"/>
  </w:num>
  <w:num w:numId="25">
    <w:abstractNumId w:val="8"/>
  </w:num>
  <w:num w:numId="26">
    <w:abstractNumId w:val="8"/>
  </w:num>
  <w:num w:numId="27">
    <w:abstractNumId w:val="8"/>
  </w:num>
  <w:num w:numId="28">
    <w:abstractNumId w:val="1"/>
  </w:num>
  <w:num w:numId="29">
    <w:abstractNumId w:val="10"/>
  </w:num>
  <w:num w:numId="30">
    <w:abstractNumId w:val="10"/>
  </w:num>
  <w:num w:numId="31">
    <w:abstractNumId w:val="10"/>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E1"/>
    <w:rsid w:val="0001007E"/>
    <w:rsid w:val="00015BAB"/>
    <w:rsid w:val="00023F4A"/>
    <w:rsid w:val="00034074"/>
    <w:rsid w:val="00043401"/>
    <w:rsid w:val="00043CAA"/>
    <w:rsid w:val="00051ACB"/>
    <w:rsid w:val="000520E5"/>
    <w:rsid w:val="000561D2"/>
    <w:rsid w:val="00061682"/>
    <w:rsid w:val="000638E4"/>
    <w:rsid w:val="00075432"/>
    <w:rsid w:val="00077284"/>
    <w:rsid w:val="000821E2"/>
    <w:rsid w:val="00084810"/>
    <w:rsid w:val="00094503"/>
    <w:rsid w:val="000968ED"/>
    <w:rsid w:val="000B0573"/>
    <w:rsid w:val="000B6E09"/>
    <w:rsid w:val="000D7B9C"/>
    <w:rsid w:val="000F1561"/>
    <w:rsid w:val="000F45B3"/>
    <w:rsid w:val="000F45C7"/>
    <w:rsid w:val="000F5E56"/>
    <w:rsid w:val="001111AF"/>
    <w:rsid w:val="00123C24"/>
    <w:rsid w:val="00126CEA"/>
    <w:rsid w:val="001362EE"/>
    <w:rsid w:val="001363A2"/>
    <w:rsid w:val="001366D4"/>
    <w:rsid w:val="00142D7C"/>
    <w:rsid w:val="00157CB6"/>
    <w:rsid w:val="00170800"/>
    <w:rsid w:val="00176566"/>
    <w:rsid w:val="001815F1"/>
    <w:rsid w:val="001832A6"/>
    <w:rsid w:val="00183CB8"/>
    <w:rsid w:val="001908BD"/>
    <w:rsid w:val="001A04A8"/>
    <w:rsid w:val="001A7354"/>
    <w:rsid w:val="001B10C0"/>
    <w:rsid w:val="001B48C3"/>
    <w:rsid w:val="001B794B"/>
    <w:rsid w:val="001C33C0"/>
    <w:rsid w:val="001D0353"/>
    <w:rsid w:val="001D6847"/>
    <w:rsid w:val="001E4F96"/>
    <w:rsid w:val="001E7D69"/>
    <w:rsid w:val="00202981"/>
    <w:rsid w:val="00203EC6"/>
    <w:rsid w:val="00212A4E"/>
    <w:rsid w:val="0021717B"/>
    <w:rsid w:val="0023789E"/>
    <w:rsid w:val="00254558"/>
    <w:rsid w:val="00262626"/>
    <w:rsid w:val="002634C4"/>
    <w:rsid w:val="0026682B"/>
    <w:rsid w:val="00266C25"/>
    <w:rsid w:val="002747CF"/>
    <w:rsid w:val="002928D3"/>
    <w:rsid w:val="00293C49"/>
    <w:rsid w:val="002A1900"/>
    <w:rsid w:val="002A62F5"/>
    <w:rsid w:val="002C086F"/>
    <w:rsid w:val="002C2F7E"/>
    <w:rsid w:val="002D0A3D"/>
    <w:rsid w:val="002D2A76"/>
    <w:rsid w:val="002E60BA"/>
    <w:rsid w:val="002F0323"/>
    <w:rsid w:val="002F1FE6"/>
    <w:rsid w:val="002F4E68"/>
    <w:rsid w:val="002F5160"/>
    <w:rsid w:val="00305800"/>
    <w:rsid w:val="00312F7F"/>
    <w:rsid w:val="00314DEB"/>
    <w:rsid w:val="00316527"/>
    <w:rsid w:val="0032519C"/>
    <w:rsid w:val="0032761E"/>
    <w:rsid w:val="00333826"/>
    <w:rsid w:val="00340193"/>
    <w:rsid w:val="003409AA"/>
    <w:rsid w:val="00355F65"/>
    <w:rsid w:val="00361450"/>
    <w:rsid w:val="003623C2"/>
    <w:rsid w:val="0036493A"/>
    <w:rsid w:val="003655A7"/>
    <w:rsid w:val="003673CF"/>
    <w:rsid w:val="00367403"/>
    <w:rsid w:val="003845C1"/>
    <w:rsid w:val="00386E89"/>
    <w:rsid w:val="003A5FF1"/>
    <w:rsid w:val="003A6F89"/>
    <w:rsid w:val="003B04A0"/>
    <w:rsid w:val="003B38C1"/>
    <w:rsid w:val="003B5CC5"/>
    <w:rsid w:val="003B6ABB"/>
    <w:rsid w:val="003C439D"/>
    <w:rsid w:val="003E0A95"/>
    <w:rsid w:val="003E198D"/>
    <w:rsid w:val="003E589E"/>
    <w:rsid w:val="003F191C"/>
    <w:rsid w:val="00402C7E"/>
    <w:rsid w:val="00405DB2"/>
    <w:rsid w:val="00416863"/>
    <w:rsid w:val="00423E3E"/>
    <w:rsid w:val="00427AF4"/>
    <w:rsid w:val="004412E7"/>
    <w:rsid w:val="0044389A"/>
    <w:rsid w:val="00447BA4"/>
    <w:rsid w:val="00450A51"/>
    <w:rsid w:val="004530C4"/>
    <w:rsid w:val="0045765F"/>
    <w:rsid w:val="004647DA"/>
    <w:rsid w:val="00474062"/>
    <w:rsid w:val="00477D6B"/>
    <w:rsid w:val="0048297C"/>
    <w:rsid w:val="004840CB"/>
    <w:rsid w:val="00490164"/>
    <w:rsid w:val="00494824"/>
    <w:rsid w:val="004A5B35"/>
    <w:rsid w:val="004B2D10"/>
    <w:rsid w:val="004B5121"/>
    <w:rsid w:val="004B5622"/>
    <w:rsid w:val="004C4FF7"/>
    <w:rsid w:val="004C67DF"/>
    <w:rsid w:val="004D06C2"/>
    <w:rsid w:val="004D5AC1"/>
    <w:rsid w:val="004E6A9C"/>
    <w:rsid w:val="004F42A6"/>
    <w:rsid w:val="004F6DBD"/>
    <w:rsid w:val="005019FF"/>
    <w:rsid w:val="005023EF"/>
    <w:rsid w:val="00502A73"/>
    <w:rsid w:val="00504BBA"/>
    <w:rsid w:val="00513B4B"/>
    <w:rsid w:val="00525644"/>
    <w:rsid w:val="0053057A"/>
    <w:rsid w:val="005305A4"/>
    <w:rsid w:val="00536DD5"/>
    <w:rsid w:val="005441C5"/>
    <w:rsid w:val="00546544"/>
    <w:rsid w:val="00560A29"/>
    <w:rsid w:val="005644F9"/>
    <w:rsid w:val="0057100C"/>
    <w:rsid w:val="005733D2"/>
    <w:rsid w:val="00576106"/>
    <w:rsid w:val="00586199"/>
    <w:rsid w:val="005976A6"/>
    <w:rsid w:val="005A0675"/>
    <w:rsid w:val="005A33B0"/>
    <w:rsid w:val="005A7403"/>
    <w:rsid w:val="005B2076"/>
    <w:rsid w:val="005C228B"/>
    <w:rsid w:val="005C6649"/>
    <w:rsid w:val="005C7F20"/>
    <w:rsid w:val="005D2CD2"/>
    <w:rsid w:val="005D3EF8"/>
    <w:rsid w:val="005F0DCE"/>
    <w:rsid w:val="005F124E"/>
    <w:rsid w:val="00601A2E"/>
    <w:rsid w:val="00605827"/>
    <w:rsid w:val="00607690"/>
    <w:rsid w:val="006241E3"/>
    <w:rsid w:val="00626F37"/>
    <w:rsid w:val="006272B3"/>
    <w:rsid w:val="00630C47"/>
    <w:rsid w:val="00634D02"/>
    <w:rsid w:val="0063585E"/>
    <w:rsid w:val="00646050"/>
    <w:rsid w:val="006466E1"/>
    <w:rsid w:val="006501E5"/>
    <w:rsid w:val="00651514"/>
    <w:rsid w:val="006526C0"/>
    <w:rsid w:val="006713CA"/>
    <w:rsid w:val="00676C5C"/>
    <w:rsid w:val="00691C85"/>
    <w:rsid w:val="00692655"/>
    <w:rsid w:val="006A74D7"/>
    <w:rsid w:val="006B37E5"/>
    <w:rsid w:val="006B4945"/>
    <w:rsid w:val="006B7892"/>
    <w:rsid w:val="006C112C"/>
    <w:rsid w:val="006C49BF"/>
    <w:rsid w:val="006D415B"/>
    <w:rsid w:val="006E2A97"/>
    <w:rsid w:val="006F3EAC"/>
    <w:rsid w:val="00730621"/>
    <w:rsid w:val="007347E6"/>
    <w:rsid w:val="00762B02"/>
    <w:rsid w:val="00772262"/>
    <w:rsid w:val="00774A03"/>
    <w:rsid w:val="00777D74"/>
    <w:rsid w:val="00786933"/>
    <w:rsid w:val="00791E9A"/>
    <w:rsid w:val="007965ED"/>
    <w:rsid w:val="007A3EE9"/>
    <w:rsid w:val="007D1613"/>
    <w:rsid w:val="007D1F48"/>
    <w:rsid w:val="007D3B5E"/>
    <w:rsid w:val="007D657B"/>
    <w:rsid w:val="007D6C5A"/>
    <w:rsid w:val="007E331A"/>
    <w:rsid w:val="007E50A0"/>
    <w:rsid w:val="007E5702"/>
    <w:rsid w:val="007F3483"/>
    <w:rsid w:val="007F51EE"/>
    <w:rsid w:val="00811AA0"/>
    <w:rsid w:val="008143BB"/>
    <w:rsid w:val="00817DB4"/>
    <w:rsid w:val="0082060A"/>
    <w:rsid w:val="00820B8F"/>
    <w:rsid w:val="00822334"/>
    <w:rsid w:val="00825B5E"/>
    <w:rsid w:val="00842951"/>
    <w:rsid w:val="008432B8"/>
    <w:rsid w:val="00846015"/>
    <w:rsid w:val="008561FD"/>
    <w:rsid w:val="008577D4"/>
    <w:rsid w:val="0085789E"/>
    <w:rsid w:val="00862C7E"/>
    <w:rsid w:val="00863D52"/>
    <w:rsid w:val="008655A0"/>
    <w:rsid w:val="008925DE"/>
    <w:rsid w:val="008A40D6"/>
    <w:rsid w:val="008A6900"/>
    <w:rsid w:val="008A7D14"/>
    <w:rsid w:val="008B13A9"/>
    <w:rsid w:val="008B1BDA"/>
    <w:rsid w:val="008B2CC1"/>
    <w:rsid w:val="008B60B2"/>
    <w:rsid w:val="008C1A3E"/>
    <w:rsid w:val="008C4880"/>
    <w:rsid w:val="008D2843"/>
    <w:rsid w:val="008D793B"/>
    <w:rsid w:val="008F64D9"/>
    <w:rsid w:val="009017A3"/>
    <w:rsid w:val="00902ED7"/>
    <w:rsid w:val="00904CA4"/>
    <w:rsid w:val="009068C0"/>
    <w:rsid w:val="00906D58"/>
    <w:rsid w:val="0090731E"/>
    <w:rsid w:val="00911F65"/>
    <w:rsid w:val="00916371"/>
    <w:rsid w:val="00916BD6"/>
    <w:rsid w:val="00916EE2"/>
    <w:rsid w:val="009275CD"/>
    <w:rsid w:val="00927C12"/>
    <w:rsid w:val="00935B3F"/>
    <w:rsid w:val="00952937"/>
    <w:rsid w:val="00956177"/>
    <w:rsid w:val="00960E60"/>
    <w:rsid w:val="009638EB"/>
    <w:rsid w:val="00966A22"/>
    <w:rsid w:val="0096722F"/>
    <w:rsid w:val="00980843"/>
    <w:rsid w:val="00985CD1"/>
    <w:rsid w:val="00990DD8"/>
    <w:rsid w:val="009921B6"/>
    <w:rsid w:val="00994FBD"/>
    <w:rsid w:val="00996CA9"/>
    <w:rsid w:val="009A66B9"/>
    <w:rsid w:val="009B535F"/>
    <w:rsid w:val="009B5A90"/>
    <w:rsid w:val="009C13B8"/>
    <w:rsid w:val="009C2BF7"/>
    <w:rsid w:val="009C3F59"/>
    <w:rsid w:val="009C4662"/>
    <w:rsid w:val="009D5612"/>
    <w:rsid w:val="009D6246"/>
    <w:rsid w:val="009D68F4"/>
    <w:rsid w:val="009D6E39"/>
    <w:rsid w:val="009E2791"/>
    <w:rsid w:val="009E3F6F"/>
    <w:rsid w:val="009F1BBF"/>
    <w:rsid w:val="009F4475"/>
    <w:rsid w:val="009F499F"/>
    <w:rsid w:val="00A035A7"/>
    <w:rsid w:val="00A03B59"/>
    <w:rsid w:val="00A066E3"/>
    <w:rsid w:val="00A07E83"/>
    <w:rsid w:val="00A10742"/>
    <w:rsid w:val="00A16DAA"/>
    <w:rsid w:val="00A217DC"/>
    <w:rsid w:val="00A2561C"/>
    <w:rsid w:val="00A25EE3"/>
    <w:rsid w:val="00A31593"/>
    <w:rsid w:val="00A40716"/>
    <w:rsid w:val="00A42122"/>
    <w:rsid w:val="00A42DAF"/>
    <w:rsid w:val="00A45BD8"/>
    <w:rsid w:val="00A47EE1"/>
    <w:rsid w:val="00A55FBE"/>
    <w:rsid w:val="00A82A78"/>
    <w:rsid w:val="00A834CC"/>
    <w:rsid w:val="00A869B7"/>
    <w:rsid w:val="00A9313C"/>
    <w:rsid w:val="00AA2379"/>
    <w:rsid w:val="00AA40ED"/>
    <w:rsid w:val="00AA7847"/>
    <w:rsid w:val="00AB5266"/>
    <w:rsid w:val="00AC205C"/>
    <w:rsid w:val="00AD4BDF"/>
    <w:rsid w:val="00AD6650"/>
    <w:rsid w:val="00AD688C"/>
    <w:rsid w:val="00AE15DB"/>
    <w:rsid w:val="00AE423B"/>
    <w:rsid w:val="00AF0A6B"/>
    <w:rsid w:val="00AF537B"/>
    <w:rsid w:val="00AF7ABB"/>
    <w:rsid w:val="00B05A69"/>
    <w:rsid w:val="00B15F35"/>
    <w:rsid w:val="00B22BC7"/>
    <w:rsid w:val="00B23470"/>
    <w:rsid w:val="00B5794C"/>
    <w:rsid w:val="00B657F9"/>
    <w:rsid w:val="00B7654A"/>
    <w:rsid w:val="00B9734B"/>
    <w:rsid w:val="00BA0561"/>
    <w:rsid w:val="00BB00AE"/>
    <w:rsid w:val="00BB4254"/>
    <w:rsid w:val="00BB7458"/>
    <w:rsid w:val="00BC1C84"/>
    <w:rsid w:val="00BC5343"/>
    <w:rsid w:val="00BD1A9C"/>
    <w:rsid w:val="00BD32FB"/>
    <w:rsid w:val="00BF2A3E"/>
    <w:rsid w:val="00BF2EC9"/>
    <w:rsid w:val="00C01249"/>
    <w:rsid w:val="00C11BFE"/>
    <w:rsid w:val="00C121A6"/>
    <w:rsid w:val="00C1399D"/>
    <w:rsid w:val="00C1400E"/>
    <w:rsid w:val="00C154F8"/>
    <w:rsid w:val="00C2471B"/>
    <w:rsid w:val="00C432E9"/>
    <w:rsid w:val="00C43AF0"/>
    <w:rsid w:val="00C47A0A"/>
    <w:rsid w:val="00C55956"/>
    <w:rsid w:val="00C673E1"/>
    <w:rsid w:val="00C7067E"/>
    <w:rsid w:val="00C7217A"/>
    <w:rsid w:val="00C74516"/>
    <w:rsid w:val="00C75B46"/>
    <w:rsid w:val="00C81A71"/>
    <w:rsid w:val="00C82C1B"/>
    <w:rsid w:val="00C85377"/>
    <w:rsid w:val="00C9114A"/>
    <w:rsid w:val="00C950E7"/>
    <w:rsid w:val="00CA4EAD"/>
    <w:rsid w:val="00CB28FC"/>
    <w:rsid w:val="00CB6E29"/>
    <w:rsid w:val="00CE638A"/>
    <w:rsid w:val="00CF6BF9"/>
    <w:rsid w:val="00D14B2E"/>
    <w:rsid w:val="00D14E91"/>
    <w:rsid w:val="00D24F02"/>
    <w:rsid w:val="00D361B3"/>
    <w:rsid w:val="00D45252"/>
    <w:rsid w:val="00D47FA6"/>
    <w:rsid w:val="00D55C73"/>
    <w:rsid w:val="00D64B3B"/>
    <w:rsid w:val="00D667D3"/>
    <w:rsid w:val="00D71B4D"/>
    <w:rsid w:val="00D91A22"/>
    <w:rsid w:val="00D9326B"/>
    <w:rsid w:val="00D93D55"/>
    <w:rsid w:val="00D95060"/>
    <w:rsid w:val="00DA4FCA"/>
    <w:rsid w:val="00DA7CC0"/>
    <w:rsid w:val="00DB41EA"/>
    <w:rsid w:val="00DB5303"/>
    <w:rsid w:val="00DB7C75"/>
    <w:rsid w:val="00DC290D"/>
    <w:rsid w:val="00DC3A44"/>
    <w:rsid w:val="00DC40EC"/>
    <w:rsid w:val="00DD036C"/>
    <w:rsid w:val="00DD0998"/>
    <w:rsid w:val="00DD2ED5"/>
    <w:rsid w:val="00DE4D66"/>
    <w:rsid w:val="00DF14A7"/>
    <w:rsid w:val="00DF1B2A"/>
    <w:rsid w:val="00E11928"/>
    <w:rsid w:val="00E14642"/>
    <w:rsid w:val="00E215CC"/>
    <w:rsid w:val="00E2304C"/>
    <w:rsid w:val="00E25FA0"/>
    <w:rsid w:val="00E335FE"/>
    <w:rsid w:val="00E33828"/>
    <w:rsid w:val="00E342A8"/>
    <w:rsid w:val="00E63A34"/>
    <w:rsid w:val="00E64131"/>
    <w:rsid w:val="00E674EC"/>
    <w:rsid w:val="00E712BC"/>
    <w:rsid w:val="00E72256"/>
    <w:rsid w:val="00E745F6"/>
    <w:rsid w:val="00E81060"/>
    <w:rsid w:val="00E8619E"/>
    <w:rsid w:val="00E90FF6"/>
    <w:rsid w:val="00E91280"/>
    <w:rsid w:val="00E95950"/>
    <w:rsid w:val="00EA4EAE"/>
    <w:rsid w:val="00EA6CDF"/>
    <w:rsid w:val="00EB2D49"/>
    <w:rsid w:val="00EB5372"/>
    <w:rsid w:val="00EC4E49"/>
    <w:rsid w:val="00ED5C1E"/>
    <w:rsid w:val="00ED77FB"/>
    <w:rsid w:val="00ED7CB8"/>
    <w:rsid w:val="00EE45FA"/>
    <w:rsid w:val="00EF3EBB"/>
    <w:rsid w:val="00F042F3"/>
    <w:rsid w:val="00F07688"/>
    <w:rsid w:val="00F21467"/>
    <w:rsid w:val="00F37E9E"/>
    <w:rsid w:val="00F45661"/>
    <w:rsid w:val="00F54883"/>
    <w:rsid w:val="00F66152"/>
    <w:rsid w:val="00F74585"/>
    <w:rsid w:val="00F76B22"/>
    <w:rsid w:val="00F87639"/>
    <w:rsid w:val="00F92C6A"/>
    <w:rsid w:val="00FA1EE4"/>
    <w:rsid w:val="00FC4D21"/>
    <w:rsid w:val="00FD084A"/>
    <w:rsid w:val="00FD787B"/>
    <w:rsid w:val="00FE5711"/>
    <w:rsid w:val="00FF66A0"/>
    <w:rsid w:val="00FF7550"/>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6466E1"/>
    <w:rPr>
      <w:rFonts w:ascii="Tahoma" w:hAnsi="Tahoma" w:cs="Tahoma"/>
      <w:sz w:val="16"/>
      <w:szCs w:val="16"/>
    </w:rPr>
  </w:style>
  <w:style w:type="character" w:customStyle="1" w:styleId="Char2">
    <w:name w:val="批注框文本 Char"/>
    <w:basedOn w:val="a1"/>
    <w:link w:val="ad"/>
    <w:rsid w:val="006466E1"/>
    <w:rPr>
      <w:rFonts w:ascii="Tahoma" w:eastAsia="SimSun" w:hAnsi="Tahoma" w:cs="Tahoma"/>
      <w:sz w:val="16"/>
      <w:szCs w:val="16"/>
      <w:lang w:eastAsia="zh-CN"/>
    </w:rPr>
  </w:style>
  <w:style w:type="paragraph" w:styleId="ae">
    <w:name w:val="List Paragraph"/>
    <w:basedOn w:val="a0"/>
    <w:link w:val="Char3"/>
    <w:uiPriority w:val="34"/>
    <w:qFormat/>
    <w:rsid w:val="00A42122"/>
    <w:pPr>
      <w:tabs>
        <w:tab w:val="left" w:pos="851"/>
        <w:tab w:val="left" w:pos="1134"/>
      </w:tabs>
      <w:spacing w:before="120" w:after="120"/>
    </w:pPr>
  </w:style>
  <w:style w:type="paragraph" w:customStyle="1" w:styleId="ListparagraphII">
    <w:name w:val="List paragraph II"/>
    <w:basedOn w:val="ae"/>
    <w:qFormat/>
    <w:rsid w:val="00E72256"/>
    <w:pPr>
      <w:numPr>
        <w:numId w:val="5"/>
      </w:numPr>
    </w:pPr>
  </w:style>
  <w:style w:type="character" w:styleId="af">
    <w:name w:val="annotation reference"/>
    <w:basedOn w:val="a1"/>
    <w:rsid w:val="00A31593"/>
    <w:rPr>
      <w:sz w:val="16"/>
      <w:szCs w:val="16"/>
    </w:rPr>
  </w:style>
  <w:style w:type="paragraph" w:styleId="af0">
    <w:name w:val="annotation subject"/>
    <w:basedOn w:val="a6"/>
    <w:next w:val="a6"/>
    <w:link w:val="Char4"/>
    <w:rsid w:val="00A31593"/>
    <w:rPr>
      <w:b/>
      <w:bCs/>
      <w:sz w:val="20"/>
    </w:rPr>
  </w:style>
  <w:style w:type="character" w:customStyle="1" w:styleId="Char0">
    <w:name w:val="批注文字 Char"/>
    <w:basedOn w:val="a1"/>
    <w:link w:val="a6"/>
    <w:rsid w:val="00A31593"/>
    <w:rPr>
      <w:rFonts w:ascii="Arial" w:eastAsia="SimSun" w:hAnsi="Arial" w:cs="Arial"/>
      <w:sz w:val="18"/>
      <w:lang w:eastAsia="zh-CN"/>
    </w:rPr>
  </w:style>
  <w:style w:type="character" w:customStyle="1" w:styleId="Char4">
    <w:name w:val="批注主题 Char"/>
    <w:basedOn w:val="Char0"/>
    <w:link w:val="af0"/>
    <w:rsid w:val="00A31593"/>
    <w:rPr>
      <w:rFonts w:ascii="Arial" w:eastAsia="SimSun" w:hAnsi="Arial" w:cs="Arial"/>
      <w:b/>
      <w:bCs/>
      <w:sz w:val="18"/>
      <w:lang w:eastAsia="zh-CN"/>
    </w:rPr>
  </w:style>
  <w:style w:type="paragraph" w:customStyle="1" w:styleId="Stylenotes">
    <w:name w:val="Style notes"/>
    <w:basedOn w:val="a0"/>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ae"/>
    <w:link w:val="NumerotationLETTRESChar"/>
    <w:qFormat/>
    <w:rsid w:val="004B2D10"/>
    <w:pPr>
      <w:numPr>
        <w:ilvl w:val="1"/>
        <w:numId w:val="6"/>
      </w:numPr>
      <w:tabs>
        <w:tab w:val="clear" w:pos="851"/>
        <w:tab w:val="clear" w:pos="1134"/>
      </w:tabs>
    </w:pPr>
    <w:rPr>
      <w:u w:val="single"/>
    </w:rPr>
  </w:style>
  <w:style w:type="character" w:customStyle="1" w:styleId="Char3">
    <w:name w:val="列出段落 Char"/>
    <w:basedOn w:val="a1"/>
    <w:link w:val="ae"/>
    <w:uiPriority w:val="34"/>
    <w:rsid w:val="00A42122"/>
    <w:rPr>
      <w:rFonts w:ascii="Arial" w:eastAsia="SimSun" w:hAnsi="Arial" w:cs="Arial"/>
      <w:sz w:val="22"/>
      <w:lang w:eastAsia="zh-CN"/>
    </w:rPr>
  </w:style>
  <w:style w:type="character" w:customStyle="1" w:styleId="NumerotationLETTRESChar">
    <w:name w:val="Numerotation LETTRES Char"/>
    <w:basedOn w:val="Char3"/>
    <w:link w:val="NumerotationLETTRES"/>
    <w:rsid w:val="004B2D10"/>
    <w:rPr>
      <w:rFonts w:ascii="Arial" w:eastAsia="SimSun" w:hAnsi="Arial" w:cs="Arial"/>
      <w:sz w:val="22"/>
      <w:u w:val="single"/>
      <w:lang w:eastAsia="zh-CN"/>
    </w:rPr>
  </w:style>
  <w:style w:type="character" w:customStyle="1" w:styleId="Char">
    <w:name w:val="正文文本 Char"/>
    <w:link w:val="a4"/>
    <w:rsid w:val="00D95060"/>
    <w:rPr>
      <w:rFonts w:ascii="Arial" w:eastAsia="SimSun" w:hAnsi="Arial" w:cs="Arial"/>
      <w:sz w:val="22"/>
      <w:lang w:eastAsia="zh-CN"/>
    </w:rPr>
  </w:style>
  <w:style w:type="paragraph" w:customStyle="1" w:styleId="TOC1">
    <w:name w:val="TOC1"/>
    <w:basedOn w:val="af1"/>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af1">
    <w:name w:val="Title"/>
    <w:basedOn w:val="a0"/>
    <w:next w:val="a0"/>
    <w:link w:val="Char5"/>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标题 Char"/>
    <w:basedOn w:val="a1"/>
    <w:link w:val="af1"/>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af2">
    <w:name w:val="footnote reference"/>
    <w:basedOn w:val="a1"/>
    <w:rsid w:val="00634D02"/>
    <w:rPr>
      <w:vertAlign w:val="superscript"/>
    </w:rPr>
  </w:style>
  <w:style w:type="character" w:styleId="af3">
    <w:name w:val="page number"/>
    <w:basedOn w:val="a1"/>
    <w:rsid w:val="00634D02"/>
  </w:style>
  <w:style w:type="character" w:customStyle="1" w:styleId="Char1">
    <w:name w:val="页眉 Char"/>
    <w:basedOn w:val="a1"/>
    <w:link w:val="aa"/>
    <w:uiPriority w:val="99"/>
    <w:rsid w:val="00F76B22"/>
    <w:rPr>
      <w:rFonts w:ascii="Arial" w:eastAsia="SimSun" w:hAnsi="Arial" w:cs="Arial"/>
      <w:sz w:val="22"/>
      <w:lang w:eastAsia="zh-CN"/>
    </w:rPr>
  </w:style>
  <w:style w:type="paragraph" w:customStyle="1" w:styleId="Style2">
    <w:name w:val="Style2"/>
    <w:basedOn w:val="a0"/>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af4">
    <w:name w:val="Revision"/>
    <w:hidden/>
    <w:uiPriority w:val="99"/>
    <w:semiHidden/>
    <w:rsid w:val="003655A7"/>
    <w:rPr>
      <w:rFonts w:ascii="Arial" w:eastAsia="SimSun" w:hAnsi="Arial" w:cs="Arial"/>
      <w:sz w:val="22"/>
      <w:lang w:eastAsia="zh-CN"/>
    </w:rPr>
  </w:style>
  <w:style w:type="paragraph" w:customStyle="1" w:styleId="CharChar1">
    <w:name w:val="Char Char1"/>
    <w:basedOn w:val="a0"/>
    <w:rsid w:val="00916371"/>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6466E1"/>
    <w:rPr>
      <w:rFonts w:ascii="Tahoma" w:hAnsi="Tahoma" w:cs="Tahoma"/>
      <w:sz w:val="16"/>
      <w:szCs w:val="16"/>
    </w:rPr>
  </w:style>
  <w:style w:type="character" w:customStyle="1" w:styleId="Char2">
    <w:name w:val="批注框文本 Char"/>
    <w:basedOn w:val="a1"/>
    <w:link w:val="ad"/>
    <w:rsid w:val="006466E1"/>
    <w:rPr>
      <w:rFonts w:ascii="Tahoma" w:eastAsia="SimSun" w:hAnsi="Tahoma" w:cs="Tahoma"/>
      <w:sz w:val="16"/>
      <w:szCs w:val="16"/>
      <w:lang w:eastAsia="zh-CN"/>
    </w:rPr>
  </w:style>
  <w:style w:type="paragraph" w:styleId="ae">
    <w:name w:val="List Paragraph"/>
    <w:basedOn w:val="a0"/>
    <w:link w:val="Char3"/>
    <w:uiPriority w:val="34"/>
    <w:qFormat/>
    <w:rsid w:val="00A42122"/>
    <w:pPr>
      <w:tabs>
        <w:tab w:val="left" w:pos="851"/>
        <w:tab w:val="left" w:pos="1134"/>
      </w:tabs>
      <w:spacing w:before="120" w:after="120"/>
    </w:pPr>
  </w:style>
  <w:style w:type="paragraph" w:customStyle="1" w:styleId="ListparagraphII">
    <w:name w:val="List paragraph II"/>
    <w:basedOn w:val="ae"/>
    <w:qFormat/>
    <w:rsid w:val="00E72256"/>
    <w:pPr>
      <w:numPr>
        <w:numId w:val="5"/>
      </w:numPr>
    </w:pPr>
  </w:style>
  <w:style w:type="character" w:styleId="af">
    <w:name w:val="annotation reference"/>
    <w:basedOn w:val="a1"/>
    <w:rsid w:val="00A31593"/>
    <w:rPr>
      <w:sz w:val="16"/>
      <w:szCs w:val="16"/>
    </w:rPr>
  </w:style>
  <w:style w:type="paragraph" w:styleId="af0">
    <w:name w:val="annotation subject"/>
    <w:basedOn w:val="a6"/>
    <w:next w:val="a6"/>
    <w:link w:val="Char4"/>
    <w:rsid w:val="00A31593"/>
    <w:rPr>
      <w:b/>
      <w:bCs/>
      <w:sz w:val="20"/>
    </w:rPr>
  </w:style>
  <w:style w:type="character" w:customStyle="1" w:styleId="Char0">
    <w:name w:val="批注文字 Char"/>
    <w:basedOn w:val="a1"/>
    <w:link w:val="a6"/>
    <w:rsid w:val="00A31593"/>
    <w:rPr>
      <w:rFonts w:ascii="Arial" w:eastAsia="SimSun" w:hAnsi="Arial" w:cs="Arial"/>
      <w:sz w:val="18"/>
      <w:lang w:eastAsia="zh-CN"/>
    </w:rPr>
  </w:style>
  <w:style w:type="character" w:customStyle="1" w:styleId="Char4">
    <w:name w:val="批注主题 Char"/>
    <w:basedOn w:val="Char0"/>
    <w:link w:val="af0"/>
    <w:rsid w:val="00A31593"/>
    <w:rPr>
      <w:rFonts w:ascii="Arial" w:eastAsia="SimSun" w:hAnsi="Arial" w:cs="Arial"/>
      <w:b/>
      <w:bCs/>
      <w:sz w:val="18"/>
      <w:lang w:eastAsia="zh-CN"/>
    </w:rPr>
  </w:style>
  <w:style w:type="paragraph" w:customStyle="1" w:styleId="Stylenotes">
    <w:name w:val="Style notes"/>
    <w:basedOn w:val="a0"/>
    <w:qFormat/>
    <w:rsid w:val="00E25FA0"/>
    <w:rPr>
      <w:i/>
      <w:color w:val="FF0000"/>
    </w:rPr>
  </w:style>
  <w:style w:type="numbering" w:customStyle="1" w:styleId="Styleletter">
    <w:name w:val="Style letter"/>
    <w:uiPriority w:val="99"/>
    <w:rsid w:val="00772262"/>
    <w:pPr>
      <w:numPr>
        <w:numId w:val="7"/>
      </w:numPr>
    </w:pPr>
  </w:style>
  <w:style w:type="paragraph" w:customStyle="1" w:styleId="NumerotationLETTRES">
    <w:name w:val="Numerotation LETTRES"/>
    <w:basedOn w:val="ae"/>
    <w:link w:val="NumerotationLETTRESChar"/>
    <w:qFormat/>
    <w:rsid w:val="004B2D10"/>
    <w:pPr>
      <w:numPr>
        <w:ilvl w:val="1"/>
        <w:numId w:val="6"/>
      </w:numPr>
      <w:tabs>
        <w:tab w:val="clear" w:pos="851"/>
        <w:tab w:val="clear" w:pos="1134"/>
      </w:tabs>
    </w:pPr>
    <w:rPr>
      <w:u w:val="single"/>
    </w:rPr>
  </w:style>
  <w:style w:type="character" w:customStyle="1" w:styleId="Char3">
    <w:name w:val="列出段落 Char"/>
    <w:basedOn w:val="a1"/>
    <w:link w:val="ae"/>
    <w:uiPriority w:val="34"/>
    <w:rsid w:val="00A42122"/>
    <w:rPr>
      <w:rFonts w:ascii="Arial" w:eastAsia="SimSun" w:hAnsi="Arial" w:cs="Arial"/>
      <w:sz w:val="22"/>
      <w:lang w:eastAsia="zh-CN"/>
    </w:rPr>
  </w:style>
  <w:style w:type="character" w:customStyle="1" w:styleId="NumerotationLETTRESChar">
    <w:name w:val="Numerotation LETTRES Char"/>
    <w:basedOn w:val="Char3"/>
    <w:link w:val="NumerotationLETTRES"/>
    <w:rsid w:val="004B2D10"/>
    <w:rPr>
      <w:rFonts w:ascii="Arial" w:eastAsia="SimSun" w:hAnsi="Arial" w:cs="Arial"/>
      <w:sz w:val="22"/>
      <w:u w:val="single"/>
      <w:lang w:eastAsia="zh-CN"/>
    </w:rPr>
  </w:style>
  <w:style w:type="character" w:customStyle="1" w:styleId="Char">
    <w:name w:val="正文文本 Char"/>
    <w:link w:val="a4"/>
    <w:rsid w:val="00D95060"/>
    <w:rPr>
      <w:rFonts w:ascii="Arial" w:eastAsia="SimSun" w:hAnsi="Arial" w:cs="Arial"/>
      <w:sz w:val="22"/>
      <w:lang w:eastAsia="zh-CN"/>
    </w:rPr>
  </w:style>
  <w:style w:type="paragraph" w:customStyle="1" w:styleId="TOC1">
    <w:name w:val="TOC1"/>
    <w:basedOn w:val="af1"/>
    <w:rsid w:val="00D95060"/>
    <w:pPr>
      <w:numPr>
        <w:numId w:val="1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af1">
    <w:name w:val="Title"/>
    <w:basedOn w:val="a0"/>
    <w:next w:val="a0"/>
    <w:link w:val="Char5"/>
    <w:qFormat/>
    <w:rsid w:val="00D95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标题 Char"/>
    <w:basedOn w:val="a1"/>
    <w:link w:val="af1"/>
    <w:rsid w:val="00D95060"/>
    <w:rPr>
      <w:rFonts w:asciiTheme="majorHAnsi" w:eastAsiaTheme="majorEastAsia" w:hAnsiTheme="majorHAnsi" w:cstheme="majorBidi"/>
      <w:color w:val="17365D" w:themeColor="text2" w:themeShade="BF"/>
      <w:spacing w:val="5"/>
      <w:kern w:val="28"/>
      <w:sz w:val="52"/>
      <w:szCs w:val="52"/>
      <w:lang w:eastAsia="zh-CN"/>
    </w:rPr>
  </w:style>
  <w:style w:type="character" w:styleId="af2">
    <w:name w:val="footnote reference"/>
    <w:basedOn w:val="a1"/>
    <w:rsid w:val="00634D02"/>
    <w:rPr>
      <w:vertAlign w:val="superscript"/>
    </w:rPr>
  </w:style>
  <w:style w:type="character" w:styleId="af3">
    <w:name w:val="page number"/>
    <w:basedOn w:val="a1"/>
    <w:rsid w:val="00634D02"/>
  </w:style>
  <w:style w:type="character" w:customStyle="1" w:styleId="Char1">
    <w:name w:val="页眉 Char"/>
    <w:basedOn w:val="a1"/>
    <w:link w:val="aa"/>
    <w:uiPriority w:val="99"/>
    <w:rsid w:val="00F76B22"/>
    <w:rPr>
      <w:rFonts w:ascii="Arial" w:eastAsia="SimSun" w:hAnsi="Arial" w:cs="Arial"/>
      <w:sz w:val="22"/>
      <w:lang w:eastAsia="zh-CN"/>
    </w:rPr>
  </w:style>
  <w:style w:type="paragraph" w:customStyle="1" w:styleId="Style2">
    <w:name w:val="Style2"/>
    <w:basedOn w:val="a0"/>
    <w:rsid w:val="009D5612"/>
    <w:pPr>
      <w:numPr>
        <w:numId w:val="16"/>
      </w:numPr>
    </w:pPr>
  </w:style>
  <w:style w:type="paragraph" w:customStyle="1" w:styleId="Default">
    <w:name w:val="Default"/>
    <w:rsid w:val="00502A73"/>
    <w:pPr>
      <w:autoSpaceDE w:val="0"/>
      <w:autoSpaceDN w:val="0"/>
      <w:adjustRightInd w:val="0"/>
    </w:pPr>
    <w:rPr>
      <w:rFonts w:ascii="Arial" w:hAnsi="Arial" w:cs="Arial"/>
      <w:color w:val="000000"/>
      <w:sz w:val="24"/>
      <w:szCs w:val="24"/>
    </w:rPr>
  </w:style>
  <w:style w:type="paragraph" w:styleId="af4">
    <w:name w:val="Revision"/>
    <w:hidden/>
    <w:uiPriority w:val="99"/>
    <w:semiHidden/>
    <w:rsid w:val="003655A7"/>
    <w:rPr>
      <w:rFonts w:ascii="Arial" w:eastAsia="SimSun" w:hAnsi="Arial" w:cs="Arial"/>
      <w:sz w:val="22"/>
      <w:lang w:eastAsia="zh-CN"/>
    </w:rPr>
  </w:style>
  <w:style w:type="paragraph" w:customStyle="1" w:styleId="CharChar1">
    <w:name w:val="Char Char1"/>
    <w:basedOn w:val="a0"/>
    <w:rsid w:val="0091637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11483">
      <w:bodyDiv w:val="1"/>
      <w:marLeft w:val="0"/>
      <w:marRight w:val="0"/>
      <w:marTop w:val="0"/>
      <w:marBottom w:val="0"/>
      <w:divBdr>
        <w:top w:val="none" w:sz="0" w:space="0" w:color="auto"/>
        <w:left w:val="none" w:sz="0" w:space="0" w:color="auto"/>
        <w:bottom w:val="none" w:sz="0" w:space="0" w:color="auto"/>
        <w:right w:val="none" w:sz="0" w:space="0" w:color="auto"/>
      </w:divBdr>
    </w:div>
    <w:div w:id="17215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59F3-4DEF-4143-AC6E-5B487839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14</Pages>
  <Words>7472</Words>
  <Characters>1138</Characters>
  <Application>Microsoft Office Word</Application>
  <DocSecurity>0</DocSecurity>
  <Lines>66</Lines>
  <Paragraphs>232</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WO/PBC/22/19</dc:title>
  <dc:subject>投资政策修正建议</dc:subject>
  <dc:creator/>
  <cp:lastModifiedBy>MA Weihai</cp:lastModifiedBy>
  <cp:revision>121</cp:revision>
  <cp:lastPrinted>2014-08-04T13:10:00Z</cp:lastPrinted>
  <dcterms:created xsi:type="dcterms:W3CDTF">2014-07-30T15:01:00Z</dcterms:created>
  <dcterms:modified xsi:type="dcterms:W3CDTF">2014-08-04T14:34:00Z</dcterms:modified>
</cp:coreProperties>
</file>