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F3B39" w:rsidRPr="00EF3B39" w:rsidTr="0002072F">
        <w:tc>
          <w:tcPr>
            <w:tcW w:w="4513" w:type="dxa"/>
            <w:tcBorders>
              <w:bottom w:val="single" w:sz="4" w:space="0" w:color="auto"/>
            </w:tcBorders>
            <w:tcMar>
              <w:bottom w:w="170" w:type="dxa"/>
            </w:tcMar>
          </w:tcPr>
          <w:p w:rsidR="00EF3B39" w:rsidRPr="00EF3B39" w:rsidRDefault="00EF3B39" w:rsidP="00EF3B39">
            <w:pPr>
              <w:rPr>
                <w:rFonts w:eastAsia="SimSun"/>
                <w:lang w:eastAsia="zh-CN"/>
              </w:rPr>
            </w:pPr>
          </w:p>
        </w:tc>
        <w:tc>
          <w:tcPr>
            <w:tcW w:w="4337" w:type="dxa"/>
            <w:tcBorders>
              <w:bottom w:val="single" w:sz="4" w:space="0" w:color="auto"/>
            </w:tcBorders>
            <w:tcMar>
              <w:left w:w="0" w:type="dxa"/>
              <w:right w:w="0" w:type="dxa"/>
            </w:tcMar>
          </w:tcPr>
          <w:p w:rsidR="00EF3B39" w:rsidRPr="00EF3B39" w:rsidRDefault="000479C6" w:rsidP="00EF3B39">
            <w:pPr>
              <w:rPr>
                <w:rFonts w:eastAsia="SimSun"/>
                <w:lang w:eastAsia="zh-CN"/>
              </w:rPr>
            </w:pPr>
            <w:r w:rsidRPr="00082409">
              <w:rPr>
                <w:noProof/>
                <w:lang w:eastAsia="en-US"/>
              </w:rPr>
              <w:drawing>
                <wp:inline distT="0" distB="0" distL="0" distR="0" wp14:anchorId="6E6B1CD2" wp14:editId="1E3DA146">
                  <wp:extent cx="1804670" cy="1343660"/>
                  <wp:effectExtent l="0" t="0" r="5080" b="8890"/>
                  <wp:docPr id="2" name="Picture 6" descr="Description: WIPO-R-BW"/>
                  <wp:cNvGraphicFramePr/>
                  <a:graphic xmlns:a="http://schemas.openxmlformats.org/drawingml/2006/main">
                    <a:graphicData uri="http://schemas.openxmlformats.org/drawingml/2006/picture">
                      <pic:pic xmlns:pic="http://schemas.openxmlformats.org/drawingml/2006/picture">
                        <pic:nvPicPr>
                          <pic:cNvPr id="2" name="Picture 6" descr="Description: WIPO-R-BW"/>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670" cy="134366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F3B39" w:rsidRPr="000479C6" w:rsidRDefault="003048D6" w:rsidP="003048D6">
            <w:pPr>
              <w:jc w:val="right"/>
              <w:rPr>
                <w:rFonts w:eastAsia="SimSun"/>
                <w:sz w:val="40"/>
                <w:szCs w:val="40"/>
                <w:lang w:eastAsia="zh-CN"/>
              </w:rPr>
            </w:pPr>
            <w:r w:rsidRPr="000479C6">
              <w:rPr>
                <w:rFonts w:eastAsia="SimSun"/>
                <w:b/>
                <w:sz w:val="40"/>
                <w:szCs w:val="40"/>
                <w:lang w:val="ru-RU" w:eastAsia="zh-CN"/>
              </w:rPr>
              <w:t>R</w:t>
            </w:r>
          </w:p>
        </w:tc>
      </w:tr>
      <w:tr w:rsidR="00EF3B39" w:rsidRPr="00EF3B39" w:rsidTr="00920A86">
        <w:trPr>
          <w:trHeight w:hRule="exact" w:val="684"/>
        </w:trPr>
        <w:tc>
          <w:tcPr>
            <w:tcW w:w="9356" w:type="dxa"/>
            <w:gridSpan w:val="3"/>
            <w:tcBorders>
              <w:top w:val="single" w:sz="4" w:space="0" w:color="auto"/>
            </w:tcBorders>
            <w:tcMar>
              <w:top w:w="170" w:type="dxa"/>
              <w:left w:w="0" w:type="dxa"/>
              <w:right w:w="0" w:type="dxa"/>
            </w:tcMar>
            <w:vAlign w:val="bottom"/>
          </w:tcPr>
          <w:p w:rsidR="00EF3B39" w:rsidRPr="00EF3B39" w:rsidRDefault="003048D6" w:rsidP="003048D6">
            <w:pPr>
              <w:jc w:val="right"/>
              <w:rPr>
                <w:rFonts w:ascii="Arial Black" w:eastAsia="SimSun" w:hAnsi="Arial Black"/>
                <w:caps/>
                <w:sz w:val="15"/>
                <w:lang w:eastAsia="zh-CN"/>
              </w:rPr>
            </w:pPr>
            <w:r w:rsidRPr="003048D6">
              <w:rPr>
                <w:rFonts w:ascii="Arial Black" w:eastAsia="SimSun" w:hAnsi="Arial Black"/>
                <w:caps/>
                <w:sz w:val="15"/>
                <w:lang w:val="ru-RU" w:eastAsia="zh-CN"/>
              </w:rPr>
              <w:t>WO/PBC/26/6</w:t>
            </w:r>
            <w:r w:rsidR="00EF3B39" w:rsidRPr="00EF3B39">
              <w:rPr>
                <w:rFonts w:ascii="Arial Black" w:eastAsia="SimSun" w:hAnsi="Arial Black"/>
                <w:caps/>
                <w:sz w:val="15"/>
                <w:lang w:eastAsia="zh-CN"/>
              </w:rPr>
              <w:t xml:space="preserve"> </w:t>
            </w:r>
          </w:p>
        </w:tc>
      </w:tr>
      <w:tr w:rsidR="00EF3B39" w:rsidRPr="00EF3B39" w:rsidTr="0002072F">
        <w:trPr>
          <w:trHeight w:hRule="exact" w:val="170"/>
        </w:trPr>
        <w:tc>
          <w:tcPr>
            <w:tcW w:w="9356" w:type="dxa"/>
            <w:gridSpan w:val="3"/>
            <w:noWrap/>
            <w:tcMar>
              <w:left w:w="0" w:type="dxa"/>
              <w:right w:w="0" w:type="dxa"/>
            </w:tcMar>
            <w:vAlign w:val="bottom"/>
          </w:tcPr>
          <w:p w:rsidR="00EF3B39" w:rsidRPr="00EF3B39" w:rsidRDefault="003048D6" w:rsidP="003048D6">
            <w:pPr>
              <w:jc w:val="right"/>
              <w:rPr>
                <w:rFonts w:ascii="Arial Black" w:eastAsia="SimSun" w:hAnsi="Arial Black"/>
                <w:caps/>
                <w:sz w:val="15"/>
                <w:lang w:eastAsia="zh-CN"/>
              </w:rPr>
            </w:pPr>
            <w:r w:rsidRPr="003048D6">
              <w:rPr>
                <w:rFonts w:ascii="Arial Black" w:eastAsia="SimSun" w:hAnsi="Arial Black"/>
                <w:caps/>
                <w:sz w:val="15"/>
                <w:lang w:val="ru-RU" w:eastAsia="zh-CN"/>
              </w:rPr>
              <w:t>оригинал: английский</w:t>
            </w:r>
          </w:p>
        </w:tc>
      </w:tr>
      <w:tr w:rsidR="00EF3B39" w:rsidRPr="00EF3B39" w:rsidTr="0002072F">
        <w:trPr>
          <w:trHeight w:hRule="exact" w:val="198"/>
        </w:trPr>
        <w:tc>
          <w:tcPr>
            <w:tcW w:w="9356" w:type="dxa"/>
            <w:gridSpan w:val="3"/>
            <w:tcMar>
              <w:left w:w="0" w:type="dxa"/>
              <w:right w:w="0" w:type="dxa"/>
            </w:tcMar>
            <w:vAlign w:val="bottom"/>
          </w:tcPr>
          <w:p w:rsidR="00EF3B39" w:rsidRPr="00EF3B39" w:rsidRDefault="003048D6" w:rsidP="004C50DD">
            <w:pPr>
              <w:jc w:val="right"/>
              <w:rPr>
                <w:rFonts w:ascii="Arial Black" w:eastAsia="SimSun" w:hAnsi="Arial Black"/>
                <w:caps/>
                <w:sz w:val="15"/>
                <w:lang w:eastAsia="zh-CN"/>
              </w:rPr>
            </w:pPr>
            <w:r w:rsidRPr="003048D6">
              <w:rPr>
                <w:rFonts w:ascii="Arial Black" w:eastAsia="SimSun" w:hAnsi="Arial Black"/>
                <w:caps/>
                <w:sz w:val="15"/>
                <w:lang w:val="ru-RU" w:eastAsia="zh-CN"/>
              </w:rPr>
              <w:t>дата: 1</w:t>
            </w:r>
            <w:r w:rsidR="004C50DD">
              <w:rPr>
                <w:rFonts w:ascii="Arial Black" w:eastAsia="SimSun" w:hAnsi="Arial Black"/>
                <w:caps/>
                <w:sz w:val="15"/>
                <w:lang w:val="ru-RU" w:eastAsia="zh-CN"/>
              </w:rPr>
              <w:t>6</w:t>
            </w:r>
            <w:r w:rsidRPr="003048D6">
              <w:rPr>
                <w:rFonts w:ascii="Arial Black" w:eastAsia="SimSun" w:hAnsi="Arial Black"/>
                <w:caps/>
                <w:sz w:val="15"/>
                <w:lang w:val="ru-RU" w:eastAsia="zh-CN"/>
              </w:rPr>
              <w:t xml:space="preserve"> </w:t>
            </w:r>
            <w:r w:rsidR="004C50DD">
              <w:rPr>
                <w:rFonts w:ascii="Arial Black" w:eastAsia="SimSun" w:hAnsi="Arial Black"/>
                <w:caps/>
                <w:sz w:val="15"/>
                <w:lang w:val="ru-RU" w:eastAsia="zh-CN"/>
              </w:rPr>
              <w:t>июня</w:t>
            </w:r>
            <w:r w:rsidRPr="003048D6">
              <w:rPr>
                <w:rFonts w:ascii="Arial Black" w:eastAsia="SimSun" w:hAnsi="Arial Black"/>
                <w:caps/>
                <w:sz w:val="15"/>
                <w:lang w:val="ru-RU" w:eastAsia="zh-CN"/>
              </w:rPr>
              <w:t xml:space="preserve"> 2017 г.</w:t>
            </w:r>
          </w:p>
        </w:tc>
      </w:tr>
    </w:tbl>
    <w:p w:rsidR="003048D6" w:rsidRDefault="003048D6" w:rsidP="00EF3B39">
      <w:pPr>
        <w:rPr>
          <w:rFonts w:eastAsia="SimSun"/>
          <w:lang w:eastAsia="zh-CN"/>
        </w:rPr>
      </w:pPr>
    </w:p>
    <w:p w:rsidR="003048D6" w:rsidRDefault="003048D6" w:rsidP="00EF3B39">
      <w:pPr>
        <w:rPr>
          <w:rFonts w:eastAsia="SimSun"/>
          <w:lang w:eastAsia="zh-CN"/>
        </w:rPr>
      </w:pPr>
    </w:p>
    <w:p w:rsidR="003048D6" w:rsidRDefault="003048D6" w:rsidP="00EF3B39">
      <w:pPr>
        <w:rPr>
          <w:rFonts w:eastAsia="SimSun"/>
          <w:lang w:eastAsia="zh-CN"/>
        </w:rPr>
      </w:pPr>
    </w:p>
    <w:p w:rsidR="003048D6" w:rsidRDefault="003048D6" w:rsidP="00EF3B39">
      <w:pPr>
        <w:rPr>
          <w:rFonts w:eastAsia="SimSun"/>
          <w:lang w:eastAsia="zh-CN"/>
        </w:rPr>
      </w:pPr>
    </w:p>
    <w:p w:rsidR="003048D6" w:rsidRDefault="003048D6" w:rsidP="00EF3B39">
      <w:pPr>
        <w:rPr>
          <w:rFonts w:eastAsia="SimSun"/>
          <w:lang w:eastAsia="zh-CN"/>
        </w:rPr>
      </w:pPr>
    </w:p>
    <w:p w:rsidR="003048D6" w:rsidRPr="004C50DD" w:rsidRDefault="003048D6" w:rsidP="003048D6">
      <w:pPr>
        <w:rPr>
          <w:rFonts w:eastAsia="SimSun"/>
          <w:b/>
          <w:sz w:val="28"/>
          <w:szCs w:val="28"/>
          <w:lang w:val="ru-RU" w:eastAsia="zh-CN"/>
        </w:rPr>
      </w:pPr>
      <w:r w:rsidRPr="003048D6">
        <w:rPr>
          <w:rFonts w:eastAsia="SimSun"/>
          <w:b/>
          <w:sz w:val="28"/>
          <w:szCs w:val="28"/>
          <w:lang w:val="ru-RU" w:eastAsia="zh-CN"/>
        </w:rPr>
        <w:t>Комитет по программе и бюджету</w:t>
      </w:r>
    </w:p>
    <w:p w:rsidR="003048D6" w:rsidRPr="004C50DD" w:rsidRDefault="003048D6" w:rsidP="00EF3B39">
      <w:pPr>
        <w:rPr>
          <w:rFonts w:eastAsia="SimSun"/>
          <w:lang w:val="ru-RU" w:eastAsia="zh-CN"/>
        </w:rPr>
      </w:pPr>
    </w:p>
    <w:p w:rsidR="003048D6" w:rsidRPr="004C50DD" w:rsidRDefault="003048D6" w:rsidP="00EF3B39">
      <w:pPr>
        <w:rPr>
          <w:rFonts w:eastAsia="SimSun"/>
          <w:lang w:val="ru-RU" w:eastAsia="zh-CN"/>
        </w:rPr>
      </w:pPr>
    </w:p>
    <w:p w:rsidR="003048D6" w:rsidRPr="004C50DD" w:rsidRDefault="003048D6" w:rsidP="003048D6">
      <w:pPr>
        <w:rPr>
          <w:rFonts w:eastAsia="SimSun"/>
          <w:b/>
          <w:sz w:val="24"/>
          <w:szCs w:val="24"/>
          <w:lang w:val="ru-RU" w:eastAsia="zh-CN"/>
        </w:rPr>
      </w:pPr>
      <w:r w:rsidRPr="003048D6">
        <w:rPr>
          <w:rFonts w:eastAsia="SimSun"/>
          <w:b/>
          <w:sz w:val="24"/>
          <w:szCs w:val="24"/>
          <w:lang w:val="ru-RU" w:eastAsia="zh-CN"/>
        </w:rPr>
        <w:t>Двадцать шестая сессия</w:t>
      </w:r>
    </w:p>
    <w:p w:rsidR="003048D6" w:rsidRPr="004C50DD" w:rsidRDefault="003048D6" w:rsidP="003048D6">
      <w:pPr>
        <w:rPr>
          <w:rFonts w:eastAsia="SimSun"/>
          <w:b/>
          <w:sz w:val="24"/>
          <w:szCs w:val="24"/>
          <w:lang w:val="ru-RU" w:eastAsia="zh-CN"/>
        </w:rPr>
      </w:pPr>
      <w:r w:rsidRPr="003048D6">
        <w:rPr>
          <w:rFonts w:eastAsia="SimSun"/>
          <w:b/>
          <w:sz w:val="24"/>
          <w:szCs w:val="24"/>
          <w:lang w:val="ru-RU" w:eastAsia="zh-CN"/>
        </w:rPr>
        <w:t>Женева, 10–14 июля 2017</w:t>
      </w:r>
      <w:r w:rsidR="005A79DF">
        <w:rPr>
          <w:rFonts w:eastAsia="SimSun"/>
          <w:b/>
          <w:sz w:val="24"/>
          <w:szCs w:val="24"/>
          <w:lang w:val="ru-RU" w:eastAsia="zh-CN"/>
        </w:rPr>
        <w:t> </w:t>
      </w:r>
      <w:r w:rsidRPr="003048D6">
        <w:rPr>
          <w:rFonts w:eastAsia="SimSun"/>
          <w:b/>
          <w:sz w:val="24"/>
          <w:szCs w:val="24"/>
          <w:lang w:val="ru-RU" w:eastAsia="zh-CN"/>
        </w:rPr>
        <w:t>г.</w:t>
      </w:r>
    </w:p>
    <w:p w:rsidR="003048D6" w:rsidRPr="004C50DD" w:rsidRDefault="003048D6" w:rsidP="00EF3B39">
      <w:pPr>
        <w:rPr>
          <w:rFonts w:eastAsia="SimSun"/>
          <w:lang w:val="ru-RU" w:eastAsia="zh-CN"/>
        </w:rPr>
      </w:pPr>
    </w:p>
    <w:p w:rsidR="003048D6" w:rsidRPr="004C50DD" w:rsidRDefault="003048D6" w:rsidP="00EF3B39">
      <w:pPr>
        <w:rPr>
          <w:rFonts w:eastAsia="SimSun"/>
          <w:lang w:val="ru-RU" w:eastAsia="zh-CN"/>
        </w:rPr>
      </w:pPr>
    </w:p>
    <w:p w:rsidR="003048D6" w:rsidRPr="004C50DD" w:rsidRDefault="003048D6" w:rsidP="00EF3B39">
      <w:pPr>
        <w:rPr>
          <w:rFonts w:eastAsia="SimSun"/>
          <w:lang w:val="ru-RU" w:eastAsia="zh-CN"/>
        </w:rPr>
      </w:pPr>
      <w:bookmarkStart w:id="0" w:name="TitleOfDoc"/>
      <w:bookmarkEnd w:id="0"/>
    </w:p>
    <w:p w:rsidR="003048D6" w:rsidRPr="00265BE3" w:rsidRDefault="00265BE3" w:rsidP="00EF3B39">
      <w:pPr>
        <w:rPr>
          <w:rFonts w:eastAsia="SimSun"/>
          <w:caps/>
          <w:sz w:val="24"/>
          <w:szCs w:val="24"/>
          <w:lang w:val="ru-RU" w:eastAsia="zh-CN"/>
        </w:rPr>
      </w:pPr>
      <w:r>
        <w:rPr>
          <w:rFonts w:eastAsia="SimSun"/>
          <w:caps/>
          <w:sz w:val="24"/>
          <w:szCs w:val="24"/>
          <w:lang w:val="ru-RU" w:eastAsia="zh-CN"/>
        </w:rPr>
        <w:t xml:space="preserve">ОБЯЗАТЕЛЬСТВА ПО </w:t>
      </w:r>
      <w:r w:rsidRPr="00265BE3">
        <w:rPr>
          <w:rFonts w:eastAsia="SimSun"/>
          <w:caps/>
          <w:sz w:val="24"/>
          <w:szCs w:val="24"/>
          <w:lang w:val="ru-RU" w:eastAsia="zh-CN"/>
        </w:rPr>
        <w:t>МЕДИЦИНСКО</w:t>
      </w:r>
      <w:r>
        <w:rPr>
          <w:rFonts w:eastAsia="SimSun"/>
          <w:caps/>
          <w:sz w:val="24"/>
          <w:szCs w:val="24"/>
          <w:lang w:val="ru-RU" w:eastAsia="zh-CN"/>
        </w:rPr>
        <w:t>МУ</w:t>
      </w:r>
      <w:r w:rsidRPr="00265BE3">
        <w:rPr>
          <w:rFonts w:eastAsia="SimSun"/>
          <w:caps/>
          <w:sz w:val="24"/>
          <w:szCs w:val="24"/>
          <w:lang w:val="ru-RU" w:eastAsia="zh-CN"/>
        </w:rPr>
        <w:t xml:space="preserve"> СТРАХОВАНИ</w:t>
      </w:r>
      <w:r>
        <w:rPr>
          <w:rFonts w:eastAsia="SimSun"/>
          <w:caps/>
          <w:sz w:val="24"/>
          <w:szCs w:val="24"/>
          <w:lang w:val="ru-RU" w:eastAsia="zh-CN"/>
        </w:rPr>
        <w:t>Ю</w:t>
      </w:r>
      <w:r w:rsidRPr="00265BE3">
        <w:rPr>
          <w:rFonts w:eastAsia="SimSun"/>
          <w:caps/>
          <w:sz w:val="24"/>
          <w:szCs w:val="24"/>
          <w:lang w:val="ru-RU" w:eastAsia="zh-CN"/>
        </w:rPr>
        <w:t xml:space="preserve"> ПОСЛЕ ПРЕКРАЩЕНИЯ СЛУЖБЫ</w:t>
      </w:r>
      <w:r w:rsidR="00EF3B39" w:rsidRPr="00265BE3">
        <w:rPr>
          <w:rFonts w:eastAsia="SimSun"/>
          <w:caps/>
          <w:sz w:val="24"/>
          <w:szCs w:val="24"/>
          <w:lang w:val="ru-RU" w:eastAsia="zh-CN"/>
        </w:rPr>
        <w:t xml:space="preserve"> (</w:t>
      </w:r>
      <w:r w:rsidRPr="00265BE3">
        <w:rPr>
          <w:rFonts w:eastAsia="SimSun"/>
          <w:caps/>
          <w:sz w:val="24"/>
          <w:szCs w:val="24"/>
          <w:lang w:val="ru-RU" w:eastAsia="zh-CN"/>
        </w:rPr>
        <w:t>МСПС</w:t>
      </w:r>
      <w:r w:rsidR="00EF3B39" w:rsidRPr="00265BE3">
        <w:rPr>
          <w:rFonts w:eastAsia="SimSun"/>
          <w:caps/>
          <w:sz w:val="24"/>
          <w:szCs w:val="24"/>
          <w:lang w:val="ru-RU" w:eastAsia="zh-CN"/>
        </w:rPr>
        <w:t>)</w:t>
      </w:r>
    </w:p>
    <w:p w:rsidR="003048D6" w:rsidRPr="00265BE3" w:rsidRDefault="003048D6" w:rsidP="00EF3B39">
      <w:pPr>
        <w:rPr>
          <w:rFonts w:eastAsia="SimSun"/>
          <w:lang w:val="ru-RU" w:eastAsia="zh-CN"/>
        </w:rPr>
      </w:pPr>
      <w:bookmarkStart w:id="1" w:name="Prepared"/>
      <w:bookmarkEnd w:id="1"/>
    </w:p>
    <w:p w:rsidR="003048D6" w:rsidRDefault="003048D6" w:rsidP="003048D6">
      <w:pPr>
        <w:rPr>
          <w:rFonts w:eastAsia="SimSun"/>
          <w:i/>
          <w:lang w:eastAsia="zh-CN"/>
        </w:rPr>
      </w:pPr>
      <w:r w:rsidRPr="003048D6">
        <w:rPr>
          <w:rFonts w:eastAsia="SimSun"/>
          <w:i/>
          <w:lang w:val="ru-RU" w:eastAsia="zh-CN"/>
        </w:rPr>
        <w:t>Документ подготовлен Секретариатом</w:t>
      </w:r>
    </w:p>
    <w:p w:rsidR="003048D6" w:rsidRDefault="003048D6" w:rsidP="00EF3B39">
      <w:pPr>
        <w:rPr>
          <w:rFonts w:eastAsia="SimSun"/>
          <w:lang w:eastAsia="zh-CN"/>
        </w:rPr>
      </w:pPr>
    </w:p>
    <w:p w:rsidR="003048D6" w:rsidRDefault="003048D6" w:rsidP="00EF3B39">
      <w:pPr>
        <w:rPr>
          <w:rFonts w:eastAsia="SimSun"/>
          <w:lang w:eastAsia="zh-CN"/>
        </w:rPr>
      </w:pPr>
    </w:p>
    <w:p w:rsidR="003048D6" w:rsidRDefault="003048D6" w:rsidP="00EF3B39">
      <w:pPr>
        <w:rPr>
          <w:rFonts w:eastAsia="SimSun"/>
          <w:lang w:eastAsia="zh-CN"/>
        </w:rPr>
      </w:pPr>
    </w:p>
    <w:p w:rsidR="003048D6" w:rsidRDefault="003048D6" w:rsidP="00EF3B39">
      <w:pPr>
        <w:rPr>
          <w:rFonts w:eastAsia="SimSun"/>
          <w:lang w:eastAsia="zh-CN"/>
        </w:rPr>
      </w:pPr>
    </w:p>
    <w:p w:rsidR="003048D6" w:rsidRDefault="003048D6" w:rsidP="003048D6">
      <w:pPr>
        <w:keepNext/>
        <w:spacing w:before="240" w:after="60"/>
        <w:outlineLvl w:val="2"/>
        <w:rPr>
          <w:rFonts w:eastAsia="SimSun"/>
          <w:bCs/>
          <w:szCs w:val="26"/>
          <w:u w:val="single"/>
          <w:lang w:eastAsia="zh-CN"/>
        </w:rPr>
      </w:pPr>
      <w:r w:rsidRPr="003048D6">
        <w:rPr>
          <w:rFonts w:eastAsia="SimSun"/>
          <w:bCs/>
          <w:szCs w:val="26"/>
          <w:u w:val="single"/>
          <w:lang w:val="ru-RU" w:eastAsia="zh-CN"/>
        </w:rPr>
        <w:t>История вопроса</w:t>
      </w:r>
    </w:p>
    <w:p w:rsidR="003048D6" w:rsidRDefault="003048D6" w:rsidP="00EF3B39">
      <w:pPr>
        <w:rPr>
          <w:rFonts w:eastAsia="SimSun"/>
          <w:szCs w:val="22"/>
          <w:lang w:eastAsia="zh-CN"/>
        </w:rPr>
      </w:pPr>
    </w:p>
    <w:p w:rsidR="003048D6" w:rsidRPr="00FC2719" w:rsidRDefault="00265BE3" w:rsidP="00EF3B39">
      <w:pPr>
        <w:numPr>
          <w:ilvl w:val="0"/>
          <w:numId w:val="8"/>
        </w:numPr>
        <w:spacing w:after="220"/>
        <w:rPr>
          <w:rFonts w:eastAsia="SimSun"/>
          <w:lang w:val="ru-RU" w:eastAsia="zh-CN"/>
        </w:rPr>
      </w:pPr>
      <w:r w:rsidRPr="00FC2719">
        <w:rPr>
          <w:rFonts w:eastAsia="SimSun"/>
          <w:lang w:val="ru-RU" w:eastAsia="zh-CN"/>
        </w:rPr>
        <w:t>По итогам обсуждения пункта</w:t>
      </w:r>
      <w:r w:rsidRPr="00FC2719">
        <w:rPr>
          <w:rFonts w:eastAsia="SimSun"/>
          <w:lang w:eastAsia="zh-CN"/>
        </w:rPr>
        <w:t> </w:t>
      </w:r>
      <w:r w:rsidR="00EF3B39" w:rsidRPr="00FC2719">
        <w:rPr>
          <w:rFonts w:eastAsia="SimSun"/>
          <w:lang w:val="ru-RU" w:eastAsia="zh-CN"/>
        </w:rPr>
        <w:t>15</w:t>
      </w:r>
      <w:r w:rsidRPr="00FC2719">
        <w:rPr>
          <w:rFonts w:eastAsia="SimSun"/>
          <w:lang w:val="ru-RU" w:eastAsia="zh-CN"/>
        </w:rPr>
        <w:t xml:space="preserve"> повестки дня</w:t>
      </w:r>
      <w:r w:rsidR="00333006" w:rsidRPr="00333006">
        <w:rPr>
          <w:rFonts w:eastAsia="SimSun"/>
          <w:lang w:val="ru-RU" w:eastAsia="zh-CN"/>
        </w:rPr>
        <w:t xml:space="preserve"> </w:t>
      </w:r>
      <w:r w:rsidR="00FC2719" w:rsidRPr="00FC2719">
        <w:rPr>
          <w:rFonts w:eastAsia="SimSun"/>
          <w:lang w:val="ru-RU" w:eastAsia="zh-CN"/>
        </w:rPr>
        <w:t>на сессии Комитета по программе и бюджету (КПБ) в августе 2016</w:t>
      </w:r>
      <w:r w:rsidR="00FC2719" w:rsidRPr="00FC2719">
        <w:rPr>
          <w:rFonts w:eastAsia="SimSun"/>
          <w:lang w:eastAsia="zh-CN"/>
        </w:rPr>
        <w:t> </w:t>
      </w:r>
      <w:r w:rsidR="00FC2719" w:rsidRPr="00FC2719">
        <w:rPr>
          <w:rFonts w:eastAsia="SimSun"/>
          <w:lang w:val="ru-RU" w:eastAsia="zh-CN"/>
        </w:rPr>
        <w:t>г.</w:t>
      </w:r>
      <w:r w:rsidR="00333006">
        <w:rPr>
          <w:rFonts w:eastAsia="SimSun"/>
          <w:lang w:val="ru-RU" w:eastAsia="zh-CN"/>
        </w:rPr>
        <w:t>, проходившего</w:t>
      </w:r>
      <w:r w:rsidRPr="00FC2719">
        <w:rPr>
          <w:rFonts w:eastAsia="SimSun"/>
          <w:lang w:val="ru-RU" w:eastAsia="zh-CN"/>
        </w:rPr>
        <w:t xml:space="preserve"> на основе документа «Предложения в отношении обязательств по медицинскому страхованию после прекращения службы</w:t>
      </w:r>
      <w:r w:rsidR="00EF3B39" w:rsidRPr="00FC2719">
        <w:rPr>
          <w:rFonts w:eastAsia="SimSun"/>
          <w:lang w:val="ru-RU" w:eastAsia="zh-CN"/>
        </w:rPr>
        <w:t xml:space="preserve"> (</w:t>
      </w:r>
      <w:r w:rsidR="00FC2719" w:rsidRPr="00FC2719">
        <w:rPr>
          <w:rFonts w:eastAsia="SimSun"/>
          <w:lang w:val="ru-RU" w:eastAsia="zh-CN"/>
        </w:rPr>
        <w:t>МСПС</w:t>
      </w:r>
      <w:r w:rsidR="00EF3B39" w:rsidRPr="00FC2719">
        <w:rPr>
          <w:rFonts w:eastAsia="SimSun"/>
          <w:lang w:val="ru-RU" w:eastAsia="zh-CN"/>
        </w:rPr>
        <w:t>)</w:t>
      </w:r>
      <w:r w:rsidR="00FC2719">
        <w:rPr>
          <w:rFonts w:eastAsia="SimSun"/>
          <w:lang w:val="ru-RU" w:eastAsia="zh-CN"/>
        </w:rPr>
        <w:t>»</w:t>
      </w:r>
      <w:r w:rsidR="00EF3B39" w:rsidRPr="00FC2719">
        <w:rPr>
          <w:rFonts w:eastAsia="SimSun"/>
          <w:lang w:val="ru-RU" w:eastAsia="zh-CN"/>
        </w:rPr>
        <w:t xml:space="preserve"> (</w:t>
      </w:r>
      <w:r w:rsidR="00FC2719" w:rsidRPr="00FC2719">
        <w:rPr>
          <w:rFonts w:eastAsia="SimSun"/>
          <w:lang w:val="ru-RU" w:eastAsia="zh-CN"/>
        </w:rPr>
        <w:t>документ</w:t>
      </w:r>
      <w:r w:rsidR="00EF3B39" w:rsidRPr="00FC2719">
        <w:rPr>
          <w:rFonts w:eastAsia="SimSun"/>
          <w:lang w:val="ru-RU" w:eastAsia="zh-CN"/>
        </w:rPr>
        <w:t xml:space="preserve"> </w:t>
      </w:r>
      <w:r w:rsidR="00EF3B39" w:rsidRPr="00FC2719">
        <w:rPr>
          <w:rFonts w:eastAsia="SimSun"/>
          <w:lang w:eastAsia="zh-CN"/>
        </w:rPr>
        <w:t>WO</w:t>
      </w:r>
      <w:r w:rsidR="00EF3B39" w:rsidRPr="00FC2719">
        <w:rPr>
          <w:rFonts w:eastAsia="SimSun"/>
          <w:lang w:val="ru-RU" w:eastAsia="zh-CN"/>
        </w:rPr>
        <w:t>/</w:t>
      </w:r>
      <w:r w:rsidR="00EF3B39" w:rsidRPr="00FC2719">
        <w:rPr>
          <w:rFonts w:eastAsia="SimSun"/>
          <w:lang w:eastAsia="zh-CN"/>
        </w:rPr>
        <w:t>PBC</w:t>
      </w:r>
      <w:r w:rsidR="00EF3B39" w:rsidRPr="00FC2719">
        <w:rPr>
          <w:rFonts w:eastAsia="SimSun"/>
          <w:lang w:val="ru-RU" w:eastAsia="zh-CN"/>
        </w:rPr>
        <w:t>/25/15</w:t>
      </w:r>
      <w:r w:rsidR="006E6CCB" w:rsidRPr="00FC2719">
        <w:rPr>
          <w:rFonts w:eastAsia="SimSun"/>
          <w:lang w:val="ru-RU" w:eastAsia="zh-CN"/>
        </w:rPr>
        <w:t>)</w:t>
      </w:r>
      <w:r w:rsidR="00EF3B39" w:rsidRPr="00FC2719">
        <w:rPr>
          <w:rFonts w:eastAsia="SimSun"/>
          <w:lang w:val="ru-RU" w:eastAsia="zh-CN"/>
        </w:rPr>
        <w:t xml:space="preserve">, </w:t>
      </w:r>
      <w:r w:rsidR="00FC2719" w:rsidRPr="00FC2719">
        <w:rPr>
          <w:rFonts w:eastAsia="SimSun"/>
          <w:lang w:val="ru-RU" w:eastAsia="zh-CN"/>
        </w:rPr>
        <w:t xml:space="preserve">КПБ принял </w:t>
      </w:r>
      <w:r w:rsidR="00FC2719">
        <w:rPr>
          <w:rFonts w:eastAsia="SimSun"/>
          <w:lang w:val="ru-RU" w:eastAsia="zh-CN"/>
        </w:rPr>
        <w:t>следующее решение</w:t>
      </w:r>
      <w:r w:rsidR="00EF3B39" w:rsidRPr="00FC2719">
        <w:rPr>
          <w:rFonts w:eastAsia="SimSun"/>
          <w:lang w:val="ru-RU" w:eastAsia="zh-CN"/>
        </w:rPr>
        <w:t>:</w:t>
      </w:r>
    </w:p>
    <w:p w:rsidR="003048D6" w:rsidRPr="00265BE3" w:rsidRDefault="00FC2719" w:rsidP="003048D6">
      <w:pPr>
        <w:ind w:left="540"/>
        <w:rPr>
          <w:rFonts w:eastAsia="SimSun"/>
          <w:szCs w:val="22"/>
          <w:lang w:val="ru-RU" w:eastAsia="zh-CN"/>
        </w:rPr>
      </w:pPr>
      <w:r>
        <w:rPr>
          <w:rFonts w:eastAsia="SimSun"/>
          <w:i/>
          <w:szCs w:val="22"/>
          <w:lang w:val="ru-RU" w:eastAsia="zh-CN"/>
        </w:rPr>
        <w:t>«</w:t>
      </w:r>
      <w:r w:rsidR="003048D6" w:rsidRPr="003048D6">
        <w:rPr>
          <w:rFonts w:eastAsia="SimSun"/>
          <w:i/>
          <w:szCs w:val="22"/>
          <w:lang w:val="ru-RU" w:eastAsia="zh-CN"/>
        </w:rPr>
        <w:t>Комитет по программе и бюджету (КПБ) рекомендовал Ассамблеям государств</w:t>
      </w:r>
      <w:r>
        <w:rPr>
          <w:rFonts w:eastAsia="SimSun"/>
          <w:i/>
          <w:szCs w:val="22"/>
          <w:lang w:val="ru-RU" w:eastAsia="zh-CN"/>
        </w:rPr>
        <w:t> –</w:t>
      </w:r>
      <w:r w:rsidR="003048D6" w:rsidRPr="003048D6">
        <w:rPr>
          <w:rFonts w:eastAsia="SimSun"/>
          <w:i/>
          <w:szCs w:val="22"/>
          <w:lang w:val="ru-RU" w:eastAsia="zh-CN"/>
        </w:rPr>
        <w:t xml:space="preserve"> членов ВОИС и союзов, каждой в той степени, в какой это ее касается, поручить Секретариату:</w:t>
      </w:r>
      <w:r w:rsidR="00EF3B39" w:rsidRPr="00265BE3">
        <w:rPr>
          <w:rFonts w:eastAsia="SimSun"/>
          <w:szCs w:val="22"/>
          <w:lang w:val="ru-RU" w:eastAsia="zh-CN"/>
        </w:rPr>
        <w:t xml:space="preserve"> </w:t>
      </w:r>
    </w:p>
    <w:p w:rsidR="003048D6" w:rsidRPr="00265BE3" w:rsidRDefault="003048D6" w:rsidP="00EF3B39">
      <w:pPr>
        <w:ind w:left="540"/>
        <w:rPr>
          <w:rFonts w:eastAsia="SimSun"/>
          <w:szCs w:val="22"/>
          <w:lang w:val="ru-RU" w:eastAsia="zh-CN"/>
        </w:rPr>
      </w:pPr>
    </w:p>
    <w:p w:rsidR="003048D6" w:rsidRPr="00265BE3" w:rsidRDefault="00FC2719" w:rsidP="003048D6">
      <w:pPr>
        <w:ind w:left="540"/>
        <w:rPr>
          <w:rFonts w:eastAsia="SimSun"/>
          <w:szCs w:val="22"/>
          <w:lang w:val="ru-RU" w:eastAsia="zh-CN"/>
        </w:rPr>
      </w:pPr>
      <w:r>
        <w:rPr>
          <w:rFonts w:eastAsia="SimSun"/>
          <w:i/>
          <w:szCs w:val="22"/>
          <w:lang w:val="ru-RU" w:eastAsia="zh-CN"/>
        </w:rPr>
        <w:t>(</w:t>
      </w:r>
      <w:r>
        <w:rPr>
          <w:rFonts w:eastAsia="SimSun"/>
          <w:i/>
          <w:szCs w:val="22"/>
          <w:lang w:eastAsia="zh-CN"/>
        </w:rPr>
        <w:t>i</w:t>
      </w:r>
      <w:r>
        <w:rPr>
          <w:rFonts w:eastAsia="SimSun"/>
          <w:i/>
          <w:szCs w:val="22"/>
          <w:lang w:val="ru-RU" w:eastAsia="zh-CN"/>
        </w:rPr>
        <w:t>)</w:t>
      </w:r>
      <w:r>
        <w:rPr>
          <w:rFonts w:eastAsia="SimSun"/>
          <w:i/>
          <w:szCs w:val="22"/>
          <w:lang w:val="ru-RU" w:eastAsia="zh-CN"/>
        </w:rPr>
        <w:tab/>
      </w:r>
      <w:r w:rsidR="003048D6" w:rsidRPr="003048D6">
        <w:rPr>
          <w:rFonts w:eastAsia="SimSun"/>
          <w:i/>
          <w:szCs w:val="22"/>
          <w:lang w:val="ru-RU" w:eastAsia="zh-CN"/>
        </w:rPr>
        <w:t>продолжать участвовать в Рабочей группе по МСПС Сети по финансовым и бюджетным вопросам и</w:t>
      </w:r>
    </w:p>
    <w:p w:rsidR="003048D6" w:rsidRPr="00265BE3" w:rsidRDefault="003048D6" w:rsidP="00EF3B39">
      <w:pPr>
        <w:rPr>
          <w:rFonts w:eastAsia="SimSun"/>
          <w:szCs w:val="22"/>
          <w:lang w:val="ru-RU" w:eastAsia="zh-CN"/>
        </w:rPr>
      </w:pPr>
    </w:p>
    <w:p w:rsidR="003048D6" w:rsidRPr="00265BE3" w:rsidRDefault="00FC2719" w:rsidP="003048D6">
      <w:pPr>
        <w:ind w:left="540"/>
        <w:rPr>
          <w:rFonts w:eastAsia="SimSun"/>
          <w:szCs w:val="22"/>
          <w:lang w:val="ru-RU" w:eastAsia="zh-CN"/>
        </w:rPr>
      </w:pPr>
      <w:r w:rsidRPr="00FC2719">
        <w:rPr>
          <w:rFonts w:eastAsia="SimSun"/>
          <w:i/>
          <w:szCs w:val="22"/>
          <w:lang w:val="ru-RU" w:eastAsia="zh-CN"/>
        </w:rPr>
        <w:t>(</w:t>
      </w:r>
      <w:r>
        <w:rPr>
          <w:rFonts w:eastAsia="SimSun"/>
          <w:i/>
          <w:szCs w:val="22"/>
          <w:lang w:eastAsia="zh-CN"/>
        </w:rPr>
        <w:t>ii</w:t>
      </w:r>
      <w:r w:rsidRPr="00FC2719">
        <w:rPr>
          <w:rFonts w:eastAsia="SimSun"/>
          <w:i/>
          <w:szCs w:val="22"/>
          <w:lang w:val="ru-RU" w:eastAsia="zh-CN"/>
        </w:rPr>
        <w:t>)</w:t>
      </w:r>
      <w:r>
        <w:rPr>
          <w:rFonts w:eastAsia="SimSun"/>
          <w:i/>
          <w:szCs w:val="22"/>
          <w:lang w:val="ru-RU" w:eastAsia="zh-CN"/>
        </w:rPr>
        <w:tab/>
      </w:r>
      <w:r w:rsidR="003048D6" w:rsidRPr="003048D6">
        <w:rPr>
          <w:rFonts w:eastAsia="SimSun"/>
          <w:i/>
          <w:szCs w:val="22"/>
          <w:lang w:val="ru-RU" w:eastAsia="zh-CN"/>
        </w:rPr>
        <w:t>отследить конкретные предложения, которые будут высказаны Генеральным секретарем на 71-й сессии Генеральной Ассамблеи Организации Объединенных Наций (ООН), и, опираясь на эти предложения, представить на рассмотрение КПБ на его 26-й сессии конкретные меры исходя из того, что ВОИС является одной из организаций общей системы ООН</w:t>
      </w:r>
      <w:r>
        <w:rPr>
          <w:rFonts w:eastAsia="SimSun"/>
          <w:i/>
          <w:szCs w:val="22"/>
          <w:lang w:val="ru-RU" w:eastAsia="zh-CN"/>
        </w:rPr>
        <w:t>»</w:t>
      </w:r>
      <w:r w:rsidR="003048D6" w:rsidRPr="003048D6">
        <w:rPr>
          <w:rFonts w:eastAsia="SimSun"/>
          <w:i/>
          <w:szCs w:val="22"/>
          <w:lang w:val="ru-RU" w:eastAsia="zh-CN"/>
        </w:rPr>
        <w:t>.</w:t>
      </w:r>
    </w:p>
    <w:p w:rsidR="003048D6" w:rsidRPr="00265BE3" w:rsidRDefault="003048D6" w:rsidP="00EF3B39">
      <w:pPr>
        <w:rPr>
          <w:rFonts w:eastAsia="SimSun"/>
          <w:szCs w:val="22"/>
          <w:lang w:val="ru-RU" w:eastAsia="zh-CN"/>
        </w:rPr>
      </w:pPr>
    </w:p>
    <w:p w:rsidR="003048D6" w:rsidRPr="00265BE3" w:rsidRDefault="003048D6" w:rsidP="00EF3B39">
      <w:pPr>
        <w:rPr>
          <w:rFonts w:eastAsia="SimSun"/>
          <w:szCs w:val="22"/>
          <w:lang w:val="ru-RU" w:eastAsia="zh-CN"/>
        </w:rPr>
      </w:pPr>
    </w:p>
    <w:p w:rsidR="003048D6" w:rsidRPr="00265BE3" w:rsidRDefault="003048D6" w:rsidP="003048D6">
      <w:pPr>
        <w:keepNext/>
        <w:keepLines/>
        <w:rPr>
          <w:rFonts w:eastAsia="SimSun"/>
          <w:szCs w:val="22"/>
          <w:u w:val="single"/>
          <w:lang w:val="ru-RU" w:eastAsia="zh-CN"/>
        </w:rPr>
      </w:pPr>
      <w:r w:rsidRPr="003048D6">
        <w:rPr>
          <w:rFonts w:eastAsia="SimSun"/>
          <w:szCs w:val="22"/>
          <w:u w:val="single"/>
          <w:lang w:val="ru-RU" w:eastAsia="zh-CN"/>
        </w:rPr>
        <w:lastRenderedPageBreak/>
        <w:t>Прогресс, достигнутый Рабочей группой по МСПС</w:t>
      </w:r>
    </w:p>
    <w:p w:rsidR="003048D6" w:rsidRPr="00265BE3" w:rsidRDefault="003048D6" w:rsidP="0015017F">
      <w:pPr>
        <w:rPr>
          <w:rFonts w:eastAsia="SimSun"/>
          <w:szCs w:val="22"/>
          <w:lang w:val="ru-RU" w:eastAsia="zh-CN"/>
        </w:rPr>
      </w:pPr>
    </w:p>
    <w:p w:rsidR="003048D6" w:rsidRPr="00B839C1" w:rsidRDefault="003048D6" w:rsidP="003048D6">
      <w:pPr>
        <w:numPr>
          <w:ilvl w:val="0"/>
          <w:numId w:val="8"/>
        </w:numPr>
        <w:spacing w:after="220"/>
        <w:rPr>
          <w:rFonts w:eastAsia="SimSun"/>
          <w:szCs w:val="22"/>
          <w:lang w:val="ru-RU" w:eastAsia="zh-CN"/>
        </w:rPr>
      </w:pPr>
      <w:r w:rsidRPr="003048D6">
        <w:rPr>
          <w:rFonts w:eastAsia="SimSun"/>
          <w:szCs w:val="22"/>
          <w:lang w:val="ru-RU" w:eastAsia="zh-CN"/>
        </w:rPr>
        <w:t>Генеральная Ассамблея (ГА) в своей резолюции A/RES/68/244, принятой в декабре 2013</w:t>
      </w:r>
      <w:r w:rsidR="00DF7C34">
        <w:rPr>
          <w:rFonts w:eastAsia="SimSun"/>
          <w:szCs w:val="22"/>
          <w:lang w:val="ru-RU" w:eastAsia="zh-CN"/>
        </w:rPr>
        <w:t> </w:t>
      </w:r>
      <w:r w:rsidRPr="003048D6">
        <w:rPr>
          <w:rFonts w:eastAsia="SimSun"/>
          <w:szCs w:val="22"/>
          <w:lang w:val="ru-RU" w:eastAsia="zh-CN"/>
        </w:rPr>
        <w:t xml:space="preserve">г., просила Генерального секретаря провести обзор действующих в настоящее время в рамках системы Организации Объединенных Наций планов медицинского страхования, изучить все варианты повышения эффективности и сдерживания объема расходов и рассмотреть вариант, предусматривающий распространение мандата Объединенного пенсионного фонда персонала Организации Объединенных Наций (ОПФПООН) на выполнение функции управления выплатами по МСПС, и представить доклад по этому вопросу на семидесятой сессии ГА.  В ответ на </w:t>
      </w:r>
      <w:r w:rsidR="00333006">
        <w:rPr>
          <w:rFonts w:eastAsia="SimSun"/>
          <w:szCs w:val="22"/>
          <w:lang w:val="ru-RU" w:eastAsia="zh-CN"/>
        </w:rPr>
        <w:t>эту</w:t>
      </w:r>
      <w:r w:rsidR="00DF7C34">
        <w:rPr>
          <w:rFonts w:eastAsia="SimSun"/>
          <w:szCs w:val="22"/>
          <w:lang w:val="ru-RU" w:eastAsia="zh-CN"/>
        </w:rPr>
        <w:t xml:space="preserve"> просьбу </w:t>
      </w:r>
      <w:r w:rsidRPr="003048D6">
        <w:rPr>
          <w:rFonts w:eastAsia="SimSun"/>
          <w:szCs w:val="22"/>
          <w:lang w:val="ru-RU" w:eastAsia="zh-CN"/>
        </w:rPr>
        <w:t xml:space="preserve">Сеть по финансовым и бюджетным вопросам (СФБ) учредила Рабочую группу по МСПС, которой было поручено провести общесистемное исследование по </w:t>
      </w:r>
      <w:r w:rsidR="005E5291">
        <w:rPr>
          <w:rFonts w:eastAsia="SimSun"/>
          <w:szCs w:val="22"/>
          <w:lang w:val="ru-RU" w:eastAsia="zh-CN"/>
        </w:rPr>
        <w:t>данному</w:t>
      </w:r>
      <w:r w:rsidRPr="003048D6">
        <w:rPr>
          <w:rFonts w:eastAsia="SimSun"/>
          <w:szCs w:val="22"/>
          <w:lang w:val="ru-RU" w:eastAsia="zh-CN"/>
        </w:rPr>
        <w:t xml:space="preserve"> вопросу.</w:t>
      </w:r>
    </w:p>
    <w:p w:rsidR="003048D6" w:rsidRPr="00B839C1" w:rsidRDefault="003048D6" w:rsidP="003048D6">
      <w:pPr>
        <w:pStyle w:val="ONUME"/>
        <w:numPr>
          <w:ilvl w:val="0"/>
          <w:numId w:val="8"/>
        </w:numPr>
        <w:rPr>
          <w:szCs w:val="22"/>
          <w:lang w:val="ru-RU"/>
        </w:rPr>
      </w:pPr>
      <w:r w:rsidRPr="003048D6">
        <w:rPr>
          <w:szCs w:val="22"/>
          <w:lang w:val="ru-RU"/>
        </w:rPr>
        <w:t xml:space="preserve">Рабочая группа </w:t>
      </w:r>
      <w:r w:rsidR="00512957">
        <w:rPr>
          <w:szCs w:val="22"/>
          <w:lang w:val="ru-RU"/>
        </w:rPr>
        <w:t xml:space="preserve">определила </w:t>
      </w:r>
      <w:r w:rsidRPr="003048D6">
        <w:rPr>
          <w:szCs w:val="22"/>
          <w:lang w:val="ru-RU"/>
        </w:rPr>
        <w:t>четыре главны</w:t>
      </w:r>
      <w:r w:rsidR="00512957">
        <w:rPr>
          <w:szCs w:val="22"/>
          <w:lang w:val="ru-RU"/>
        </w:rPr>
        <w:t>е</w:t>
      </w:r>
      <w:r w:rsidRPr="003048D6">
        <w:rPr>
          <w:szCs w:val="22"/>
          <w:lang w:val="ru-RU"/>
        </w:rPr>
        <w:t xml:space="preserve"> области (или компонента), подлежащие изучению, а именно:</w:t>
      </w:r>
      <w:r w:rsidR="00D47868" w:rsidRPr="00B839C1">
        <w:rPr>
          <w:szCs w:val="22"/>
          <w:lang w:val="ru-RU"/>
        </w:rPr>
        <w:t xml:space="preserve"> </w:t>
      </w:r>
    </w:p>
    <w:p w:rsidR="003048D6" w:rsidRPr="00B839C1" w:rsidRDefault="00512957" w:rsidP="003048D6">
      <w:pPr>
        <w:spacing w:after="120"/>
        <w:ind w:left="567"/>
        <w:rPr>
          <w:szCs w:val="22"/>
          <w:lang w:val="ru-RU"/>
        </w:rPr>
      </w:pPr>
      <w:r>
        <w:rPr>
          <w:szCs w:val="22"/>
          <w:lang w:val="ru-RU"/>
        </w:rPr>
        <w:t>к</w:t>
      </w:r>
      <w:r w:rsidR="003048D6" w:rsidRPr="003048D6">
        <w:rPr>
          <w:szCs w:val="22"/>
          <w:lang w:val="ru-RU"/>
        </w:rPr>
        <w:t>омпонент</w:t>
      </w:r>
      <w:r>
        <w:rPr>
          <w:szCs w:val="22"/>
          <w:lang w:val="ru-RU"/>
        </w:rPr>
        <w:t> </w:t>
      </w:r>
      <w:r w:rsidR="003048D6" w:rsidRPr="003048D6">
        <w:rPr>
          <w:szCs w:val="22"/>
          <w:lang w:val="ru-RU"/>
        </w:rPr>
        <w:t>A – анализ затрат и административные механизмы;</w:t>
      </w:r>
      <w:r w:rsidR="00D47868" w:rsidRPr="00B839C1">
        <w:rPr>
          <w:szCs w:val="22"/>
          <w:lang w:val="ru-RU"/>
        </w:rPr>
        <w:t xml:space="preserve"> </w:t>
      </w:r>
    </w:p>
    <w:p w:rsidR="003048D6" w:rsidRPr="00B839C1" w:rsidRDefault="003048D6" w:rsidP="002358E4">
      <w:pPr>
        <w:spacing w:after="120"/>
        <w:ind w:left="2160" w:hanging="1593"/>
        <w:rPr>
          <w:szCs w:val="22"/>
          <w:lang w:val="ru-RU"/>
        </w:rPr>
      </w:pPr>
      <w:r w:rsidRPr="003048D6">
        <w:rPr>
          <w:szCs w:val="22"/>
          <w:lang w:val="ru-RU"/>
        </w:rPr>
        <w:t>компонент</w:t>
      </w:r>
      <w:r w:rsidR="007635A8">
        <w:rPr>
          <w:szCs w:val="22"/>
          <w:lang w:val="ru-RU"/>
        </w:rPr>
        <w:t> </w:t>
      </w:r>
      <w:r w:rsidRPr="003048D6">
        <w:rPr>
          <w:szCs w:val="22"/>
          <w:lang w:val="ru-RU"/>
        </w:rPr>
        <w:t xml:space="preserve">B – обзор рамочной основы системы </w:t>
      </w:r>
      <w:r w:rsidR="002358E4">
        <w:rPr>
          <w:szCs w:val="22"/>
          <w:lang w:val="ru-RU"/>
        </w:rPr>
        <w:t>МСПС</w:t>
      </w:r>
      <w:r w:rsidRPr="003048D6">
        <w:rPr>
          <w:szCs w:val="22"/>
          <w:lang w:val="ru-RU"/>
        </w:rPr>
        <w:t xml:space="preserve"> Организации Объединенных Наций;</w:t>
      </w:r>
    </w:p>
    <w:p w:rsidR="003048D6" w:rsidRPr="00B839C1" w:rsidRDefault="003048D6" w:rsidP="003048D6">
      <w:pPr>
        <w:spacing w:after="120"/>
        <w:ind w:left="567"/>
        <w:rPr>
          <w:szCs w:val="22"/>
          <w:lang w:val="ru-RU"/>
        </w:rPr>
      </w:pPr>
      <w:r w:rsidRPr="003048D6">
        <w:rPr>
          <w:szCs w:val="22"/>
          <w:lang w:val="ru-RU"/>
        </w:rPr>
        <w:t>компонент</w:t>
      </w:r>
      <w:r w:rsidR="007635A8">
        <w:rPr>
          <w:szCs w:val="22"/>
          <w:lang w:val="ru-RU"/>
        </w:rPr>
        <w:t> </w:t>
      </w:r>
      <w:r w:rsidRPr="003048D6">
        <w:rPr>
          <w:szCs w:val="22"/>
          <w:lang w:val="ru-RU"/>
        </w:rPr>
        <w:t>C – определение обязательств и представление информации о них;  и</w:t>
      </w:r>
    </w:p>
    <w:p w:rsidR="003048D6" w:rsidRPr="007635A8" w:rsidRDefault="007635A8" w:rsidP="00D47868">
      <w:pPr>
        <w:ind w:left="567"/>
        <w:rPr>
          <w:szCs w:val="22"/>
          <w:lang w:val="ru-RU"/>
        </w:rPr>
      </w:pPr>
      <w:r w:rsidRPr="007635A8">
        <w:rPr>
          <w:szCs w:val="22"/>
          <w:lang w:val="ru-RU"/>
        </w:rPr>
        <w:t>компонент</w:t>
      </w:r>
      <w:r w:rsidRPr="007635A8">
        <w:rPr>
          <w:szCs w:val="22"/>
        </w:rPr>
        <w:t> </w:t>
      </w:r>
      <w:r w:rsidR="00D47868" w:rsidRPr="007635A8">
        <w:rPr>
          <w:szCs w:val="22"/>
        </w:rPr>
        <w:t>D</w:t>
      </w:r>
      <w:r w:rsidR="00D47868" w:rsidRPr="007635A8">
        <w:rPr>
          <w:szCs w:val="22"/>
          <w:lang w:val="ru-RU"/>
        </w:rPr>
        <w:t xml:space="preserve"> – </w:t>
      </w:r>
      <w:r>
        <w:rPr>
          <w:szCs w:val="22"/>
          <w:lang w:val="ru-RU"/>
        </w:rPr>
        <w:t>альтернативные варианты финансирования обязательств</w:t>
      </w:r>
      <w:r w:rsidR="00D47868" w:rsidRPr="007635A8">
        <w:rPr>
          <w:szCs w:val="22"/>
          <w:lang w:val="ru-RU"/>
        </w:rPr>
        <w:t>.</w:t>
      </w:r>
    </w:p>
    <w:p w:rsidR="003048D6" w:rsidRPr="007635A8" w:rsidRDefault="003048D6" w:rsidP="00D47868">
      <w:pPr>
        <w:rPr>
          <w:szCs w:val="22"/>
          <w:lang w:val="ru-RU"/>
        </w:rPr>
      </w:pPr>
    </w:p>
    <w:p w:rsidR="003048D6" w:rsidRPr="00B839C1" w:rsidRDefault="003048D6" w:rsidP="003048D6">
      <w:pPr>
        <w:numPr>
          <w:ilvl w:val="0"/>
          <w:numId w:val="8"/>
        </w:numPr>
        <w:spacing w:after="220"/>
        <w:rPr>
          <w:rFonts w:eastAsia="SimSun"/>
          <w:szCs w:val="22"/>
          <w:lang w:val="ru-RU" w:eastAsia="zh-CN"/>
        </w:rPr>
      </w:pPr>
      <w:r w:rsidRPr="003048D6">
        <w:rPr>
          <w:szCs w:val="22"/>
          <w:lang w:val="ru-RU"/>
        </w:rPr>
        <w:t xml:space="preserve">Исследование позволило получить полное представление о текущем положении дел </w:t>
      </w:r>
      <w:r w:rsidR="00F33B90">
        <w:rPr>
          <w:szCs w:val="22"/>
          <w:lang w:val="ru-RU"/>
        </w:rPr>
        <w:t>с</w:t>
      </w:r>
      <w:r w:rsidR="007D7A47">
        <w:rPr>
          <w:szCs w:val="22"/>
          <w:lang w:val="ru-RU"/>
        </w:rPr>
        <w:t xml:space="preserve"> </w:t>
      </w:r>
      <w:r w:rsidRPr="003048D6">
        <w:rPr>
          <w:szCs w:val="22"/>
          <w:lang w:val="ru-RU"/>
        </w:rPr>
        <w:t>план</w:t>
      </w:r>
      <w:r w:rsidR="00F33B90">
        <w:rPr>
          <w:szCs w:val="22"/>
          <w:lang w:val="ru-RU"/>
        </w:rPr>
        <w:t>ами</w:t>
      </w:r>
      <w:r w:rsidRPr="003048D6">
        <w:rPr>
          <w:szCs w:val="22"/>
          <w:lang w:val="ru-RU"/>
        </w:rPr>
        <w:t xml:space="preserve"> медицинского страхования и финансировани</w:t>
      </w:r>
      <w:r w:rsidR="00F33B90">
        <w:rPr>
          <w:szCs w:val="22"/>
          <w:lang w:val="ru-RU"/>
        </w:rPr>
        <w:t>ем, а также</w:t>
      </w:r>
      <w:r w:rsidRPr="003048D6">
        <w:rPr>
          <w:szCs w:val="22"/>
          <w:lang w:val="ru-RU"/>
        </w:rPr>
        <w:t xml:space="preserve"> покрыти</w:t>
      </w:r>
      <w:r w:rsidR="00F33B90">
        <w:rPr>
          <w:szCs w:val="22"/>
          <w:lang w:val="ru-RU"/>
        </w:rPr>
        <w:t>ем</w:t>
      </w:r>
      <w:r w:rsidRPr="003048D6">
        <w:rPr>
          <w:szCs w:val="22"/>
          <w:lang w:val="ru-RU"/>
        </w:rPr>
        <w:t xml:space="preserve"> обязательств по МСПС в каждом учреждении, что закладывает основу для дальнейшего рассмотрения вариантов повышения эффективности и сдерживания объема расходов.</w:t>
      </w:r>
      <w:r w:rsidR="00D47868" w:rsidRPr="00B839C1">
        <w:rPr>
          <w:szCs w:val="22"/>
          <w:lang w:val="ru-RU"/>
        </w:rPr>
        <w:t xml:space="preserve">  </w:t>
      </w:r>
      <w:r w:rsidRPr="003048D6">
        <w:rPr>
          <w:szCs w:val="22"/>
          <w:lang w:val="ru-RU"/>
        </w:rPr>
        <w:t>Рабочей группой был подготовлен доклад об итогах исследования, который был представлен семидесятой сессии ГА в виде доклада Генерального секретаря (A/70/590).</w:t>
      </w:r>
    </w:p>
    <w:p w:rsidR="003048D6" w:rsidRPr="00FA55AA" w:rsidRDefault="003048D6" w:rsidP="00FA55AA">
      <w:pPr>
        <w:numPr>
          <w:ilvl w:val="0"/>
          <w:numId w:val="8"/>
        </w:numPr>
        <w:spacing w:after="220"/>
        <w:rPr>
          <w:rFonts w:eastAsia="SimSun"/>
          <w:szCs w:val="22"/>
          <w:lang w:val="ru-RU" w:eastAsia="zh-CN"/>
        </w:rPr>
      </w:pPr>
      <w:r w:rsidRPr="003048D6">
        <w:rPr>
          <w:szCs w:val="22"/>
          <w:lang w:val="ru-RU"/>
        </w:rPr>
        <w:t>В докладе содержится общий обзор и анализ ключевых элементов планов медицинского страхования, используемых в рамках системы Организации Объединенных Наций, причем особое внимание уделяется вопросам управления и актуарным обязательствам в контексте МСПС, и</w:t>
      </w:r>
      <w:r w:rsidR="00F33B90">
        <w:rPr>
          <w:szCs w:val="22"/>
          <w:lang w:val="ru-RU"/>
        </w:rPr>
        <w:t xml:space="preserve"> приводится</w:t>
      </w:r>
      <w:r w:rsidRPr="003048D6">
        <w:rPr>
          <w:szCs w:val="22"/>
          <w:lang w:val="ru-RU"/>
        </w:rPr>
        <w:t xml:space="preserve"> восемь</w:t>
      </w:r>
      <w:r w:rsidR="00FA55AA">
        <w:rPr>
          <w:szCs w:val="22"/>
          <w:lang w:val="ru-RU"/>
        </w:rPr>
        <w:t xml:space="preserve"> (1–8)</w:t>
      </w:r>
      <w:r w:rsidRPr="003048D6">
        <w:rPr>
          <w:szCs w:val="22"/>
          <w:lang w:val="ru-RU"/>
        </w:rPr>
        <w:t xml:space="preserve"> рекомендаций.</w:t>
      </w:r>
      <w:r w:rsidR="00F97996" w:rsidRPr="00B839C1">
        <w:rPr>
          <w:szCs w:val="22"/>
          <w:lang w:val="ru-RU"/>
        </w:rPr>
        <w:t xml:space="preserve"> </w:t>
      </w:r>
      <w:r w:rsidR="00FA55AA">
        <w:rPr>
          <w:szCs w:val="22"/>
          <w:lang w:val="ru-RU"/>
        </w:rPr>
        <w:t xml:space="preserve"> </w:t>
      </w:r>
      <w:r w:rsidR="005E5291">
        <w:rPr>
          <w:szCs w:val="22"/>
          <w:lang w:val="ru-RU"/>
        </w:rPr>
        <w:t xml:space="preserve">Сначала </w:t>
      </w:r>
      <w:r w:rsidR="00F33B90">
        <w:rPr>
          <w:szCs w:val="22"/>
          <w:lang w:val="ru-RU"/>
        </w:rPr>
        <w:t>д</w:t>
      </w:r>
      <w:r w:rsidR="00FA55AA">
        <w:rPr>
          <w:szCs w:val="22"/>
          <w:lang w:val="ru-RU"/>
        </w:rPr>
        <w:t>оклад</w:t>
      </w:r>
      <w:r w:rsidR="005E5291">
        <w:rPr>
          <w:szCs w:val="22"/>
          <w:lang w:val="ru-RU"/>
        </w:rPr>
        <w:t xml:space="preserve"> был</w:t>
      </w:r>
      <w:r w:rsidR="00FA55AA" w:rsidRPr="00FA55AA">
        <w:rPr>
          <w:szCs w:val="22"/>
          <w:lang w:val="ru-RU"/>
        </w:rPr>
        <w:t xml:space="preserve"> </w:t>
      </w:r>
      <w:r w:rsidR="00FA55AA">
        <w:rPr>
          <w:szCs w:val="22"/>
          <w:lang w:val="ru-RU"/>
        </w:rPr>
        <w:t>рассмотре</w:t>
      </w:r>
      <w:r w:rsidR="005E5291">
        <w:rPr>
          <w:szCs w:val="22"/>
          <w:lang w:val="ru-RU"/>
        </w:rPr>
        <w:t>н</w:t>
      </w:r>
      <w:r w:rsidR="00FA55AA" w:rsidRPr="00FA55AA">
        <w:rPr>
          <w:szCs w:val="22"/>
          <w:lang w:val="ru-RU"/>
        </w:rPr>
        <w:t xml:space="preserve"> Консультативны</w:t>
      </w:r>
      <w:r w:rsidR="005E5291">
        <w:rPr>
          <w:szCs w:val="22"/>
          <w:lang w:val="ru-RU"/>
        </w:rPr>
        <w:t>м</w:t>
      </w:r>
      <w:r w:rsidR="00FA55AA" w:rsidRPr="00FA55AA">
        <w:rPr>
          <w:szCs w:val="22"/>
          <w:lang w:val="ru-RU"/>
        </w:rPr>
        <w:t xml:space="preserve"> комитетом по административным и бюджетным вопросам </w:t>
      </w:r>
      <w:r w:rsidR="005812E0" w:rsidRPr="00FA55AA">
        <w:rPr>
          <w:szCs w:val="22"/>
          <w:lang w:val="ru-RU"/>
        </w:rPr>
        <w:t>(</w:t>
      </w:r>
      <w:r w:rsidR="00FA55AA" w:rsidRPr="00FA55AA">
        <w:rPr>
          <w:szCs w:val="22"/>
          <w:lang w:val="ru-RU"/>
        </w:rPr>
        <w:t>ККАБВ</w:t>
      </w:r>
      <w:r w:rsidR="005812E0" w:rsidRPr="00FA55AA">
        <w:rPr>
          <w:szCs w:val="22"/>
          <w:lang w:val="ru-RU"/>
        </w:rPr>
        <w:t>)</w:t>
      </w:r>
      <w:r w:rsidR="00F97996" w:rsidRPr="00FA55AA">
        <w:rPr>
          <w:szCs w:val="22"/>
          <w:lang w:val="ru-RU"/>
        </w:rPr>
        <w:t xml:space="preserve">. </w:t>
      </w:r>
      <w:r w:rsidR="00F33B90">
        <w:rPr>
          <w:szCs w:val="22"/>
          <w:lang w:val="ru-RU"/>
        </w:rPr>
        <w:t xml:space="preserve"> </w:t>
      </w:r>
      <w:r w:rsidR="005E5291">
        <w:rPr>
          <w:szCs w:val="22"/>
          <w:lang w:val="ru-RU"/>
        </w:rPr>
        <w:t>В</w:t>
      </w:r>
      <w:r w:rsidR="00FA55AA" w:rsidRPr="00FA55AA">
        <w:rPr>
          <w:szCs w:val="22"/>
          <w:lang w:val="ru-RU"/>
        </w:rPr>
        <w:t>осемь</w:t>
      </w:r>
      <w:r w:rsidR="005E5291">
        <w:rPr>
          <w:szCs w:val="22"/>
          <w:lang w:val="ru-RU"/>
        </w:rPr>
        <w:t xml:space="preserve"> упомянутых</w:t>
      </w:r>
      <w:r w:rsidR="00FA55AA" w:rsidRPr="00FA55AA">
        <w:rPr>
          <w:szCs w:val="22"/>
          <w:lang w:val="ru-RU"/>
        </w:rPr>
        <w:t xml:space="preserve"> рекомендаций</w:t>
      </w:r>
      <w:r w:rsidR="001D3C2F">
        <w:rPr>
          <w:szCs w:val="22"/>
          <w:lang w:val="ru-RU"/>
        </w:rPr>
        <w:t xml:space="preserve"> </w:t>
      </w:r>
      <w:r w:rsidR="005E5291">
        <w:rPr>
          <w:szCs w:val="22"/>
          <w:lang w:val="ru-RU"/>
        </w:rPr>
        <w:t xml:space="preserve">вместе с соответствующими </w:t>
      </w:r>
      <w:r w:rsidR="00FA55AA" w:rsidRPr="00FA55AA">
        <w:rPr>
          <w:szCs w:val="22"/>
          <w:lang w:val="ru-RU"/>
        </w:rPr>
        <w:t>вывод</w:t>
      </w:r>
      <w:r w:rsidR="005E5291">
        <w:rPr>
          <w:szCs w:val="22"/>
          <w:lang w:val="ru-RU"/>
        </w:rPr>
        <w:t>ами</w:t>
      </w:r>
      <w:r w:rsidR="00FA55AA" w:rsidRPr="00FA55AA">
        <w:rPr>
          <w:szCs w:val="22"/>
          <w:lang w:val="ru-RU"/>
        </w:rPr>
        <w:t xml:space="preserve"> и рекомендаци</w:t>
      </w:r>
      <w:r w:rsidR="005E5291">
        <w:rPr>
          <w:szCs w:val="22"/>
          <w:lang w:val="ru-RU"/>
        </w:rPr>
        <w:t>ями</w:t>
      </w:r>
      <w:r w:rsidR="00FA55AA" w:rsidRPr="00FA55AA">
        <w:rPr>
          <w:szCs w:val="22"/>
          <w:lang w:val="ru-RU"/>
        </w:rPr>
        <w:t xml:space="preserve"> ККАБВ представлены в приложении </w:t>
      </w:r>
      <w:r w:rsidR="00456461" w:rsidRPr="00FA55AA">
        <w:rPr>
          <w:szCs w:val="22"/>
        </w:rPr>
        <w:t>I</w:t>
      </w:r>
      <w:r w:rsidR="005E5291">
        <w:rPr>
          <w:szCs w:val="22"/>
          <w:lang w:val="ru-RU"/>
        </w:rPr>
        <w:t xml:space="preserve"> к настоящему документу</w:t>
      </w:r>
      <w:r w:rsidR="00456461" w:rsidRPr="00FA55AA">
        <w:rPr>
          <w:szCs w:val="22"/>
          <w:lang w:val="ru-RU"/>
        </w:rPr>
        <w:t xml:space="preserve">.  </w:t>
      </w:r>
      <w:r w:rsidR="00FA55AA" w:rsidRPr="00FA55AA">
        <w:rPr>
          <w:szCs w:val="22"/>
          <w:lang w:val="ru-RU"/>
        </w:rPr>
        <w:t>ККАБВ</w:t>
      </w:r>
      <w:r w:rsidR="005E5291">
        <w:rPr>
          <w:szCs w:val="22"/>
          <w:lang w:val="ru-RU"/>
        </w:rPr>
        <w:t xml:space="preserve"> также</w:t>
      </w:r>
      <w:r w:rsidR="00FA55AA" w:rsidRPr="00FA55AA">
        <w:rPr>
          <w:szCs w:val="22"/>
          <w:lang w:val="ru-RU"/>
        </w:rPr>
        <w:t xml:space="preserve"> рекомендовал ГА просить Генерального секретаря сохранить Рабочую группу для изучения дальнейших вариантов повышения эффективности и сдерживания расходов</w:t>
      </w:r>
      <w:r w:rsidR="00456461" w:rsidRPr="00FA55AA">
        <w:rPr>
          <w:szCs w:val="22"/>
          <w:lang w:val="ru-RU"/>
        </w:rPr>
        <w:t xml:space="preserve">.  </w:t>
      </w:r>
    </w:p>
    <w:p w:rsidR="003048D6" w:rsidRPr="00BC061E" w:rsidRDefault="001D3C2F" w:rsidP="001D3C2F">
      <w:pPr>
        <w:numPr>
          <w:ilvl w:val="0"/>
          <w:numId w:val="8"/>
        </w:numPr>
        <w:spacing w:after="220"/>
        <w:rPr>
          <w:rFonts w:eastAsia="SimSun"/>
          <w:szCs w:val="22"/>
          <w:lang w:val="ru-RU" w:eastAsia="zh-CN"/>
        </w:rPr>
      </w:pPr>
      <w:r>
        <w:rPr>
          <w:szCs w:val="22"/>
          <w:lang w:val="ru-RU"/>
        </w:rPr>
        <w:t>Доклад</w:t>
      </w:r>
      <w:r w:rsidRPr="001D3C2F">
        <w:rPr>
          <w:szCs w:val="22"/>
          <w:lang w:val="ru-RU"/>
        </w:rPr>
        <w:t xml:space="preserve"> </w:t>
      </w:r>
      <w:r>
        <w:rPr>
          <w:szCs w:val="22"/>
          <w:lang w:val="ru-RU"/>
        </w:rPr>
        <w:t>Генерального</w:t>
      </w:r>
      <w:r w:rsidRPr="001D3C2F">
        <w:rPr>
          <w:szCs w:val="22"/>
          <w:lang w:val="ru-RU"/>
        </w:rPr>
        <w:t xml:space="preserve"> </w:t>
      </w:r>
      <w:r>
        <w:rPr>
          <w:szCs w:val="22"/>
          <w:lang w:val="ru-RU"/>
        </w:rPr>
        <w:t>секретаря</w:t>
      </w:r>
      <w:r w:rsidRPr="001D3C2F">
        <w:rPr>
          <w:szCs w:val="22"/>
          <w:lang w:val="ru-RU"/>
        </w:rPr>
        <w:t xml:space="preserve"> </w:t>
      </w:r>
      <w:r>
        <w:rPr>
          <w:szCs w:val="22"/>
          <w:lang w:val="ru-RU"/>
        </w:rPr>
        <w:t>вместе</w:t>
      </w:r>
      <w:r w:rsidRPr="001D3C2F">
        <w:rPr>
          <w:szCs w:val="22"/>
          <w:lang w:val="ru-RU"/>
        </w:rPr>
        <w:t xml:space="preserve"> </w:t>
      </w:r>
      <w:r>
        <w:rPr>
          <w:szCs w:val="22"/>
          <w:lang w:val="ru-RU"/>
        </w:rPr>
        <w:t>с</w:t>
      </w:r>
      <w:r w:rsidR="00934376">
        <w:rPr>
          <w:szCs w:val="22"/>
          <w:lang w:val="ru-RU"/>
        </w:rPr>
        <w:t xml:space="preserve"> </w:t>
      </w:r>
      <w:r w:rsidR="005E5291">
        <w:rPr>
          <w:szCs w:val="22"/>
          <w:lang w:val="ru-RU"/>
        </w:rPr>
        <w:t xml:space="preserve">соответствующим </w:t>
      </w:r>
      <w:r>
        <w:rPr>
          <w:szCs w:val="22"/>
          <w:lang w:val="ru-RU"/>
        </w:rPr>
        <w:t>докладом</w:t>
      </w:r>
      <w:r w:rsidRPr="001D3C2F">
        <w:rPr>
          <w:szCs w:val="22"/>
          <w:lang w:val="ru-RU"/>
        </w:rPr>
        <w:t xml:space="preserve"> </w:t>
      </w:r>
      <w:r>
        <w:rPr>
          <w:szCs w:val="22"/>
          <w:lang w:val="ru-RU"/>
        </w:rPr>
        <w:t>ККАБВ</w:t>
      </w:r>
      <w:r w:rsidR="00F365CB" w:rsidRPr="001D3C2F">
        <w:rPr>
          <w:szCs w:val="22"/>
          <w:lang w:val="ru-RU"/>
        </w:rPr>
        <w:t xml:space="preserve"> (</w:t>
      </w:r>
      <w:r w:rsidR="00F365CB">
        <w:rPr>
          <w:szCs w:val="22"/>
        </w:rPr>
        <w:t>A</w:t>
      </w:r>
      <w:r w:rsidR="00F365CB" w:rsidRPr="001D3C2F">
        <w:rPr>
          <w:szCs w:val="22"/>
          <w:lang w:val="ru-RU"/>
        </w:rPr>
        <w:t>/70/7/</w:t>
      </w:r>
      <w:r w:rsidR="00F365CB">
        <w:rPr>
          <w:szCs w:val="22"/>
        </w:rPr>
        <w:t>Add</w:t>
      </w:r>
      <w:r w:rsidR="00F365CB" w:rsidRPr="001D3C2F">
        <w:rPr>
          <w:szCs w:val="22"/>
          <w:lang w:val="ru-RU"/>
        </w:rPr>
        <w:t>.42)</w:t>
      </w:r>
      <w:r w:rsidRPr="001D3C2F">
        <w:rPr>
          <w:szCs w:val="22"/>
          <w:lang w:val="ru-RU"/>
        </w:rPr>
        <w:t xml:space="preserve"> </w:t>
      </w:r>
      <w:r>
        <w:rPr>
          <w:szCs w:val="22"/>
          <w:lang w:val="ru-RU"/>
        </w:rPr>
        <w:t>был</w:t>
      </w:r>
      <w:r w:rsidRPr="001D3C2F">
        <w:rPr>
          <w:szCs w:val="22"/>
          <w:lang w:val="ru-RU"/>
        </w:rPr>
        <w:t xml:space="preserve"> </w:t>
      </w:r>
      <w:r>
        <w:rPr>
          <w:szCs w:val="22"/>
          <w:lang w:val="ru-RU"/>
        </w:rPr>
        <w:t>рассмотрен</w:t>
      </w:r>
      <w:r w:rsidRPr="001D3C2F">
        <w:rPr>
          <w:szCs w:val="22"/>
          <w:lang w:val="ru-RU"/>
        </w:rPr>
        <w:t xml:space="preserve"> </w:t>
      </w:r>
      <w:r>
        <w:rPr>
          <w:szCs w:val="22"/>
          <w:lang w:val="ru-RU"/>
        </w:rPr>
        <w:t>ГА</w:t>
      </w:r>
      <w:r w:rsidRPr="001D3C2F">
        <w:rPr>
          <w:szCs w:val="22"/>
          <w:lang w:val="ru-RU"/>
        </w:rPr>
        <w:t xml:space="preserve"> </w:t>
      </w:r>
      <w:r>
        <w:rPr>
          <w:szCs w:val="22"/>
          <w:lang w:val="ru-RU"/>
        </w:rPr>
        <w:t>в</w:t>
      </w:r>
      <w:r w:rsidRPr="001D3C2F">
        <w:rPr>
          <w:szCs w:val="22"/>
          <w:lang w:val="ru-RU"/>
        </w:rPr>
        <w:t xml:space="preserve"> </w:t>
      </w:r>
      <w:r>
        <w:rPr>
          <w:szCs w:val="22"/>
          <w:lang w:val="ru-RU"/>
        </w:rPr>
        <w:t>марте</w:t>
      </w:r>
      <w:r w:rsidRPr="001D3C2F">
        <w:rPr>
          <w:szCs w:val="22"/>
          <w:lang w:val="ru-RU"/>
        </w:rPr>
        <w:t xml:space="preserve"> </w:t>
      </w:r>
      <w:r w:rsidR="00F43D51" w:rsidRPr="001D3C2F">
        <w:rPr>
          <w:szCs w:val="22"/>
          <w:lang w:val="ru-RU"/>
        </w:rPr>
        <w:t>2016</w:t>
      </w:r>
      <w:r w:rsidRPr="001D3C2F">
        <w:rPr>
          <w:szCs w:val="22"/>
        </w:rPr>
        <w:t> </w:t>
      </w:r>
      <w:r>
        <w:rPr>
          <w:szCs w:val="22"/>
          <w:lang w:val="ru-RU"/>
        </w:rPr>
        <w:t>г</w:t>
      </w:r>
      <w:r w:rsidR="00F43D51" w:rsidRPr="001D3C2F">
        <w:rPr>
          <w:szCs w:val="22"/>
          <w:lang w:val="ru-RU"/>
        </w:rPr>
        <w:t xml:space="preserve">. </w:t>
      </w:r>
      <w:r>
        <w:rPr>
          <w:szCs w:val="22"/>
          <w:lang w:val="ru-RU"/>
        </w:rPr>
        <w:t xml:space="preserve"> ГА</w:t>
      </w:r>
      <w:r w:rsidRPr="001D3C2F">
        <w:rPr>
          <w:szCs w:val="22"/>
          <w:lang w:val="ru-RU"/>
        </w:rPr>
        <w:t xml:space="preserve"> </w:t>
      </w:r>
      <w:r>
        <w:rPr>
          <w:szCs w:val="22"/>
          <w:lang w:val="ru-RU"/>
        </w:rPr>
        <w:t>приняла</w:t>
      </w:r>
      <w:r w:rsidRPr="001D3C2F">
        <w:rPr>
          <w:szCs w:val="22"/>
          <w:lang w:val="ru-RU"/>
        </w:rPr>
        <w:t xml:space="preserve"> </w:t>
      </w:r>
      <w:r>
        <w:rPr>
          <w:szCs w:val="22"/>
          <w:lang w:val="ru-RU"/>
        </w:rPr>
        <w:t>к</w:t>
      </w:r>
      <w:r w:rsidRPr="001D3C2F">
        <w:rPr>
          <w:szCs w:val="22"/>
          <w:lang w:val="ru-RU"/>
        </w:rPr>
        <w:t xml:space="preserve"> </w:t>
      </w:r>
      <w:r>
        <w:rPr>
          <w:szCs w:val="22"/>
          <w:lang w:val="ru-RU"/>
        </w:rPr>
        <w:t>сведению</w:t>
      </w:r>
      <w:r w:rsidRPr="001D3C2F">
        <w:rPr>
          <w:szCs w:val="22"/>
          <w:lang w:val="ru-RU"/>
        </w:rPr>
        <w:t xml:space="preserve"> </w:t>
      </w:r>
      <w:r>
        <w:rPr>
          <w:szCs w:val="22"/>
          <w:lang w:val="ru-RU"/>
        </w:rPr>
        <w:t>доклад</w:t>
      </w:r>
      <w:r w:rsidRPr="001D3C2F">
        <w:rPr>
          <w:szCs w:val="22"/>
          <w:lang w:val="ru-RU"/>
        </w:rPr>
        <w:t xml:space="preserve"> </w:t>
      </w:r>
      <w:r>
        <w:rPr>
          <w:szCs w:val="22"/>
          <w:lang w:val="ru-RU"/>
        </w:rPr>
        <w:t>Генерального</w:t>
      </w:r>
      <w:r w:rsidRPr="001D3C2F">
        <w:rPr>
          <w:szCs w:val="22"/>
          <w:lang w:val="ru-RU"/>
        </w:rPr>
        <w:t xml:space="preserve"> </w:t>
      </w:r>
      <w:r>
        <w:rPr>
          <w:szCs w:val="22"/>
          <w:lang w:val="ru-RU"/>
        </w:rPr>
        <w:t>секретаря</w:t>
      </w:r>
      <w:r w:rsidRPr="001D3C2F">
        <w:rPr>
          <w:szCs w:val="22"/>
          <w:lang w:val="ru-RU"/>
        </w:rPr>
        <w:t xml:space="preserve"> </w:t>
      </w:r>
      <w:r>
        <w:rPr>
          <w:szCs w:val="22"/>
          <w:lang w:val="ru-RU"/>
        </w:rPr>
        <w:t>и</w:t>
      </w:r>
      <w:r w:rsidRPr="001D3C2F">
        <w:rPr>
          <w:szCs w:val="22"/>
          <w:lang w:val="ru-RU"/>
        </w:rPr>
        <w:t xml:space="preserve"> одобрил</w:t>
      </w:r>
      <w:r>
        <w:rPr>
          <w:szCs w:val="22"/>
          <w:lang w:val="ru-RU"/>
        </w:rPr>
        <w:t>а</w:t>
      </w:r>
      <w:r w:rsidRPr="001D3C2F">
        <w:rPr>
          <w:szCs w:val="22"/>
          <w:lang w:val="ru-RU"/>
        </w:rPr>
        <w:t xml:space="preserve"> выводы и рекомендации, содержащиеся в докладе ККАБВ</w:t>
      </w:r>
      <w:r w:rsidR="004B06BD" w:rsidRPr="001D3C2F">
        <w:rPr>
          <w:szCs w:val="22"/>
          <w:lang w:val="ru-RU"/>
        </w:rPr>
        <w:t>.</w:t>
      </w:r>
      <w:r w:rsidR="00F43D51" w:rsidRPr="001D3C2F">
        <w:rPr>
          <w:szCs w:val="22"/>
          <w:lang w:val="ru-RU"/>
        </w:rPr>
        <w:t xml:space="preserve"> </w:t>
      </w:r>
      <w:r w:rsidR="00C23C3E" w:rsidRPr="001D3C2F">
        <w:rPr>
          <w:szCs w:val="22"/>
          <w:lang w:val="ru-RU"/>
        </w:rPr>
        <w:t xml:space="preserve"> </w:t>
      </w:r>
      <w:r w:rsidR="00BC061E">
        <w:rPr>
          <w:szCs w:val="22"/>
          <w:lang w:val="ru-RU"/>
        </w:rPr>
        <w:t>В</w:t>
      </w:r>
      <w:r w:rsidRPr="001D3C2F">
        <w:rPr>
          <w:szCs w:val="22"/>
          <w:lang w:val="ru-RU"/>
        </w:rPr>
        <w:t xml:space="preserve"> </w:t>
      </w:r>
      <w:r>
        <w:rPr>
          <w:szCs w:val="22"/>
          <w:lang w:val="ru-RU"/>
        </w:rPr>
        <w:t>результате</w:t>
      </w:r>
      <w:r w:rsidRPr="001D3C2F">
        <w:rPr>
          <w:szCs w:val="22"/>
          <w:lang w:val="ru-RU"/>
        </w:rPr>
        <w:t xml:space="preserve"> </w:t>
      </w:r>
      <w:r>
        <w:rPr>
          <w:szCs w:val="22"/>
          <w:lang w:val="ru-RU"/>
        </w:rPr>
        <w:t>Рабочая</w:t>
      </w:r>
      <w:r w:rsidRPr="001D3C2F">
        <w:rPr>
          <w:szCs w:val="22"/>
          <w:lang w:val="ru-RU"/>
        </w:rPr>
        <w:t xml:space="preserve"> </w:t>
      </w:r>
      <w:r>
        <w:rPr>
          <w:szCs w:val="22"/>
          <w:lang w:val="ru-RU"/>
        </w:rPr>
        <w:t>группа</w:t>
      </w:r>
      <w:r w:rsidRPr="001D3C2F">
        <w:rPr>
          <w:szCs w:val="22"/>
          <w:lang w:val="ru-RU"/>
        </w:rPr>
        <w:t xml:space="preserve"> </w:t>
      </w:r>
      <w:r>
        <w:rPr>
          <w:szCs w:val="22"/>
          <w:lang w:val="ru-RU"/>
        </w:rPr>
        <w:t>продолжила</w:t>
      </w:r>
      <w:r w:rsidRPr="001D3C2F">
        <w:rPr>
          <w:szCs w:val="22"/>
          <w:lang w:val="ru-RU"/>
        </w:rPr>
        <w:t xml:space="preserve"> </w:t>
      </w:r>
      <w:r>
        <w:rPr>
          <w:szCs w:val="22"/>
          <w:lang w:val="ru-RU"/>
        </w:rPr>
        <w:t>свою</w:t>
      </w:r>
      <w:r w:rsidRPr="001D3C2F">
        <w:rPr>
          <w:szCs w:val="22"/>
          <w:lang w:val="ru-RU"/>
        </w:rPr>
        <w:t xml:space="preserve"> </w:t>
      </w:r>
      <w:r w:rsidR="00BC061E">
        <w:rPr>
          <w:szCs w:val="22"/>
          <w:lang w:val="ru-RU"/>
        </w:rPr>
        <w:t xml:space="preserve">деятельность </w:t>
      </w:r>
      <w:r>
        <w:rPr>
          <w:szCs w:val="22"/>
          <w:lang w:val="ru-RU"/>
        </w:rPr>
        <w:t>и</w:t>
      </w:r>
      <w:r w:rsidRPr="001D3C2F">
        <w:rPr>
          <w:szCs w:val="22"/>
          <w:lang w:val="ru-RU"/>
        </w:rPr>
        <w:t xml:space="preserve"> </w:t>
      </w:r>
      <w:r>
        <w:rPr>
          <w:szCs w:val="22"/>
          <w:lang w:val="ru-RU"/>
        </w:rPr>
        <w:t>в</w:t>
      </w:r>
      <w:r w:rsidRPr="001D3C2F">
        <w:rPr>
          <w:szCs w:val="22"/>
          <w:lang w:val="ru-RU"/>
        </w:rPr>
        <w:t xml:space="preserve"> </w:t>
      </w:r>
      <w:r>
        <w:rPr>
          <w:szCs w:val="22"/>
          <w:lang w:val="ru-RU"/>
        </w:rPr>
        <w:t>течение</w:t>
      </w:r>
      <w:r w:rsidRPr="001D3C2F">
        <w:rPr>
          <w:szCs w:val="22"/>
          <w:lang w:val="ru-RU"/>
        </w:rPr>
        <w:t xml:space="preserve"> </w:t>
      </w:r>
      <w:r>
        <w:rPr>
          <w:szCs w:val="22"/>
          <w:lang w:val="ru-RU"/>
        </w:rPr>
        <w:t>оставшейся</w:t>
      </w:r>
      <w:r w:rsidRPr="001D3C2F">
        <w:rPr>
          <w:szCs w:val="22"/>
          <w:lang w:val="ru-RU"/>
        </w:rPr>
        <w:t xml:space="preserve"> </w:t>
      </w:r>
      <w:r>
        <w:rPr>
          <w:szCs w:val="22"/>
          <w:lang w:val="ru-RU"/>
        </w:rPr>
        <w:t>части</w:t>
      </w:r>
      <w:r w:rsidRPr="001D3C2F">
        <w:rPr>
          <w:szCs w:val="22"/>
          <w:lang w:val="ru-RU"/>
        </w:rPr>
        <w:t xml:space="preserve"> </w:t>
      </w:r>
      <w:r w:rsidR="00C23C3E" w:rsidRPr="001D3C2F">
        <w:rPr>
          <w:szCs w:val="22"/>
          <w:lang w:val="ru-RU"/>
        </w:rPr>
        <w:t>2016</w:t>
      </w:r>
      <w:r>
        <w:rPr>
          <w:szCs w:val="22"/>
          <w:lang w:val="ru-RU"/>
        </w:rPr>
        <w:t xml:space="preserve"> г. </w:t>
      </w:r>
      <w:r w:rsidR="005E5291">
        <w:rPr>
          <w:szCs w:val="22"/>
          <w:lang w:val="ru-RU"/>
        </w:rPr>
        <w:t xml:space="preserve">занималась </w:t>
      </w:r>
      <w:r w:rsidR="00BC061E">
        <w:rPr>
          <w:szCs w:val="22"/>
          <w:lang w:val="ru-RU"/>
        </w:rPr>
        <w:t>дальнейшей проработк</w:t>
      </w:r>
      <w:r w:rsidR="005E5291">
        <w:rPr>
          <w:szCs w:val="22"/>
          <w:lang w:val="ru-RU"/>
        </w:rPr>
        <w:t>ой</w:t>
      </w:r>
      <w:r w:rsidR="00BC061E">
        <w:rPr>
          <w:szCs w:val="22"/>
          <w:lang w:val="ru-RU"/>
        </w:rPr>
        <w:t xml:space="preserve"> каждой из восьми вынесенных рекомендаций.</w:t>
      </w:r>
    </w:p>
    <w:p w:rsidR="003048D6" w:rsidRPr="00BB6043" w:rsidRDefault="00BC061E" w:rsidP="00D47868">
      <w:pPr>
        <w:numPr>
          <w:ilvl w:val="0"/>
          <w:numId w:val="8"/>
        </w:numPr>
        <w:spacing w:after="220"/>
        <w:rPr>
          <w:rFonts w:eastAsia="SimSun"/>
          <w:szCs w:val="22"/>
          <w:lang w:val="ru-RU" w:eastAsia="zh-CN"/>
        </w:rPr>
      </w:pPr>
      <w:r w:rsidRPr="00BC061E">
        <w:rPr>
          <w:rFonts w:eastAsia="SimSun"/>
          <w:szCs w:val="22"/>
          <w:lang w:val="ru-RU" w:eastAsia="zh-CN"/>
        </w:rPr>
        <w:t xml:space="preserve">Рабочая группа подготовила доклад о проделанной работе, который был представлен Генеральным секретарем на </w:t>
      </w:r>
      <w:r w:rsidR="006948E1" w:rsidRPr="00BC061E">
        <w:rPr>
          <w:rFonts w:eastAsia="SimSun"/>
          <w:szCs w:val="22"/>
          <w:lang w:val="ru-RU" w:eastAsia="zh-CN"/>
        </w:rPr>
        <w:t>71</w:t>
      </w:r>
      <w:r w:rsidRPr="00BC061E">
        <w:rPr>
          <w:rFonts w:eastAsia="SimSun"/>
          <w:szCs w:val="22"/>
          <w:lang w:val="ru-RU" w:eastAsia="zh-CN"/>
        </w:rPr>
        <w:t>-й сессии ГА</w:t>
      </w:r>
      <w:r w:rsidR="00F365CB" w:rsidRPr="00BC061E">
        <w:rPr>
          <w:rFonts w:eastAsia="SimSun"/>
          <w:szCs w:val="22"/>
          <w:lang w:val="ru-RU" w:eastAsia="zh-CN"/>
        </w:rPr>
        <w:t xml:space="preserve"> (</w:t>
      </w:r>
      <w:r w:rsidR="00F365CB">
        <w:rPr>
          <w:rFonts w:eastAsia="SimSun"/>
          <w:szCs w:val="22"/>
          <w:lang w:eastAsia="zh-CN"/>
        </w:rPr>
        <w:t>A</w:t>
      </w:r>
      <w:r w:rsidR="00F365CB" w:rsidRPr="00BC061E">
        <w:rPr>
          <w:rFonts w:eastAsia="SimSun"/>
          <w:szCs w:val="22"/>
          <w:lang w:val="ru-RU" w:eastAsia="zh-CN"/>
        </w:rPr>
        <w:t>/71/698)</w:t>
      </w:r>
      <w:r w:rsidR="006948E1" w:rsidRPr="00BC061E">
        <w:rPr>
          <w:rFonts w:eastAsia="SimSun"/>
          <w:szCs w:val="22"/>
          <w:lang w:val="ru-RU" w:eastAsia="zh-CN"/>
        </w:rPr>
        <w:t xml:space="preserve">.  </w:t>
      </w:r>
      <w:r w:rsidR="00C2025C">
        <w:rPr>
          <w:rFonts w:eastAsia="SimSun"/>
          <w:szCs w:val="22"/>
          <w:lang w:val="ru-RU" w:eastAsia="zh-CN"/>
        </w:rPr>
        <w:t>Этот</w:t>
      </w:r>
      <w:r w:rsidR="00C2025C" w:rsidRPr="00C2025C">
        <w:rPr>
          <w:rFonts w:eastAsia="SimSun"/>
          <w:szCs w:val="22"/>
          <w:lang w:val="ru-RU" w:eastAsia="zh-CN"/>
        </w:rPr>
        <w:t xml:space="preserve"> </w:t>
      </w:r>
      <w:r w:rsidR="00C2025C">
        <w:rPr>
          <w:rFonts w:eastAsia="SimSun"/>
          <w:szCs w:val="22"/>
          <w:lang w:val="ru-RU" w:eastAsia="zh-CN"/>
        </w:rPr>
        <w:t>доклад</w:t>
      </w:r>
      <w:r w:rsidR="00C2025C" w:rsidRPr="00C2025C">
        <w:rPr>
          <w:rFonts w:eastAsia="SimSun"/>
          <w:szCs w:val="22"/>
          <w:lang w:val="ru-RU" w:eastAsia="zh-CN"/>
        </w:rPr>
        <w:t xml:space="preserve"> </w:t>
      </w:r>
      <w:r w:rsidR="00C2025C">
        <w:rPr>
          <w:rFonts w:eastAsia="SimSun"/>
          <w:szCs w:val="22"/>
          <w:lang w:val="ru-RU" w:eastAsia="zh-CN"/>
        </w:rPr>
        <w:t>содержит</w:t>
      </w:r>
      <w:r w:rsidR="00C2025C" w:rsidRPr="00C2025C">
        <w:rPr>
          <w:rFonts w:eastAsia="SimSun"/>
          <w:szCs w:val="22"/>
          <w:lang w:val="ru-RU" w:eastAsia="zh-CN"/>
        </w:rPr>
        <w:t xml:space="preserve"> </w:t>
      </w:r>
      <w:r w:rsidR="00C2025C">
        <w:rPr>
          <w:rFonts w:eastAsia="SimSun"/>
          <w:szCs w:val="22"/>
          <w:lang w:val="ru-RU" w:eastAsia="zh-CN"/>
        </w:rPr>
        <w:t>обновленную</w:t>
      </w:r>
      <w:r w:rsidR="00C2025C" w:rsidRPr="00C2025C">
        <w:rPr>
          <w:rFonts w:eastAsia="SimSun"/>
          <w:szCs w:val="22"/>
          <w:lang w:val="ru-RU" w:eastAsia="zh-CN"/>
        </w:rPr>
        <w:t xml:space="preserve"> </w:t>
      </w:r>
      <w:r w:rsidR="00C2025C">
        <w:rPr>
          <w:rFonts w:eastAsia="SimSun"/>
          <w:szCs w:val="22"/>
          <w:lang w:val="ru-RU" w:eastAsia="zh-CN"/>
        </w:rPr>
        <w:t>информацию</w:t>
      </w:r>
      <w:r w:rsidR="00C2025C" w:rsidRPr="00C2025C">
        <w:rPr>
          <w:rFonts w:eastAsia="SimSun"/>
          <w:szCs w:val="22"/>
          <w:lang w:val="ru-RU" w:eastAsia="zh-CN"/>
        </w:rPr>
        <w:t xml:space="preserve"> </w:t>
      </w:r>
      <w:r w:rsidR="00C2025C">
        <w:rPr>
          <w:rFonts w:eastAsia="SimSun"/>
          <w:szCs w:val="22"/>
          <w:lang w:val="ru-RU" w:eastAsia="zh-CN"/>
        </w:rPr>
        <w:t>и</w:t>
      </w:r>
      <w:r w:rsidR="00C2025C" w:rsidRPr="00C2025C">
        <w:rPr>
          <w:rFonts w:eastAsia="SimSun"/>
          <w:szCs w:val="22"/>
          <w:lang w:val="ru-RU" w:eastAsia="zh-CN"/>
        </w:rPr>
        <w:t xml:space="preserve"> </w:t>
      </w:r>
      <w:r w:rsidR="00C2025C">
        <w:rPr>
          <w:rFonts w:eastAsia="SimSun"/>
          <w:szCs w:val="22"/>
          <w:lang w:val="ru-RU" w:eastAsia="zh-CN"/>
        </w:rPr>
        <w:t xml:space="preserve">семь </w:t>
      </w:r>
      <w:r w:rsidR="000535CA">
        <w:rPr>
          <w:rFonts w:eastAsia="SimSun"/>
          <w:szCs w:val="22"/>
          <w:lang w:val="ru-RU" w:eastAsia="zh-CN"/>
        </w:rPr>
        <w:t xml:space="preserve">дополнительных </w:t>
      </w:r>
      <w:r w:rsidR="00C2025C">
        <w:rPr>
          <w:rFonts w:eastAsia="SimSun"/>
          <w:szCs w:val="22"/>
          <w:lang w:val="ru-RU" w:eastAsia="zh-CN"/>
        </w:rPr>
        <w:t>рекомендаций</w:t>
      </w:r>
      <w:r w:rsidR="00C2025C" w:rsidRPr="00C2025C">
        <w:rPr>
          <w:rFonts w:eastAsia="SimSun"/>
          <w:szCs w:val="22"/>
          <w:lang w:val="ru-RU" w:eastAsia="zh-CN"/>
        </w:rPr>
        <w:t xml:space="preserve"> </w:t>
      </w:r>
      <w:r w:rsidR="00957C00" w:rsidRPr="00C2025C">
        <w:rPr>
          <w:rFonts w:eastAsia="SimSun"/>
          <w:szCs w:val="22"/>
          <w:lang w:val="ru-RU" w:eastAsia="zh-CN"/>
        </w:rPr>
        <w:t>(</w:t>
      </w:r>
      <w:r w:rsidR="00957C00">
        <w:rPr>
          <w:rFonts w:eastAsia="SimSun"/>
          <w:szCs w:val="22"/>
          <w:lang w:eastAsia="zh-CN"/>
        </w:rPr>
        <w:t>A</w:t>
      </w:r>
      <w:r w:rsidR="00C2025C" w:rsidRPr="00C2025C">
        <w:rPr>
          <w:rFonts w:eastAsia="SimSun"/>
          <w:szCs w:val="22"/>
          <w:lang w:val="ru-RU" w:eastAsia="zh-CN"/>
        </w:rPr>
        <w:t>–</w:t>
      </w:r>
      <w:r w:rsidR="00957C00">
        <w:rPr>
          <w:rFonts w:eastAsia="SimSun"/>
          <w:szCs w:val="22"/>
          <w:lang w:eastAsia="zh-CN"/>
        </w:rPr>
        <w:t>G</w:t>
      </w:r>
      <w:r w:rsidR="00957C00" w:rsidRPr="00C2025C">
        <w:rPr>
          <w:rFonts w:eastAsia="SimSun"/>
          <w:szCs w:val="22"/>
          <w:lang w:val="ru-RU" w:eastAsia="zh-CN"/>
        </w:rPr>
        <w:t>)</w:t>
      </w:r>
      <w:r w:rsidR="000535CA">
        <w:rPr>
          <w:rFonts w:eastAsia="SimSun"/>
          <w:szCs w:val="22"/>
          <w:lang w:val="ru-RU" w:eastAsia="zh-CN"/>
        </w:rPr>
        <w:t xml:space="preserve"> в развитие </w:t>
      </w:r>
      <w:r w:rsidR="00C2025C">
        <w:rPr>
          <w:rFonts w:eastAsia="SimSun"/>
          <w:szCs w:val="22"/>
          <w:lang w:val="ru-RU" w:eastAsia="zh-CN"/>
        </w:rPr>
        <w:t xml:space="preserve">восьми рекомендаций, </w:t>
      </w:r>
      <w:r w:rsidR="000535CA">
        <w:rPr>
          <w:rFonts w:eastAsia="SimSun"/>
          <w:szCs w:val="22"/>
          <w:lang w:val="ru-RU" w:eastAsia="zh-CN"/>
        </w:rPr>
        <w:t xml:space="preserve">вынесенных </w:t>
      </w:r>
      <w:r w:rsidR="00C2025C">
        <w:rPr>
          <w:rFonts w:eastAsia="SimSun"/>
          <w:szCs w:val="22"/>
          <w:lang w:val="ru-RU" w:eastAsia="zh-CN"/>
        </w:rPr>
        <w:t xml:space="preserve">годом ранее.  </w:t>
      </w:r>
      <w:r w:rsidR="00A54B7B">
        <w:rPr>
          <w:rFonts w:eastAsia="SimSun"/>
          <w:szCs w:val="22"/>
          <w:lang w:val="ru-RU" w:eastAsia="zh-CN"/>
        </w:rPr>
        <w:t>Как</w:t>
      </w:r>
      <w:r w:rsidR="00A54B7B" w:rsidRPr="00A54B7B">
        <w:rPr>
          <w:rFonts w:eastAsia="SimSun"/>
          <w:szCs w:val="22"/>
          <w:lang w:val="ru-RU" w:eastAsia="zh-CN"/>
        </w:rPr>
        <w:t xml:space="preserve"> </w:t>
      </w:r>
      <w:r w:rsidR="00A54B7B">
        <w:rPr>
          <w:rFonts w:eastAsia="SimSun"/>
          <w:szCs w:val="22"/>
          <w:lang w:val="ru-RU" w:eastAsia="zh-CN"/>
        </w:rPr>
        <w:t>и</w:t>
      </w:r>
      <w:r w:rsidR="00A54B7B" w:rsidRPr="00A54B7B">
        <w:rPr>
          <w:rFonts w:eastAsia="SimSun"/>
          <w:szCs w:val="22"/>
          <w:lang w:val="ru-RU" w:eastAsia="zh-CN"/>
        </w:rPr>
        <w:t xml:space="preserve"> </w:t>
      </w:r>
      <w:r w:rsidR="00A54B7B">
        <w:rPr>
          <w:rFonts w:eastAsia="SimSun"/>
          <w:szCs w:val="22"/>
          <w:lang w:val="ru-RU" w:eastAsia="zh-CN"/>
        </w:rPr>
        <w:t>в</w:t>
      </w:r>
      <w:r w:rsidR="00A54B7B" w:rsidRPr="00A54B7B">
        <w:rPr>
          <w:rFonts w:eastAsia="SimSun"/>
          <w:szCs w:val="22"/>
          <w:lang w:val="ru-RU" w:eastAsia="zh-CN"/>
        </w:rPr>
        <w:t xml:space="preserve"> </w:t>
      </w:r>
      <w:r w:rsidR="00A54B7B">
        <w:rPr>
          <w:rFonts w:eastAsia="SimSun"/>
          <w:szCs w:val="22"/>
          <w:lang w:val="ru-RU" w:eastAsia="zh-CN"/>
        </w:rPr>
        <w:t>прошлый</w:t>
      </w:r>
      <w:r w:rsidR="00A54B7B" w:rsidRPr="00A54B7B">
        <w:rPr>
          <w:rFonts w:eastAsia="SimSun"/>
          <w:szCs w:val="22"/>
          <w:lang w:val="ru-RU" w:eastAsia="zh-CN"/>
        </w:rPr>
        <w:t xml:space="preserve"> </w:t>
      </w:r>
      <w:r w:rsidR="00A54B7B">
        <w:rPr>
          <w:rFonts w:eastAsia="SimSun"/>
          <w:szCs w:val="22"/>
          <w:lang w:val="ru-RU" w:eastAsia="zh-CN"/>
        </w:rPr>
        <w:t>раз</w:t>
      </w:r>
      <w:r w:rsidR="00A54B7B" w:rsidRPr="00A54B7B">
        <w:rPr>
          <w:rFonts w:eastAsia="SimSun"/>
          <w:szCs w:val="22"/>
          <w:lang w:val="ru-RU" w:eastAsia="zh-CN"/>
        </w:rPr>
        <w:t xml:space="preserve">, </w:t>
      </w:r>
      <w:r w:rsidR="00A54B7B">
        <w:rPr>
          <w:rFonts w:eastAsia="SimSun"/>
          <w:szCs w:val="22"/>
          <w:lang w:val="ru-RU" w:eastAsia="zh-CN"/>
        </w:rPr>
        <w:t>доклад</w:t>
      </w:r>
      <w:r w:rsidR="00A54B7B" w:rsidRPr="00A54B7B">
        <w:rPr>
          <w:rFonts w:eastAsia="SimSun"/>
          <w:szCs w:val="22"/>
          <w:lang w:val="ru-RU" w:eastAsia="zh-CN"/>
        </w:rPr>
        <w:t xml:space="preserve"> </w:t>
      </w:r>
      <w:r w:rsidR="00A54B7B">
        <w:rPr>
          <w:rFonts w:eastAsia="SimSun"/>
          <w:szCs w:val="22"/>
          <w:lang w:val="ru-RU" w:eastAsia="zh-CN"/>
        </w:rPr>
        <w:t>был</w:t>
      </w:r>
      <w:r w:rsidR="00A54B7B" w:rsidRPr="00A54B7B">
        <w:rPr>
          <w:rFonts w:eastAsia="SimSun"/>
          <w:szCs w:val="22"/>
          <w:lang w:val="ru-RU" w:eastAsia="zh-CN"/>
        </w:rPr>
        <w:t xml:space="preserve"> </w:t>
      </w:r>
      <w:r w:rsidR="00A54B7B">
        <w:rPr>
          <w:rFonts w:eastAsia="SimSun"/>
          <w:szCs w:val="22"/>
          <w:lang w:val="ru-RU" w:eastAsia="zh-CN"/>
        </w:rPr>
        <w:t>сначала</w:t>
      </w:r>
      <w:r w:rsidR="00A54B7B" w:rsidRPr="00A54B7B">
        <w:rPr>
          <w:rFonts w:eastAsia="SimSun"/>
          <w:szCs w:val="22"/>
          <w:lang w:val="ru-RU" w:eastAsia="zh-CN"/>
        </w:rPr>
        <w:t xml:space="preserve"> </w:t>
      </w:r>
      <w:r w:rsidR="00A54B7B">
        <w:rPr>
          <w:rFonts w:eastAsia="SimSun"/>
          <w:szCs w:val="22"/>
          <w:lang w:val="ru-RU" w:eastAsia="zh-CN"/>
        </w:rPr>
        <w:t>рассмотрен</w:t>
      </w:r>
      <w:r w:rsidR="00A54B7B" w:rsidRPr="00A54B7B">
        <w:rPr>
          <w:rFonts w:eastAsia="SimSun"/>
          <w:szCs w:val="22"/>
          <w:lang w:val="ru-RU" w:eastAsia="zh-CN"/>
        </w:rPr>
        <w:t xml:space="preserve"> </w:t>
      </w:r>
      <w:r w:rsidR="00A54B7B">
        <w:rPr>
          <w:rFonts w:eastAsia="SimSun"/>
          <w:szCs w:val="22"/>
          <w:lang w:val="ru-RU" w:eastAsia="zh-CN"/>
        </w:rPr>
        <w:t>ККАБВ</w:t>
      </w:r>
      <w:r w:rsidR="00A54B7B" w:rsidRPr="00A54B7B">
        <w:rPr>
          <w:rFonts w:eastAsia="SimSun"/>
          <w:szCs w:val="22"/>
          <w:lang w:val="ru-RU" w:eastAsia="zh-CN"/>
        </w:rPr>
        <w:t>.</w:t>
      </w:r>
      <w:r w:rsidR="00A54B7B">
        <w:rPr>
          <w:rFonts w:eastAsia="SimSun"/>
          <w:szCs w:val="22"/>
          <w:lang w:val="ru-RU" w:eastAsia="zh-CN"/>
        </w:rPr>
        <w:t xml:space="preserve"> </w:t>
      </w:r>
      <w:r w:rsidR="006948E1" w:rsidRPr="00A54B7B">
        <w:rPr>
          <w:rFonts w:eastAsia="SimSun"/>
          <w:szCs w:val="22"/>
          <w:lang w:val="ru-RU" w:eastAsia="zh-CN"/>
        </w:rPr>
        <w:t xml:space="preserve"> </w:t>
      </w:r>
      <w:r w:rsidR="000535CA">
        <w:rPr>
          <w:rFonts w:eastAsia="SimSun"/>
          <w:szCs w:val="22"/>
          <w:lang w:val="ru-RU" w:eastAsia="zh-CN"/>
        </w:rPr>
        <w:t>Р</w:t>
      </w:r>
      <w:r w:rsidR="009A533F" w:rsidRPr="009A533F">
        <w:rPr>
          <w:rFonts w:eastAsia="SimSun"/>
          <w:szCs w:val="22"/>
          <w:lang w:val="ru-RU" w:eastAsia="zh-CN"/>
        </w:rPr>
        <w:t>екомендации</w:t>
      </w:r>
      <w:r w:rsidR="000535CA">
        <w:rPr>
          <w:rFonts w:eastAsia="SimSun"/>
          <w:szCs w:val="22"/>
          <w:lang w:val="ru-RU" w:eastAsia="zh-CN"/>
        </w:rPr>
        <w:t xml:space="preserve"> из этого доклада</w:t>
      </w:r>
      <w:r w:rsidR="009A533F" w:rsidRPr="009A533F">
        <w:rPr>
          <w:rFonts w:eastAsia="SimSun"/>
          <w:szCs w:val="22"/>
          <w:lang w:val="ru-RU" w:eastAsia="zh-CN"/>
        </w:rPr>
        <w:t xml:space="preserve"> (за исключением рекомендации</w:t>
      </w:r>
      <w:r w:rsidR="006948E1" w:rsidRPr="009A533F">
        <w:rPr>
          <w:rFonts w:eastAsia="SimSun"/>
          <w:szCs w:val="22"/>
          <w:lang w:eastAsia="zh-CN"/>
        </w:rPr>
        <w:t> F</w:t>
      </w:r>
      <w:r w:rsidR="000535CA">
        <w:rPr>
          <w:rFonts w:eastAsia="SimSun"/>
          <w:szCs w:val="22"/>
          <w:lang w:val="ru-RU" w:eastAsia="zh-CN"/>
        </w:rPr>
        <w:t xml:space="preserve">, </w:t>
      </w:r>
      <w:r w:rsidR="00DC2F5F">
        <w:rPr>
          <w:rFonts w:eastAsia="SimSun"/>
          <w:szCs w:val="22"/>
          <w:lang w:val="ru-RU" w:eastAsia="zh-CN"/>
        </w:rPr>
        <w:t xml:space="preserve">имеющей отношение </w:t>
      </w:r>
      <w:r w:rsidR="000535CA">
        <w:rPr>
          <w:rFonts w:eastAsia="SimSun"/>
          <w:szCs w:val="22"/>
          <w:lang w:val="ru-RU" w:eastAsia="zh-CN"/>
        </w:rPr>
        <w:t>сугубо</w:t>
      </w:r>
      <w:r w:rsidR="00DC2F5F">
        <w:rPr>
          <w:rFonts w:eastAsia="SimSun"/>
          <w:szCs w:val="22"/>
          <w:lang w:val="ru-RU" w:eastAsia="zh-CN"/>
        </w:rPr>
        <w:t xml:space="preserve"> к</w:t>
      </w:r>
      <w:r w:rsidR="000535CA">
        <w:rPr>
          <w:rFonts w:eastAsia="SimSun"/>
          <w:szCs w:val="22"/>
          <w:lang w:val="ru-RU" w:eastAsia="zh-CN"/>
        </w:rPr>
        <w:t xml:space="preserve"> </w:t>
      </w:r>
      <w:r w:rsidR="009A533F" w:rsidRPr="009A533F">
        <w:rPr>
          <w:rFonts w:eastAsia="SimSun"/>
          <w:szCs w:val="22"/>
          <w:lang w:val="ru-RU" w:eastAsia="zh-CN"/>
        </w:rPr>
        <w:t>О</w:t>
      </w:r>
      <w:r w:rsidR="00DC2F5F">
        <w:rPr>
          <w:rFonts w:eastAsia="SimSun"/>
          <w:szCs w:val="22"/>
          <w:lang w:val="ru-RU" w:eastAsia="zh-CN"/>
        </w:rPr>
        <w:t>рганизации Объединенных Наций</w:t>
      </w:r>
      <w:r w:rsidR="009A533F" w:rsidRPr="009A533F">
        <w:rPr>
          <w:rFonts w:eastAsia="SimSun"/>
          <w:szCs w:val="22"/>
          <w:lang w:val="ru-RU" w:eastAsia="zh-CN"/>
        </w:rPr>
        <w:t xml:space="preserve">) вместе с </w:t>
      </w:r>
      <w:r w:rsidR="000535CA">
        <w:rPr>
          <w:rFonts w:eastAsia="SimSun"/>
          <w:szCs w:val="22"/>
          <w:lang w:val="ru-RU" w:eastAsia="zh-CN"/>
        </w:rPr>
        <w:t>с</w:t>
      </w:r>
      <w:r w:rsidR="009A533F" w:rsidRPr="009A533F">
        <w:rPr>
          <w:rFonts w:eastAsia="SimSun"/>
          <w:szCs w:val="22"/>
          <w:lang w:val="ru-RU" w:eastAsia="zh-CN"/>
        </w:rPr>
        <w:t>о</w:t>
      </w:r>
      <w:r w:rsidR="000535CA">
        <w:rPr>
          <w:rFonts w:eastAsia="SimSun"/>
          <w:szCs w:val="22"/>
          <w:lang w:val="ru-RU" w:eastAsia="zh-CN"/>
        </w:rPr>
        <w:t>о</w:t>
      </w:r>
      <w:r w:rsidR="009A533F" w:rsidRPr="009A533F">
        <w:rPr>
          <w:rFonts w:eastAsia="SimSun"/>
          <w:szCs w:val="22"/>
          <w:lang w:val="ru-RU" w:eastAsia="zh-CN"/>
        </w:rPr>
        <w:t>т</w:t>
      </w:r>
      <w:r w:rsidR="000535CA">
        <w:rPr>
          <w:rFonts w:eastAsia="SimSun"/>
          <w:szCs w:val="22"/>
          <w:lang w:val="ru-RU" w:eastAsia="zh-CN"/>
        </w:rPr>
        <w:t xml:space="preserve">ветствующими </w:t>
      </w:r>
      <w:r w:rsidR="009A533F" w:rsidRPr="009A533F">
        <w:rPr>
          <w:rFonts w:eastAsia="SimSun"/>
          <w:szCs w:val="22"/>
          <w:lang w:val="ru-RU" w:eastAsia="zh-CN"/>
        </w:rPr>
        <w:t xml:space="preserve">выводами и рекомендациями ККАБВ представлены в </w:t>
      </w:r>
      <w:r w:rsidR="009A533F" w:rsidRPr="009A533F">
        <w:rPr>
          <w:rFonts w:eastAsia="SimSun"/>
          <w:szCs w:val="22"/>
          <w:lang w:val="ru-RU" w:eastAsia="zh-CN"/>
        </w:rPr>
        <w:lastRenderedPageBreak/>
        <w:t>приложении </w:t>
      </w:r>
      <w:r w:rsidR="006948E1" w:rsidRPr="009A533F">
        <w:rPr>
          <w:rFonts w:eastAsia="SimSun"/>
          <w:szCs w:val="22"/>
          <w:lang w:eastAsia="zh-CN"/>
        </w:rPr>
        <w:t>II</w:t>
      </w:r>
      <w:r w:rsidR="000535CA">
        <w:rPr>
          <w:rFonts w:eastAsia="SimSun"/>
          <w:szCs w:val="22"/>
          <w:lang w:val="ru-RU" w:eastAsia="zh-CN"/>
        </w:rPr>
        <w:t xml:space="preserve"> к настоящему документу</w:t>
      </w:r>
      <w:r w:rsidR="006948E1" w:rsidRPr="009A533F">
        <w:rPr>
          <w:rFonts w:eastAsia="SimSun"/>
          <w:szCs w:val="22"/>
          <w:lang w:val="ru-RU" w:eastAsia="zh-CN"/>
        </w:rPr>
        <w:t>.</w:t>
      </w:r>
      <w:r w:rsidR="003D1932" w:rsidRPr="009A533F">
        <w:rPr>
          <w:rFonts w:eastAsia="SimSun"/>
          <w:szCs w:val="22"/>
          <w:lang w:val="ru-RU" w:eastAsia="zh-CN"/>
        </w:rPr>
        <w:t xml:space="preserve"> </w:t>
      </w:r>
      <w:r w:rsidR="009A533F">
        <w:rPr>
          <w:rFonts w:eastAsia="SimSun"/>
          <w:szCs w:val="22"/>
          <w:lang w:val="ru-RU" w:eastAsia="zh-CN"/>
        </w:rPr>
        <w:t xml:space="preserve"> </w:t>
      </w:r>
      <w:r w:rsidR="00BB6043">
        <w:rPr>
          <w:rFonts w:eastAsia="SimSun"/>
          <w:szCs w:val="22"/>
          <w:lang w:val="ru-RU" w:eastAsia="zh-CN"/>
        </w:rPr>
        <w:t>ККАБВ</w:t>
      </w:r>
      <w:r w:rsidR="00BB6043" w:rsidRPr="00BB6043">
        <w:rPr>
          <w:rFonts w:eastAsia="SimSun"/>
          <w:szCs w:val="22"/>
          <w:lang w:val="ru-RU" w:eastAsia="zh-CN"/>
        </w:rPr>
        <w:t xml:space="preserve"> </w:t>
      </w:r>
      <w:r w:rsidR="00BB6043">
        <w:rPr>
          <w:rFonts w:eastAsia="SimSun"/>
          <w:szCs w:val="22"/>
          <w:lang w:val="ru-RU" w:eastAsia="zh-CN"/>
        </w:rPr>
        <w:t>вновь</w:t>
      </w:r>
      <w:r w:rsidR="00BB6043" w:rsidRPr="00BB6043">
        <w:rPr>
          <w:rFonts w:eastAsia="SimSun"/>
          <w:szCs w:val="22"/>
          <w:lang w:val="ru-RU" w:eastAsia="zh-CN"/>
        </w:rPr>
        <w:t xml:space="preserve"> </w:t>
      </w:r>
      <w:r w:rsidR="00BB6043">
        <w:rPr>
          <w:rFonts w:eastAsia="SimSun"/>
          <w:szCs w:val="22"/>
          <w:lang w:val="ru-RU" w:eastAsia="zh-CN"/>
        </w:rPr>
        <w:t xml:space="preserve">просил Генерального секретаря сохранить Рабочую группу и представить ГА </w:t>
      </w:r>
      <w:r w:rsidR="00954B96">
        <w:rPr>
          <w:rFonts w:eastAsia="SimSun"/>
          <w:szCs w:val="22"/>
          <w:lang w:val="ru-RU" w:eastAsia="zh-CN"/>
        </w:rPr>
        <w:t xml:space="preserve">доклад </w:t>
      </w:r>
      <w:r w:rsidR="00BB6043">
        <w:rPr>
          <w:rFonts w:eastAsia="SimSun"/>
          <w:szCs w:val="22"/>
          <w:lang w:val="ru-RU" w:eastAsia="zh-CN"/>
        </w:rPr>
        <w:t>на ее семьдесят третьей сессии.</w:t>
      </w:r>
      <w:r w:rsidR="003D1932" w:rsidRPr="00BB6043">
        <w:rPr>
          <w:rFonts w:eastAsia="SimSun"/>
          <w:szCs w:val="22"/>
          <w:lang w:val="ru-RU" w:eastAsia="zh-CN"/>
        </w:rPr>
        <w:t xml:space="preserve"> </w:t>
      </w:r>
    </w:p>
    <w:p w:rsidR="003048D6" w:rsidRPr="00E13507" w:rsidRDefault="00934376" w:rsidP="00D47868">
      <w:pPr>
        <w:numPr>
          <w:ilvl w:val="0"/>
          <w:numId w:val="8"/>
        </w:numPr>
        <w:spacing w:after="220"/>
        <w:rPr>
          <w:rFonts w:eastAsia="SimSun"/>
          <w:szCs w:val="22"/>
          <w:lang w:val="ru-RU" w:eastAsia="zh-CN"/>
        </w:rPr>
      </w:pPr>
      <w:r>
        <w:rPr>
          <w:rFonts w:eastAsia="SimSun"/>
          <w:szCs w:val="22"/>
          <w:lang w:val="ru-RU" w:eastAsia="zh-CN"/>
        </w:rPr>
        <w:t>В</w:t>
      </w:r>
      <w:r w:rsidRPr="00934376">
        <w:rPr>
          <w:rFonts w:eastAsia="SimSun"/>
          <w:szCs w:val="22"/>
          <w:lang w:val="ru-RU" w:eastAsia="zh-CN"/>
        </w:rPr>
        <w:t xml:space="preserve"> </w:t>
      </w:r>
      <w:r>
        <w:rPr>
          <w:rFonts w:eastAsia="SimSun"/>
          <w:szCs w:val="22"/>
          <w:lang w:val="ru-RU" w:eastAsia="zh-CN"/>
        </w:rPr>
        <w:t>марте</w:t>
      </w:r>
      <w:r w:rsidRPr="00934376">
        <w:rPr>
          <w:rFonts w:eastAsia="SimSun"/>
          <w:szCs w:val="22"/>
          <w:lang w:val="ru-RU" w:eastAsia="zh-CN"/>
        </w:rPr>
        <w:t xml:space="preserve"> </w:t>
      </w:r>
      <w:r w:rsidR="003D1932" w:rsidRPr="00934376">
        <w:rPr>
          <w:rFonts w:eastAsia="SimSun"/>
          <w:szCs w:val="22"/>
          <w:lang w:val="ru-RU" w:eastAsia="zh-CN"/>
        </w:rPr>
        <w:t>2017</w:t>
      </w:r>
      <w:r w:rsidRPr="00934376">
        <w:rPr>
          <w:rFonts w:eastAsia="SimSun"/>
          <w:szCs w:val="22"/>
          <w:lang w:eastAsia="zh-CN"/>
        </w:rPr>
        <w:t> </w:t>
      </w:r>
      <w:r>
        <w:rPr>
          <w:rFonts w:eastAsia="SimSun"/>
          <w:szCs w:val="22"/>
          <w:lang w:val="ru-RU" w:eastAsia="zh-CN"/>
        </w:rPr>
        <w:t>г</w:t>
      </w:r>
      <w:r w:rsidRPr="00934376">
        <w:rPr>
          <w:rFonts w:eastAsia="SimSun"/>
          <w:szCs w:val="22"/>
          <w:lang w:val="ru-RU" w:eastAsia="zh-CN"/>
        </w:rPr>
        <w:t xml:space="preserve">. </w:t>
      </w:r>
      <w:r>
        <w:rPr>
          <w:rFonts w:eastAsia="SimSun"/>
          <w:szCs w:val="22"/>
          <w:lang w:val="ru-RU" w:eastAsia="zh-CN"/>
        </w:rPr>
        <w:t>ГА</w:t>
      </w:r>
      <w:r w:rsidRPr="00934376">
        <w:rPr>
          <w:rFonts w:eastAsia="SimSun"/>
          <w:szCs w:val="22"/>
          <w:lang w:val="ru-RU" w:eastAsia="zh-CN"/>
        </w:rPr>
        <w:t xml:space="preserve"> </w:t>
      </w:r>
      <w:r>
        <w:rPr>
          <w:rFonts w:eastAsia="SimSun"/>
          <w:szCs w:val="22"/>
          <w:lang w:val="ru-RU" w:eastAsia="zh-CN"/>
        </w:rPr>
        <w:t>рассмотрела</w:t>
      </w:r>
      <w:r w:rsidRPr="00934376">
        <w:rPr>
          <w:rFonts w:eastAsia="SimSun"/>
          <w:szCs w:val="22"/>
          <w:lang w:val="ru-RU" w:eastAsia="zh-CN"/>
        </w:rPr>
        <w:t xml:space="preserve"> </w:t>
      </w:r>
      <w:r>
        <w:rPr>
          <w:rFonts w:eastAsia="SimSun"/>
          <w:szCs w:val="22"/>
          <w:lang w:val="ru-RU" w:eastAsia="zh-CN"/>
        </w:rPr>
        <w:t>второй</w:t>
      </w:r>
      <w:r w:rsidRPr="00934376">
        <w:rPr>
          <w:rFonts w:eastAsia="SimSun"/>
          <w:szCs w:val="22"/>
          <w:lang w:val="ru-RU" w:eastAsia="zh-CN"/>
        </w:rPr>
        <w:t xml:space="preserve"> </w:t>
      </w:r>
      <w:r>
        <w:rPr>
          <w:rFonts w:eastAsia="SimSun"/>
          <w:szCs w:val="22"/>
          <w:lang w:val="ru-RU" w:eastAsia="zh-CN"/>
        </w:rPr>
        <w:t>доклад</w:t>
      </w:r>
      <w:r w:rsidRPr="00934376">
        <w:rPr>
          <w:rFonts w:eastAsia="SimSun"/>
          <w:szCs w:val="22"/>
          <w:lang w:val="ru-RU" w:eastAsia="zh-CN"/>
        </w:rPr>
        <w:t xml:space="preserve"> </w:t>
      </w:r>
      <w:r>
        <w:rPr>
          <w:rFonts w:eastAsia="SimSun"/>
          <w:szCs w:val="22"/>
          <w:lang w:val="ru-RU" w:eastAsia="zh-CN"/>
        </w:rPr>
        <w:t>Генерального секретаря вместе с</w:t>
      </w:r>
      <w:r w:rsidR="00A0050F">
        <w:rPr>
          <w:rFonts w:eastAsia="SimSun"/>
          <w:szCs w:val="22"/>
          <w:lang w:val="ru-RU" w:eastAsia="zh-CN"/>
        </w:rPr>
        <w:t xml:space="preserve"> со</w:t>
      </w:r>
      <w:r>
        <w:rPr>
          <w:rFonts w:eastAsia="SimSun"/>
          <w:szCs w:val="22"/>
          <w:lang w:val="ru-RU" w:eastAsia="zh-CN"/>
        </w:rPr>
        <w:t>о</w:t>
      </w:r>
      <w:r w:rsidR="00A0050F">
        <w:rPr>
          <w:rFonts w:eastAsia="SimSun"/>
          <w:szCs w:val="22"/>
          <w:lang w:val="ru-RU" w:eastAsia="zh-CN"/>
        </w:rPr>
        <w:t xml:space="preserve">тветствующим </w:t>
      </w:r>
      <w:r>
        <w:rPr>
          <w:rFonts w:eastAsia="SimSun"/>
          <w:szCs w:val="22"/>
          <w:lang w:val="ru-RU" w:eastAsia="zh-CN"/>
        </w:rPr>
        <w:t>докладом ККАБВ</w:t>
      </w:r>
      <w:r w:rsidR="00F365CB" w:rsidRPr="00934376">
        <w:rPr>
          <w:rFonts w:eastAsia="SimSun"/>
          <w:szCs w:val="22"/>
          <w:lang w:val="ru-RU" w:eastAsia="zh-CN"/>
        </w:rPr>
        <w:t xml:space="preserve"> (</w:t>
      </w:r>
      <w:r w:rsidR="00F365CB">
        <w:rPr>
          <w:rFonts w:eastAsia="SimSun"/>
          <w:szCs w:val="22"/>
          <w:lang w:eastAsia="zh-CN"/>
        </w:rPr>
        <w:t>A</w:t>
      </w:r>
      <w:r w:rsidR="00F365CB" w:rsidRPr="00934376">
        <w:rPr>
          <w:rFonts w:eastAsia="SimSun"/>
          <w:szCs w:val="22"/>
          <w:lang w:val="ru-RU" w:eastAsia="zh-CN"/>
        </w:rPr>
        <w:t>/71/815)</w:t>
      </w:r>
      <w:r w:rsidR="007461D1" w:rsidRPr="00934376">
        <w:rPr>
          <w:rFonts w:eastAsia="SimSun"/>
          <w:szCs w:val="22"/>
          <w:lang w:val="ru-RU" w:eastAsia="zh-CN"/>
        </w:rPr>
        <w:t xml:space="preserve">. </w:t>
      </w:r>
      <w:r>
        <w:rPr>
          <w:rFonts w:eastAsia="SimSun"/>
          <w:szCs w:val="22"/>
          <w:lang w:val="ru-RU" w:eastAsia="zh-CN"/>
        </w:rPr>
        <w:t xml:space="preserve"> ГА</w:t>
      </w:r>
      <w:r w:rsidRPr="00934376">
        <w:rPr>
          <w:rFonts w:eastAsia="SimSun"/>
          <w:szCs w:val="22"/>
          <w:lang w:val="ru-RU" w:eastAsia="zh-CN"/>
        </w:rPr>
        <w:t xml:space="preserve"> </w:t>
      </w:r>
      <w:r>
        <w:rPr>
          <w:rFonts w:eastAsia="SimSun"/>
          <w:szCs w:val="22"/>
          <w:lang w:val="ru-RU" w:eastAsia="zh-CN"/>
        </w:rPr>
        <w:t>приняла</w:t>
      </w:r>
      <w:r w:rsidRPr="00934376">
        <w:rPr>
          <w:rFonts w:eastAsia="SimSun"/>
          <w:szCs w:val="22"/>
          <w:lang w:val="ru-RU" w:eastAsia="zh-CN"/>
        </w:rPr>
        <w:t xml:space="preserve"> </w:t>
      </w:r>
      <w:r>
        <w:rPr>
          <w:rFonts w:eastAsia="SimSun"/>
          <w:szCs w:val="22"/>
          <w:lang w:val="ru-RU" w:eastAsia="zh-CN"/>
        </w:rPr>
        <w:t>к</w:t>
      </w:r>
      <w:r w:rsidRPr="00934376">
        <w:rPr>
          <w:rFonts w:eastAsia="SimSun"/>
          <w:szCs w:val="22"/>
          <w:lang w:val="ru-RU" w:eastAsia="zh-CN"/>
        </w:rPr>
        <w:t xml:space="preserve"> </w:t>
      </w:r>
      <w:r>
        <w:rPr>
          <w:rFonts w:eastAsia="SimSun"/>
          <w:szCs w:val="22"/>
          <w:lang w:val="ru-RU" w:eastAsia="zh-CN"/>
        </w:rPr>
        <w:t>сведению</w:t>
      </w:r>
      <w:r w:rsidRPr="00934376">
        <w:rPr>
          <w:rFonts w:eastAsia="SimSun"/>
          <w:szCs w:val="22"/>
          <w:lang w:val="ru-RU" w:eastAsia="zh-CN"/>
        </w:rPr>
        <w:t xml:space="preserve"> </w:t>
      </w:r>
      <w:r>
        <w:rPr>
          <w:rFonts w:eastAsia="SimSun"/>
          <w:szCs w:val="22"/>
          <w:lang w:val="ru-RU" w:eastAsia="zh-CN"/>
        </w:rPr>
        <w:t>доклад</w:t>
      </w:r>
      <w:r w:rsidRPr="00934376">
        <w:rPr>
          <w:rFonts w:eastAsia="SimSun"/>
          <w:szCs w:val="22"/>
          <w:lang w:val="ru-RU" w:eastAsia="zh-CN"/>
        </w:rPr>
        <w:t xml:space="preserve"> </w:t>
      </w:r>
      <w:r>
        <w:rPr>
          <w:rFonts w:eastAsia="SimSun"/>
          <w:szCs w:val="22"/>
          <w:lang w:val="ru-RU" w:eastAsia="zh-CN"/>
        </w:rPr>
        <w:t>Генерального</w:t>
      </w:r>
      <w:r w:rsidRPr="00934376">
        <w:rPr>
          <w:rFonts w:eastAsia="SimSun"/>
          <w:szCs w:val="22"/>
          <w:lang w:val="ru-RU" w:eastAsia="zh-CN"/>
        </w:rPr>
        <w:t xml:space="preserve"> </w:t>
      </w:r>
      <w:r>
        <w:rPr>
          <w:rFonts w:eastAsia="SimSun"/>
          <w:szCs w:val="22"/>
          <w:lang w:val="ru-RU" w:eastAsia="zh-CN"/>
        </w:rPr>
        <w:t>секретаря</w:t>
      </w:r>
      <w:r w:rsidRPr="00934376">
        <w:rPr>
          <w:rFonts w:eastAsia="SimSun"/>
          <w:szCs w:val="22"/>
          <w:lang w:val="ru-RU" w:eastAsia="zh-CN"/>
        </w:rPr>
        <w:t xml:space="preserve"> </w:t>
      </w:r>
      <w:r>
        <w:rPr>
          <w:rFonts w:eastAsia="SimSun"/>
          <w:szCs w:val="22"/>
          <w:lang w:val="ru-RU" w:eastAsia="zh-CN"/>
        </w:rPr>
        <w:t>и</w:t>
      </w:r>
      <w:r w:rsidRPr="00934376">
        <w:rPr>
          <w:rFonts w:eastAsia="SimSun"/>
          <w:szCs w:val="22"/>
          <w:lang w:val="ru-RU" w:eastAsia="zh-CN"/>
        </w:rPr>
        <w:t xml:space="preserve"> </w:t>
      </w:r>
      <w:r>
        <w:rPr>
          <w:rFonts w:eastAsia="SimSun"/>
          <w:szCs w:val="22"/>
          <w:lang w:val="ru-RU" w:eastAsia="zh-CN"/>
        </w:rPr>
        <w:t>одобрила выводы и рекомендации, содержащиеся в докладе ККАБВ</w:t>
      </w:r>
      <w:r w:rsidR="007461D1" w:rsidRPr="00934376">
        <w:rPr>
          <w:szCs w:val="22"/>
          <w:lang w:val="ru-RU"/>
        </w:rPr>
        <w:t>.</w:t>
      </w:r>
      <w:r>
        <w:rPr>
          <w:szCs w:val="22"/>
          <w:lang w:val="ru-RU"/>
        </w:rPr>
        <w:t xml:space="preserve"> </w:t>
      </w:r>
      <w:r w:rsidR="007461D1" w:rsidRPr="00934376">
        <w:rPr>
          <w:szCs w:val="22"/>
          <w:lang w:val="ru-RU"/>
        </w:rPr>
        <w:t xml:space="preserve"> </w:t>
      </w:r>
      <w:r w:rsidR="00E13507">
        <w:rPr>
          <w:szCs w:val="22"/>
          <w:lang w:val="ru-RU"/>
        </w:rPr>
        <w:t>Таким</w:t>
      </w:r>
      <w:r w:rsidR="00E13507" w:rsidRPr="00E13507">
        <w:rPr>
          <w:szCs w:val="22"/>
          <w:lang w:val="ru-RU"/>
        </w:rPr>
        <w:t xml:space="preserve"> </w:t>
      </w:r>
      <w:r w:rsidR="00E13507">
        <w:rPr>
          <w:szCs w:val="22"/>
          <w:lang w:val="ru-RU"/>
        </w:rPr>
        <w:t>образом</w:t>
      </w:r>
      <w:r w:rsidR="00E13507" w:rsidRPr="00E13507">
        <w:rPr>
          <w:szCs w:val="22"/>
          <w:lang w:val="ru-RU"/>
        </w:rPr>
        <w:t xml:space="preserve">, </w:t>
      </w:r>
      <w:r w:rsidR="00E13507">
        <w:rPr>
          <w:szCs w:val="22"/>
          <w:lang w:val="ru-RU"/>
        </w:rPr>
        <w:t>Рабочая</w:t>
      </w:r>
      <w:r w:rsidR="00E13507" w:rsidRPr="00E13507">
        <w:rPr>
          <w:szCs w:val="22"/>
          <w:lang w:val="ru-RU"/>
        </w:rPr>
        <w:t xml:space="preserve"> </w:t>
      </w:r>
      <w:r w:rsidR="00E13507">
        <w:rPr>
          <w:szCs w:val="22"/>
          <w:lang w:val="ru-RU"/>
        </w:rPr>
        <w:t>группа</w:t>
      </w:r>
      <w:r w:rsidR="00E13507" w:rsidRPr="00E13507">
        <w:rPr>
          <w:szCs w:val="22"/>
          <w:lang w:val="ru-RU"/>
        </w:rPr>
        <w:t xml:space="preserve"> </w:t>
      </w:r>
      <w:r w:rsidR="00E13507">
        <w:rPr>
          <w:szCs w:val="22"/>
          <w:lang w:val="ru-RU"/>
        </w:rPr>
        <w:t>уполномочена</w:t>
      </w:r>
      <w:r w:rsidR="00E13507" w:rsidRPr="00E13507">
        <w:rPr>
          <w:szCs w:val="22"/>
          <w:lang w:val="ru-RU"/>
        </w:rPr>
        <w:t xml:space="preserve"> </w:t>
      </w:r>
      <w:r w:rsidR="00E13507">
        <w:rPr>
          <w:szCs w:val="22"/>
          <w:lang w:val="ru-RU"/>
        </w:rPr>
        <w:t>продолжать</w:t>
      </w:r>
      <w:r w:rsidR="00E13507" w:rsidRPr="00E13507">
        <w:rPr>
          <w:szCs w:val="22"/>
          <w:lang w:val="ru-RU"/>
        </w:rPr>
        <w:t xml:space="preserve"> </w:t>
      </w:r>
      <w:r w:rsidR="00E13507">
        <w:rPr>
          <w:szCs w:val="22"/>
          <w:lang w:val="ru-RU"/>
        </w:rPr>
        <w:t>работу</w:t>
      </w:r>
      <w:r w:rsidR="00E13507" w:rsidRPr="00E13507">
        <w:rPr>
          <w:szCs w:val="22"/>
          <w:lang w:val="ru-RU"/>
        </w:rPr>
        <w:t xml:space="preserve"> </w:t>
      </w:r>
      <w:r w:rsidR="00E13507">
        <w:rPr>
          <w:szCs w:val="22"/>
          <w:lang w:val="ru-RU"/>
        </w:rPr>
        <w:t>в</w:t>
      </w:r>
      <w:r w:rsidR="00E13507" w:rsidRPr="00E13507">
        <w:rPr>
          <w:szCs w:val="22"/>
          <w:lang w:val="ru-RU"/>
        </w:rPr>
        <w:t xml:space="preserve"> </w:t>
      </w:r>
      <w:r w:rsidR="00E13507">
        <w:rPr>
          <w:szCs w:val="22"/>
          <w:lang w:val="ru-RU"/>
        </w:rPr>
        <w:t>течение</w:t>
      </w:r>
      <w:r w:rsidR="00E13507" w:rsidRPr="00E13507">
        <w:rPr>
          <w:szCs w:val="22"/>
          <w:lang w:val="ru-RU"/>
        </w:rPr>
        <w:t xml:space="preserve"> </w:t>
      </w:r>
      <w:r w:rsidR="00E13507">
        <w:rPr>
          <w:szCs w:val="22"/>
          <w:lang w:val="ru-RU"/>
        </w:rPr>
        <w:t>оставшейся</w:t>
      </w:r>
      <w:r w:rsidR="00E13507" w:rsidRPr="00E13507">
        <w:rPr>
          <w:szCs w:val="22"/>
          <w:lang w:val="ru-RU"/>
        </w:rPr>
        <w:t xml:space="preserve"> </w:t>
      </w:r>
      <w:r w:rsidR="00E13507">
        <w:rPr>
          <w:szCs w:val="22"/>
          <w:lang w:val="ru-RU"/>
        </w:rPr>
        <w:t>части</w:t>
      </w:r>
      <w:r w:rsidR="00E13507" w:rsidRPr="00E13507">
        <w:rPr>
          <w:szCs w:val="22"/>
          <w:lang w:val="ru-RU"/>
        </w:rPr>
        <w:t xml:space="preserve"> 2017</w:t>
      </w:r>
      <w:r w:rsidR="00E13507" w:rsidRPr="00E13507">
        <w:rPr>
          <w:szCs w:val="22"/>
        </w:rPr>
        <w:t> </w:t>
      </w:r>
      <w:r w:rsidR="00E13507">
        <w:rPr>
          <w:szCs w:val="22"/>
          <w:lang w:val="ru-RU"/>
        </w:rPr>
        <w:t>г</w:t>
      </w:r>
      <w:r w:rsidR="00E13507" w:rsidRPr="00E13507">
        <w:rPr>
          <w:szCs w:val="22"/>
          <w:lang w:val="ru-RU"/>
        </w:rPr>
        <w:t xml:space="preserve">. </w:t>
      </w:r>
      <w:r w:rsidR="00E13507">
        <w:rPr>
          <w:szCs w:val="22"/>
          <w:lang w:val="ru-RU"/>
        </w:rPr>
        <w:t>и</w:t>
      </w:r>
      <w:r w:rsidR="00E13507" w:rsidRPr="00E13507">
        <w:rPr>
          <w:szCs w:val="22"/>
          <w:lang w:val="ru-RU"/>
        </w:rPr>
        <w:t xml:space="preserve"> </w:t>
      </w:r>
      <w:r w:rsidR="00E13507">
        <w:rPr>
          <w:szCs w:val="22"/>
          <w:lang w:val="ru-RU"/>
        </w:rPr>
        <w:t>в</w:t>
      </w:r>
      <w:r w:rsidR="00E13507" w:rsidRPr="00E13507">
        <w:rPr>
          <w:szCs w:val="22"/>
          <w:lang w:val="ru-RU"/>
        </w:rPr>
        <w:t xml:space="preserve"> 2018</w:t>
      </w:r>
      <w:r w:rsidR="00E13507" w:rsidRPr="00E13507">
        <w:rPr>
          <w:szCs w:val="22"/>
        </w:rPr>
        <w:t> </w:t>
      </w:r>
      <w:r w:rsidR="00E13507">
        <w:rPr>
          <w:szCs w:val="22"/>
          <w:lang w:val="ru-RU"/>
        </w:rPr>
        <w:t>г</w:t>
      </w:r>
      <w:r w:rsidR="00E13507" w:rsidRPr="00E13507">
        <w:rPr>
          <w:szCs w:val="22"/>
          <w:lang w:val="ru-RU"/>
        </w:rPr>
        <w:t>.</w:t>
      </w:r>
      <w:r w:rsidR="00E13507">
        <w:rPr>
          <w:szCs w:val="22"/>
          <w:lang w:val="ru-RU"/>
        </w:rPr>
        <w:t xml:space="preserve"> после чего Генеральный секретарь представит ГА доклад на </w:t>
      </w:r>
      <w:r w:rsidR="00A0050F">
        <w:rPr>
          <w:szCs w:val="22"/>
          <w:lang w:val="ru-RU"/>
        </w:rPr>
        <w:t xml:space="preserve">ее </w:t>
      </w:r>
      <w:r w:rsidR="00E13507">
        <w:rPr>
          <w:szCs w:val="22"/>
          <w:lang w:val="ru-RU"/>
        </w:rPr>
        <w:t>семьдесят третьей сессии.</w:t>
      </w:r>
    </w:p>
    <w:p w:rsidR="003048D6" w:rsidRPr="00DF3605" w:rsidRDefault="00A75A94">
      <w:pPr>
        <w:numPr>
          <w:ilvl w:val="0"/>
          <w:numId w:val="8"/>
        </w:numPr>
        <w:spacing w:after="220"/>
        <w:rPr>
          <w:rFonts w:eastAsia="SimSun"/>
          <w:szCs w:val="22"/>
          <w:lang w:val="ru-RU" w:eastAsia="zh-CN"/>
        </w:rPr>
      </w:pPr>
      <w:r>
        <w:rPr>
          <w:rFonts w:eastAsia="SimSun"/>
          <w:szCs w:val="22"/>
          <w:lang w:val="ru-RU" w:eastAsia="zh-CN"/>
        </w:rPr>
        <w:t>Рабочая</w:t>
      </w:r>
      <w:r w:rsidRPr="00DF3605">
        <w:rPr>
          <w:rFonts w:eastAsia="SimSun"/>
          <w:szCs w:val="22"/>
          <w:lang w:val="ru-RU" w:eastAsia="zh-CN"/>
        </w:rPr>
        <w:t xml:space="preserve"> </w:t>
      </w:r>
      <w:r>
        <w:rPr>
          <w:rFonts w:eastAsia="SimSun"/>
          <w:szCs w:val="22"/>
          <w:lang w:val="ru-RU" w:eastAsia="zh-CN"/>
        </w:rPr>
        <w:t>группа</w:t>
      </w:r>
      <w:r w:rsidR="00A0050F">
        <w:rPr>
          <w:rFonts w:eastAsia="SimSun"/>
          <w:szCs w:val="22"/>
          <w:lang w:val="ru-RU" w:eastAsia="zh-CN"/>
        </w:rPr>
        <w:t xml:space="preserve"> составила </w:t>
      </w:r>
      <w:r>
        <w:rPr>
          <w:rFonts w:eastAsia="SimSun"/>
          <w:szCs w:val="22"/>
          <w:lang w:val="ru-RU" w:eastAsia="zh-CN"/>
        </w:rPr>
        <w:t>предварительный</w:t>
      </w:r>
      <w:r w:rsidRPr="00DF3605">
        <w:rPr>
          <w:rFonts w:eastAsia="SimSun"/>
          <w:szCs w:val="22"/>
          <w:lang w:val="ru-RU" w:eastAsia="zh-CN"/>
        </w:rPr>
        <w:t xml:space="preserve"> </w:t>
      </w:r>
      <w:r>
        <w:rPr>
          <w:rFonts w:eastAsia="SimSun"/>
          <w:szCs w:val="22"/>
          <w:lang w:val="ru-RU" w:eastAsia="zh-CN"/>
        </w:rPr>
        <w:t>план</w:t>
      </w:r>
      <w:r w:rsidRPr="00DF3605">
        <w:rPr>
          <w:rFonts w:eastAsia="SimSun"/>
          <w:szCs w:val="22"/>
          <w:lang w:val="ru-RU" w:eastAsia="zh-CN"/>
        </w:rPr>
        <w:t xml:space="preserve"> </w:t>
      </w:r>
      <w:r>
        <w:rPr>
          <w:rFonts w:eastAsia="SimSun"/>
          <w:szCs w:val="22"/>
          <w:lang w:val="ru-RU" w:eastAsia="zh-CN"/>
        </w:rPr>
        <w:t>работы</w:t>
      </w:r>
      <w:r w:rsidRPr="00DF3605">
        <w:rPr>
          <w:rFonts w:eastAsia="SimSun"/>
          <w:szCs w:val="22"/>
          <w:lang w:val="ru-RU" w:eastAsia="zh-CN"/>
        </w:rPr>
        <w:t xml:space="preserve"> </w:t>
      </w:r>
      <w:r>
        <w:rPr>
          <w:rFonts w:eastAsia="SimSun"/>
          <w:szCs w:val="22"/>
          <w:lang w:val="ru-RU" w:eastAsia="zh-CN"/>
        </w:rPr>
        <w:t>на</w:t>
      </w:r>
      <w:r w:rsidRPr="00DF3605">
        <w:rPr>
          <w:rFonts w:eastAsia="SimSun"/>
          <w:szCs w:val="22"/>
          <w:lang w:val="ru-RU" w:eastAsia="zh-CN"/>
        </w:rPr>
        <w:t xml:space="preserve"> </w:t>
      </w:r>
      <w:r>
        <w:rPr>
          <w:rFonts w:eastAsia="SimSun"/>
          <w:szCs w:val="22"/>
          <w:lang w:val="ru-RU" w:eastAsia="zh-CN"/>
        </w:rPr>
        <w:t>оставшийся</w:t>
      </w:r>
      <w:r w:rsidRPr="00DF3605">
        <w:rPr>
          <w:rFonts w:eastAsia="SimSun"/>
          <w:szCs w:val="22"/>
          <w:lang w:val="ru-RU" w:eastAsia="zh-CN"/>
        </w:rPr>
        <w:t xml:space="preserve"> </w:t>
      </w:r>
      <w:r>
        <w:rPr>
          <w:rFonts w:eastAsia="SimSun"/>
          <w:szCs w:val="22"/>
          <w:lang w:val="ru-RU" w:eastAsia="zh-CN"/>
        </w:rPr>
        <w:t>срок</w:t>
      </w:r>
      <w:r w:rsidRPr="00DF3605">
        <w:rPr>
          <w:rFonts w:eastAsia="SimSun"/>
          <w:szCs w:val="22"/>
          <w:lang w:val="ru-RU" w:eastAsia="zh-CN"/>
        </w:rPr>
        <w:t xml:space="preserve"> </w:t>
      </w:r>
      <w:r>
        <w:rPr>
          <w:rFonts w:eastAsia="SimSun"/>
          <w:szCs w:val="22"/>
          <w:lang w:val="ru-RU" w:eastAsia="zh-CN"/>
        </w:rPr>
        <w:t>действия</w:t>
      </w:r>
      <w:r w:rsidRPr="00DF3605">
        <w:rPr>
          <w:rFonts w:eastAsia="SimSun"/>
          <w:szCs w:val="22"/>
          <w:lang w:val="ru-RU" w:eastAsia="zh-CN"/>
        </w:rPr>
        <w:t xml:space="preserve"> </w:t>
      </w:r>
      <w:r>
        <w:rPr>
          <w:rFonts w:eastAsia="SimSun"/>
          <w:szCs w:val="22"/>
          <w:lang w:val="ru-RU" w:eastAsia="zh-CN"/>
        </w:rPr>
        <w:t>своего</w:t>
      </w:r>
      <w:r w:rsidRPr="00DF3605">
        <w:rPr>
          <w:rFonts w:eastAsia="SimSun"/>
          <w:szCs w:val="22"/>
          <w:lang w:val="ru-RU" w:eastAsia="zh-CN"/>
        </w:rPr>
        <w:t xml:space="preserve"> </w:t>
      </w:r>
      <w:r>
        <w:rPr>
          <w:rFonts w:eastAsia="SimSun"/>
          <w:szCs w:val="22"/>
          <w:lang w:val="ru-RU" w:eastAsia="zh-CN"/>
        </w:rPr>
        <w:t>мандата</w:t>
      </w:r>
      <w:r w:rsidRPr="00DF3605">
        <w:rPr>
          <w:rFonts w:eastAsia="SimSun"/>
          <w:szCs w:val="22"/>
          <w:lang w:val="ru-RU" w:eastAsia="zh-CN"/>
        </w:rPr>
        <w:t xml:space="preserve"> </w:t>
      </w:r>
      <w:r>
        <w:rPr>
          <w:rFonts w:eastAsia="SimSun"/>
          <w:szCs w:val="22"/>
          <w:lang w:val="ru-RU" w:eastAsia="zh-CN"/>
        </w:rPr>
        <w:t>до</w:t>
      </w:r>
      <w:r w:rsidR="00467E0E" w:rsidRPr="00DF3605">
        <w:rPr>
          <w:rFonts w:eastAsia="SimSun"/>
          <w:szCs w:val="22"/>
          <w:lang w:val="ru-RU" w:eastAsia="zh-CN"/>
        </w:rPr>
        <w:t xml:space="preserve"> 2018</w:t>
      </w:r>
      <w:r w:rsidRPr="00A75A94">
        <w:rPr>
          <w:rFonts w:eastAsia="SimSun"/>
          <w:szCs w:val="22"/>
          <w:lang w:eastAsia="zh-CN"/>
        </w:rPr>
        <w:t> </w:t>
      </w:r>
      <w:r>
        <w:rPr>
          <w:rFonts w:eastAsia="SimSun"/>
          <w:szCs w:val="22"/>
          <w:lang w:val="ru-RU" w:eastAsia="zh-CN"/>
        </w:rPr>
        <w:t>г</w:t>
      </w:r>
      <w:r w:rsidR="007461D1" w:rsidRPr="00DF3605">
        <w:rPr>
          <w:rFonts w:eastAsia="SimSun"/>
          <w:szCs w:val="22"/>
          <w:lang w:val="ru-RU" w:eastAsia="zh-CN"/>
        </w:rPr>
        <w:t xml:space="preserve">. </w:t>
      </w:r>
      <w:r w:rsidR="00DF3605">
        <w:rPr>
          <w:rFonts w:eastAsia="SimSun"/>
          <w:szCs w:val="22"/>
          <w:lang w:val="ru-RU" w:eastAsia="zh-CN"/>
        </w:rPr>
        <w:t xml:space="preserve"> </w:t>
      </w:r>
      <w:r w:rsidR="00A0050F">
        <w:rPr>
          <w:rFonts w:eastAsia="SimSun"/>
          <w:szCs w:val="22"/>
          <w:lang w:val="ru-RU" w:eastAsia="zh-CN"/>
        </w:rPr>
        <w:t xml:space="preserve">Основное внимание </w:t>
      </w:r>
      <w:r w:rsidR="00DF3605">
        <w:rPr>
          <w:rFonts w:eastAsia="SimSun"/>
          <w:szCs w:val="22"/>
          <w:lang w:val="ru-RU" w:eastAsia="zh-CN"/>
        </w:rPr>
        <w:t>Рабоч</w:t>
      </w:r>
      <w:r w:rsidR="00A0050F">
        <w:rPr>
          <w:rFonts w:eastAsia="SimSun"/>
          <w:szCs w:val="22"/>
          <w:lang w:val="ru-RU" w:eastAsia="zh-CN"/>
        </w:rPr>
        <w:t>ей</w:t>
      </w:r>
      <w:r w:rsidR="00DF3605" w:rsidRPr="00DF3605">
        <w:rPr>
          <w:rFonts w:eastAsia="SimSun"/>
          <w:szCs w:val="22"/>
          <w:lang w:val="ru-RU" w:eastAsia="zh-CN"/>
        </w:rPr>
        <w:t xml:space="preserve"> </w:t>
      </w:r>
      <w:r w:rsidR="00DF3605">
        <w:rPr>
          <w:rFonts w:eastAsia="SimSun"/>
          <w:szCs w:val="22"/>
          <w:lang w:val="ru-RU" w:eastAsia="zh-CN"/>
        </w:rPr>
        <w:t>групп</w:t>
      </w:r>
      <w:r w:rsidR="00A0050F">
        <w:rPr>
          <w:rFonts w:eastAsia="SimSun"/>
          <w:szCs w:val="22"/>
          <w:lang w:val="ru-RU" w:eastAsia="zh-CN"/>
        </w:rPr>
        <w:t>ы будет</w:t>
      </w:r>
      <w:r w:rsidR="00DF3605" w:rsidRPr="00DF3605">
        <w:rPr>
          <w:rFonts w:eastAsia="SimSun"/>
          <w:szCs w:val="22"/>
          <w:lang w:val="ru-RU" w:eastAsia="zh-CN"/>
        </w:rPr>
        <w:t xml:space="preserve"> </w:t>
      </w:r>
      <w:r w:rsidR="00DF3605">
        <w:rPr>
          <w:rFonts w:eastAsia="SimSun"/>
          <w:szCs w:val="22"/>
          <w:lang w:val="ru-RU" w:eastAsia="zh-CN"/>
        </w:rPr>
        <w:t>сосредоточ</w:t>
      </w:r>
      <w:r w:rsidR="00A0050F">
        <w:rPr>
          <w:rFonts w:eastAsia="SimSun"/>
          <w:szCs w:val="22"/>
          <w:lang w:val="ru-RU" w:eastAsia="zh-CN"/>
        </w:rPr>
        <w:t xml:space="preserve">ено </w:t>
      </w:r>
      <w:r w:rsidR="00DF3605">
        <w:rPr>
          <w:rFonts w:eastAsia="SimSun"/>
          <w:szCs w:val="22"/>
          <w:lang w:val="ru-RU" w:eastAsia="zh-CN"/>
        </w:rPr>
        <w:t>на</w:t>
      </w:r>
      <w:r w:rsidR="00DF3605" w:rsidRPr="00DF3605">
        <w:rPr>
          <w:rFonts w:eastAsia="SimSun"/>
          <w:szCs w:val="22"/>
          <w:lang w:val="ru-RU" w:eastAsia="zh-CN"/>
        </w:rPr>
        <w:t xml:space="preserve"> </w:t>
      </w:r>
      <w:r w:rsidR="00DF3605">
        <w:rPr>
          <w:rFonts w:eastAsia="SimSun"/>
          <w:szCs w:val="22"/>
          <w:lang w:val="ru-RU" w:eastAsia="zh-CN"/>
        </w:rPr>
        <w:t>следующих</w:t>
      </w:r>
      <w:r w:rsidR="00DF3605" w:rsidRPr="00DF3605">
        <w:rPr>
          <w:rFonts w:eastAsia="SimSun"/>
          <w:szCs w:val="22"/>
          <w:lang w:val="ru-RU" w:eastAsia="zh-CN"/>
        </w:rPr>
        <w:t xml:space="preserve"> </w:t>
      </w:r>
      <w:r w:rsidR="00DF3605">
        <w:rPr>
          <w:rFonts w:eastAsia="SimSun"/>
          <w:szCs w:val="22"/>
          <w:lang w:val="ru-RU" w:eastAsia="zh-CN"/>
        </w:rPr>
        <w:t>вопросах</w:t>
      </w:r>
      <w:r w:rsidR="009056FC" w:rsidRPr="00DF3605">
        <w:rPr>
          <w:rFonts w:eastAsia="SimSun"/>
          <w:szCs w:val="22"/>
          <w:lang w:val="ru-RU" w:eastAsia="zh-CN"/>
        </w:rPr>
        <w:t xml:space="preserve">: </w:t>
      </w:r>
      <w:r w:rsidR="007461D1" w:rsidRPr="00DF3605">
        <w:rPr>
          <w:rFonts w:eastAsia="SimSun"/>
          <w:szCs w:val="22"/>
          <w:lang w:val="ru-RU" w:eastAsia="zh-CN"/>
        </w:rPr>
        <w:t xml:space="preserve"> </w:t>
      </w:r>
      <w:r w:rsidR="00A0050F">
        <w:rPr>
          <w:rFonts w:eastAsia="SimSun"/>
          <w:szCs w:val="22"/>
          <w:lang w:val="ru-RU" w:eastAsia="zh-CN"/>
        </w:rPr>
        <w:t xml:space="preserve">продолжение </w:t>
      </w:r>
      <w:r w:rsidR="00DF3605">
        <w:rPr>
          <w:rFonts w:eastAsia="SimSun"/>
          <w:szCs w:val="22"/>
          <w:lang w:val="ru-RU" w:eastAsia="zh-CN"/>
        </w:rPr>
        <w:t>переговоров</w:t>
      </w:r>
      <w:r w:rsidR="00DF3605" w:rsidRPr="00DF3605">
        <w:rPr>
          <w:rFonts w:eastAsia="SimSun"/>
          <w:szCs w:val="22"/>
          <w:lang w:val="ru-RU" w:eastAsia="zh-CN"/>
        </w:rPr>
        <w:t xml:space="preserve"> </w:t>
      </w:r>
      <w:r w:rsidR="00DF3605">
        <w:rPr>
          <w:rFonts w:eastAsia="SimSun"/>
          <w:szCs w:val="22"/>
          <w:lang w:val="ru-RU" w:eastAsia="zh-CN"/>
        </w:rPr>
        <w:t>с</w:t>
      </w:r>
      <w:r w:rsidR="00DF3605" w:rsidRPr="00DF3605">
        <w:rPr>
          <w:rFonts w:eastAsia="SimSun"/>
          <w:szCs w:val="22"/>
          <w:lang w:val="ru-RU" w:eastAsia="zh-CN"/>
        </w:rPr>
        <w:t xml:space="preserve"> </w:t>
      </w:r>
      <w:r w:rsidR="00DF3605">
        <w:rPr>
          <w:rFonts w:eastAsia="SimSun"/>
          <w:szCs w:val="22"/>
          <w:lang w:val="ru-RU" w:eastAsia="zh-CN"/>
        </w:rPr>
        <w:t>внешними</w:t>
      </w:r>
      <w:r w:rsidR="00DF3605" w:rsidRPr="00DF3605">
        <w:rPr>
          <w:rFonts w:eastAsia="SimSun"/>
          <w:szCs w:val="22"/>
          <w:lang w:val="ru-RU" w:eastAsia="zh-CN"/>
        </w:rPr>
        <w:t xml:space="preserve"> </w:t>
      </w:r>
      <w:r w:rsidR="00DF3605">
        <w:rPr>
          <w:rFonts w:eastAsia="SimSun"/>
          <w:szCs w:val="22"/>
          <w:lang w:val="ru-RU" w:eastAsia="zh-CN"/>
        </w:rPr>
        <w:t>администраторами</w:t>
      </w:r>
      <w:r w:rsidR="00DF3605" w:rsidRPr="00DF3605">
        <w:rPr>
          <w:rFonts w:eastAsia="SimSun"/>
          <w:szCs w:val="22"/>
          <w:lang w:val="ru-RU" w:eastAsia="zh-CN"/>
        </w:rPr>
        <w:t xml:space="preserve"> </w:t>
      </w:r>
      <w:r w:rsidR="00DF3605">
        <w:rPr>
          <w:rFonts w:eastAsia="SimSun"/>
          <w:szCs w:val="22"/>
          <w:lang w:val="ru-RU" w:eastAsia="zh-CN"/>
        </w:rPr>
        <w:t>на</w:t>
      </w:r>
      <w:r w:rsidR="00DF3605" w:rsidRPr="00DF3605">
        <w:rPr>
          <w:rFonts w:eastAsia="SimSun"/>
          <w:szCs w:val="22"/>
          <w:lang w:val="ru-RU" w:eastAsia="zh-CN"/>
        </w:rPr>
        <w:t xml:space="preserve"> </w:t>
      </w:r>
      <w:r w:rsidR="00DF3605">
        <w:rPr>
          <w:rFonts w:eastAsia="SimSun"/>
          <w:szCs w:val="22"/>
          <w:lang w:val="ru-RU" w:eastAsia="zh-CN"/>
        </w:rPr>
        <w:t>коллективной</w:t>
      </w:r>
      <w:r w:rsidR="00DF3605" w:rsidRPr="00DF3605">
        <w:rPr>
          <w:rFonts w:eastAsia="SimSun"/>
          <w:szCs w:val="22"/>
          <w:lang w:val="ru-RU" w:eastAsia="zh-CN"/>
        </w:rPr>
        <w:t xml:space="preserve"> </w:t>
      </w:r>
      <w:r w:rsidR="00DF3605">
        <w:rPr>
          <w:rFonts w:eastAsia="SimSun"/>
          <w:szCs w:val="22"/>
          <w:lang w:val="ru-RU" w:eastAsia="zh-CN"/>
        </w:rPr>
        <w:t>основе</w:t>
      </w:r>
      <w:r w:rsidR="009056FC" w:rsidRPr="00DF3605">
        <w:rPr>
          <w:rFonts w:eastAsia="SimSun"/>
          <w:szCs w:val="22"/>
          <w:lang w:val="ru-RU" w:eastAsia="zh-CN"/>
        </w:rPr>
        <w:t>;</w:t>
      </w:r>
      <w:r w:rsidR="007313F4" w:rsidRPr="00DF3605">
        <w:rPr>
          <w:rFonts w:eastAsia="SimSun"/>
          <w:szCs w:val="22"/>
          <w:lang w:val="ru-RU" w:eastAsia="zh-CN"/>
        </w:rPr>
        <w:t xml:space="preserve"> </w:t>
      </w:r>
      <w:r w:rsidR="00DF3605">
        <w:rPr>
          <w:rFonts w:eastAsia="SimSun"/>
          <w:szCs w:val="22"/>
          <w:lang w:val="ru-RU" w:eastAsia="zh-CN"/>
        </w:rPr>
        <w:t xml:space="preserve"> завершение сбора и анализа информации о доступе к национальным планам медицинского страхования государств-членов</w:t>
      </w:r>
      <w:r w:rsidR="009056FC" w:rsidRPr="00DF3605">
        <w:rPr>
          <w:rFonts w:eastAsia="SimSun"/>
          <w:szCs w:val="22"/>
          <w:lang w:val="ru-RU" w:eastAsia="zh-CN"/>
        </w:rPr>
        <w:t>;</w:t>
      </w:r>
      <w:r w:rsidR="007313F4" w:rsidRPr="00DF3605">
        <w:rPr>
          <w:rFonts w:eastAsia="SimSun"/>
          <w:szCs w:val="22"/>
          <w:lang w:val="ru-RU" w:eastAsia="zh-CN"/>
        </w:rPr>
        <w:t xml:space="preserve"> </w:t>
      </w:r>
      <w:r w:rsidR="00DF3605">
        <w:rPr>
          <w:rFonts w:eastAsia="SimSun"/>
          <w:szCs w:val="22"/>
          <w:lang w:val="ru-RU" w:eastAsia="zh-CN"/>
        </w:rPr>
        <w:t xml:space="preserve"> </w:t>
      </w:r>
      <w:r w:rsidR="00A6775C">
        <w:rPr>
          <w:rFonts w:eastAsia="SimSun"/>
          <w:szCs w:val="22"/>
          <w:lang w:val="ru-RU" w:eastAsia="zh-CN"/>
        </w:rPr>
        <w:t>п</w:t>
      </w:r>
      <w:r w:rsidR="00A0050F">
        <w:rPr>
          <w:rFonts w:eastAsia="SimSun"/>
          <w:szCs w:val="22"/>
          <w:lang w:val="ru-RU" w:eastAsia="zh-CN"/>
        </w:rPr>
        <w:t xml:space="preserve">овторное рассмотрение </w:t>
      </w:r>
      <w:r w:rsidR="00A6775C">
        <w:rPr>
          <w:rFonts w:eastAsia="SimSun"/>
          <w:szCs w:val="22"/>
          <w:lang w:val="ru-RU" w:eastAsia="zh-CN"/>
        </w:rPr>
        <w:t>структуры планов и правил участия</w:t>
      </w:r>
      <w:r w:rsidR="009056FC" w:rsidRPr="00DF3605">
        <w:rPr>
          <w:rFonts w:eastAsia="SimSun"/>
          <w:szCs w:val="22"/>
          <w:lang w:val="ru-RU" w:eastAsia="zh-CN"/>
        </w:rPr>
        <w:t>;</w:t>
      </w:r>
      <w:r w:rsidR="007313F4" w:rsidRPr="00DF3605">
        <w:rPr>
          <w:rFonts w:eastAsia="SimSun"/>
          <w:szCs w:val="22"/>
          <w:lang w:val="ru-RU" w:eastAsia="zh-CN"/>
        </w:rPr>
        <w:t xml:space="preserve"> </w:t>
      </w:r>
      <w:r w:rsidR="00A6775C">
        <w:rPr>
          <w:rFonts w:eastAsia="SimSun"/>
          <w:szCs w:val="22"/>
          <w:lang w:val="ru-RU" w:eastAsia="zh-CN"/>
        </w:rPr>
        <w:t xml:space="preserve"> и изучение </w:t>
      </w:r>
      <w:r w:rsidR="00A0050F">
        <w:rPr>
          <w:rFonts w:eastAsia="SimSun"/>
          <w:szCs w:val="22"/>
          <w:lang w:val="ru-RU" w:eastAsia="zh-CN"/>
        </w:rPr>
        <w:t xml:space="preserve">вариантов </w:t>
      </w:r>
      <w:r w:rsidR="00A6775C">
        <w:rPr>
          <w:rFonts w:eastAsia="SimSun"/>
          <w:szCs w:val="22"/>
          <w:lang w:val="ru-RU" w:eastAsia="zh-CN"/>
        </w:rPr>
        <w:t>достижения критического масштаба</w:t>
      </w:r>
      <w:r w:rsidR="007313F4" w:rsidRPr="00DF3605">
        <w:rPr>
          <w:rFonts w:eastAsia="SimSun"/>
          <w:szCs w:val="22"/>
          <w:lang w:val="ru-RU" w:eastAsia="zh-CN"/>
        </w:rPr>
        <w:t>.</w:t>
      </w:r>
    </w:p>
    <w:p w:rsidR="003048D6" w:rsidRPr="00BA4D12" w:rsidRDefault="006F570D" w:rsidP="00550866">
      <w:pPr>
        <w:spacing w:after="220"/>
        <w:rPr>
          <w:rFonts w:eastAsia="SimSun"/>
          <w:szCs w:val="22"/>
          <w:lang w:val="ru-RU" w:eastAsia="zh-CN"/>
        </w:rPr>
      </w:pPr>
      <w:r>
        <w:rPr>
          <w:rFonts w:eastAsia="SimSun"/>
          <w:szCs w:val="22"/>
          <w:u w:val="single"/>
          <w:lang w:val="ru-RU" w:eastAsia="zh-CN"/>
        </w:rPr>
        <w:t>Дальнейшие шаги</w:t>
      </w:r>
    </w:p>
    <w:p w:rsidR="003C20F4" w:rsidRDefault="00BA4D12" w:rsidP="008F75D0">
      <w:pPr>
        <w:numPr>
          <w:ilvl w:val="0"/>
          <w:numId w:val="8"/>
        </w:numPr>
        <w:spacing w:after="220"/>
        <w:rPr>
          <w:rFonts w:eastAsia="SimSun"/>
          <w:szCs w:val="22"/>
          <w:lang w:val="ru-RU" w:eastAsia="zh-CN"/>
        </w:rPr>
      </w:pPr>
      <w:r>
        <w:rPr>
          <w:rFonts w:eastAsia="SimSun"/>
          <w:szCs w:val="22"/>
          <w:lang w:val="ru-RU" w:eastAsia="zh-CN"/>
        </w:rPr>
        <w:t>В</w:t>
      </w:r>
      <w:r w:rsidR="006078CA">
        <w:rPr>
          <w:rFonts w:eastAsia="SimSun"/>
          <w:szCs w:val="22"/>
          <w:lang w:val="ru-RU" w:eastAsia="zh-CN"/>
        </w:rPr>
        <w:t xml:space="preserve">ОИС сохраняет приверженность неизменным усилиям Рабочей группы и будет и далее активно участвовать в ее работе до окончания </w:t>
      </w:r>
      <w:r w:rsidR="007400C8">
        <w:rPr>
          <w:rFonts w:eastAsia="SimSun"/>
          <w:szCs w:val="22"/>
          <w:lang w:val="ru-RU" w:eastAsia="zh-CN"/>
        </w:rPr>
        <w:t xml:space="preserve">срока </w:t>
      </w:r>
      <w:r w:rsidR="006078CA">
        <w:rPr>
          <w:rFonts w:eastAsia="SimSun"/>
          <w:szCs w:val="22"/>
          <w:lang w:val="ru-RU" w:eastAsia="zh-CN"/>
        </w:rPr>
        <w:t xml:space="preserve">действия мандата этого органа в 2018 г. </w:t>
      </w:r>
      <w:r w:rsidRPr="0002072F">
        <w:rPr>
          <w:rFonts w:eastAsia="SimSun"/>
          <w:szCs w:val="22"/>
          <w:lang w:val="ru-RU" w:eastAsia="zh-CN"/>
        </w:rPr>
        <w:t xml:space="preserve"> </w:t>
      </w:r>
      <w:r w:rsidR="006078CA">
        <w:rPr>
          <w:rFonts w:eastAsia="SimSun"/>
          <w:szCs w:val="22"/>
          <w:lang w:val="ru-RU" w:eastAsia="zh-CN"/>
        </w:rPr>
        <w:t xml:space="preserve">Рабочая группа уже добилась значительных результатов с точки зрения сбора и анализа данных и изучения вариантов </w:t>
      </w:r>
      <w:r w:rsidR="003C20F4">
        <w:rPr>
          <w:rFonts w:eastAsia="SimSun"/>
          <w:szCs w:val="22"/>
          <w:lang w:val="ru-RU" w:eastAsia="zh-CN"/>
        </w:rPr>
        <w:t>снижения расходов, связанных с МСПС.</w:t>
      </w:r>
    </w:p>
    <w:p w:rsidR="00DE7CE5" w:rsidRDefault="00F438E0" w:rsidP="00DE7CE5">
      <w:pPr>
        <w:numPr>
          <w:ilvl w:val="0"/>
          <w:numId w:val="8"/>
        </w:numPr>
        <w:spacing w:after="220"/>
        <w:rPr>
          <w:rFonts w:eastAsia="SimSun"/>
          <w:szCs w:val="22"/>
          <w:lang w:val="ru-RU" w:eastAsia="zh-CN"/>
        </w:rPr>
      </w:pPr>
      <w:r>
        <w:rPr>
          <w:rFonts w:eastAsia="SimSun"/>
          <w:szCs w:val="22"/>
          <w:lang w:val="ru-RU" w:eastAsia="zh-CN"/>
        </w:rPr>
        <w:t>Ожидается, что</w:t>
      </w:r>
      <w:r w:rsidR="003C20F4">
        <w:rPr>
          <w:rFonts w:eastAsia="SimSun"/>
          <w:szCs w:val="22"/>
          <w:lang w:val="ru-RU" w:eastAsia="zh-CN"/>
        </w:rPr>
        <w:t xml:space="preserve"> вопросы, определенные для проработки в течение оставшегося срока действия мандата Рабочей группы, позволят сформулировать новые конкретные предложения по </w:t>
      </w:r>
      <w:r w:rsidR="00DE7CE5">
        <w:rPr>
          <w:rFonts w:eastAsia="SimSun"/>
          <w:szCs w:val="22"/>
          <w:lang w:val="ru-RU" w:eastAsia="zh-CN"/>
        </w:rPr>
        <w:t>ограничению расходов</w:t>
      </w:r>
      <w:r w:rsidR="003C20F4">
        <w:rPr>
          <w:rFonts w:eastAsia="SimSun"/>
          <w:szCs w:val="22"/>
          <w:lang w:val="ru-RU" w:eastAsia="zh-CN"/>
        </w:rPr>
        <w:t xml:space="preserve"> </w:t>
      </w:r>
      <w:r w:rsidR="00DE7CE5">
        <w:rPr>
          <w:rFonts w:eastAsia="SimSun"/>
          <w:szCs w:val="22"/>
          <w:lang w:val="ru-RU" w:eastAsia="zh-CN"/>
        </w:rPr>
        <w:t xml:space="preserve">на МСПС в будущем.  Система МСПС считается одним из фундаментальных компонентов условий найма в международной гражданской службе.  Поэтому принятие любых предлагаемых мер по ограничению расходов </w:t>
      </w:r>
      <w:r w:rsidR="004C4150">
        <w:rPr>
          <w:rFonts w:eastAsia="SimSun"/>
          <w:szCs w:val="22"/>
          <w:lang w:val="ru-RU" w:eastAsia="zh-CN"/>
        </w:rPr>
        <w:t>по</w:t>
      </w:r>
      <w:r w:rsidR="00DE7CE5">
        <w:rPr>
          <w:rFonts w:eastAsia="SimSun"/>
          <w:szCs w:val="22"/>
          <w:lang w:val="ru-RU" w:eastAsia="zh-CN"/>
        </w:rPr>
        <w:t>требует всестороннего и внимательного изучения</w:t>
      </w:r>
      <w:r w:rsidR="004C4150">
        <w:rPr>
          <w:rFonts w:eastAsia="SimSun"/>
          <w:szCs w:val="22"/>
          <w:lang w:val="ru-RU" w:eastAsia="zh-CN"/>
        </w:rPr>
        <w:t xml:space="preserve"> </w:t>
      </w:r>
      <w:r w:rsidR="003215CD">
        <w:rPr>
          <w:rFonts w:eastAsia="SimSun"/>
          <w:szCs w:val="22"/>
          <w:lang w:val="ru-RU" w:eastAsia="zh-CN"/>
        </w:rPr>
        <w:t>совместно с</w:t>
      </w:r>
      <w:r w:rsidR="004C4150">
        <w:rPr>
          <w:rFonts w:eastAsia="SimSun"/>
          <w:szCs w:val="22"/>
          <w:lang w:val="ru-RU" w:eastAsia="zh-CN"/>
        </w:rPr>
        <w:t xml:space="preserve"> Рабочей групп</w:t>
      </w:r>
      <w:r w:rsidR="003215CD">
        <w:rPr>
          <w:rFonts w:eastAsia="SimSun"/>
          <w:szCs w:val="22"/>
          <w:lang w:val="ru-RU" w:eastAsia="zh-CN"/>
        </w:rPr>
        <w:t>ой</w:t>
      </w:r>
      <w:bookmarkStart w:id="2" w:name="_GoBack"/>
      <w:bookmarkEnd w:id="2"/>
      <w:r w:rsidR="00DE7CE5">
        <w:rPr>
          <w:rFonts w:eastAsia="SimSun"/>
          <w:szCs w:val="22"/>
          <w:lang w:val="ru-RU" w:eastAsia="zh-CN"/>
        </w:rPr>
        <w:t>.</w:t>
      </w:r>
    </w:p>
    <w:p w:rsidR="003048D6" w:rsidRPr="00480D29" w:rsidRDefault="003048D6" w:rsidP="003048D6">
      <w:pPr>
        <w:pStyle w:val="ONUME"/>
        <w:numPr>
          <w:ilvl w:val="0"/>
          <w:numId w:val="8"/>
        </w:numPr>
        <w:rPr>
          <w:lang w:val="ru-RU"/>
        </w:rPr>
      </w:pPr>
      <w:r w:rsidRPr="003048D6">
        <w:rPr>
          <w:lang w:val="ru-RU"/>
        </w:rPr>
        <w:t>Предлагается сформулировать постановляющий пункт следующим образом:</w:t>
      </w:r>
      <w:r w:rsidR="006948E1" w:rsidRPr="00480D29">
        <w:rPr>
          <w:lang w:val="ru-RU"/>
        </w:rPr>
        <w:t xml:space="preserve"> </w:t>
      </w:r>
    </w:p>
    <w:p w:rsidR="003048D6" w:rsidRPr="007208EC" w:rsidRDefault="003048D6" w:rsidP="007400C8">
      <w:pPr>
        <w:pStyle w:val="ONUME"/>
        <w:numPr>
          <w:ilvl w:val="0"/>
          <w:numId w:val="8"/>
        </w:numPr>
        <w:ind w:left="5533"/>
        <w:rPr>
          <w:lang w:val="ru-RU"/>
        </w:rPr>
      </w:pPr>
      <w:r w:rsidRPr="003048D6">
        <w:rPr>
          <w:i/>
          <w:lang w:val="ru-RU"/>
        </w:rPr>
        <w:t>Комитет по программе и бюджету (КПБ)</w:t>
      </w:r>
      <w:r w:rsidR="007400C8">
        <w:rPr>
          <w:i/>
          <w:lang w:val="ru-RU"/>
        </w:rPr>
        <w:t xml:space="preserve"> </w:t>
      </w:r>
      <w:r w:rsidR="00CA31CB">
        <w:rPr>
          <w:i/>
          <w:lang w:val="ru-RU"/>
        </w:rPr>
        <w:t>рекомендовал</w:t>
      </w:r>
      <w:r w:rsidR="00CA31CB" w:rsidRPr="00B26CFA">
        <w:rPr>
          <w:i/>
          <w:lang w:val="ru-RU"/>
        </w:rPr>
        <w:t xml:space="preserve"> </w:t>
      </w:r>
      <w:r w:rsidR="00CA31CB">
        <w:rPr>
          <w:i/>
          <w:lang w:val="ru-RU"/>
        </w:rPr>
        <w:t>Ассамблеям</w:t>
      </w:r>
      <w:r w:rsidR="00CA31CB" w:rsidRPr="00B26CFA">
        <w:rPr>
          <w:i/>
          <w:lang w:val="ru-RU"/>
        </w:rPr>
        <w:t xml:space="preserve"> </w:t>
      </w:r>
      <w:r w:rsidR="00CA31CB">
        <w:rPr>
          <w:i/>
          <w:lang w:val="ru-RU"/>
        </w:rPr>
        <w:t>ВОИС</w:t>
      </w:r>
      <w:r w:rsidR="00CA31CB" w:rsidRPr="00B26CFA">
        <w:rPr>
          <w:i/>
          <w:lang w:val="ru-RU"/>
        </w:rPr>
        <w:t xml:space="preserve">, каждой в той степени, в какой это ее касается, </w:t>
      </w:r>
      <w:r w:rsidR="00CA31CB">
        <w:rPr>
          <w:i/>
          <w:lang w:val="ru-RU"/>
        </w:rPr>
        <w:t>поручить</w:t>
      </w:r>
      <w:r w:rsidR="00CA31CB" w:rsidRPr="00B26CFA">
        <w:rPr>
          <w:i/>
          <w:lang w:val="ru-RU"/>
        </w:rPr>
        <w:t xml:space="preserve"> </w:t>
      </w:r>
      <w:r w:rsidR="00CA31CB">
        <w:rPr>
          <w:i/>
          <w:lang w:val="ru-RU"/>
        </w:rPr>
        <w:t>Секретариату</w:t>
      </w:r>
      <w:r w:rsidR="00CA31CB" w:rsidRPr="00B26CFA">
        <w:rPr>
          <w:i/>
          <w:lang w:val="ru-RU"/>
        </w:rPr>
        <w:t xml:space="preserve"> </w:t>
      </w:r>
      <w:r w:rsidR="00CA31CB">
        <w:rPr>
          <w:i/>
          <w:lang w:val="ru-RU"/>
        </w:rPr>
        <w:t>продолжать</w:t>
      </w:r>
      <w:r w:rsidR="00CA31CB" w:rsidRPr="00B26CFA">
        <w:rPr>
          <w:i/>
          <w:lang w:val="ru-RU"/>
        </w:rPr>
        <w:t xml:space="preserve"> </w:t>
      </w:r>
      <w:r w:rsidR="00CA31CB">
        <w:rPr>
          <w:i/>
          <w:lang w:val="ru-RU"/>
        </w:rPr>
        <w:t>участвовать</w:t>
      </w:r>
      <w:r w:rsidR="00CA31CB" w:rsidRPr="00B26CFA">
        <w:rPr>
          <w:i/>
          <w:lang w:val="ru-RU"/>
        </w:rPr>
        <w:t xml:space="preserve"> </w:t>
      </w:r>
      <w:r w:rsidR="00CA31CB">
        <w:rPr>
          <w:i/>
          <w:lang w:val="ru-RU"/>
        </w:rPr>
        <w:t>в</w:t>
      </w:r>
      <w:r w:rsidR="00CA31CB" w:rsidRPr="00B26CFA">
        <w:rPr>
          <w:i/>
          <w:lang w:val="ru-RU"/>
        </w:rPr>
        <w:t xml:space="preserve"> </w:t>
      </w:r>
      <w:r w:rsidR="00CA31CB">
        <w:rPr>
          <w:i/>
          <w:lang w:val="ru-RU"/>
        </w:rPr>
        <w:t>Рабочей группе по МСПС Сети по финансовым и бюджетным вопросам и отслеживать конкретные предложения, которые будут вынесены Генеральным секретарем Генеральной Ассамблее Организации Объединенных Наций на ее семьдесят третьей сессии.</w:t>
      </w:r>
    </w:p>
    <w:p w:rsidR="003048D6" w:rsidRPr="00B26CFA" w:rsidRDefault="003048D6" w:rsidP="00761194">
      <w:pPr>
        <w:tabs>
          <w:tab w:val="left" w:pos="6840"/>
        </w:tabs>
        <w:ind w:left="6210"/>
        <w:rPr>
          <w:szCs w:val="22"/>
          <w:lang w:val="ru-RU"/>
        </w:rPr>
      </w:pPr>
    </w:p>
    <w:p w:rsidR="003048D6" w:rsidRPr="00B26CFA" w:rsidRDefault="003048D6" w:rsidP="00761194">
      <w:pPr>
        <w:tabs>
          <w:tab w:val="left" w:pos="6840"/>
        </w:tabs>
        <w:ind w:left="6210"/>
        <w:rPr>
          <w:szCs w:val="22"/>
          <w:lang w:val="ru-RU"/>
        </w:rPr>
      </w:pPr>
    </w:p>
    <w:p w:rsidR="003048D6" w:rsidRPr="00B26CFA" w:rsidRDefault="003048D6" w:rsidP="003048D6">
      <w:pPr>
        <w:pStyle w:val="Endofdocument-Annex"/>
        <w:rPr>
          <w:szCs w:val="22"/>
          <w:lang w:val="ru-RU"/>
        </w:rPr>
      </w:pPr>
      <w:r w:rsidRPr="003048D6">
        <w:rPr>
          <w:szCs w:val="22"/>
          <w:lang w:val="ru-RU"/>
        </w:rPr>
        <w:t>[Приложения следуют]</w:t>
      </w:r>
    </w:p>
    <w:p w:rsidR="003048D6" w:rsidRPr="00B26CFA" w:rsidRDefault="003048D6" w:rsidP="006948E1">
      <w:pPr>
        <w:tabs>
          <w:tab w:val="left" w:pos="6840"/>
        </w:tabs>
        <w:ind w:left="6210"/>
        <w:rPr>
          <w:szCs w:val="22"/>
          <w:lang w:val="ru-RU"/>
        </w:rPr>
      </w:pPr>
    </w:p>
    <w:p w:rsidR="003048D6" w:rsidRPr="00B26CFA" w:rsidRDefault="003048D6" w:rsidP="006948E1">
      <w:pPr>
        <w:tabs>
          <w:tab w:val="left" w:pos="6840"/>
        </w:tabs>
        <w:ind w:left="6210"/>
        <w:rPr>
          <w:szCs w:val="22"/>
          <w:lang w:val="ru-RU"/>
        </w:rPr>
      </w:pPr>
    </w:p>
    <w:p w:rsidR="006948E1" w:rsidRPr="003048D6" w:rsidRDefault="006948E1" w:rsidP="006948E1">
      <w:pPr>
        <w:tabs>
          <w:tab w:val="left" w:pos="6840"/>
        </w:tabs>
        <w:ind w:left="6210"/>
        <w:rPr>
          <w:szCs w:val="22"/>
          <w:lang w:val="ru-RU"/>
          <w:rPrChange w:id="3" w:author="KORCHAGINA Elena" w:date="2017-05-15T14:50:00Z">
            <w:rPr>
              <w:szCs w:val="22"/>
            </w:rPr>
          </w:rPrChange>
        </w:rPr>
        <w:sectPr w:rsidR="006948E1" w:rsidRPr="003048D6" w:rsidSect="00F95CC6">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3048D6" w:rsidRPr="000E5F04" w:rsidRDefault="003048D6" w:rsidP="003048D6">
      <w:pPr>
        <w:jc w:val="center"/>
        <w:rPr>
          <w:b/>
          <w:lang w:val="ru-RU"/>
        </w:rPr>
      </w:pPr>
      <w:r w:rsidRPr="003048D6">
        <w:rPr>
          <w:b/>
          <w:lang w:val="ru-RU"/>
        </w:rPr>
        <w:lastRenderedPageBreak/>
        <w:t>ВОСЕМЬ РЕКОМЕНДАЦИЙ, ВЫНЕСЕННЫЕ РАБОЧЕЙ ГРУППОЙ ПО МСПС И СГРУППИРОВАННЫЕ ПО КОМПОНЕНТАМ</w:t>
      </w:r>
    </w:p>
    <w:p w:rsidR="003048D6" w:rsidRPr="000E5F04" w:rsidRDefault="003048D6" w:rsidP="00994411">
      <w:pPr>
        <w:rPr>
          <w:b/>
          <w:lang w:val="ru-RU"/>
        </w:rPr>
      </w:pPr>
    </w:p>
    <w:p w:rsidR="003048D6" w:rsidRPr="000E5F04" w:rsidRDefault="003048D6" w:rsidP="00994411">
      <w:pPr>
        <w:jc w:val="both"/>
        <w:rPr>
          <w:lang w:val="ru-RU"/>
        </w:rPr>
      </w:pPr>
    </w:p>
    <w:p w:rsidR="003048D6" w:rsidRPr="000E5F04" w:rsidRDefault="003048D6" w:rsidP="003048D6">
      <w:pPr>
        <w:tabs>
          <w:tab w:val="left" w:pos="1440"/>
        </w:tabs>
        <w:jc w:val="both"/>
        <w:rPr>
          <w:b/>
          <w:lang w:val="ru-RU"/>
        </w:rPr>
      </w:pPr>
      <w:r w:rsidRPr="003048D6">
        <w:rPr>
          <w:b/>
          <w:lang w:val="ru-RU"/>
        </w:rPr>
        <w:t>КОМПОНЕНТ A</w:t>
      </w:r>
      <w:r w:rsidRPr="003048D6">
        <w:rPr>
          <w:b/>
          <w:lang w:val="ru-RU"/>
        </w:rPr>
        <w:tab/>
      </w:r>
      <w:r w:rsidR="00FA35BB">
        <w:rPr>
          <w:b/>
          <w:lang w:val="ru-RU"/>
        </w:rPr>
        <w:tab/>
      </w:r>
      <w:r w:rsidRPr="003048D6">
        <w:rPr>
          <w:b/>
          <w:lang w:val="ru-RU"/>
        </w:rPr>
        <w:t>Анализ затрат и административные механизмы</w:t>
      </w:r>
    </w:p>
    <w:p w:rsidR="003048D6" w:rsidRPr="000E5F04" w:rsidRDefault="003048D6" w:rsidP="00994411">
      <w:pPr>
        <w:rPr>
          <w:lang w:val="ru-RU"/>
        </w:rPr>
      </w:pPr>
    </w:p>
    <w:p w:rsidR="003048D6" w:rsidRPr="000E5F04" w:rsidRDefault="003048D6" w:rsidP="003048D6">
      <w:pPr>
        <w:tabs>
          <w:tab w:val="left" w:pos="2340"/>
        </w:tabs>
        <w:rPr>
          <w:lang w:val="ru-RU"/>
        </w:rPr>
      </w:pPr>
      <w:r w:rsidRPr="003048D6">
        <w:rPr>
          <w:u w:val="single"/>
          <w:lang w:val="ru-RU"/>
        </w:rPr>
        <w:t>Рекомендация 1</w:t>
      </w:r>
      <w:r w:rsidRPr="003048D6">
        <w:rPr>
          <w:lang w:val="ru-RU"/>
        </w:rPr>
        <w:t>:</w:t>
      </w:r>
      <w:r w:rsidRPr="003048D6">
        <w:rPr>
          <w:lang w:val="ru-RU"/>
        </w:rPr>
        <w:tab/>
        <w:t>Коллективные переговоры с внешними администраторами (ВА)</w:t>
      </w:r>
    </w:p>
    <w:p w:rsidR="003048D6" w:rsidRPr="000E5F04" w:rsidRDefault="003048D6" w:rsidP="00994411">
      <w:pPr>
        <w:rPr>
          <w:lang w:val="ru-RU"/>
        </w:rPr>
      </w:pPr>
    </w:p>
    <w:p w:rsidR="003048D6" w:rsidRPr="000E5F04" w:rsidRDefault="003048D6" w:rsidP="003048D6">
      <w:pPr>
        <w:rPr>
          <w:lang w:val="ru-RU"/>
        </w:rPr>
      </w:pPr>
      <w:r w:rsidRPr="003048D6">
        <w:rPr>
          <w:lang w:val="ru-RU"/>
        </w:rPr>
        <w:t>Организациям системы ООН следует вести переговоры с ВА на коллективной основе с тем, чтобы оптимизировать цены на административные услуги и доступ к сети.</w:t>
      </w:r>
      <w:r w:rsidR="00994411" w:rsidRPr="000E5F04">
        <w:rPr>
          <w:lang w:val="ru-RU"/>
        </w:rPr>
        <w:t xml:space="preserve">  </w:t>
      </w:r>
      <w:r w:rsidRPr="003048D6">
        <w:rPr>
          <w:lang w:val="ru-RU"/>
        </w:rPr>
        <w:t>В целях оказания поддержки коллективным переговорам организации системы ООН должны изучить вопрос о целесообразности создания и эксплуатации общей базы данных, содержащей демографическую информацию и сведения о плане страхования, краткую информацию о востребованных выплатах, условиях соглашений с ВА, расходах по персоналу и краткую информацию о случаях мошенничества.</w:t>
      </w:r>
    </w:p>
    <w:p w:rsidR="003048D6" w:rsidRPr="000E5F04" w:rsidRDefault="003048D6" w:rsidP="00994411">
      <w:pPr>
        <w:rPr>
          <w:lang w:val="ru-RU"/>
        </w:rPr>
      </w:pPr>
    </w:p>
    <w:p w:rsidR="003048D6" w:rsidRPr="000E5F04" w:rsidRDefault="003048D6" w:rsidP="003048D6">
      <w:pPr>
        <w:tabs>
          <w:tab w:val="left" w:pos="2340"/>
        </w:tabs>
        <w:rPr>
          <w:lang w:val="ru-RU"/>
        </w:rPr>
      </w:pPr>
      <w:r w:rsidRPr="003048D6">
        <w:rPr>
          <w:u w:val="single"/>
          <w:lang w:val="ru-RU"/>
        </w:rPr>
        <w:t>Рекомендация 2</w:t>
      </w:r>
      <w:r w:rsidRPr="003048D6">
        <w:rPr>
          <w:lang w:val="ru-RU"/>
        </w:rPr>
        <w:t xml:space="preserve">: </w:t>
      </w:r>
      <w:r w:rsidRPr="003048D6">
        <w:rPr>
          <w:lang w:val="ru-RU"/>
        </w:rPr>
        <w:tab/>
        <w:t>Коллективные переговоры с поставщиками медицинских услуг</w:t>
      </w:r>
    </w:p>
    <w:p w:rsidR="003048D6" w:rsidRPr="000E5F04" w:rsidRDefault="003048D6" w:rsidP="00994411">
      <w:pPr>
        <w:rPr>
          <w:lang w:val="ru-RU"/>
        </w:rPr>
      </w:pPr>
    </w:p>
    <w:p w:rsidR="003048D6" w:rsidRPr="000E5F04" w:rsidRDefault="003048D6" w:rsidP="003048D6">
      <w:pPr>
        <w:rPr>
          <w:lang w:val="ru-RU"/>
        </w:rPr>
      </w:pPr>
      <w:r w:rsidRPr="003048D6">
        <w:rPr>
          <w:lang w:val="ru-RU"/>
        </w:rPr>
        <w:t>Саморегулируемые планы (МОТ, ВОЗ и Общество взаимного страхования сотрудников Организации Объединенных Наций (ЮНСМИС)) успешно проводят коллективные переговоры с поставщиками медицинских услуг в районе Женевы.</w:t>
      </w:r>
      <w:r w:rsidR="00994411" w:rsidRPr="000E5F04">
        <w:rPr>
          <w:lang w:val="ru-RU"/>
        </w:rPr>
        <w:t xml:space="preserve">  </w:t>
      </w:r>
      <w:r w:rsidRPr="003048D6">
        <w:rPr>
          <w:lang w:val="ru-RU"/>
        </w:rPr>
        <w:t>Саморегулируемым планам следует продолжать определять области, в которых коллективные переговоры с поставщиками медицинских услуг могут привести к значительной экономии средств и/или оперативным улучшениям.</w:t>
      </w:r>
      <w:r w:rsidR="00994411" w:rsidRPr="000E5F04">
        <w:rPr>
          <w:lang w:val="ru-RU"/>
        </w:rPr>
        <w:t xml:space="preserve">  </w:t>
      </w:r>
      <w:r w:rsidRPr="003048D6">
        <w:rPr>
          <w:lang w:val="ru-RU"/>
        </w:rPr>
        <w:t>Соответствующим организациям следует разработать общие стандартные процедуры, позволяющие им вести коллективные переговоры с поставщиками медицинских услуг и сетями поставщиков, с целью обеспечения наилучших возможностей доступа к высококачественным медицинским услугам и наилучших цен на них, а также с целью сведения к минимуму ценовых колебаний.</w:t>
      </w:r>
    </w:p>
    <w:p w:rsidR="003048D6" w:rsidRPr="000E5F04" w:rsidRDefault="003048D6" w:rsidP="00994411">
      <w:pPr>
        <w:rPr>
          <w:lang w:val="ru-RU"/>
        </w:rPr>
      </w:pPr>
    </w:p>
    <w:p w:rsidR="003048D6" w:rsidRPr="000E5F04" w:rsidRDefault="003048D6" w:rsidP="003048D6">
      <w:pPr>
        <w:rPr>
          <w:lang w:val="ru-RU"/>
        </w:rPr>
      </w:pPr>
      <w:r w:rsidRPr="003048D6">
        <w:rPr>
          <w:lang w:val="ru-RU"/>
        </w:rPr>
        <w:t>Этим организациям следует рассмотреть вопрос о создании общей базы данных и предоставить дополнительную информацию, касающуюся методов работы поставщиков медицинских услуг, условий соглашений, предоставления ложных сведений и оценок качества.</w:t>
      </w:r>
    </w:p>
    <w:p w:rsidR="003048D6" w:rsidRPr="000E5F04" w:rsidRDefault="003048D6" w:rsidP="00994411">
      <w:pPr>
        <w:rPr>
          <w:lang w:val="ru-RU"/>
        </w:rPr>
      </w:pPr>
    </w:p>
    <w:p w:rsidR="003048D6" w:rsidRPr="000E5F04" w:rsidRDefault="003048D6" w:rsidP="003048D6">
      <w:pPr>
        <w:tabs>
          <w:tab w:val="left" w:pos="2340"/>
        </w:tabs>
        <w:rPr>
          <w:lang w:val="ru-RU"/>
        </w:rPr>
      </w:pPr>
      <w:r w:rsidRPr="003048D6">
        <w:rPr>
          <w:u w:val="single"/>
          <w:lang w:val="ru-RU"/>
        </w:rPr>
        <w:t>Рекомендация 3</w:t>
      </w:r>
      <w:r w:rsidRPr="003048D6">
        <w:rPr>
          <w:lang w:val="ru-RU"/>
        </w:rPr>
        <w:t xml:space="preserve">: </w:t>
      </w:r>
      <w:r w:rsidRPr="003048D6">
        <w:rPr>
          <w:lang w:val="ru-RU"/>
        </w:rPr>
        <w:tab/>
        <w:t>Обзор гарантий и переговоры со страховщиками</w:t>
      </w:r>
    </w:p>
    <w:p w:rsidR="003048D6" w:rsidRPr="000E5F04" w:rsidRDefault="003048D6" w:rsidP="00994411">
      <w:pPr>
        <w:rPr>
          <w:lang w:val="ru-RU"/>
        </w:rPr>
      </w:pPr>
    </w:p>
    <w:p w:rsidR="003048D6" w:rsidRPr="000E5F04" w:rsidRDefault="003048D6" w:rsidP="003048D6">
      <w:pPr>
        <w:rPr>
          <w:lang w:val="ru-RU"/>
        </w:rPr>
      </w:pPr>
      <w:r w:rsidRPr="003048D6">
        <w:rPr>
          <w:lang w:val="ru-RU"/>
        </w:rPr>
        <w:t>В целях обеспечения более эффективной основы для оспаривания условий, предлагаемых страховщиками, организациям, использующим внешние планы страхования, следует проводить периодические обзоры гарантий и обмениваться их результатами в рамках системы ООН для определения контрольных параметров.</w:t>
      </w:r>
    </w:p>
    <w:p w:rsidR="003048D6" w:rsidRPr="000E5F04" w:rsidRDefault="003048D6" w:rsidP="00994411">
      <w:pPr>
        <w:rPr>
          <w:lang w:val="ru-RU"/>
        </w:rPr>
      </w:pPr>
    </w:p>
    <w:p w:rsidR="003048D6" w:rsidRPr="000E5F04" w:rsidRDefault="003048D6" w:rsidP="003048D6">
      <w:pPr>
        <w:pStyle w:val="ListParagraph"/>
        <w:tabs>
          <w:tab w:val="left" w:pos="1440"/>
        </w:tabs>
        <w:ind w:left="0"/>
        <w:rPr>
          <w:sz w:val="22"/>
          <w:szCs w:val="22"/>
          <w:lang w:val="ru-RU"/>
        </w:rPr>
      </w:pPr>
      <w:r w:rsidRPr="003048D6">
        <w:rPr>
          <w:sz w:val="22"/>
          <w:szCs w:val="22"/>
          <w:lang w:val="ru-RU"/>
        </w:rPr>
        <w:t>ККАБВ рекомендовал ГА одобрить рекомендации 1–3 Рабочей группы и призвал Рабочую группу продолжать изучать возможности объединения планов медицинского страхования на различных уровнях.</w:t>
      </w:r>
    </w:p>
    <w:p w:rsidR="003048D6" w:rsidRPr="000E5F04" w:rsidRDefault="003048D6" w:rsidP="00994411">
      <w:pPr>
        <w:pStyle w:val="ListParagraph"/>
        <w:tabs>
          <w:tab w:val="left" w:pos="1440"/>
        </w:tabs>
        <w:ind w:left="0"/>
        <w:rPr>
          <w:sz w:val="22"/>
          <w:szCs w:val="22"/>
          <w:lang w:val="ru-RU"/>
        </w:rPr>
      </w:pPr>
    </w:p>
    <w:p w:rsidR="003048D6" w:rsidRPr="000E5F04" w:rsidRDefault="003048D6" w:rsidP="003048D6">
      <w:pPr>
        <w:tabs>
          <w:tab w:val="left" w:pos="1440"/>
        </w:tabs>
        <w:rPr>
          <w:b/>
          <w:lang w:val="ru-RU"/>
        </w:rPr>
      </w:pPr>
      <w:r w:rsidRPr="003048D6">
        <w:rPr>
          <w:b/>
          <w:lang w:val="ru-RU"/>
        </w:rPr>
        <w:t>КОМПОНЕНТ B</w:t>
      </w:r>
      <w:r w:rsidRPr="003048D6">
        <w:rPr>
          <w:b/>
          <w:lang w:val="ru-RU"/>
        </w:rPr>
        <w:tab/>
      </w:r>
      <w:r w:rsidR="00FA35BB">
        <w:rPr>
          <w:b/>
          <w:lang w:val="ru-RU"/>
        </w:rPr>
        <w:tab/>
      </w:r>
      <w:r w:rsidRPr="003048D6">
        <w:rPr>
          <w:b/>
          <w:lang w:val="ru-RU"/>
        </w:rPr>
        <w:t>Обзор рамо</w:t>
      </w:r>
      <w:r w:rsidR="00924BBA">
        <w:rPr>
          <w:b/>
          <w:lang w:val="ru-RU"/>
        </w:rPr>
        <w:t>чной основы</w:t>
      </w:r>
      <w:r w:rsidRPr="003048D6">
        <w:rPr>
          <w:b/>
          <w:lang w:val="ru-RU"/>
        </w:rPr>
        <w:t xml:space="preserve"> </w:t>
      </w:r>
      <w:r w:rsidR="00FA35BB">
        <w:rPr>
          <w:b/>
          <w:lang w:val="ru-RU"/>
        </w:rPr>
        <w:t xml:space="preserve">системы </w:t>
      </w:r>
      <w:r w:rsidRPr="003048D6">
        <w:rPr>
          <w:b/>
          <w:lang w:val="ru-RU"/>
        </w:rPr>
        <w:t>МСПС ООН</w:t>
      </w:r>
    </w:p>
    <w:p w:rsidR="003048D6" w:rsidRPr="000E5F04" w:rsidRDefault="003048D6" w:rsidP="00994411">
      <w:pPr>
        <w:rPr>
          <w:lang w:val="ru-RU"/>
        </w:rPr>
      </w:pPr>
    </w:p>
    <w:p w:rsidR="003048D6" w:rsidRPr="000E5F04" w:rsidRDefault="003048D6" w:rsidP="003048D6">
      <w:pPr>
        <w:tabs>
          <w:tab w:val="left" w:pos="2340"/>
        </w:tabs>
        <w:rPr>
          <w:lang w:val="ru-RU"/>
        </w:rPr>
      </w:pPr>
      <w:r w:rsidRPr="003048D6">
        <w:rPr>
          <w:u w:val="single"/>
          <w:lang w:val="ru-RU"/>
        </w:rPr>
        <w:t>Рекомендация 4</w:t>
      </w:r>
      <w:r w:rsidRPr="003048D6">
        <w:rPr>
          <w:lang w:val="ru-RU"/>
        </w:rPr>
        <w:t xml:space="preserve">: </w:t>
      </w:r>
      <w:r w:rsidRPr="003048D6">
        <w:rPr>
          <w:lang w:val="ru-RU"/>
        </w:rPr>
        <w:tab/>
        <w:t>Рабочая группа предлагает продолжать поддерживать организации, которые будут дополнительно изучать роль национальных планов медицинского страхования в контексте планов медицинского страхования системы ООН на рамочной основе, в соответствии с которой эти планы выступали бы в качестве вспомогательных для улучшения условий, обеспечиваемых в настоящее время для действующих и вышедших на пенсию бывших сотрудников.</w:t>
      </w:r>
      <w:r w:rsidR="00994411" w:rsidRPr="000E5F04">
        <w:rPr>
          <w:lang w:val="ru-RU"/>
        </w:rPr>
        <w:t xml:space="preserve">  </w:t>
      </w:r>
      <w:r w:rsidRPr="003048D6">
        <w:rPr>
          <w:lang w:val="ru-RU"/>
        </w:rPr>
        <w:t xml:space="preserve">Рабочая группа </w:t>
      </w:r>
      <w:r w:rsidRPr="003048D6">
        <w:rPr>
          <w:lang w:val="ru-RU"/>
        </w:rPr>
        <w:lastRenderedPageBreak/>
        <w:t>предлагает организациям обратиться к государствам-членам с вопросом о возможном расширении права сотрудников на участие в действующих в этих государствах планах базового страхования.</w:t>
      </w:r>
      <w:r w:rsidR="00994411" w:rsidRPr="000E5F04">
        <w:rPr>
          <w:lang w:val="ru-RU"/>
        </w:rPr>
        <w:t xml:space="preserve">  </w:t>
      </w:r>
      <w:r w:rsidRPr="003048D6">
        <w:rPr>
          <w:lang w:val="ru-RU"/>
        </w:rPr>
        <w:t>Речь здесь идет, главным образом, о пенсионерах и их имеющих на это право иждивенцах, однако действие этого права можно было бы в некоторых ситуациях распространить на контингент работающих сотрудников.</w:t>
      </w:r>
    </w:p>
    <w:p w:rsidR="003048D6" w:rsidRPr="000E5F04" w:rsidRDefault="003048D6" w:rsidP="00994411">
      <w:pPr>
        <w:rPr>
          <w:lang w:val="ru-RU"/>
        </w:rPr>
      </w:pPr>
    </w:p>
    <w:p w:rsidR="003048D6" w:rsidRPr="000E5F04" w:rsidRDefault="003048D6" w:rsidP="003048D6">
      <w:pPr>
        <w:rPr>
          <w:lang w:val="ru-RU"/>
        </w:rPr>
      </w:pPr>
      <w:r w:rsidRPr="003048D6">
        <w:rPr>
          <w:lang w:val="ru-RU"/>
        </w:rPr>
        <w:t>Организациям следует изучить вопрос об уместности, практической целесообразности и финансовых последствиях включения в свой план медицинского страхования требования о вступлении в национальные системы страхования на тех условиях, что взносы в национальные системы оплачиваются планом организации.</w:t>
      </w:r>
    </w:p>
    <w:p w:rsidR="003048D6" w:rsidRPr="000E5F04" w:rsidRDefault="003048D6" w:rsidP="00994411">
      <w:pPr>
        <w:rPr>
          <w:lang w:val="ru-RU"/>
        </w:rPr>
      </w:pPr>
    </w:p>
    <w:p w:rsidR="003048D6" w:rsidRPr="000E5F04" w:rsidRDefault="003048D6" w:rsidP="003048D6">
      <w:pPr>
        <w:pStyle w:val="ListParagraph"/>
        <w:tabs>
          <w:tab w:val="left" w:pos="0"/>
          <w:tab w:val="left" w:pos="1260"/>
        </w:tabs>
        <w:ind w:left="0"/>
        <w:rPr>
          <w:sz w:val="22"/>
          <w:szCs w:val="22"/>
          <w:lang w:val="ru-RU"/>
        </w:rPr>
      </w:pPr>
      <w:r w:rsidRPr="003048D6">
        <w:rPr>
          <w:sz w:val="22"/>
          <w:szCs w:val="22"/>
          <w:lang w:val="ru-RU"/>
        </w:rPr>
        <w:t>Пока не будет получен больший объем информации о национальных планах медицинского страхования, ККАБВ не рекомендовал одобрять рекомендацию</w:t>
      </w:r>
      <w:r w:rsidR="00F066CE">
        <w:rPr>
          <w:sz w:val="22"/>
          <w:szCs w:val="22"/>
          <w:lang w:val="ru-RU"/>
        </w:rPr>
        <w:t> </w:t>
      </w:r>
      <w:r w:rsidRPr="003048D6">
        <w:rPr>
          <w:sz w:val="22"/>
          <w:szCs w:val="22"/>
          <w:lang w:val="ru-RU"/>
        </w:rPr>
        <w:t>4 Рабочей группы.</w:t>
      </w:r>
      <w:r w:rsidR="00994411" w:rsidRPr="000E5F04">
        <w:rPr>
          <w:sz w:val="22"/>
          <w:szCs w:val="22"/>
          <w:lang w:val="ru-RU"/>
        </w:rPr>
        <w:t xml:space="preserve">  </w:t>
      </w:r>
      <w:r w:rsidRPr="003048D6">
        <w:rPr>
          <w:sz w:val="22"/>
          <w:szCs w:val="22"/>
          <w:lang w:val="ru-RU"/>
        </w:rPr>
        <w:t>Однако Комитет признал потенциальные возможности для достижения экономии в случае выполнения этой рекомендации и выразил надежду на то, что необходимая информация будет получена на следующем этапе обследования, проводимого Рабочей группой.</w:t>
      </w:r>
    </w:p>
    <w:p w:rsidR="003048D6" w:rsidRPr="000E5F04" w:rsidRDefault="003048D6" w:rsidP="00994411">
      <w:pPr>
        <w:rPr>
          <w:lang w:val="ru-RU"/>
        </w:rPr>
      </w:pPr>
    </w:p>
    <w:p w:rsidR="003048D6" w:rsidRPr="000E5F04" w:rsidRDefault="003048D6" w:rsidP="003048D6">
      <w:pPr>
        <w:keepNext/>
        <w:keepLines/>
        <w:tabs>
          <w:tab w:val="left" w:pos="2430"/>
        </w:tabs>
        <w:rPr>
          <w:lang w:val="ru-RU"/>
        </w:rPr>
      </w:pPr>
      <w:r w:rsidRPr="004D3048">
        <w:rPr>
          <w:u w:val="single"/>
          <w:lang w:val="ru-RU"/>
        </w:rPr>
        <w:t>Рекомендация</w:t>
      </w:r>
      <w:r w:rsidRPr="003048D6">
        <w:rPr>
          <w:u w:val="single"/>
          <w:lang w:val="ru-RU"/>
        </w:rPr>
        <w:t xml:space="preserve"> 5</w:t>
      </w:r>
      <w:r w:rsidRPr="003048D6">
        <w:rPr>
          <w:lang w:val="ru-RU"/>
        </w:rPr>
        <w:t xml:space="preserve">: </w:t>
      </w:r>
      <w:r w:rsidRPr="003048D6">
        <w:rPr>
          <w:lang w:val="ru-RU"/>
        </w:rPr>
        <w:tab/>
        <w:t>Расширение Мандата ОПФПООН</w:t>
      </w:r>
    </w:p>
    <w:p w:rsidR="003048D6" w:rsidRPr="000E5F04" w:rsidRDefault="003048D6" w:rsidP="00994411">
      <w:pPr>
        <w:keepNext/>
        <w:keepLines/>
        <w:rPr>
          <w:lang w:val="ru-RU"/>
        </w:rPr>
      </w:pPr>
    </w:p>
    <w:p w:rsidR="003048D6" w:rsidRPr="000E5F04" w:rsidRDefault="003048D6" w:rsidP="003048D6">
      <w:pPr>
        <w:keepNext/>
        <w:keepLines/>
        <w:rPr>
          <w:lang w:val="ru-RU"/>
        </w:rPr>
      </w:pPr>
      <w:r w:rsidRPr="003048D6">
        <w:rPr>
          <w:lang w:val="ru-RU"/>
        </w:rPr>
        <w:t>Хотя соответствующие функции ОПФПООН, в том числе Отдела управления инвестициями, расширять не следует, к Фонду, в соответствии с рекомендацией ККАБВ, можно было бы обратиться с просьбой поделиться с организациями системы ООН, предпочитающими совместное обеспечение страхового покрытия участников системы МСПС, своей передовой практикой и методами работы в вопросах централизации и управления комплексным планом с участием нескольких работодателей.</w:t>
      </w:r>
    </w:p>
    <w:p w:rsidR="003048D6" w:rsidRPr="000E5F04" w:rsidRDefault="003048D6" w:rsidP="00994411">
      <w:pPr>
        <w:pStyle w:val="ListParagraph"/>
        <w:tabs>
          <w:tab w:val="left" w:pos="0"/>
          <w:tab w:val="left" w:pos="1260"/>
        </w:tabs>
        <w:ind w:left="0" w:hanging="90"/>
        <w:rPr>
          <w:sz w:val="22"/>
          <w:szCs w:val="22"/>
          <w:lang w:val="ru-RU"/>
        </w:rPr>
      </w:pPr>
    </w:p>
    <w:p w:rsidR="003048D6" w:rsidRPr="000E5F04" w:rsidRDefault="003048D6" w:rsidP="003048D6">
      <w:pPr>
        <w:pStyle w:val="ListParagraph"/>
        <w:tabs>
          <w:tab w:val="left" w:pos="0"/>
          <w:tab w:val="left" w:pos="1260"/>
        </w:tabs>
        <w:ind w:left="0"/>
        <w:rPr>
          <w:sz w:val="22"/>
          <w:szCs w:val="22"/>
          <w:lang w:val="ru-RU"/>
        </w:rPr>
      </w:pPr>
      <w:r w:rsidRPr="003048D6">
        <w:rPr>
          <w:sz w:val="22"/>
          <w:szCs w:val="22"/>
          <w:lang w:val="ru-RU"/>
        </w:rPr>
        <w:t>Что касается рекомендации</w:t>
      </w:r>
      <w:r w:rsidR="004D3048">
        <w:rPr>
          <w:sz w:val="22"/>
          <w:szCs w:val="22"/>
          <w:lang w:val="ru-RU"/>
        </w:rPr>
        <w:t> </w:t>
      </w:r>
      <w:r w:rsidRPr="003048D6">
        <w:rPr>
          <w:sz w:val="22"/>
          <w:szCs w:val="22"/>
          <w:lang w:val="ru-RU"/>
        </w:rPr>
        <w:t>5, то ККАБВ рекомендовал, чтобы Рабочая группа продолжила изучение вариантов общесистемного подхода к управлению выплатами по МСПС, не исключая при этом возможную роль Пенсионного фонда, в том числе в обмене информацией об используемой им передовой практике и применяемых методах работы.</w:t>
      </w:r>
    </w:p>
    <w:p w:rsidR="003048D6" w:rsidRPr="000E5F04" w:rsidRDefault="003048D6" w:rsidP="00994411">
      <w:pPr>
        <w:rPr>
          <w:lang w:val="ru-RU"/>
        </w:rPr>
      </w:pPr>
    </w:p>
    <w:p w:rsidR="003048D6" w:rsidRPr="000E5F04" w:rsidRDefault="003048D6" w:rsidP="003048D6">
      <w:pPr>
        <w:tabs>
          <w:tab w:val="left" w:pos="1440"/>
        </w:tabs>
        <w:rPr>
          <w:b/>
          <w:lang w:val="ru-RU"/>
        </w:rPr>
      </w:pPr>
      <w:r w:rsidRPr="003048D6">
        <w:rPr>
          <w:b/>
          <w:lang w:val="ru-RU"/>
        </w:rPr>
        <w:t>КОМПОНЕ</w:t>
      </w:r>
      <w:r w:rsidR="00FA35BB">
        <w:rPr>
          <w:b/>
          <w:lang w:val="ru-RU"/>
        </w:rPr>
        <w:t>Н</w:t>
      </w:r>
      <w:r w:rsidRPr="003048D6">
        <w:rPr>
          <w:b/>
          <w:lang w:val="ru-RU"/>
        </w:rPr>
        <w:t>Т C</w:t>
      </w:r>
      <w:r w:rsidRPr="003048D6">
        <w:rPr>
          <w:b/>
          <w:lang w:val="ru-RU"/>
        </w:rPr>
        <w:tab/>
      </w:r>
      <w:r w:rsidR="00FA35BB">
        <w:rPr>
          <w:b/>
          <w:lang w:val="ru-RU"/>
        </w:rPr>
        <w:t>О</w:t>
      </w:r>
      <w:r w:rsidR="00FA35BB" w:rsidRPr="00FA35BB">
        <w:rPr>
          <w:b/>
          <w:lang w:val="ru-RU"/>
        </w:rPr>
        <w:t>пределение обязательств и представление информации о них</w:t>
      </w:r>
    </w:p>
    <w:p w:rsidR="003048D6" w:rsidRPr="000E5F04" w:rsidRDefault="003048D6" w:rsidP="00994411">
      <w:pPr>
        <w:rPr>
          <w:lang w:val="ru-RU"/>
        </w:rPr>
      </w:pPr>
    </w:p>
    <w:p w:rsidR="003048D6" w:rsidRPr="000E5F04" w:rsidRDefault="003048D6" w:rsidP="003048D6">
      <w:pPr>
        <w:tabs>
          <w:tab w:val="left" w:pos="2410"/>
        </w:tabs>
        <w:rPr>
          <w:lang w:val="ru-RU"/>
        </w:rPr>
      </w:pPr>
      <w:r w:rsidRPr="003048D6">
        <w:rPr>
          <w:u w:val="single"/>
          <w:lang w:val="ru-RU"/>
        </w:rPr>
        <w:t>Рекомендация 6</w:t>
      </w:r>
      <w:r w:rsidRPr="003048D6">
        <w:rPr>
          <w:lang w:val="ru-RU"/>
        </w:rPr>
        <w:t xml:space="preserve">: </w:t>
      </w:r>
      <w:r w:rsidRPr="003048D6">
        <w:rPr>
          <w:lang w:val="ru-RU"/>
        </w:rPr>
        <w:tab/>
        <w:t>Стандартизация общей методологии оценки и определение и применение ключевых факторов оценки обязательств по МСПС</w:t>
      </w:r>
    </w:p>
    <w:p w:rsidR="003048D6" w:rsidRPr="000E5F04" w:rsidRDefault="003048D6" w:rsidP="00994411">
      <w:pPr>
        <w:rPr>
          <w:lang w:val="ru-RU"/>
        </w:rPr>
      </w:pPr>
    </w:p>
    <w:p w:rsidR="003048D6" w:rsidRPr="000E5F04" w:rsidRDefault="003048D6" w:rsidP="003048D6">
      <w:pPr>
        <w:rPr>
          <w:lang w:val="ru-RU"/>
        </w:rPr>
      </w:pPr>
      <w:r w:rsidRPr="003048D6">
        <w:rPr>
          <w:lang w:val="ru-RU"/>
        </w:rPr>
        <w:t>В контексте завершения своей работы по компоненту C Рабочая группа должна координировать свою деятельность с Целевой группой по стандартам учета СФБ КВУУ для согласования общих принципов определения факторов и актуарных допущений в отношении обязательств по МСПС не позднее конца 2017 года с целью использования их в актуарных оценках 2018 года.</w:t>
      </w:r>
    </w:p>
    <w:p w:rsidR="003048D6" w:rsidRPr="000E5F04" w:rsidRDefault="003048D6" w:rsidP="00994411">
      <w:pPr>
        <w:rPr>
          <w:lang w:val="ru-RU"/>
        </w:rPr>
      </w:pPr>
    </w:p>
    <w:p w:rsidR="003048D6" w:rsidRPr="000E5F04" w:rsidRDefault="003048D6" w:rsidP="003048D6">
      <w:pPr>
        <w:pStyle w:val="ListParagraph"/>
        <w:tabs>
          <w:tab w:val="left" w:pos="0"/>
        </w:tabs>
        <w:ind w:left="0"/>
        <w:rPr>
          <w:sz w:val="22"/>
          <w:szCs w:val="22"/>
          <w:lang w:val="ru-RU"/>
        </w:rPr>
      </w:pPr>
      <w:r w:rsidRPr="003048D6">
        <w:rPr>
          <w:sz w:val="22"/>
          <w:szCs w:val="22"/>
          <w:lang w:val="ru-RU"/>
        </w:rPr>
        <w:t>ККАБВ рекомендовал ГА одобрить рекомендацию 6 Рабочей группы, отметив при этом ожидание в отношении того, что, насколько это возможно, будут приняты меры для стандартизации общей методологии оценки обязательств по МСПС во всех организациях системы ООН.</w:t>
      </w:r>
    </w:p>
    <w:p w:rsidR="00FA35BB" w:rsidRDefault="00FA35BB">
      <w:pPr>
        <w:rPr>
          <w:rFonts w:eastAsia="Times New Roman" w:cs="Times New Roman"/>
          <w:szCs w:val="22"/>
          <w:lang w:val="ru-RU" w:eastAsia="en-US"/>
        </w:rPr>
      </w:pPr>
      <w:r>
        <w:rPr>
          <w:szCs w:val="22"/>
          <w:lang w:val="ru-RU"/>
        </w:rPr>
        <w:br w:type="page"/>
      </w:r>
    </w:p>
    <w:p w:rsidR="003048D6" w:rsidRPr="000E5F04" w:rsidRDefault="003048D6" w:rsidP="003048D6">
      <w:pPr>
        <w:tabs>
          <w:tab w:val="left" w:pos="1440"/>
        </w:tabs>
        <w:rPr>
          <w:b/>
          <w:lang w:val="ru-RU"/>
        </w:rPr>
      </w:pPr>
      <w:r w:rsidRPr="003048D6">
        <w:rPr>
          <w:b/>
          <w:lang w:val="ru-RU"/>
        </w:rPr>
        <w:lastRenderedPageBreak/>
        <w:t>КОМПОНЕНТ D</w:t>
      </w:r>
      <w:r w:rsidRPr="003048D6">
        <w:rPr>
          <w:b/>
          <w:lang w:val="ru-RU"/>
        </w:rPr>
        <w:tab/>
        <w:t>Альтернативные варианты финансирования обязательств</w:t>
      </w:r>
    </w:p>
    <w:p w:rsidR="003048D6" w:rsidRPr="000E5F04" w:rsidRDefault="003048D6" w:rsidP="00994411">
      <w:pPr>
        <w:rPr>
          <w:lang w:val="ru-RU"/>
        </w:rPr>
      </w:pPr>
    </w:p>
    <w:p w:rsidR="003048D6" w:rsidRPr="000E5F04" w:rsidRDefault="003048D6" w:rsidP="003048D6">
      <w:pPr>
        <w:tabs>
          <w:tab w:val="left" w:pos="2340"/>
        </w:tabs>
        <w:rPr>
          <w:lang w:val="ru-RU"/>
        </w:rPr>
      </w:pPr>
      <w:r w:rsidRPr="003048D6">
        <w:rPr>
          <w:u w:val="single"/>
          <w:lang w:val="ru-RU"/>
        </w:rPr>
        <w:t>Рекомендация 7</w:t>
      </w:r>
      <w:r w:rsidRPr="003048D6">
        <w:rPr>
          <w:lang w:val="ru-RU"/>
        </w:rPr>
        <w:t>:</w:t>
      </w:r>
      <w:r w:rsidRPr="003048D6">
        <w:rPr>
          <w:lang w:val="ru-RU"/>
        </w:rPr>
        <w:tab/>
        <w:t>Надлежащее финансирование обязательств по МСПС</w:t>
      </w:r>
    </w:p>
    <w:p w:rsidR="003048D6" w:rsidRPr="000E5F04" w:rsidRDefault="003048D6" w:rsidP="00994411">
      <w:pPr>
        <w:rPr>
          <w:lang w:val="ru-RU"/>
        </w:rPr>
      </w:pPr>
    </w:p>
    <w:p w:rsidR="003048D6" w:rsidRPr="000E5F04" w:rsidRDefault="003048D6" w:rsidP="003048D6">
      <w:pPr>
        <w:rPr>
          <w:lang w:val="ru-RU"/>
        </w:rPr>
      </w:pPr>
      <w:r w:rsidRPr="003048D6">
        <w:rPr>
          <w:lang w:val="ru-RU"/>
        </w:rPr>
        <w:t>Рабочая группа рекомендует организациям обеспечить надлежащее финансирование своих обязательств по МСПС и создать резервы как минимум для финансирования дополнительных расходов, начисленных в течение текущего периода, в виде расходов на обслуживание и соответствующих затрат на оплату процентов.</w:t>
      </w:r>
      <w:r w:rsidR="00994411" w:rsidRPr="000E5F04">
        <w:rPr>
          <w:lang w:val="ru-RU"/>
        </w:rPr>
        <w:t xml:space="preserve"> </w:t>
      </w:r>
      <w:r w:rsidR="00FA35BB">
        <w:rPr>
          <w:lang w:val="ru-RU"/>
        </w:rPr>
        <w:t xml:space="preserve"> </w:t>
      </w:r>
      <w:r w:rsidRPr="003048D6">
        <w:rPr>
          <w:lang w:val="ru-RU"/>
        </w:rPr>
        <w:t>Для тех организаций, которые по-прежнему придерживаются распределительного подхода в отношении своих обязательств по МСПС, это будет означать переход к накопительному подходу, отражающему истинную стоимость текущих операций.</w:t>
      </w:r>
    </w:p>
    <w:p w:rsidR="003048D6" w:rsidRPr="000E5F04" w:rsidRDefault="003048D6" w:rsidP="00994411">
      <w:pPr>
        <w:rPr>
          <w:lang w:val="ru-RU"/>
        </w:rPr>
      </w:pPr>
    </w:p>
    <w:p w:rsidR="003048D6" w:rsidRPr="000E5F04" w:rsidRDefault="003048D6" w:rsidP="003048D6">
      <w:pPr>
        <w:rPr>
          <w:lang w:val="ru-RU"/>
        </w:rPr>
      </w:pPr>
      <w:r w:rsidRPr="003048D6">
        <w:rPr>
          <w:lang w:val="ru-RU"/>
        </w:rPr>
        <w:t>Кроме того, организации могли бы рассмотреть вопрос о включении механизма финансирования в стандартные расходы по персоналу, используемые при составлении бюджета.</w:t>
      </w:r>
    </w:p>
    <w:p w:rsidR="003048D6" w:rsidRPr="000E5F04" w:rsidRDefault="003048D6" w:rsidP="00994411">
      <w:pPr>
        <w:rPr>
          <w:lang w:val="ru-RU"/>
        </w:rPr>
      </w:pPr>
    </w:p>
    <w:p w:rsidR="003048D6" w:rsidRPr="000E5F04" w:rsidRDefault="003048D6" w:rsidP="003048D6">
      <w:pPr>
        <w:rPr>
          <w:lang w:val="ru-RU"/>
        </w:rPr>
      </w:pPr>
      <w:r w:rsidRPr="003048D6">
        <w:rPr>
          <w:lang w:val="ru-RU"/>
        </w:rPr>
        <w:t>Организации, управляющие внебюджетными средствами, должны обеспечивать, чтобы ни один счет с не обеспеченными средствами обязательствами по МСПС не закрывался до погашения этих обязательств посредством использования имеющихся средств для покрытия принятых к учету обязательств.</w:t>
      </w:r>
    </w:p>
    <w:p w:rsidR="003048D6" w:rsidRPr="000E5F04" w:rsidRDefault="003048D6" w:rsidP="00994411">
      <w:pPr>
        <w:rPr>
          <w:lang w:val="ru-RU"/>
        </w:rPr>
      </w:pPr>
    </w:p>
    <w:p w:rsidR="003048D6" w:rsidRPr="000E5F04" w:rsidRDefault="003048D6" w:rsidP="003048D6">
      <w:pPr>
        <w:rPr>
          <w:lang w:val="ru-RU"/>
        </w:rPr>
      </w:pPr>
      <w:r w:rsidRPr="003048D6">
        <w:rPr>
          <w:lang w:val="ru-RU"/>
        </w:rPr>
        <w:t>Государства-члены и другие вносящие взносы заинтересованные стороны могли бы также рассмотреть вопрос о предоставлении организациям, где это необходимо, единовременных выплат или конкретных методов ограниченного по срокам финансирования для устранения давней нехватки финансовых средств для покрытия расходов по МСПС.</w:t>
      </w:r>
    </w:p>
    <w:p w:rsidR="003048D6" w:rsidRPr="000E5F04" w:rsidRDefault="003048D6" w:rsidP="00994411">
      <w:pPr>
        <w:rPr>
          <w:lang w:val="ru-RU"/>
        </w:rPr>
      </w:pPr>
    </w:p>
    <w:p w:rsidR="003048D6" w:rsidRPr="000E5F04" w:rsidRDefault="003048D6" w:rsidP="003048D6">
      <w:pPr>
        <w:pStyle w:val="ListParagraph"/>
        <w:tabs>
          <w:tab w:val="left" w:pos="1440"/>
        </w:tabs>
        <w:ind w:left="0"/>
        <w:rPr>
          <w:sz w:val="22"/>
          <w:szCs w:val="22"/>
          <w:lang w:val="ru-RU"/>
        </w:rPr>
      </w:pPr>
      <w:r w:rsidRPr="003048D6">
        <w:rPr>
          <w:sz w:val="22"/>
          <w:szCs w:val="22"/>
          <w:lang w:val="ru-RU"/>
        </w:rPr>
        <w:t>Что касается рекомендации</w:t>
      </w:r>
      <w:r w:rsidR="00FA35BB">
        <w:rPr>
          <w:sz w:val="22"/>
          <w:szCs w:val="22"/>
          <w:lang w:val="ru-RU"/>
        </w:rPr>
        <w:t> </w:t>
      </w:r>
      <w:r w:rsidRPr="003048D6">
        <w:rPr>
          <w:sz w:val="22"/>
          <w:szCs w:val="22"/>
          <w:lang w:val="ru-RU"/>
        </w:rPr>
        <w:t>7, то ККАБВ отметил, что для многих организаций системы ООН это будет означать переход от распределительного подхода в отношении своих обязательств по МСПС к применению накопительного подхода.</w:t>
      </w:r>
      <w:r w:rsidR="00994411" w:rsidRPr="000E5F04">
        <w:rPr>
          <w:sz w:val="22"/>
          <w:szCs w:val="22"/>
          <w:lang w:val="ru-RU"/>
        </w:rPr>
        <w:t xml:space="preserve"> </w:t>
      </w:r>
      <w:r w:rsidR="00FA35BB">
        <w:rPr>
          <w:sz w:val="22"/>
          <w:szCs w:val="22"/>
          <w:lang w:val="ru-RU"/>
        </w:rPr>
        <w:t xml:space="preserve"> </w:t>
      </w:r>
      <w:r w:rsidRPr="003048D6">
        <w:rPr>
          <w:sz w:val="22"/>
          <w:szCs w:val="22"/>
          <w:lang w:val="ru-RU"/>
        </w:rPr>
        <w:t>Комитет также отметил, что ГА по-прежнему считает, что действующий распределительный подход является жизнеспособным вариантом.</w:t>
      </w:r>
      <w:r w:rsidR="00994411" w:rsidRPr="000E5F04">
        <w:rPr>
          <w:sz w:val="22"/>
          <w:szCs w:val="22"/>
          <w:lang w:val="ru-RU"/>
        </w:rPr>
        <w:t xml:space="preserve">  </w:t>
      </w:r>
      <w:r w:rsidRPr="003048D6">
        <w:rPr>
          <w:sz w:val="22"/>
          <w:szCs w:val="22"/>
          <w:lang w:val="ru-RU"/>
        </w:rPr>
        <w:t>Комитет придерживается мнения о том, что обоснование необходимости резервирования бюджетных средств, предназначенных для финансирования текущей деятельности с целью обеспечить покрытие ожидаемых будущих обязательств, аргументировано недостаточно убедительно, и поэтому он рекомендовал продолжать применять распределительный подход.</w:t>
      </w:r>
    </w:p>
    <w:p w:rsidR="003048D6" w:rsidRPr="000E5F04" w:rsidRDefault="003048D6" w:rsidP="00994411">
      <w:pPr>
        <w:pStyle w:val="ListParagraph"/>
        <w:tabs>
          <w:tab w:val="left" w:pos="1440"/>
        </w:tabs>
        <w:ind w:left="0"/>
        <w:rPr>
          <w:sz w:val="22"/>
          <w:szCs w:val="22"/>
          <w:lang w:val="ru-RU"/>
        </w:rPr>
      </w:pPr>
    </w:p>
    <w:p w:rsidR="003048D6" w:rsidRPr="000E5F04" w:rsidRDefault="003048D6" w:rsidP="003048D6">
      <w:pPr>
        <w:pStyle w:val="ListParagraph"/>
        <w:tabs>
          <w:tab w:val="left" w:pos="1440"/>
        </w:tabs>
        <w:ind w:left="0"/>
        <w:rPr>
          <w:sz w:val="22"/>
          <w:szCs w:val="22"/>
          <w:lang w:val="ru-RU"/>
        </w:rPr>
      </w:pPr>
      <w:r w:rsidRPr="003048D6">
        <w:rPr>
          <w:sz w:val="22"/>
          <w:szCs w:val="22"/>
          <w:lang w:val="ru-RU"/>
        </w:rPr>
        <w:t>Комитет также просил осуществлять в будущем тщательный контроль за обязательствами по МСПС, с тем чтобы обеспечить точное отнесение накопленных обязательств к соответствующим источникам их финансирования.</w:t>
      </w:r>
    </w:p>
    <w:p w:rsidR="003048D6" w:rsidRPr="000E5F04" w:rsidRDefault="003048D6" w:rsidP="00994411">
      <w:pPr>
        <w:rPr>
          <w:lang w:val="ru-RU"/>
        </w:rPr>
      </w:pPr>
    </w:p>
    <w:p w:rsidR="003048D6" w:rsidRPr="000E5F04" w:rsidRDefault="003048D6" w:rsidP="003048D6">
      <w:pPr>
        <w:tabs>
          <w:tab w:val="left" w:pos="2340"/>
        </w:tabs>
        <w:rPr>
          <w:lang w:val="ru-RU"/>
        </w:rPr>
      </w:pPr>
      <w:r w:rsidRPr="003048D6">
        <w:rPr>
          <w:u w:val="single"/>
          <w:lang w:val="ru-RU"/>
        </w:rPr>
        <w:t>Рекомендация 8</w:t>
      </w:r>
      <w:r w:rsidRPr="003048D6">
        <w:rPr>
          <w:lang w:val="ru-RU"/>
        </w:rPr>
        <w:t>:</w:t>
      </w:r>
      <w:r w:rsidRPr="003048D6">
        <w:rPr>
          <w:lang w:val="ru-RU"/>
        </w:rPr>
        <w:tab/>
        <w:t>Инвестирование резервных средств</w:t>
      </w:r>
    </w:p>
    <w:p w:rsidR="003048D6" w:rsidRPr="000E5F04" w:rsidRDefault="003048D6" w:rsidP="00994411">
      <w:pPr>
        <w:rPr>
          <w:lang w:val="ru-RU"/>
        </w:rPr>
      </w:pPr>
    </w:p>
    <w:p w:rsidR="003048D6" w:rsidRPr="000E5F04" w:rsidRDefault="003048D6" w:rsidP="003048D6">
      <w:pPr>
        <w:rPr>
          <w:lang w:val="ru-RU"/>
        </w:rPr>
      </w:pPr>
      <w:r w:rsidRPr="003048D6">
        <w:rPr>
          <w:lang w:val="ru-RU"/>
        </w:rPr>
        <w:t>Рабочая группа рекомендует организациям системы ООН изучить через Рабочую группу по общим казначейским услугам (РГОКУ) возможности сотрудничества в использовании существующих процедур привлечения внешних управляющих активами для максимального увеличения поступлений и сведения к минимуму комиссии за управление активами.</w:t>
      </w:r>
    </w:p>
    <w:p w:rsidR="00DF0008" w:rsidRDefault="00DF0008">
      <w:pPr>
        <w:rPr>
          <w:lang w:val="ru-RU"/>
        </w:rPr>
      </w:pPr>
      <w:r>
        <w:rPr>
          <w:lang w:val="ru-RU"/>
        </w:rPr>
        <w:br w:type="page"/>
      </w:r>
    </w:p>
    <w:p w:rsidR="003048D6" w:rsidRPr="000E5F04" w:rsidRDefault="003048D6" w:rsidP="003048D6">
      <w:pPr>
        <w:tabs>
          <w:tab w:val="left" w:pos="1440"/>
        </w:tabs>
        <w:rPr>
          <w:szCs w:val="22"/>
          <w:lang w:val="ru-RU"/>
        </w:rPr>
      </w:pPr>
      <w:r w:rsidRPr="003048D6">
        <w:rPr>
          <w:szCs w:val="22"/>
          <w:lang w:val="ru-RU"/>
        </w:rPr>
        <w:lastRenderedPageBreak/>
        <w:t>ККАБВ признал заслуживающей внимания рекомендацию</w:t>
      </w:r>
      <w:r w:rsidR="00FA35BB">
        <w:rPr>
          <w:szCs w:val="22"/>
          <w:lang w:val="ru-RU"/>
        </w:rPr>
        <w:t> </w:t>
      </w:r>
      <w:r w:rsidRPr="003048D6">
        <w:rPr>
          <w:szCs w:val="22"/>
          <w:lang w:val="ru-RU"/>
        </w:rPr>
        <w:t>8 относительно того, чтобы использовать существующие процедуры привлечения внешних управляющих активами для инвестирования резервных средств, предназначенных для покрытия обязательств по МСПС, не исключив возможности создания межучрежденческого фонда для инвестирования накопленных резервных средств.</w:t>
      </w:r>
    </w:p>
    <w:p w:rsidR="003048D6" w:rsidRPr="000E5F04" w:rsidRDefault="003048D6" w:rsidP="00994411">
      <w:pPr>
        <w:tabs>
          <w:tab w:val="left" w:pos="1440"/>
        </w:tabs>
        <w:rPr>
          <w:szCs w:val="22"/>
          <w:lang w:val="ru-RU"/>
        </w:rPr>
      </w:pPr>
    </w:p>
    <w:p w:rsidR="003048D6" w:rsidRPr="000E5F04" w:rsidRDefault="003048D6" w:rsidP="00994411">
      <w:pPr>
        <w:rPr>
          <w:lang w:val="ru-RU"/>
        </w:rPr>
      </w:pPr>
    </w:p>
    <w:p w:rsidR="003048D6" w:rsidRPr="001A7E6A" w:rsidRDefault="003048D6" w:rsidP="003048D6">
      <w:pPr>
        <w:pStyle w:val="Endofdocument-Annex"/>
        <w:rPr>
          <w:szCs w:val="22"/>
          <w:lang w:val="ru-RU"/>
        </w:rPr>
      </w:pPr>
      <w:r w:rsidRPr="001A7E6A">
        <w:rPr>
          <w:szCs w:val="22"/>
          <w:lang w:val="ru-RU"/>
        </w:rPr>
        <w:t>[</w:t>
      </w:r>
      <w:r w:rsidRPr="003048D6">
        <w:rPr>
          <w:szCs w:val="22"/>
          <w:lang w:val="ru-RU"/>
        </w:rPr>
        <w:t>Приложение</w:t>
      </w:r>
      <w:r w:rsidR="00E05311" w:rsidRPr="00E76393">
        <w:rPr>
          <w:szCs w:val="22"/>
        </w:rPr>
        <w:t> </w:t>
      </w:r>
      <w:r w:rsidRPr="000E5F04">
        <w:rPr>
          <w:szCs w:val="22"/>
        </w:rPr>
        <w:t>II</w:t>
      </w:r>
      <w:r w:rsidRPr="001A7E6A">
        <w:rPr>
          <w:szCs w:val="22"/>
          <w:lang w:val="ru-RU"/>
        </w:rPr>
        <w:t xml:space="preserve"> </w:t>
      </w:r>
      <w:r w:rsidRPr="003048D6">
        <w:rPr>
          <w:szCs w:val="22"/>
          <w:lang w:val="ru-RU"/>
        </w:rPr>
        <w:t>следует</w:t>
      </w:r>
      <w:r w:rsidRPr="001A7E6A">
        <w:rPr>
          <w:szCs w:val="22"/>
          <w:lang w:val="ru-RU"/>
        </w:rPr>
        <w:t>]</w:t>
      </w:r>
    </w:p>
    <w:p w:rsidR="009F0CDB" w:rsidRPr="001A7E6A" w:rsidRDefault="009F0CDB" w:rsidP="006948E1">
      <w:pPr>
        <w:tabs>
          <w:tab w:val="left" w:pos="6840"/>
        </w:tabs>
        <w:ind w:left="6210"/>
        <w:rPr>
          <w:szCs w:val="22"/>
          <w:lang w:val="ru-RU"/>
        </w:rPr>
        <w:sectPr w:rsidR="009F0CDB" w:rsidRPr="001A7E6A" w:rsidSect="009F0CDB">
          <w:headerReference w:type="default" r:id="rId12"/>
          <w:headerReference w:type="first" r:id="rId13"/>
          <w:pgSz w:w="11907" w:h="16840" w:code="9"/>
          <w:pgMar w:top="1417" w:right="1417" w:bottom="1417" w:left="1417" w:header="709" w:footer="709" w:gutter="0"/>
          <w:pgNumType w:start="1"/>
          <w:cols w:space="720"/>
          <w:titlePg/>
          <w:docGrid w:linePitch="299"/>
        </w:sectPr>
      </w:pPr>
    </w:p>
    <w:p w:rsidR="003048D6" w:rsidRPr="00E76393" w:rsidRDefault="00E76393" w:rsidP="00E66775">
      <w:pPr>
        <w:jc w:val="center"/>
        <w:rPr>
          <w:b/>
          <w:lang w:val="ru-RU"/>
        </w:rPr>
      </w:pPr>
      <w:r w:rsidRPr="00E76393">
        <w:rPr>
          <w:b/>
          <w:lang w:val="ru-RU"/>
        </w:rPr>
        <w:lastRenderedPageBreak/>
        <w:t>РЕКОМЕНДАЦИИ, ВЫНЕСЕННЫЕ РАБОЧЕЙ ГРУППОЙ ПО МСПС И</w:t>
      </w:r>
      <w:r w:rsidR="00E66775" w:rsidRPr="00E76393">
        <w:rPr>
          <w:b/>
          <w:lang w:val="ru-RU"/>
        </w:rPr>
        <w:t xml:space="preserve"> </w:t>
      </w:r>
      <w:r w:rsidRPr="00E76393">
        <w:rPr>
          <w:b/>
          <w:lang w:val="ru-RU"/>
        </w:rPr>
        <w:t>ККАБВ</w:t>
      </w:r>
    </w:p>
    <w:p w:rsidR="003048D6" w:rsidRPr="00E76393" w:rsidRDefault="003048D6" w:rsidP="006948E1">
      <w:pPr>
        <w:jc w:val="both"/>
        <w:rPr>
          <w:lang w:val="ru-RU"/>
        </w:rPr>
      </w:pPr>
    </w:p>
    <w:p w:rsidR="00F066CE" w:rsidRPr="00F066CE" w:rsidRDefault="00F066CE" w:rsidP="00F066CE">
      <w:pPr>
        <w:spacing w:after="220"/>
        <w:rPr>
          <w:rFonts w:eastAsia="SimSun"/>
          <w:szCs w:val="22"/>
          <w:lang w:val="ru-RU" w:eastAsia="zh-CN"/>
        </w:rPr>
      </w:pPr>
      <w:r>
        <w:rPr>
          <w:u w:val="single"/>
          <w:lang w:val="ru-RU"/>
        </w:rPr>
        <w:t>Рекомендация</w:t>
      </w:r>
      <w:r w:rsidRPr="00F066CE">
        <w:rPr>
          <w:u w:val="single"/>
          <w:lang w:val="ru-RU"/>
        </w:rPr>
        <w:t xml:space="preserve"> </w:t>
      </w:r>
      <w:r w:rsidR="00B67AD9">
        <w:rPr>
          <w:u w:val="single"/>
        </w:rPr>
        <w:t>A</w:t>
      </w:r>
      <w:r w:rsidR="00B67AD9" w:rsidRPr="00F066CE">
        <w:rPr>
          <w:lang w:val="ru-RU"/>
        </w:rPr>
        <w:t>:</w:t>
      </w:r>
      <w:r w:rsidR="00B67AD9" w:rsidRPr="00F066CE">
        <w:rPr>
          <w:lang w:val="ru-RU"/>
        </w:rPr>
        <w:tab/>
      </w:r>
      <w:r w:rsidRPr="00F066CE">
        <w:rPr>
          <w:rFonts w:eastAsia="Times New Roman"/>
          <w:szCs w:val="22"/>
          <w:lang w:val="ru-RU" w:eastAsia="en-US"/>
        </w:rPr>
        <w:t>Р</w:t>
      </w:r>
      <w:r w:rsidRPr="00F066CE">
        <w:rPr>
          <w:rFonts w:eastAsia="SimSun"/>
          <w:szCs w:val="22"/>
          <w:lang w:val="ru-RU" w:eastAsia="zh-CN"/>
        </w:rPr>
        <w:t>екомендуется сохранить Рабочую группу, созданную Генеральным секретарем под эгидой Сети по финансовым и бюджетным вопросам Комитета высокого уровня по вопросам управления Координационного совета руководителей системы Организации Объединенных Наций, дабы обеспечить непрерывность в отстаивании сроков и условий обслуживания, соответствующих передовой практике, сдерживания расходов и контроля в области осуществления внешними администраторами планов медицинского страхования.</w:t>
      </w:r>
    </w:p>
    <w:p w:rsidR="003048D6" w:rsidRPr="00F066CE" w:rsidRDefault="00F066CE" w:rsidP="005A2C36">
      <w:pPr>
        <w:spacing w:after="220"/>
        <w:rPr>
          <w:rFonts w:eastAsia="SimSun"/>
          <w:szCs w:val="22"/>
          <w:lang w:val="ru-RU" w:eastAsia="zh-CN"/>
        </w:rPr>
      </w:pPr>
      <w:r>
        <w:rPr>
          <w:u w:val="single"/>
          <w:lang w:val="ru-RU"/>
        </w:rPr>
        <w:t>Рекомендация</w:t>
      </w:r>
      <w:r w:rsidR="00E76393">
        <w:rPr>
          <w:u w:val="single"/>
          <w:lang w:val="ru-RU"/>
        </w:rPr>
        <w:t xml:space="preserve"> </w:t>
      </w:r>
      <w:r w:rsidR="00B67AD9">
        <w:rPr>
          <w:u w:val="single"/>
        </w:rPr>
        <w:t>B</w:t>
      </w:r>
      <w:r w:rsidR="00B67AD9" w:rsidRPr="00F066CE">
        <w:rPr>
          <w:lang w:val="ru-RU"/>
        </w:rPr>
        <w:t>:</w:t>
      </w:r>
      <w:r w:rsidR="00B67AD9" w:rsidRPr="00F066CE">
        <w:rPr>
          <w:lang w:val="ru-RU"/>
        </w:rPr>
        <w:tab/>
      </w:r>
      <w:r w:rsidRPr="00F066CE">
        <w:rPr>
          <w:rFonts w:eastAsia="SimSun"/>
          <w:szCs w:val="22"/>
          <w:lang w:val="ru-RU" w:eastAsia="zh-CN"/>
        </w:rPr>
        <w:t>Рекомендуется, чтобы Рабочая группа занялась возможностями сотрудничества организаций, базирующихся во всех местах, в расширении своего доступа по планам медицинского страхования к сетям поставщиков медицинских услуг во всех регионах для достижения наилучших цен на качественное медицинское обслуживание и сведения к минимуму нестабильности в установлении цен</w:t>
      </w:r>
      <w:r w:rsidR="00B67AD9" w:rsidRPr="00F066CE">
        <w:rPr>
          <w:rFonts w:eastAsia="SimSun"/>
          <w:szCs w:val="22"/>
          <w:lang w:val="ru-RU" w:eastAsia="zh-CN"/>
        </w:rPr>
        <w:t>.</w:t>
      </w:r>
    </w:p>
    <w:p w:rsidR="003048D6" w:rsidRPr="00F066CE" w:rsidRDefault="00F066CE" w:rsidP="005A2C36">
      <w:pPr>
        <w:spacing w:after="220"/>
        <w:rPr>
          <w:rFonts w:eastAsia="SimSun"/>
          <w:szCs w:val="22"/>
          <w:lang w:val="ru-RU" w:eastAsia="zh-CN"/>
        </w:rPr>
      </w:pPr>
      <w:r>
        <w:rPr>
          <w:u w:val="single"/>
          <w:lang w:val="ru-RU"/>
        </w:rPr>
        <w:t>Рекомендация</w:t>
      </w:r>
      <w:r w:rsidR="00B67AD9" w:rsidRPr="00F066CE">
        <w:rPr>
          <w:u w:val="single"/>
          <w:lang w:val="ru-RU"/>
        </w:rPr>
        <w:t xml:space="preserve"> </w:t>
      </w:r>
      <w:r w:rsidR="00B67AD9">
        <w:rPr>
          <w:u w:val="single"/>
        </w:rPr>
        <w:t>C</w:t>
      </w:r>
      <w:r w:rsidR="00B67AD9" w:rsidRPr="00F066CE">
        <w:rPr>
          <w:lang w:val="ru-RU"/>
        </w:rPr>
        <w:t>:</w:t>
      </w:r>
      <w:r w:rsidR="00B67AD9" w:rsidRPr="00F066CE">
        <w:rPr>
          <w:lang w:val="ru-RU"/>
        </w:rPr>
        <w:tab/>
      </w:r>
      <w:r w:rsidRPr="00F066CE">
        <w:rPr>
          <w:rFonts w:eastAsia="SimSun"/>
          <w:szCs w:val="22"/>
          <w:lang w:val="ru-RU" w:eastAsia="zh-CN"/>
        </w:rPr>
        <w:t>Рекомендуется, чтобы Рабочая группа настоятельно призвала организации скорректировать положения о конфиденциальности в договорах о страховании и контрактах с внешними администрат</w:t>
      </w:r>
      <w:r>
        <w:rPr>
          <w:rFonts w:eastAsia="SimSun"/>
          <w:szCs w:val="22"/>
          <w:lang w:val="ru-RU" w:eastAsia="zh-CN"/>
        </w:rPr>
        <w:t>о</w:t>
      </w:r>
      <w:r w:rsidRPr="00F066CE">
        <w:rPr>
          <w:rFonts w:eastAsia="SimSun"/>
          <w:szCs w:val="22"/>
          <w:lang w:val="ru-RU" w:eastAsia="zh-CN"/>
        </w:rPr>
        <w:t>рами, которые в настоящее время исключают обмен информацией в рамках системы Организации Объединенных Наций, и проводить регулярные общесистемные обзоры гарантий, направленные на то, чтобы позволить организациям системы Организации Объединенных Наций максимально использовать факторы масштаба и технического опыта при ведении переговоров об условиях страхования с компаниями, осуществляющими медицинское страхование. Далее рекомендуется, чтобы Рабочая группа пропагандировала объединение рисков, когда это практически осуществимо, в том числе в рамках кептивных страховых механизмов, когда это целесообразно</w:t>
      </w:r>
      <w:r w:rsidR="00B67AD9" w:rsidRPr="00F066CE">
        <w:rPr>
          <w:rFonts w:eastAsia="SimSun"/>
          <w:szCs w:val="22"/>
          <w:lang w:val="ru-RU" w:eastAsia="zh-CN"/>
        </w:rPr>
        <w:t>.</w:t>
      </w:r>
    </w:p>
    <w:p w:rsidR="003048D6" w:rsidRPr="00E76393" w:rsidRDefault="00E76393" w:rsidP="005A2C36">
      <w:pPr>
        <w:spacing w:after="220"/>
        <w:rPr>
          <w:rFonts w:eastAsia="SimSun"/>
          <w:szCs w:val="22"/>
          <w:lang w:val="ru-RU" w:eastAsia="zh-CN"/>
        </w:rPr>
      </w:pPr>
      <w:r>
        <w:rPr>
          <w:lang w:val="ru-RU"/>
        </w:rPr>
        <w:t>ККАБВ</w:t>
      </w:r>
      <w:r w:rsidRPr="00E76393">
        <w:rPr>
          <w:lang w:val="ru-RU"/>
        </w:rPr>
        <w:t xml:space="preserve"> </w:t>
      </w:r>
      <w:r>
        <w:rPr>
          <w:lang w:val="ru-RU"/>
        </w:rPr>
        <w:t>рекомендовал</w:t>
      </w:r>
      <w:r w:rsidRPr="00E76393">
        <w:rPr>
          <w:lang w:val="ru-RU"/>
        </w:rPr>
        <w:t xml:space="preserve"> </w:t>
      </w:r>
      <w:r>
        <w:rPr>
          <w:lang w:val="ru-RU"/>
        </w:rPr>
        <w:t>ГА</w:t>
      </w:r>
      <w:r w:rsidRPr="00E76393">
        <w:rPr>
          <w:lang w:val="ru-RU"/>
        </w:rPr>
        <w:t xml:space="preserve"> </w:t>
      </w:r>
      <w:r>
        <w:rPr>
          <w:lang w:val="ru-RU"/>
        </w:rPr>
        <w:t>одобрить</w:t>
      </w:r>
      <w:r w:rsidRPr="00E76393">
        <w:rPr>
          <w:lang w:val="ru-RU"/>
        </w:rPr>
        <w:t xml:space="preserve"> </w:t>
      </w:r>
      <w:r>
        <w:rPr>
          <w:lang w:val="ru-RU"/>
        </w:rPr>
        <w:t>рекомендации</w:t>
      </w:r>
      <w:r w:rsidRPr="00E76393">
        <w:rPr>
          <w:lang w:val="ru-RU"/>
        </w:rPr>
        <w:t xml:space="preserve"> </w:t>
      </w:r>
      <w:r w:rsidR="000A5ABD">
        <w:t>A</w:t>
      </w:r>
      <w:r w:rsidR="000A5ABD" w:rsidRPr="00E76393">
        <w:rPr>
          <w:lang w:val="ru-RU"/>
        </w:rPr>
        <w:t xml:space="preserve">, </w:t>
      </w:r>
      <w:r w:rsidR="000A5ABD" w:rsidRPr="00E76393">
        <w:t>B</w:t>
      </w:r>
      <w:r w:rsidR="000A5ABD" w:rsidRPr="00E76393">
        <w:rPr>
          <w:lang w:val="ru-RU"/>
        </w:rPr>
        <w:t xml:space="preserve"> </w:t>
      </w:r>
      <w:r w:rsidRPr="00E76393">
        <w:rPr>
          <w:lang w:val="ru-RU"/>
        </w:rPr>
        <w:t>и</w:t>
      </w:r>
      <w:r w:rsidR="000A5ABD" w:rsidRPr="00E76393">
        <w:rPr>
          <w:lang w:val="ru-RU"/>
        </w:rPr>
        <w:t xml:space="preserve"> </w:t>
      </w:r>
      <w:r w:rsidR="000A5ABD" w:rsidRPr="00E76393">
        <w:t>C</w:t>
      </w:r>
      <w:r w:rsidR="000A5ABD" w:rsidRPr="00E76393">
        <w:rPr>
          <w:lang w:val="ru-RU"/>
        </w:rPr>
        <w:t>.</w:t>
      </w:r>
    </w:p>
    <w:p w:rsidR="003048D6" w:rsidRPr="00914201" w:rsidRDefault="00F066CE" w:rsidP="005A2C36">
      <w:pPr>
        <w:spacing w:after="220"/>
        <w:rPr>
          <w:rFonts w:eastAsia="SimSun"/>
          <w:szCs w:val="22"/>
          <w:lang w:val="ru-RU" w:eastAsia="zh-CN"/>
        </w:rPr>
      </w:pPr>
      <w:r>
        <w:rPr>
          <w:u w:val="single"/>
          <w:lang w:val="ru-RU"/>
        </w:rPr>
        <w:t>Рекомендация</w:t>
      </w:r>
      <w:r w:rsidRPr="00914201">
        <w:rPr>
          <w:u w:val="single"/>
          <w:lang w:val="ru-RU"/>
        </w:rPr>
        <w:t xml:space="preserve"> </w:t>
      </w:r>
      <w:r w:rsidR="000A5ABD">
        <w:rPr>
          <w:u w:val="single"/>
        </w:rPr>
        <w:t>D</w:t>
      </w:r>
      <w:r w:rsidR="000A5ABD" w:rsidRPr="00914201">
        <w:rPr>
          <w:lang w:val="ru-RU"/>
        </w:rPr>
        <w:t>:</w:t>
      </w:r>
      <w:r w:rsidR="000A5ABD" w:rsidRPr="00914201">
        <w:rPr>
          <w:lang w:val="ru-RU"/>
        </w:rPr>
        <w:tab/>
      </w:r>
      <w:r w:rsidR="00914201" w:rsidRPr="00914201">
        <w:rPr>
          <w:rFonts w:eastAsia="SimSun"/>
          <w:szCs w:val="22"/>
          <w:lang w:val="ru-RU" w:eastAsia="zh-CN"/>
        </w:rPr>
        <w:t>Рекомендуется прекратить рассмотрение вопроса о распространении мандата Объединенного пенсионного фонда персонала Организации Объединенных Наций</w:t>
      </w:r>
      <w:r w:rsidR="00914201">
        <w:rPr>
          <w:rFonts w:eastAsia="SimSun"/>
          <w:szCs w:val="22"/>
          <w:lang w:val="ru-RU" w:eastAsia="zh-CN"/>
        </w:rPr>
        <w:t xml:space="preserve"> </w:t>
      </w:r>
      <w:r w:rsidR="00914201" w:rsidRPr="00914201">
        <w:rPr>
          <w:rFonts w:eastAsia="SimSun"/>
          <w:szCs w:val="22"/>
          <w:lang w:val="ru-RU" w:eastAsia="zh-CN"/>
        </w:rPr>
        <w:t>и рекомендуется также, чтобы Рабочая группа сосредоточила свои усилия на обеспечении последовательности в разработке планов медицинского страхования и консолидации планов по географическому и организационному признаку в целях достижения критического масштаба</w:t>
      </w:r>
      <w:r w:rsidR="00914201">
        <w:rPr>
          <w:rFonts w:eastAsia="SimSun"/>
          <w:szCs w:val="22"/>
          <w:lang w:val="ru-RU" w:eastAsia="zh-CN"/>
        </w:rPr>
        <w:t>.</w:t>
      </w:r>
    </w:p>
    <w:p w:rsidR="003048D6" w:rsidRPr="003B0160" w:rsidRDefault="003B0160" w:rsidP="005A2C36">
      <w:pPr>
        <w:spacing w:after="220"/>
        <w:rPr>
          <w:rFonts w:eastAsia="SimSun"/>
          <w:szCs w:val="22"/>
          <w:lang w:val="ru-RU" w:eastAsia="zh-CN"/>
        </w:rPr>
      </w:pPr>
      <w:r>
        <w:rPr>
          <w:lang w:val="ru-RU"/>
        </w:rPr>
        <w:t>ККАБВ</w:t>
      </w:r>
      <w:r w:rsidR="000A5ABD" w:rsidRPr="003B0160">
        <w:rPr>
          <w:lang w:val="ru-RU"/>
        </w:rPr>
        <w:t xml:space="preserve"> </w:t>
      </w:r>
      <w:r w:rsidRPr="003B0160">
        <w:rPr>
          <w:lang w:val="ru-RU"/>
        </w:rPr>
        <w:t>считает, что возможности О</w:t>
      </w:r>
      <w:r>
        <w:rPr>
          <w:lang w:val="ru-RU"/>
        </w:rPr>
        <w:t>ПФПООН</w:t>
      </w:r>
      <w:r w:rsidRPr="003B0160">
        <w:rPr>
          <w:lang w:val="ru-RU"/>
        </w:rPr>
        <w:t xml:space="preserve"> по предоставлению экономически эффективного решения в отношении инвестирования активов, зарезервированных для финансирования будущих пособий по </w:t>
      </w:r>
      <w:r>
        <w:rPr>
          <w:lang w:val="ru-RU"/>
        </w:rPr>
        <w:t>МСПС</w:t>
      </w:r>
      <w:r w:rsidRPr="003B0160">
        <w:rPr>
          <w:lang w:val="ru-RU"/>
        </w:rPr>
        <w:t>, могут быть изучены теми организациями системы, руководящие органы которых утвердят такое финансирование</w:t>
      </w:r>
      <w:r w:rsidR="000A5ABD" w:rsidRPr="003B0160">
        <w:rPr>
          <w:lang w:val="ru-RU"/>
        </w:rPr>
        <w:t xml:space="preserve">.  </w:t>
      </w:r>
      <w:r>
        <w:rPr>
          <w:lang w:val="ru-RU"/>
        </w:rPr>
        <w:t>Таким</w:t>
      </w:r>
      <w:r w:rsidRPr="003B0160">
        <w:rPr>
          <w:lang w:val="ru-RU"/>
        </w:rPr>
        <w:t xml:space="preserve"> </w:t>
      </w:r>
      <w:r>
        <w:rPr>
          <w:lang w:val="ru-RU"/>
        </w:rPr>
        <w:t>образом</w:t>
      </w:r>
      <w:r w:rsidRPr="003B0160">
        <w:rPr>
          <w:lang w:val="ru-RU"/>
        </w:rPr>
        <w:t xml:space="preserve">, </w:t>
      </w:r>
      <w:r>
        <w:rPr>
          <w:lang w:val="ru-RU"/>
        </w:rPr>
        <w:t>ККАБВ</w:t>
      </w:r>
      <w:r w:rsidRPr="003B0160">
        <w:rPr>
          <w:lang w:val="ru-RU"/>
        </w:rPr>
        <w:t xml:space="preserve"> </w:t>
      </w:r>
      <w:r>
        <w:rPr>
          <w:lang w:val="ru-RU"/>
        </w:rPr>
        <w:t>не</w:t>
      </w:r>
      <w:r w:rsidRPr="003B0160">
        <w:rPr>
          <w:lang w:val="ru-RU"/>
        </w:rPr>
        <w:t xml:space="preserve"> </w:t>
      </w:r>
      <w:r>
        <w:rPr>
          <w:lang w:val="ru-RU"/>
        </w:rPr>
        <w:t>рекоменд</w:t>
      </w:r>
      <w:r w:rsidR="00174F82">
        <w:rPr>
          <w:lang w:val="ru-RU"/>
        </w:rPr>
        <w:t xml:space="preserve">овал одобрить </w:t>
      </w:r>
      <w:r>
        <w:rPr>
          <w:lang w:val="ru-RU"/>
        </w:rPr>
        <w:t>рекомендацию </w:t>
      </w:r>
      <w:r w:rsidR="000A5ABD">
        <w:t>D</w:t>
      </w:r>
      <w:r w:rsidR="000A5ABD" w:rsidRPr="003B0160">
        <w:rPr>
          <w:lang w:val="ru-RU"/>
        </w:rPr>
        <w:t>.</w:t>
      </w:r>
    </w:p>
    <w:p w:rsidR="003048D6" w:rsidRPr="00174F82" w:rsidRDefault="00914201" w:rsidP="005A2C36">
      <w:pPr>
        <w:spacing w:after="220"/>
        <w:rPr>
          <w:rFonts w:eastAsia="SimSun"/>
          <w:szCs w:val="22"/>
          <w:lang w:val="ru-RU" w:eastAsia="zh-CN"/>
        </w:rPr>
      </w:pPr>
      <w:r>
        <w:rPr>
          <w:u w:val="single"/>
          <w:lang w:val="ru-RU"/>
        </w:rPr>
        <w:t>Рекомендация</w:t>
      </w:r>
      <w:r w:rsidRPr="00914201">
        <w:rPr>
          <w:u w:val="single"/>
          <w:lang w:val="ru-RU"/>
        </w:rPr>
        <w:t xml:space="preserve"> </w:t>
      </w:r>
      <w:r w:rsidR="00596F8A">
        <w:rPr>
          <w:u w:val="single"/>
        </w:rPr>
        <w:t>E</w:t>
      </w:r>
      <w:r w:rsidR="00596F8A" w:rsidRPr="00914201">
        <w:rPr>
          <w:lang w:val="ru-RU"/>
        </w:rPr>
        <w:t>:</w:t>
      </w:r>
      <w:r w:rsidR="00596F8A" w:rsidRPr="00914201">
        <w:rPr>
          <w:lang w:val="ru-RU"/>
        </w:rPr>
        <w:tab/>
      </w:r>
      <w:r w:rsidRPr="00914201">
        <w:rPr>
          <w:lang w:val="ru-RU"/>
        </w:rPr>
        <w:t>Рекомендуется, чтобы Рабочая группа продолжала активно занима</w:t>
      </w:r>
      <w:r w:rsidRPr="00174F82">
        <w:rPr>
          <w:lang w:val="ru-RU"/>
        </w:rPr>
        <w:t>ться согласованием принципов, определяющих оценку обязательств</w:t>
      </w:r>
      <w:r w:rsidR="00596F8A" w:rsidRPr="00174F82">
        <w:rPr>
          <w:lang w:val="ru-RU"/>
        </w:rPr>
        <w:t>.</w:t>
      </w:r>
    </w:p>
    <w:p w:rsidR="003048D6" w:rsidRPr="00174F82" w:rsidRDefault="00174F82" w:rsidP="005A2C36">
      <w:pPr>
        <w:spacing w:after="220"/>
        <w:rPr>
          <w:rFonts w:eastAsia="SimSun"/>
          <w:szCs w:val="22"/>
          <w:lang w:val="ru-RU" w:eastAsia="zh-CN"/>
        </w:rPr>
      </w:pPr>
      <w:r w:rsidRPr="00174F82">
        <w:rPr>
          <w:lang w:val="ru-RU"/>
        </w:rPr>
        <w:t>ККАБВ</w:t>
      </w:r>
      <w:r w:rsidR="00596F8A" w:rsidRPr="00174F82">
        <w:rPr>
          <w:lang w:val="ru-RU"/>
        </w:rPr>
        <w:t xml:space="preserve"> </w:t>
      </w:r>
      <w:r w:rsidRPr="00174F82">
        <w:rPr>
          <w:lang w:val="ru-RU"/>
        </w:rPr>
        <w:t>рекоменд</w:t>
      </w:r>
      <w:r>
        <w:rPr>
          <w:lang w:val="ru-RU"/>
        </w:rPr>
        <w:t xml:space="preserve">овал </w:t>
      </w:r>
      <w:r w:rsidRPr="00174F82">
        <w:rPr>
          <w:lang w:val="ru-RU"/>
        </w:rPr>
        <w:t>Г</w:t>
      </w:r>
      <w:r>
        <w:rPr>
          <w:lang w:val="ru-RU"/>
        </w:rPr>
        <w:t>А</w:t>
      </w:r>
      <w:r w:rsidRPr="00174F82">
        <w:rPr>
          <w:lang w:val="ru-RU"/>
        </w:rPr>
        <w:t xml:space="preserve"> одобрить рекомендацию</w:t>
      </w:r>
      <w:r>
        <w:rPr>
          <w:lang w:val="ru-RU"/>
        </w:rPr>
        <w:t> </w:t>
      </w:r>
      <w:r w:rsidRPr="00174F82">
        <w:rPr>
          <w:lang w:val="ru-RU"/>
        </w:rPr>
        <w:t>Е</w:t>
      </w:r>
      <w:r>
        <w:rPr>
          <w:lang w:val="ru-RU"/>
        </w:rPr>
        <w:t xml:space="preserve"> и</w:t>
      </w:r>
      <w:r w:rsidRPr="00174F82">
        <w:rPr>
          <w:lang w:val="ru-RU"/>
        </w:rPr>
        <w:t xml:space="preserve"> с интересом ожидает получения информации на основе использования согласованной методологии актуарной оценки обязательств организаций системы О</w:t>
      </w:r>
      <w:r>
        <w:rPr>
          <w:lang w:val="ru-RU"/>
        </w:rPr>
        <w:t>ОН</w:t>
      </w:r>
      <w:r w:rsidRPr="00174F82">
        <w:rPr>
          <w:lang w:val="ru-RU"/>
        </w:rPr>
        <w:t xml:space="preserve"> по </w:t>
      </w:r>
      <w:r>
        <w:rPr>
          <w:lang w:val="ru-RU"/>
        </w:rPr>
        <w:t>МСПС</w:t>
      </w:r>
      <w:r w:rsidR="00596F8A" w:rsidRPr="00174F82">
        <w:rPr>
          <w:lang w:val="ru-RU"/>
        </w:rPr>
        <w:t>.</w:t>
      </w:r>
    </w:p>
    <w:p w:rsidR="009F0CDB" w:rsidRDefault="00914201" w:rsidP="00914201">
      <w:pPr>
        <w:tabs>
          <w:tab w:val="left" w:pos="1440"/>
        </w:tabs>
        <w:rPr>
          <w:szCs w:val="22"/>
          <w:lang w:val="ru-RU"/>
        </w:rPr>
        <w:sectPr w:rsidR="009F0CDB" w:rsidSect="009F0CDB">
          <w:headerReference w:type="default" r:id="rId14"/>
          <w:headerReference w:type="first" r:id="rId15"/>
          <w:pgSz w:w="11907" w:h="16840" w:code="9"/>
          <w:pgMar w:top="1417" w:right="1417" w:bottom="1417" w:left="1417" w:header="709" w:footer="709" w:gutter="0"/>
          <w:pgNumType w:start="1"/>
          <w:cols w:space="720"/>
          <w:titlePg/>
          <w:docGrid w:linePitch="299"/>
        </w:sectPr>
      </w:pPr>
      <w:r w:rsidRPr="00174F82">
        <w:rPr>
          <w:u w:val="single"/>
          <w:lang w:val="ru-RU"/>
        </w:rPr>
        <w:t>Реком</w:t>
      </w:r>
      <w:r>
        <w:rPr>
          <w:u w:val="single"/>
          <w:lang w:val="ru-RU"/>
        </w:rPr>
        <w:t>ендация</w:t>
      </w:r>
      <w:r w:rsidR="00174F82">
        <w:rPr>
          <w:u w:val="single"/>
          <w:lang w:val="ru-RU"/>
        </w:rPr>
        <w:t xml:space="preserve"> </w:t>
      </w:r>
      <w:r w:rsidR="00596F8A">
        <w:rPr>
          <w:u w:val="single"/>
        </w:rPr>
        <w:t>G</w:t>
      </w:r>
      <w:r w:rsidR="00596F8A" w:rsidRPr="00914201">
        <w:rPr>
          <w:lang w:val="ru-RU"/>
        </w:rPr>
        <w:t>:</w:t>
      </w:r>
      <w:r w:rsidR="00596F8A" w:rsidRPr="00914201">
        <w:rPr>
          <w:lang w:val="ru-RU"/>
        </w:rPr>
        <w:tab/>
      </w:r>
      <w:r w:rsidRPr="00914201">
        <w:rPr>
          <w:lang w:val="ru-RU"/>
        </w:rPr>
        <w:t>Рекомендуется, чтобы Рабочая группа по общим казначейским услугам, созданная Сетью по финансовым и бюджетным вопросам Комитета высокого уровня по вопросам управления, продолжала содействовать межучрежденческому сотрудничеству в отношении инвестирования средств, предназначенных для покрытия обязательств по медицинскому страхованию после выхода на пенсию.</w:t>
      </w:r>
      <w:r w:rsidR="003413C6" w:rsidRPr="00914201">
        <w:rPr>
          <w:szCs w:val="22"/>
          <w:lang w:val="ru-RU"/>
        </w:rPr>
        <w:t xml:space="preserve"> </w:t>
      </w:r>
    </w:p>
    <w:p w:rsidR="003048D6" w:rsidRPr="00914201" w:rsidRDefault="003048D6" w:rsidP="00914201">
      <w:pPr>
        <w:tabs>
          <w:tab w:val="left" w:pos="1440"/>
        </w:tabs>
        <w:rPr>
          <w:szCs w:val="22"/>
          <w:lang w:val="ru-RU"/>
        </w:rPr>
      </w:pPr>
    </w:p>
    <w:p w:rsidR="003048D6" w:rsidRPr="009F0CDB" w:rsidRDefault="009F0CDB" w:rsidP="003413C6">
      <w:pPr>
        <w:tabs>
          <w:tab w:val="left" w:pos="1440"/>
        </w:tabs>
        <w:rPr>
          <w:szCs w:val="22"/>
          <w:lang w:val="ru-RU"/>
        </w:rPr>
      </w:pPr>
      <w:r w:rsidRPr="009F0CDB">
        <w:rPr>
          <w:szCs w:val="22"/>
          <w:lang w:val="ru-RU"/>
        </w:rPr>
        <w:t xml:space="preserve">Что касается тех организаций, которые зарезервировали средства для покрытия своих обязательств по </w:t>
      </w:r>
      <w:r>
        <w:rPr>
          <w:szCs w:val="22"/>
          <w:lang w:val="ru-RU"/>
        </w:rPr>
        <w:t>МСПС</w:t>
      </w:r>
      <w:r w:rsidRPr="009F0CDB">
        <w:rPr>
          <w:szCs w:val="22"/>
          <w:lang w:val="ru-RU"/>
        </w:rPr>
        <w:t>, то К</w:t>
      </w:r>
      <w:r>
        <w:rPr>
          <w:szCs w:val="22"/>
          <w:lang w:val="ru-RU"/>
        </w:rPr>
        <w:t>КАБВ</w:t>
      </w:r>
      <w:r w:rsidRPr="009F0CDB">
        <w:rPr>
          <w:szCs w:val="22"/>
          <w:lang w:val="ru-RU"/>
        </w:rPr>
        <w:t xml:space="preserve"> приветств</w:t>
      </w:r>
      <w:r>
        <w:rPr>
          <w:szCs w:val="22"/>
          <w:lang w:val="ru-RU"/>
        </w:rPr>
        <w:t xml:space="preserve">овал </w:t>
      </w:r>
      <w:r w:rsidRPr="009F0CDB">
        <w:rPr>
          <w:szCs w:val="22"/>
          <w:lang w:val="ru-RU"/>
        </w:rPr>
        <w:t>усилия Рабочей группы по общим казначейским услугам</w:t>
      </w:r>
      <w:r>
        <w:rPr>
          <w:szCs w:val="22"/>
          <w:lang w:val="ru-RU"/>
        </w:rPr>
        <w:t xml:space="preserve"> (РГОКУ)</w:t>
      </w:r>
      <w:r w:rsidRPr="009F0CDB">
        <w:rPr>
          <w:szCs w:val="22"/>
          <w:lang w:val="ru-RU"/>
        </w:rPr>
        <w:t xml:space="preserve"> по изучению возможностей для сотрудничества.</w:t>
      </w:r>
      <w:r>
        <w:rPr>
          <w:szCs w:val="22"/>
          <w:lang w:val="ru-RU"/>
        </w:rPr>
        <w:t xml:space="preserve"> </w:t>
      </w:r>
      <w:r w:rsidRPr="009F0CDB">
        <w:rPr>
          <w:szCs w:val="22"/>
          <w:lang w:val="ru-RU"/>
        </w:rPr>
        <w:t xml:space="preserve"> К</w:t>
      </w:r>
      <w:r>
        <w:rPr>
          <w:szCs w:val="22"/>
          <w:lang w:val="ru-RU"/>
        </w:rPr>
        <w:t>ЕАБВ</w:t>
      </w:r>
      <w:r w:rsidRPr="009F0CDB">
        <w:rPr>
          <w:szCs w:val="22"/>
          <w:lang w:val="ru-RU"/>
        </w:rPr>
        <w:t xml:space="preserve"> рекоменд</w:t>
      </w:r>
      <w:r>
        <w:rPr>
          <w:szCs w:val="22"/>
          <w:lang w:val="ru-RU"/>
        </w:rPr>
        <w:t xml:space="preserve">овал </w:t>
      </w:r>
      <w:r w:rsidRPr="009F0CDB">
        <w:rPr>
          <w:szCs w:val="22"/>
          <w:lang w:val="ru-RU"/>
        </w:rPr>
        <w:t>Г</w:t>
      </w:r>
      <w:r>
        <w:rPr>
          <w:szCs w:val="22"/>
          <w:lang w:val="ru-RU"/>
        </w:rPr>
        <w:t>А</w:t>
      </w:r>
      <w:r w:rsidRPr="009F0CDB">
        <w:rPr>
          <w:szCs w:val="22"/>
          <w:lang w:val="ru-RU"/>
        </w:rPr>
        <w:t xml:space="preserve"> одобрить рекомендацию</w:t>
      </w:r>
      <w:r w:rsidRPr="009F0CDB">
        <w:rPr>
          <w:szCs w:val="22"/>
        </w:rPr>
        <w:t> </w:t>
      </w:r>
      <w:r w:rsidRPr="009F0CDB">
        <w:rPr>
          <w:szCs w:val="22"/>
          <w:lang w:val="ru-RU"/>
        </w:rPr>
        <w:t>G</w:t>
      </w:r>
    </w:p>
    <w:p w:rsidR="003048D6" w:rsidRPr="00914201" w:rsidRDefault="003048D6" w:rsidP="003413C6">
      <w:pPr>
        <w:rPr>
          <w:lang w:val="ru-RU"/>
        </w:rPr>
      </w:pPr>
    </w:p>
    <w:p w:rsidR="003048D6" w:rsidRPr="009F0CDB" w:rsidRDefault="003048D6" w:rsidP="003048D6">
      <w:pPr>
        <w:pStyle w:val="Endofdocument-Annex"/>
        <w:rPr>
          <w:lang w:val="ru-RU"/>
        </w:rPr>
      </w:pPr>
      <w:r w:rsidRPr="009F0CDB">
        <w:rPr>
          <w:lang w:val="ru-RU"/>
        </w:rPr>
        <w:t>[</w:t>
      </w:r>
      <w:r w:rsidRPr="003048D6">
        <w:rPr>
          <w:lang w:val="ru-RU"/>
        </w:rPr>
        <w:t>Конец</w:t>
      </w:r>
      <w:r w:rsidRPr="009F0CDB">
        <w:rPr>
          <w:lang w:val="ru-RU"/>
        </w:rPr>
        <w:t xml:space="preserve"> </w:t>
      </w:r>
      <w:r w:rsidRPr="003048D6">
        <w:rPr>
          <w:lang w:val="ru-RU"/>
        </w:rPr>
        <w:t>приложени</w:t>
      </w:r>
      <w:r w:rsidR="009F0CDB">
        <w:rPr>
          <w:lang w:val="ru-RU"/>
        </w:rPr>
        <w:t>й</w:t>
      </w:r>
      <w:r w:rsidRPr="009F0CDB">
        <w:rPr>
          <w:lang w:val="ru-RU"/>
        </w:rPr>
        <w:t xml:space="preserve"> </w:t>
      </w:r>
      <w:r w:rsidRPr="003048D6">
        <w:rPr>
          <w:lang w:val="ru-RU"/>
        </w:rPr>
        <w:t>и</w:t>
      </w:r>
      <w:r w:rsidRPr="009F0CDB">
        <w:rPr>
          <w:lang w:val="ru-RU"/>
        </w:rPr>
        <w:t xml:space="preserve"> </w:t>
      </w:r>
      <w:r w:rsidRPr="003048D6">
        <w:rPr>
          <w:lang w:val="ru-RU"/>
        </w:rPr>
        <w:t>документа</w:t>
      </w:r>
      <w:r w:rsidRPr="009F0CDB">
        <w:rPr>
          <w:lang w:val="ru-RU"/>
        </w:rPr>
        <w:t>]</w:t>
      </w:r>
    </w:p>
    <w:p w:rsidR="003413C6" w:rsidRDefault="003413C6" w:rsidP="00550866">
      <w:pPr>
        <w:pStyle w:val="Endofdocument-Annex"/>
        <w:rPr>
          <w:lang w:val="ru-RU"/>
        </w:rPr>
      </w:pPr>
    </w:p>
    <w:p w:rsidR="00DF0008" w:rsidRPr="009F0CDB" w:rsidRDefault="00DF0008" w:rsidP="00550866">
      <w:pPr>
        <w:pStyle w:val="Endofdocument-Annex"/>
        <w:rPr>
          <w:lang w:val="ru-RU"/>
        </w:rPr>
      </w:pPr>
    </w:p>
    <w:sectPr w:rsidR="00DF0008" w:rsidRPr="009F0CDB" w:rsidSect="009F0CDB">
      <w:headerReference w:type="default" r:id="rId16"/>
      <w:headerReference w:type="first" r:id="rId17"/>
      <w:pgSz w:w="11907" w:h="16840"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72F" w:rsidRDefault="0002072F" w:rsidP="00E66775">
      <w:r>
        <w:separator/>
      </w:r>
    </w:p>
  </w:endnote>
  <w:endnote w:type="continuationSeparator" w:id="0">
    <w:p w:rsidR="0002072F" w:rsidRDefault="0002072F" w:rsidP="00E6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72F" w:rsidRDefault="0002072F" w:rsidP="00E66775">
      <w:r>
        <w:separator/>
      </w:r>
    </w:p>
  </w:footnote>
  <w:footnote w:type="continuationSeparator" w:id="0">
    <w:p w:rsidR="0002072F" w:rsidRDefault="0002072F" w:rsidP="00E66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2F" w:rsidRDefault="0002072F" w:rsidP="003048D6">
    <w:pPr>
      <w:jc w:val="right"/>
    </w:pPr>
    <w:r w:rsidRPr="003048D6">
      <w:rPr>
        <w:lang w:val="ru-RU"/>
      </w:rPr>
      <w:t>WO/PBC/26/6</w:t>
    </w:r>
  </w:p>
  <w:p w:rsidR="0002072F" w:rsidRDefault="0002072F" w:rsidP="003048D6">
    <w:pPr>
      <w:jc w:val="right"/>
    </w:pPr>
    <w:r>
      <w:rPr>
        <w:lang w:val="ru-RU"/>
      </w:rPr>
      <w:t>с</w:t>
    </w:r>
    <w:r w:rsidRPr="003048D6">
      <w:rPr>
        <w:lang w:val="ru-RU"/>
      </w:rPr>
      <w:t>тр</w:t>
    </w:r>
    <w:r>
      <w:rPr>
        <w:lang w:val="ru-RU"/>
      </w:rPr>
      <w:t>.</w:t>
    </w:r>
    <w:r>
      <w:t xml:space="preserve"> </w:t>
    </w:r>
    <w:r>
      <w:fldChar w:fldCharType="begin"/>
    </w:r>
    <w:r>
      <w:instrText xml:space="preserve"> PAGE   \* MERGEFORMAT </w:instrText>
    </w:r>
    <w:r>
      <w:fldChar w:fldCharType="separate"/>
    </w:r>
    <w:r w:rsidR="003215CD">
      <w:rPr>
        <w:noProof/>
      </w:rPr>
      <w:t>3</w:t>
    </w:r>
    <w:r>
      <w:rPr>
        <w:noProof/>
      </w:rPr>
      <w:fldChar w:fldCharType="end"/>
    </w:r>
  </w:p>
  <w:p w:rsidR="0002072F" w:rsidRDefault="0002072F" w:rsidP="00994411">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2F" w:rsidRPr="00E66775" w:rsidRDefault="0002072F" w:rsidP="00E6677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CDB" w:rsidRPr="00924BBA" w:rsidRDefault="009F0CDB" w:rsidP="003048D6">
    <w:pPr>
      <w:jc w:val="right"/>
      <w:rPr>
        <w:lang w:val="ru-RU"/>
      </w:rPr>
    </w:pPr>
    <w:r w:rsidRPr="003048D6">
      <w:rPr>
        <w:lang w:val="ru-RU"/>
      </w:rPr>
      <w:t>W</w:t>
    </w:r>
    <w:r>
      <w:rPr>
        <w:lang w:val="ru-RU"/>
      </w:rPr>
      <w:t>O/PBC/26/</w:t>
    </w:r>
    <w:r w:rsidRPr="003048D6">
      <w:rPr>
        <w:lang w:val="ru-RU"/>
      </w:rPr>
      <w:t>6</w:t>
    </w:r>
  </w:p>
  <w:p w:rsidR="009F0CDB" w:rsidRDefault="009F0CDB" w:rsidP="003048D6">
    <w:pPr>
      <w:jc w:val="right"/>
    </w:pPr>
    <w:r w:rsidRPr="003048D6">
      <w:rPr>
        <w:lang w:val="ru-RU"/>
      </w:rPr>
      <w:t xml:space="preserve">Приложение I, стр. </w:t>
    </w:r>
    <w:r>
      <w:fldChar w:fldCharType="begin"/>
    </w:r>
    <w:r w:rsidRPr="00924BBA">
      <w:rPr>
        <w:lang w:val="ru-RU"/>
      </w:rPr>
      <w:instrText xml:space="preserve"> </w:instrText>
    </w:r>
    <w:r>
      <w:instrText>PAGE</w:instrText>
    </w:r>
    <w:r w:rsidRPr="00924BBA">
      <w:rPr>
        <w:lang w:val="ru-RU"/>
      </w:rPr>
      <w:instrText xml:space="preserve">  \* </w:instrText>
    </w:r>
    <w:r>
      <w:instrText>MERGEFORMAT</w:instrText>
    </w:r>
    <w:r w:rsidRPr="00924BBA">
      <w:rPr>
        <w:lang w:val="ru-RU"/>
      </w:rPr>
      <w:instrText xml:space="preserve"> </w:instrText>
    </w:r>
    <w:r>
      <w:fldChar w:fldCharType="separate"/>
    </w:r>
    <w:r w:rsidR="003215CD">
      <w:rPr>
        <w:noProof/>
      </w:rPr>
      <w:t>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2F" w:rsidRDefault="0002072F" w:rsidP="00E66775">
    <w:pPr>
      <w:jc w:val="right"/>
    </w:pPr>
    <w:r>
      <w:t>W</w:t>
    </w:r>
    <w:r w:rsidR="000E5F04">
      <w:t>O/PBC/26/</w:t>
    </w:r>
    <w:r>
      <w:t>6</w:t>
    </w:r>
  </w:p>
  <w:p w:rsidR="0002072F" w:rsidRPr="00E66775" w:rsidRDefault="000E5F04" w:rsidP="00E66775">
    <w:pPr>
      <w:pStyle w:val="Header"/>
      <w:jc w:val="right"/>
    </w:pPr>
    <w:r>
      <w:rPr>
        <w:lang w:val="ru-RU"/>
      </w:rPr>
      <w:t>ПРИЛОЖЕНИЕ</w:t>
    </w:r>
    <w:r w:rsidR="0002072F">
      <w:t xml:space="preserve"> 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CDB" w:rsidRPr="00924BBA" w:rsidRDefault="009F0CDB" w:rsidP="003048D6">
    <w:pPr>
      <w:jc w:val="right"/>
      <w:rPr>
        <w:lang w:val="ru-RU"/>
      </w:rPr>
    </w:pPr>
    <w:r w:rsidRPr="003048D6">
      <w:rPr>
        <w:lang w:val="ru-RU"/>
      </w:rPr>
      <w:t>W</w:t>
    </w:r>
    <w:r>
      <w:rPr>
        <w:lang w:val="ru-RU"/>
      </w:rPr>
      <w:t>O/PBC/26/</w:t>
    </w:r>
    <w:r w:rsidRPr="003048D6">
      <w:rPr>
        <w:lang w:val="ru-RU"/>
      </w:rPr>
      <w:t>6</w:t>
    </w:r>
  </w:p>
  <w:p w:rsidR="009F0CDB" w:rsidRDefault="009F0CDB" w:rsidP="003048D6">
    <w:pPr>
      <w:jc w:val="right"/>
    </w:pPr>
    <w:r w:rsidRPr="003048D6">
      <w:rPr>
        <w:lang w:val="ru-RU"/>
      </w:rPr>
      <w:t xml:space="preserve">Приложение I, стр. </w:t>
    </w:r>
    <w:r>
      <w:fldChar w:fldCharType="begin"/>
    </w:r>
    <w:r w:rsidRPr="00924BBA">
      <w:rPr>
        <w:lang w:val="ru-RU"/>
      </w:rPr>
      <w:instrText xml:space="preserve"> </w:instrText>
    </w:r>
    <w:r>
      <w:instrText>PAGE</w:instrText>
    </w:r>
    <w:r w:rsidRPr="00924BBA">
      <w:rPr>
        <w:lang w:val="ru-RU"/>
      </w:rPr>
      <w:instrText xml:space="preserve">  \* </w:instrText>
    </w:r>
    <w:r>
      <w:instrText>MERGEFORMAT</w:instrText>
    </w:r>
    <w:r w:rsidRPr="00924BBA">
      <w:rPr>
        <w:lang w:val="ru-RU"/>
      </w:rPr>
      <w:instrText xml:space="preserve"> </w:instrText>
    </w:r>
    <w:r>
      <w:fldChar w:fldCharType="separate"/>
    </w:r>
    <w:r>
      <w:rPr>
        <w:noProof/>
      </w:rPr>
      <w:t>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CDB" w:rsidRDefault="009F0CDB" w:rsidP="00E66775">
    <w:pPr>
      <w:jc w:val="right"/>
    </w:pPr>
    <w:r>
      <w:t>WO/PBC/26/6</w:t>
    </w:r>
  </w:p>
  <w:p w:rsidR="009F0CDB" w:rsidRPr="00E66775" w:rsidRDefault="009F0CDB" w:rsidP="00E66775">
    <w:pPr>
      <w:pStyle w:val="Header"/>
      <w:jc w:val="right"/>
    </w:pPr>
    <w:r>
      <w:rPr>
        <w:lang w:val="ru-RU"/>
      </w:rPr>
      <w:t>ПРИЛОЖЕНИЕ</w:t>
    </w:r>
    <w:r>
      <w:t xml:space="preserve"> II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CDB" w:rsidRPr="00924BBA" w:rsidRDefault="009F0CDB" w:rsidP="003048D6">
    <w:pPr>
      <w:jc w:val="right"/>
      <w:rPr>
        <w:lang w:val="ru-RU"/>
      </w:rPr>
    </w:pPr>
    <w:r w:rsidRPr="003048D6">
      <w:rPr>
        <w:lang w:val="ru-RU"/>
      </w:rPr>
      <w:t>W</w:t>
    </w:r>
    <w:r>
      <w:rPr>
        <w:lang w:val="ru-RU"/>
      </w:rPr>
      <w:t>O/PBC/26/</w:t>
    </w:r>
    <w:r w:rsidRPr="003048D6">
      <w:rPr>
        <w:lang w:val="ru-RU"/>
      </w:rPr>
      <w:t>6</w:t>
    </w:r>
  </w:p>
  <w:p w:rsidR="009F0CDB" w:rsidRPr="001A7E6A" w:rsidRDefault="009F0CDB" w:rsidP="003048D6">
    <w:pPr>
      <w:jc w:val="right"/>
      <w:rPr>
        <w:lang w:val="ru-RU"/>
      </w:rPr>
    </w:pPr>
    <w:r w:rsidRPr="003048D6">
      <w:rPr>
        <w:lang w:val="ru-RU"/>
      </w:rPr>
      <w:t xml:space="preserve">Приложение </w:t>
    </w:r>
    <w:r>
      <w:t>I</w:t>
    </w:r>
    <w:r w:rsidRPr="003048D6">
      <w:rPr>
        <w:lang w:val="ru-RU"/>
      </w:rPr>
      <w:t xml:space="preserve">I, стр. </w:t>
    </w:r>
    <w:r w:rsidRPr="001A7E6A">
      <w:rPr>
        <w:lang w:val="ru-RU"/>
      </w:rPr>
      <w:t>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CDB" w:rsidRDefault="009F0CDB" w:rsidP="00E66775">
    <w:pPr>
      <w:jc w:val="right"/>
    </w:pPr>
    <w:r>
      <w:t>WO/PBC/26/6</w:t>
    </w:r>
  </w:p>
  <w:p w:rsidR="009F0CDB" w:rsidRPr="00E66775" w:rsidRDefault="009F0CDB" w:rsidP="00E66775">
    <w:pPr>
      <w:pStyle w:val="Header"/>
      <w:jc w:val="right"/>
    </w:pPr>
    <w:r>
      <w:rPr>
        <w:lang w:val="ru-RU"/>
      </w:rPr>
      <w:t>ПРИЛОЖЕНИЕ</w:t>
    </w:r>
    <w:r>
      <w:t xml:space="preserv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A69C2EB8"/>
    <w:lvl w:ilvl="0">
      <w:start w:val="1"/>
      <w:numFmt w:val="decimal"/>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lang w:val="ru-RU"/>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23EF3C88"/>
    <w:multiLevelType w:val="hybridMultilevel"/>
    <w:tmpl w:val="5A2E0866"/>
    <w:lvl w:ilvl="0" w:tplc="04090001">
      <w:start w:val="1"/>
      <w:numFmt w:val="bullet"/>
      <w:lvlText w:val=""/>
      <w:lvlJc w:val="left"/>
      <w:pPr>
        <w:ind w:left="1381" w:hanging="360"/>
      </w:pPr>
      <w:rPr>
        <w:rFonts w:ascii="Symbol" w:hAnsi="Symbol" w:hint="default"/>
      </w:rPr>
    </w:lvl>
    <w:lvl w:ilvl="1" w:tplc="04090019" w:tentative="1">
      <w:start w:val="1"/>
      <w:numFmt w:val="lowerLetter"/>
      <w:lvlText w:val="%2."/>
      <w:lvlJc w:val="left"/>
      <w:pPr>
        <w:ind w:left="2101" w:hanging="360"/>
      </w:pPr>
    </w:lvl>
    <w:lvl w:ilvl="2" w:tplc="0409001B">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8"/>
  </w:num>
  <w:num w:numId="4">
    <w:abstractNumId w:val="7"/>
  </w:num>
  <w:num w:numId="5">
    <w:abstractNumId w:val="0"/>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Empty"/>
    <w:docVar w:name="TermBaseURL" w:val="empty"/>
    <w:docVar w:name="TextBases" w:val="TextBase TMs\WorkspaceRTS\Administration &amp; Finance\Budget|TextBase TMs\WorkspaceRTS\Administration &amp; Finance\Legacy PBC|TextBase TMs\WorkspaceRTS\Administration &amp; Finance\PBC"/>
    <w:docVar w:name="TextBaseURL" w:val="empty"/>
    <w:docVar w:name="UILng" w:val="en"/>
  </w:docVars>
  <w:rsids>
    <w:rsidRoot w:val="00EF3B39"/>
    <w:rsid w:val="00004D4A"/>
    <w:rsid w:val="0002072F"/>
    <w:rsid w:val="000302BF"/>
    <w:rsid w:val="000479C6"/>
    <w:rsid w:val="000535CA"/>
    <w:rsid w:val="00066627"/>
    <w:rsid w:val="000A5ABD"/>
    <w:rsid w:val="000C5C75"/>
    <w:rsid w:val="000E14C2"/>
    <w:rsid w:val="000E5188"/>
    <w:rsid w:val="000E5F04"/>
    <w:rsid w:val="000F5E56"/>
    <w:rsid w:val="0015017F"/>
    <w:rsid w:val="00174F82"/>
    <w:rsid w:val="00182586"/>
    <w:rsid w:val="001A7E6A"/>
    <w:rsid w:val="001C5E9F"/>
    <w:rsid w:val="001D3C2F"/>
    <w:rsid w:val="001F384E"/>
    <w:rsid w:val="002205F6"/>
    <w:rsid w:val="002358E4"/>
    <w:rsid w:val="0025719C"/>
    <w:rsid w:val="00265BE3"/>
    <w:rsid w:val="00277F58"/>
    <w:rsid w:val="00292938"/>
    <w:rsid w:val="002E3AF0"/>
    <w:rsid w:val="002F40E8"/>
    <w:rsid w:val="003048D6"/>
    <w:rsid w:val="003215CD"/>
    <w:rsid w:val="00333006"/>
    <w:rsid w:val="003413C6"/>
    <w:rsid w:val="00345DDA"/>
    <w:rsid w:val="00371457"/>
    <w:rsid w:val="003A3C05"/>
    <w:rsid w:val="003B0160"/>
    <w:rsid w:val="003C20F4"/>
    <w:rsid w:val="003D1932"/>
    <w:rsid w:val="00430609"/>
    <w:rsid w:val="00431118"/>
    <w:rsid w:val="0045168D"/>
    <w:rsid w:val="00453D8E"/>
    <w:rsid w:val="00456461"/>
    <w:rsid w:val="00467E0E"/>
    <w:rsid w:val="00480D29"/>
    <w:rsid w:val="004A158F"/>
    <w:rsid w:val="004B06BD"/>
    <w:rsid w:val="004B7573"/>
    <w:rsid w:val="004C4150"/>
    <w:rsid w:val="004C50DD"/>
    <w:rsid w:val="004D3048"/>
    <w:rsid w:val="004D3803"/>
    <w:rsid w:val="004E1B9C"/>
    <w:rsid w:val="004E3C51"/>
    <w:rsid w:val="00500B46"/>
    <w:rsid w:val="00512957"/>
    <w:rsid w:val="00550866"/>
    <w:rsid w:val="005812E0"/>
    <w:rsid w:val="00596F8A"/>
    <w:rsid w:val="005A2C36"/>
    <w:rsid w:val="005A388D"/>
    <w:rsid w:val="005A79DF"/>
    <w:rsid w:val="005B66AC"/>
    <w:rsid w:val="005E5291"/>
    <w:rsid w:val="005E7952"/>
    <w:rsid w:val="006078CA"/>
    <w:rsid w:val="006128AD"/>
    <w:rsid w:val="00630A0C"/>
    <w:rsid w:val="006948E1"/>
    <w:rsid w:val="006A3637"/>
    <w:rsid w:val="006B0900"/>
    <w:rsid w:val="006C453B"/>
    <w:rsid w:val="006E4766"/>
    <w:rsid w:val="006E6CCB"/>
    <w:rsid w:val="006F570D"/>
    <w:rsid w:val="007208EC"/>
    <w:rsid w:val="007313F4"/>
    <w:rsid w:val="007400C8"/>
    <w:rsid w:val="007461D1"/>
    <w:rsid w:val="00761194"/>
    <w:rsid w:val="007635A8"/>
    <w:rsid w:val="0077104E"/>
    <w:rsid w:val="0079468C"/>
    <w:rsid w:val="007B09E8"/>
    <w:rsid w:val="007B240C"/>
    <w:rsid w:val="007B6786"/>
    <w:rsid w:val="007D53C7"/>
    <w:rsid w:val="007D7A47"/>
    <w:rsid w:val="00804DB7"/>
    <w:rsid w:val="008303CD"/>
    <w:rsid w:val="008F75D0"/>
    <w:rsid w:val="009056FC"/>
    <w:rsid w:val="00914201"/>
    <w:rsid w:val="009161B5"/>
    <w:rsid w:val="00920A86"/>
    <w:rsid w:val="00924BBA"/>
    <w:rsid w:val="00934376"/>
    <w:rsid w:val="009472EB"/>
    <w:rsid w:val="00950DE5"/>
    <w:rsid w:val="00954B96"/>
    <w:rsid w:val="00957C00"/>
    <w:rsid w:val="00994411"/>
    <w:rsid w:val="009A533F"/>
    <w:rsid w:val="009E02FF"/>
    <w:rsid w:val="009F0CDB"/>
    <w:rsid w:val="00A0050F"/>
    <w:rsid w:val="00A403C6"/>
    <w:rsid w:val="00A54B7B"/>
    <w:rsid w:val="00A6775C"/>
    <w:rsid w:val="00A72748"/>
    <w:rsid w:val="00A75A94"/>
    <w:rsid w:val="00A915E9"/>
    <w:rsid w:val="00AB29FF"/>
    <w:rsid w:val="00AF2D57"/>
    <w:rsid w:val="00B26CFA"/>
    <w:rsid w:val="00B67AD9"/>
    <w:rsid w:val="00B839C1"/>
    <w:rsid w:val="00BA4D12"/>
    <w:rsid w:val="00BB6043"/>
    <w:rsid w:val="00BC061E"/>
    <w:rsid w:val="00C050B8"/>
    <w:rsid w:val="00C2025C"/>
    <w:rsid w:val="00C23C3E"/>
    <w:rsid w:val="00C31D2F"/>
    <w:rsid w:val="00C35AFE"/>
    <w:rsid w:val="00C554EC"/>
    <w:rsid w:val="00C91B73"/>
    <w:rsid w:val="00C926D2"/>
    <w:rsid w:val="00CA0FBB"/>
    <w:rsid w:val="00CA31CB"/>
    <w:rsid w:val="00CC4694"/>
    <w:rsid w:val="00CF55C9"/>
    <w:rsid w:val="00D03AF9"/>
    <w:rsid w:val="00D44CE5"/>
    <w:rsid w:val="00D47868"/>
    <w:rsid w:val="00D567B3"/>
    <w:rsid w:val="00D66E79"/>
    <w:rsid w:val="00DB704B"/>
    <w:rsid w:val="00DC2F5F"/>
    <w:rsid w:val="00DE361C"/>
    <w:rsid w:val="00DE7CE5"/>
    <w:rsid w:val="00DF0008"/>
    <w:rsid w:val="00DF3202"/>
    <w:rsid w:val="00DF3605"/>
    <w:rsid w:val="00DF7C34"/>
    <w:rsid w:val="00E05311"/>
    <w:rsid w:val="00E13507"/>
    <w:rsid w:val="00E35453"/>
    <w:rsid w:val="00E66775"/>
    <w:rsid w:val="00E76393"/>
    <w:rsid w:val="00EC7732"/>
    <w:rsid w:val="00EF3B39"/>
    <w:rsid w:val="00EF499E"/>
    <w:rsid w:val="00F066CE"/>
    <w:rsid w:val="00F21483"/>
    <w:rsid w:val="00F33B90"/>
    <w:rsid w:val="00F365CB"/>
    <w:rsid w:val="00F438E0"/>
    <w:rsid w:val="00F43D51"/>
    <w:rsid w:val="00F84AED"/>
    <w:rsid w:val="00F95CC6"/>
    <w:rsid w:val="00F97996"/>
    <w:rsid w:val="00FA35BB"/>
    <w:rsid w:val="00FA55AA"/>
    <w:rsid w:val="00FC2719"/>
    <w:rsid w:val="00FF55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rsid w:val="00EF3B39"/>
    <w:rPr>
      <w:rFonts w:ascii="Tahoma" w:hAnsi="Tahoma" w:cs="Tahoma"/>
      <w:sz w:val="16"/>
      <w:szCs w:val="16"/>
    </w:rPr>
  </w:style>
  <w:style w:type="character" w:customStyle="1" w:styleId="BalloonTextChar">
    <w:name w:val="Balloon Text Char"/>
    <w:basedOn w:val="DefaultParagraphFont"/>
    <w:link w:val="BalloonText"/>
    <w:rsid w:val="00EF3B39"/>
    <w:rPr>
      <w:rFonts w:ascii="Tahoma" w:hAnsi="Tahoma" w:cs="Tahoma"/>
      <w:sz w:val="16"/>
      <w:szCs w:val="16"/>
    </w:rPr>
  </w:style>
  <w:style w:type="character" w:customStyle="1" w:styleId="ONUMEChar">
    <w:name w:val="ONUM E Char"/>
    <w:link w:val="ONUME"/>
    <w:rsid w:val="00D47868"/>
    <w:rPr>
      <w:rFonts w:ascii="Arial" w:hAnsi="Arial" w:cs="Arial"/>
      <w:sz w:val="22"/>
    </w:rPr>
  </w:style>
  <w:style w:type="paragraph" w:customStyle="1" w:styleId="Endofdocument-Annex">
    <w:name w:val="[End of document - Annex]"/>
    <w:basedOn w:val="Normal"/>
    <w:rsid w:val="006948E1"/>
    <w:pPr>
      <w:ind w:left="5534"/>
    </w:pPr>
    <w:rPr>
      <w:rFonts w:eastAsia="SimSun"/>
      <w:lang w:eastAsia="zh-CN"/>
    </w:rPr>
  </w:style>
  <w:style w:type="paragraph" w:styleId="ListParagraph">
    <w:name w:val="List Paragraph"/>
    <w:basedOn w:val="Normal"/>
    <w:uiPriority w:val="34"/>
    <w:qFormat/>
    <w:rsid w:val="00994411"/>
    <w:pPr>
      <w:spacing w:after="120" w:line="260" w:lineRule="atLeast"/>
      <w:ind w:left="720"/>
      <w:contextualSpacing/>
    </w:pPr>
    <w:rPr>
      <w:rFonts w:eastAsia="Times New Roman" w:cs="Times New Roman"/>
      <w:sz w:val="20"/>
      <w:lang w:eastAsia="en-US"/>
    </w:rPr>
  </w:style>
  <w:style w:type="character" w:styleId="CommentReference">
    <w:name w:val="annotation reference"/>
    <w:basedOn w:val="DefaultParagraphFont"/>
    <w:rsid w:val="0079468C"/>
    <w:rPr>
      <w:sz w:val="16"/>
      <w:szCs w:val="16"/>
    </w:rPr>
  </w:style>
  <w:style w:type="paragraph" w:styleId="CommentSubject">
    <w:name w:val="annotation subject"/>
    <w:basedOn w:val="CommentText"/>
    <w:next w:val="CommentText"/>
    <w:link w:val="CommentSubjectChar"/>
    <w:rsid w:val="0079468C"/>
    <w:rPr>
      <w:b/>
      <w:bCs/>
      <w:sz w:val="20"/>
    </w:rPr>
  </w:style>
  <w:style w:type="character" w:customStyle="1" w:styleId="CommentTextChar">
    <w:name w:val="Comment Text Char"/>
    <w:basedOn w:val="DefaultParagraphFont"/>
    <w:link w:val="CommentText"/>
    <w:semiHidden/>
    <w:rsid w:val="0079468C"/>
    <w:rPr>
      <w:rFonts w:ascii="Arial" w:hAnsi="Arial" w:cs="Arial"/>
      <w:sz w:val="18"/>
    </w:rPr>
  </w:style>
  <w:style w:type="character" w:customStyle="1" w:styleId="CommentSubjectChar">
    <w:name w:val="Comment Subject Char"/>
    <w:basedOn w:val="CommentTextChar"/>
    <w:link w:val="CommentSubject"/>
    <w:rsid w:val="0079468C"/>
    <w:rPr>
      <w:rFonts w:ascii="Arial"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rsid w:val="00EF3B39"/>
    <w:rPr>
      <w:rFonts w:ascii="Tahoma" w:hAnsi="Tahoma" w:cs="Tahoma"/>
      <w:sz w:val="16"/>
      <w:szCs w:val="16"/>
    </w:rPr>
  </w:style>
  <w:style w:type="character" w:customStyle="1" w:styleId="BalloonTextChar">
    <w:name w:val="Balloon Text Char"/>
    <w:basedOn w:val="DefaultParagraphFont"/>
    <w:link w:val="BalloonText"/>
    <w:rsid w:val="00EF3B39"/>
    <w:rPr>
      <w:rFonts w:ascii="Tahoma" w:hAnsi="Tahoma" w:cs="Tahoma"/>
      <w:sz w:val="16"/>
      <w:szCs w:val="16"/>
    </w:rPr>
  </w:style>
  <w:style w:type="character" w:customStyle="1" w:styleId="ONUMEChar">
    <w:name w:val="ONUM E Char"/>
    <w:link w:val="ONUME"/>
    <w:rsid w:val="00D47868"/>
    <w:rPr>
      <w:rFonts w:ascii="Arial" w:hAnsi="Arial" w:cs="Arial"/>
      <w:sz w:val="22"/>
    </w:rPr>
  </w:style>
  <w:style w:type="paragraph" w:customStyle="1" w:styleId="Endofdocument-Annex">
    <w:name w:val="[End of document - Annex]"/>
    <w:basedOn w:val="Normal"/>
    <w:rsid w:val="006948E1"/>
    <w:pPr>
      <w:ind w:left="5534"/>
    </w:pPr>
    <w:rPr>
      <w:rFonts w:eastAsia="SimSun"/>
      <w:lang w:eastAsia="zh-CN"/>
    </w:rPr>
  </w:style>
  <w:style w:type="paragraph" w:styleId="ListParagraph">
    <w:name w:val="List Paragraph"/>
    <w:basedOn w:val="Normal"/>
    <w:uiPriority w:val="34"/>
    <w:qFormat/>
    <w:rsid w:val="00994411"/>
    <w:pPr>
      <w:spacing w:after="120" w:line="260" w:lineRule="atLeast"/>
      <w:ind w:left="720"/>
      <w:contextualSpacing/>
    </w:pPr>
    <w:rPr>
      <w:rFonts w:eastAsia="Times New Roman" w:cs="Times New Roman"/>
      <w:sz w:val="20"/>
      <w:lang w:eastAsia="en-US"/>
    </w:rPr>
  </w:style>
  <w:style w:type="character" w:styleId="CommentReference">
    <w:name w:val="annotation reference"/>
    <w:basedOn w:val="DefaultParagraphFont"/>
    <w:rsid w:val="0079468C"/>
    <w:rPr>
      <w:sz w:val="16"/>
      <w:szCs w:val="16"/>
    </w:rPr>
  </w:style>
  <w:style w:type="paragraph" w:styleId="CommentSubject">
    <w:name w:val="annotation subject"/>
    <w:basedOn w:val="CommentText"/>
    <w:next w:val="CommentText"/>
    <w:link w:val="CommentSubjectChar"/>
    <w:rsid w:val="0079468C"/>
    <w:rPr>
      <w:b/>
      <w:bCs/>
      <w:sz w:val="20"/>
    </w:rPr>
  </w:style>
  <w:style w:type="character" w:customStyle="1" w:styleId="CommentTextChar">
    <w:name w:val="Comment Text Char"/>
    <w:basedOn w:val="DefaultParagraphFont"/>
    <w:link w:val="CommentText"/>
    <w:semiHidden/>
    <w:rsid w:val="0079468C"/>
    <w:rPr>
      <w:rFonts w:ascii="Arial" w:hAnsi="Arial" w:cs="Arial"/>
      <w:sz w:val="18"/>
    </w:rPr>
  </w:style>
  <w:style w:type="character" w:customStyle="1" w:styleId="CommentSubjectChar">
    <w:name w:val="Comment Subject Char"/>
    <w:basedOn w:val="CommentTextChar"/>
    <w:link w:val="CommentSubject"/>
    <w:rsid w:val="0079468C"/>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84644">
      <w:bodyDiv w:val="1"/>
      <w:marLeft w:val="0"/>
      <w:marRight w:val="0"/>
      <w:marTop w:val="0"/>
      <w:marBottom w:val="0"/>
      <w:divBdr>
        <w:top w:val="none" w:sz="0" w:space="0" w:color="auto"/>
        <w:left w:val="none" w:sz="0" w:space="0" w:color="auto"/>
        <w:bottom w:val="none" w:sz="0" w:space="0" w:color="auto"/>
        <w:right w:val="none" w:sz="0" w:space="0" w:color="auto"/>
      </w:divBdr>
      <w:divsChild>
        <w:div w:id="1107043133">
          <w:marLeft w:val="0"/>
          <w:marRight w:val="0"/>
          <w:marTop w:val="0"/>
          <w:marBottom w:val="0"/>
          <w:divBdr>
            <w:top w:val="none" w:sz="0" w:space="0" w:color="auto"/>
            <w:left w:val="none" w:sz="0" w:space="0" w:color="auto"/>
            <w:bottom w:val="none" w:sz="0" w:space="0" w:color="auto"/>
            <w:right w:val="none" w:sz="0" w:space="0" w:color="auto"/>
          </w:divBdr>
        </w:div>
        <w:div w:id="1726485680">
          <w:marLeft w:val="0"/>
          <w:marRight w:val="0"/>
          <w:marTop w:val="0"/>
          <w:marBottom w:val="0"/>
          <w:divBdr>
            <w:top w:val="none" w:sz="0" w:space="0" w:color="auto"/>
            <w:left w:val="none" w:sz="0" w:space="0" w:color="auto"/>
            <w:bottom w:val="none" w:sz="0" w:space="0" w:color="auto"/>
            <w:right w:val="none" w:sz="0" w:space="0" w:color="auto"/>
          </w:divBdr>
        </w:div>
        <w:div w:id="761952294">
          <w:marLeft w:val="0"/>
          <w:marRight w:val="0"/>
          <w:marTop w:val="0"/>
          <w:marBottom w:val="0"/>
          <w:divBdr>
            <w:top w:val="none" w:sz="0" w:space="0" w:color="auto"/>
            <w:left w:val="none" w:sz="0" w:space="0" w:color="auto"/>
            <w:bottom w:val="none" w:sz="0" w:space="0" w:color="auto"/>
            <w:right w:val="none" w:sz="0" w:space="0" w:color="auto"/>
          </w:divBdr>
        </w:div>
        <w:div w:id="1920140694">
          <w:marLeft w:val="0"/>
          <w:marRight w:val="0"/>
          <w:marTop w:val="0"/>
          <w:marBottom w:val="0"/>
          <w:divBdr>
            <w:top w:val="none" w:sz="0" w:space="0" w:color="auto"/>
            <w:left w:val="none" w:sz="0" w:space="0" w:color="auto"/>
            <w:bottom w:val="none" w:sz="0" w:space="0" w:color="auto"/>
            <w:right w:val="none" w:sz="0" w:space="0" w:color="auto"/>
          </w:divBdr>
        </w:div>
        <w:div w:id="1595477058">
          <w:marLeft w:val="0"/>
          <w:marRight w:val="0"/>
          <w:marTop w:val="0"/>
          <w:marBottom w:val="0"/>
          <w:divBdr>
            <w:top w:val="none" w:sz="0" w:space="0" w:color="auto"/>
            <w:left w:val="none" w:sz="0" w:space="0" w:color="auto"/>
            <w:bottom w:val="none" w:sz="0" w:space="0" w:color="auto"/>
            <w:right w:val="none" w:sz="0" w:space="0" w:color="auto"/>
          </w:divBdr>
        </w:div>
        <w:div w:id="1520511705">
          <w:marLeft w:val="0"/>
          <w:marRight w:val="0"/>
          <w:marTop w:val="0"/>
          <w:marBottom w:val="0"/>
          <w:divBdr>
            <w:top w:val="none" w:sz="0" w:space="0" w:color="auto"/>
            <w:left w:val="none" w:sz="0" w:space="0" w:color="auto"/>
            <w:bottom w:val="none" w:sz="0" w:space="0" w:color="auto"/>
            <w:right w:val="none" w:sz="0" w:space="0" w:color="auto"/>
          </w:divBdr>
        </w:div>
        <w:div w:id="1259948470">
          <w:marLeft w:val="0"/>
          <w:marRight w:val="0"/>
          <w:marTop w:val="0"/>
          <w:marBottom w:val="0"/>
          <w:divBdr>
            <w:top w:val="none" w:sz="0" w:space="0" w:color="auto"/>
            <w:left w:val="none" w:sz="0" w:space="0" w:color="auto"/>
            <w:bottom w:val="none" w:sz="0" w:space="0" w:color="auto"/>
            <w:right w:val="none" w:sz="0" w:space="0" w:color="auto"/>
          </w:divBdr>
        </w:div>
        <w:div w:id="1976596919">
          <w:marLeft w:val="0"/>
          <w:marRight w:val="0"/>
          <w:marTop w:val="0"/>
          <w:marBottom w:val="0"/>
          <w:divBdr>
            <w:top w:val="none" w:sz="0" w:space="0" w:color="auto"/>
            <w:left w:val="none" w:sz="0" w:space="0" w:color="auto"/>
            <w:bottom w:val="none" w:sz="0" w:space="0" w:color="auto"/>
            <w:right w:val="none" w:sz="0" w:space="0" w:color="auto"/>
          </w:divBdr>
        </w:div>
        <w:div w:id="422840237">
          <w:marLeft w:val="0"/>
          <w:marRight w:val="0"/>
          <w:marTop w:val="0"/>
          <w:marBottom w:val="0"/>
          <w:divBdr>
            <w:top w:val="none" w:sz="0" w:space="0" w:color="auto"/>
            <w:left w:val="none" w:sz="0" w:space="0" w:color="auto"/>
            <w:bottom w:val="none" w:sz="0" w:space="0" w:color="auto"/>
            <w:right w:val="none" w:sz="0" w:space="0" w:color="auto"/>
          </w:divBdr>
        </w:div>
        <w:div w:id="307167565">
          <w:marLeft w:val="0"/>
          <w:marRight w:val="0"/>
          <w:marTop w:val="0"/>
          <w:marBottom w:val="0"/>
          <w:divBdr>
            <w:top w:val="none" w:sz="0" w:space="0" w:color="auto"/>
            <w:left w:val="none" w:sz="0" w:space="0" w:color="auto"/>
            <w:bottom w:val="none" w:sz="0" w:space="0" w:color="auto"/>
            <w:right w:val="none" w:sz="0" w:space="0" w:color="auto"/>
          </w:divBdr>
        </w:div>
        <w:div w:id="2093501976">
          <w:marLeft w:val="0"/>
          <w:marRight w:val="0"/>
          <w:marTop w:val="0"/>
          <w:marBottom w:val="0"/>
          <w:divBdr>
            <w:top w:val="none" w:sz="0" w:space="0" w:color="auto"/>
            <w:left w:val="none" w:sz="0" w:space="0" w:color="auto"/>
            <w:bottom w:val="none" w:sz="0" w:space="0" w:color="auto"/>
            <w:right w:val="none" w:sz="0" w:space="0" w:color="auto"/>
          </w:divBdr>
        </w:div>
      </w:divsChild>
    </w:div>
    <w:div w:id="650601242">
      <w:bodyDiv w:val="1"/>
      <w:marLeft w:val="0"/>
      <w:marRight w:val="0"/>
      <w:marTop w:val="0"/>
      <w:marBottom w:val="0"/>
      <w:divBdr>
        <w:top w:val="none" w:sz="0" w:space="0" w:color="auto"/>
        <w:left w:val="none" w:sz="0" w:space="0" w:color="auto"/>
        <w:bottom w:val="none" w:sz="0" w:space="0" w:color="auto"/>
        <w:right w:val="none" w:sz="0" w:space="0" w:color="auto"/>
      </w:divBdr>
      <w:divsChild>
        <w:div w:id="673999966">
          <w:marLeft w:val="0"/>
          <w:marRight w:val="0"/>
          <w:marTop w:val="0"/>
          <w:marBottom w:val="0"/>
          <w:divBdr>
            <w:top w:val="none" w:sz="0" w:space="0" w:color="auto"/>
            <w:left w:val="none" w:sz="0" w:space="0" w:color="auto"/>
            <w:bottom w:val="none" w:sz="0" w:space="0" w:color="auto"/>
            <w:right w:val="none" w:sz="0" w:space="0" w:color="auto"/>
          </w:divBdr>
        </w:div>
        <w:div w:id="2070230228">
          <w:marLeft w:val="0"/>
          <w:marRight w:val="0"/>
          <w:marTop w:val="0"/>
          <w:marBottom w:val="0"/>
          <w:divBdr>
            <w:top w:val="none" w:sz="0" w:space="0" w:color="auto"/>
            <w:left w:val="none" w:sz="0" w:space="0" w:color="auto"/>
            <w:bottom w:val="none" w:sz="0" w:space="0" w:color="auto"/>
            <w:right w:val="none" w:sz="0" w:space="0" w:color="auto"/>
          </w:divBdr>
        </w:div>
        <w:div w:id="1288465845">
          <w:marLeft w:val="0"/>
          <w:marRight w:val="0"/>
          <w:marTop w:val="0"/>
          <w:marBottom w:val="0"/>
          <w:divBdr>
            <w:top w:val="none" w:sz="0" w:space="0" w:color="auto"/>
            <w:left w:val="none" w:sz="0" w:space="0" w:color="auto"/>
            <w:bottom w:val="none" w:sz="0" w:space="0" w:color="auto"/>
            <w:right w:val="none" w:sz="0" w:space="0" w:color="auto"/>
          </w:divBdr>
        </w:div>
        <w:div w:id="1482579396">
          <w:marLeft w:val="0"/>
          <w:marRight w:val="0"/>
          <w:marTop w:val="0"/>
          <w:marBottom w:val="0"/>
          <w:divBdr>
            <w:top w:val="none" w:sz="0" w:space="0" w:color="auto"/>
            <w:left w:val="none" w:sz="0" w:space="0" w:color="auto"/>
            <w:bottom w:val="none" w:sz="0" w:space="0" w:color="auto"/>
            <w:right w:val="none" w:sz="0" w:space="0" w:color="auto"/>
          </w:divBdr>
        </w:div>
        <w:div w:id="990332692">
          <w:marLeft w:val="0"/>
          <w:marRight w:val="0"/>
          <w:marTop w:val="0"/>
          <w:marBottom w:val="0"/>
          <w:divBdr>
            <w:top w:val="none" w:sz="0" w:space="0" w:color="auto"/>
            <w:left w:val="none" w:sz="0" w:space="0" w:color="auto"/>
            <w:bottom w:val="none" w:sz="0" w:space="0" w:color="auto"/>
            <w:right w:val="none" w:sz="0" w:space="0" w:color="auto"/>
          </w:divBdr>
        </w:div>
        <w:div w:id="1701470361">
          <w:marLeft w:val="0"/>
          <w:marRight w:val="0"/>
          <w:marTop w:val="0"/>
          <w:marBottom w:val="0"/>
          <w:divBdr>
            <w:top w:val="none" w:sz="0" w:space="0" w:color="auto"/>
            <w:left w:val="none" w:sz="0" w:space="0" w:color="auto"/>
            <w:bottom w:val="none" w:sz="0" w:space="0" w:color="auto"/>
            <w:right w:val="none" w:sz="0" w:space="0" w:color="auto"/>
          </w:divBdr>
        </w:div>
        <w:div w:id="2132934815">
          <w:marLeft w:val="0"/>
          <w:marRight w:val="0"/>
          <w:marTop w:val="0"/>
          <w:marBottom w:val="0"/>
          <w:divBdr>
            <w:top w:val="none" w:sz="0" w:space="0" w:color="auto"/>
            <w:left w:val="none" w:sz="0" w:space="0" w:color="auto"/>
            <w:bottom w:val="none" w:sz="0" w:space="0" w:color="auto"/>
            <w:right w:val="none" w:sz="0" w:space="0" w:color="auto"/>
          </w:divBdr>
        </w:div>
        <w:div w:id="1283416008">
          <w:marLeft w:val="0"/>
          <w:marRight w:val="0"/>
          <w:marTop w:val="0"/>
          <w:marBottom w:val="0"/>
          <w:divBdr>
            <w:top w:val="none" w:sz="0" w:space="0" w:color="auto"/>
            <w:left w:val="none" w:sz="0" w:space="0" w:color="auto"/>
            <w:bottom w:val="none" w:sz="0" w:space="0" w:color="auto"/>
            <w:right w:val="none" w:sz="0" w:space="0" w:color="auto"/>
          </w:divBdr>
        </w:div>
        <w:div w:id="229927309">
          <w:marLeft w:val="0"/>
          <w:marRight w:val="0"/>
          <w:marTop w:val="0"/>
          <w:marBottom w:val="0"/>
          <w:divBdr>
            <w:top w:val="none" w:sz="0" w:space="0" w:color="auto"/>
            <w:left w:val="none" w:sz="0" w:space="0" w:color="auto"/>
            <w:bottom w:val="none" w:sz="0" w:space="0" w:color="auto"/>
            <w:right w:val="none" w:sz="0" w:space="0" w:color="auto"/>
          </w:divBdr>
        </w:div>
        <w:div w:id="1723559052">
          <w:marLeft w:val="0"/>
          <w:marRight w:val="0"/>
          <w:marTop w:val="0"/>
          <w:marBottom w:val="0"/>
          <w:divBdr>
            <w:top w:val="none" w:sz="0" w:space="0" w:color="auto"/>
            <w:left w:val="none" w:sz="0" w:space="0" w:color="auto"/>
            <w:bottom w:val="none" w:sz="0" w:space="0" w:color="auto"/>
            <w:right w:val="none" w:sz="0" w:space="0" w:color="auto"/>
          </w:divBdr>
        </w:div>
        <w:div w:id="1858536709">
          <w:marLeft w:val="0"/>
          <w:marRight w:val="0"/>
          <w:marTop w:val="0"/>
          <w:marBottom w:val="0"/>
          <w:divBdr>
            <w:top w:val="none" w:sz="0" w:space="0" w:color="auto"/>
            <w:left w:val="none" w:sz="0" w:space="0" w:color="auto"/>
            <w:bottom w:val="none" w:sz="0" w:space="0" w:color="auto"/>
            <w:right w:val="none" w:sz="0" w:space="0" w:color="auto"/>
          </w:divBdr>
        </w:div>
      </w:divsChild>
    </w:div>
    <w:div w:id="781804924">
      <w:bodyDiv w:val="1"/>
      <w:marLeft w:val="0"/>
      <w:marRight w:val="0"/>
      <w:marTop w:val="0"/>
      <w:marBottom w:val="0"/>
      <w:divBdr>
        <w:top w:val="none" w:sz="0" w:space="0" w:color="auto"/>
        <w:left w:val="none" w:sz="0" w:space="0" w:color="auto"/>
        <w:bottom w:val="none" w:sz="0" w:space="0" w:color="auto"/>
        <w:right w:val="none" w:sz="0" w:space="0" w:color="auto"/>
      </w:divBdr>
      <w:divsChild>
        <w:div w:id="1346520133">
          <w:marLeft w:val="0"/>
          <w:marRight w:val="0"/>
          <w:marTop w:val="0"/>
          <w:marBottom w:val="0"/>
          <w:divBdr>
            <w:top w:val="none" w:sz="0" w:space="0" w:color="auto"/>
            <w:left w:val="none" w:sz="0" w:space="0" w:color="auto"/>
            <w:bottom w:val="none" w:sz="0" w:space="0" w:color="auto"/>
            <w:right w:val="none" w:sz="0" w:space="0" w:color="auto"/>
          </w:divBdr>
        </w:div>
        <w:div w:id="550922976">
          <w:marLeft w:val="0"/>
          <w:marRight w:val="0"/>
          <w:marTop w:val="0"/>
          <w:marBottom w:val="0"/>
          <w:divBdr>
            <w:top w:val="none" w:sz="0" w:space="0" w:color="auto"/>
            <w:left w:val="none" w:sz="0" w:space="0" w:color="auto"/>
            <w:bottom w:val="none" w:sz="0" w:space="0" w:color="auto"/>
            <w:right w:val="none" w:sz="0" w:space="0" w:color="auto"/>
          </w:divBdr>
        </w:div>
        <w:div w:id="1216510390">
          <w:marLeft w:val="0"/>
          <w:marRight w:val="0"/>
          <w:marTop w:val="0"/>
          <w:marBottom w:val="0"/>
          <w:divBdr>
            <w:top w:val="none" w:sz="0" w:space="0" w:color="auto"/>
            <w:left w:val="none" w:sz="0" w:space="0" w:color="auto"/>
            <w:bottom w:val="none" w:sz="0" w:space="0" w:color="auto"/>
            <w:right w:val="none" w:sz="0" w:space="0" w:color="auto"/>
          </w:divBdr>
        </w:div>
        <w:div w:id="1505587227">
          <w:marLeft w:val="0"/>
          <w:marRight w:val="0"/>
          <w:marTop w:val="0"/>
          <w:marBottom w:val="0"/>
          <w:divBdr>
            <w:top w:val="none" w:sz="0" w:space="0" w:color="auto"/>
            <w:left w:val="none" w:sz="0" w:space="0" w:color="auto"/>
            <w:bottom w:val="none" w:sz="0" w:space="0" w:color="auto"/>
            <w:right w:val="none" w:sz="0" w:space="0" w:color="auto"/>
          </w:divBdr>
        </w:div>
        <w:div w:id="1705447995">
          <w:marLeft w:val="0"/>
          <w:marRight w:val="0"/>
          <w:marTop w:val="0"/>
          <w:marBottom w:val="0"/>
          <w:divBdr>
            <w:top w:val="none" w:sz="0" w:space="0" w:color="auto"/>
            <w:left w:val="none" w:sz="0" w:space="0" w:color="auto"/>
            <w:bottom w:val="none" w:sz="0" w:space="0" w:color="auto"/>
            <w:right w:val="none" w:sz="0" w:space="0" w:color="auto"/>
          </w:divBdr>
        </w:div>
        <w:div w:id="1789935210">
          <w:marLeft w:val="0"/>
          <w:marRight w:val="0"/>
          <w:marTop w:val="0"/>
          <w:marBottom w:val="0"/>
          <w:divBdr>
            <w:top w:val="none" w:sz="0" w:space="0" w:color="auto"/>
            <w:left w:val="none" w:sz="0" w:space="0" w:color="auto"/>
            <w:bottom w:val="none" w:sz="0" w:space="0" w:color="auto"/>
            <w:right w:val="none" w:sz="0" w:space="0" w:color="auto"/>
          </w:divBdr>
        </w:div>
        <w:div w:id="174850977">
          <w:marLeft w:val="0"/>
          <w:marRight w:val="0"/>
          <w:marTop w:val="0"/>
          <w:marBottom w:val="0"/>
          <w:divBdr>
            <w:top w:val="none" w:sz="0" w:space="0" w:color="auto"/>
            <w:left w:val="none" w:sz="0" w:space="0" w:color="auto"/>
            <w:bottom w:val="none" w:sz="0" w:space="0" w:color="auto"/>
            <w:right w:val="none" w:sz="0" w:space="0" w:color="auto"/>
          </w:divBdr>
        </w:div>
        <w:div w:id="1136223253">
          <w:marLeft w:val="0"/>
          <w:marRight w:val="0"/>
          <w:marTop w:val="0"/>
          <w:marBottom w:val="0"/>
          <w:divBdr>
            <w:top w:val="none" w:sz="0" w:space="0" w:color="auto"/>
            <w:left w:val="none" w:sz="0" w:space="0" w:color="auto"/>
            <w:bottom w:val="none" w:sz="0" w:space="0" w:color="auto"/>
            <w:right w:val="none" w:sz="0" w:space="0" w:color="auto"/>
          </w:divBdr>
        </w:div>
        <w:div w:id="431556909">
          <w:marLeft w:val="0"/>
          <w:marRight w:val="0"/>
          <w:marTop w:val="0"/>
          <w:marBottom w:val="0"/>
          <w:divBdr>
            <w:top w:val="none" w:sz="0" w:space="0" w:color="auto"/>
            <w:left w:val="none" w:sz="0" w:space="0" w:color="auto"/>
            <w:bottom w:val="none" w:sz="0" w:space="0" w:color="auto"/>
            <w:right w:val="none" w:sz="0" w:space="0" w:color="auto"/>
          </w:divBdr>
        </w:div>
        <w:div w:id="536968091">
          <w:marLeft w:val="0"/>
          <w:marRight w:val="0"/>
          <w:marTop w:val="0"/>
          <w:marBottom w:val="0"/>
          <w:divBdr>
            <w:top w:val="none" w:sz="0" w:space="0" w:color="auto"/>
            <w:left w:val="none" w:sz="0" w:space="0" w:color="auto"/>
            <w:bottom w:val="none" w:sz="0" w:space="0" w:color="auto"/>
            <w:right w:val="none" w:sz="0" w:space="0" w:color="auto"/>
          </w:divBdr>
        </w:div>
        <w:div w:id="668606450">
          <w:marLeft w:val="0"/>
          <w:marRight w:val="0"/>
          <w:marTop w:val="0"/>
          <w:marBottom w:val="0"/>
          <w:divBdr>
            <w:top w:val="none" w:sz="0" w:space="0" w:color="auto"/>
            <w:left w:val="none" w:sz="0" w:space="0" w:color="auto"/>
            <w:bottom w:val="none" w:sz="0" w:space="0" w:color="auto"/>
            <w:right w:val="none" w:sz="0" w:space="0" w:color="auto"/>
          </w:divBdr>
        </w:div>
        <w:div w:id="404688054">
          <w:marLeft w:val="0"/>
          <w:marRight w:val="0"/>
          <w:marTop w:val="0"/>
          <w:marBottom w:val="0"/>
          <w:divBdr>
            <w:top w:val="none" w:sz="0" w:space="0" w:color="auto"/>
            <w:left w:val="none" w:sz="0" w:space="0" w:color="auto"/>
            <w:bottom w:val="none" w:sz="0" w:space="0" w:color="auto"/>
            <w:right w:val="none" w:sz="0" w:space="0" w:color="auto"/>
          </w:divBdr>
        </w:div>
        <w:div w:id="754860521">
          <w:marLeft w:val="0"/>
          <w:marRight w:val="0"/>
          <w:marTop w:val="0"/>
          <w:marBottom w:val="0"/>
          <w:divBdr>
            <w:top w:val="none" w:sz="0" w:space="0" w:color="auto"/>
            <w:left w:val="none" w:sz="0" w:space="0" w:color="auto"/>
            <w:bottom w:val="none" w:sz="0" w:space="0" w:color="auto"/>
            <w:right w:val="none" w:sz="0" w:space="0" w:color="auto"/>
          </w:divBdr>
        </w:div>
        <w:div w:id="510222573">
          <w:marLeft w:val="0"/>
          <w:marRight w:val="0"/>
          <w:marTop w:val="0"/>
          <w:marBottom w:val="0"/>
          <w:divBdr>
            <w:top w:val="none" w:sz="0" w:space="0" w:color="auto"/>
            <w:left w:val="none" w:sz="0" w:space="0" w:color="auto"/>
            <w:bottom w:val="none" w:sz="0" w:space="0" w:color="auto"/>
            <w:right w:val="none" w:sz="0" w:space="0" w:color="auto"/>
          </w:divBdr>
        </w:div>
        <w:div w:id="176965646">
          <w:marLeft w:val="0"/>
          <w:marRight w:val="0"/>
          <w:marTop w:val="0"/>
          <w:marBottom w:val="0"/>
          <w:divBdr>
            <w:top w:val="none" w:sz="0" w:space="0" w:color="auto"/>
            <w:left w:val="none" w:sz="0" w:space="0" w:color="auto"/>
            <w:bottom w:val="none" w:sz="0" w:space="0" w:color="auto"/>
            <w:right w:val="none" w:sz="0" w:space="0" w:color="auto"/>
          </w:divBdr>
        </w:div>
        <w:div w:id="1582527334">
          <w:marLeft w:val="0"/>
          <w:marRight w:val="0"/>
          <w:marTop w:val="0"/>
          <w:marBottom w:val="0"/>
          <w:divBdr>
            <w:top w:val="none" w:sz="0" w:space="0" w:color="auto"/>
            <w:left w:val="none" w:sz="0" w:space="0" w:color="auto"/>
            <w:bottom w:val="none" w:sz="0" w:space="0" w:color="auto"/>
            <w:right w:val="none" w:sz="0" w:space="0" w:color="auto"/>
          </w:divBdr>
        </w:div>
        <w:div w:id="1014259919">
          <w:marLeft w:val="0"/>
          <w:marRight w:val="0"/>
          <w:marTop w:val="0"/>
          <w:marBottom w:val="0"/>
          <w:divBdr>
            <w:top w:val="none" w:sz="0" w:space="0" w:color="auto"/>
            <w:left w:val="none" w:sz="0" w:space="0" w:color="auto"/>
            <w:bottom w:val="none" w:sz="0" w:space="0" w:color="auto"/>
            <w:right w:val="none" w:sz="0" w:space="0" w:color="auto"/>
          </w:divBdr>
        </w:div>
        <w:div w:id="345327986">
          <w:marLeft w:val="0"/>
          <w:marRight w:val="0"/>
          <w:marTop w:val="0"/>
          <w:marBottom w:val="0"/>
          <w:divBdr>
            <w:top w:val="none" w:sz="0" w:space="0" w:color="auto"/>
            <w:left w:val="none" w:sz="0" w:space="0" w:color="auto"/>
            <w:bottom w:val="none" w:sz="0" w:space="0" w:color="auto"/>
            <w:right w:val="none" w:sz="0" w:space="0" w:color="auto"/>
          </w:divBdr>
        </w:div>
        <w:div w:id="691345234">
          <w:marLeft w:val="0"/>
          <w:marRight w:val="0"/>
          <w:marTop w:val="0"/>
          <w:marBottom w:val="0"/>
          <w:divBdr>
            <w:top w:val="none" w:sz="0" w:space="0" w:color="auto"/>
            <w:left w:val="none" w:sz="0" w:space="0" w:color="auto"/>
            <w:bottom w:val="none" w:sz="0" w:space="0" w:color="auto"/>
            <w:right w:val="none" w:sz="0" w:space="0" w:color="auto"/>
          </w:divBdr>
        </w:div>
        <w:div w:id="878510526">
          <w:marLeft w:val="0"/>
          <w:marRight w:val="0"/>
          <w:marTop w:val="0"/>
          <w:marBottom w:val="0"/>
          <w:divBdr>
            <w:top w:val="none" w:sz="0" w:space="0" w:color="auto"/>
            <w:left w:val="none" w:sz="0" w:space="0" w:color="auto"/>
            <w:bottom w:val="none" w:sz="0" w:space="0" w:color="auto"/>
            <w:right w:val="none" w:sz="0" w:space="0" w:color="auto"/>
          </w:divBdr>
        </w:div>
        <w:div w:id="1325277471">
          <w:marLeft w:val="0"/>
          <w:marRight w:val="0"/>
          <w:marTop w:val="0"/>
          <w:marBottom w:val="0"/>
          <w:divBdr>
            <w:top w:val="none" w:sz="0" w:space="0" w:color="auto"/>
            <w:left w:val="none" w:sz="0" w:space="0" w:color="auto"/>
            <w:bottom w:val="none" w:sz="0" w:space="0" w:color="auto"/>
            <w:right w:val="none" w:sz="0" w:space="0" w:color="auto"/>
          </w:divBdr>
        </w:div>
      </w:divsChild>
    </w:div>
    <w:div w:id="843788390">
      <w:bodyDiv w:val="1"/>
      <w:marLeft w:val="0"/>
      <w:marRight w:val="0"/>
      <w:marTop w:val="0"/>
      <w:marBottom w:val="0"/>
      <w:divBdr>
        <w:top w:val="none" w:sz="0" w:space="0" w:color="auto"/>
        <w:left w:val="none" w:sz="0" w:space="0" w:color="auto"/>
        <w:bottom w:val="none" w:sz="0" w:space="0" w:color="auto"/>
        <w:right w:val="none" w:sz="0" w:space="0" w:color="auto"/>
      </w:divBdr>
      <w:divsChild>
        <w:div w:id="1957515431">
          <w:marLeft w:val="0"/>
          <w:marRight w:val="0"/>
          <w:marTop w:val="0"/>
          <w:marBottom w:val="0"/>
          <w:divBdr>
            <w:top w:val="none" w:sz="0" w:space="0" w:color="auto"/>
            <w:left w:val="none" w:sz="0" w:space="0" w:color="auto"/>
            <w:bottom w:val="none" w:sz="0" w:space="0" w:color="auto"/>
            <w:right w:val="none" w:sz="0" w:space="0" w:color="auto"/>
          </w:divBdr>
        </w:div>
        <w:div w:id="885719356">
          <w:marLeft w:val="0"/>
          <w:marRight w:val="0"/>
          <w:marTop w:val="0"/>
          <w:marBottom w:val="0"/>
          <w:divBdr>
            <w:top w:val="none" w:sz="0" w:space="0" w:color="auto"/>
            <w:left w:val="none" w:sz="0" w:space="0" w:color="auto"/>
            <w:bottom w:val="none" w:sz="0" w:space="0" w:color="auto"/>
            <w:right w:val="none" w:sz="0" w:space="0" w:color="auto"/>
          </w:divBdr>
        </w:div>
        <w:div w:id="1813056491">
          <w:marLeft w:val="0"/>
          <w:marRight w:val="0"/>
          <w:marTop w:val="0"/>
          <w:marBottom w:val="0"/>
          <w:divBdr>
            <w:top w:val="none" w:sz="0" w:space="0" w:color="auto"/>
            <w:left w:val="none" w:sz="0" w:space="0" w:color="auto"/>
            <w:bottom w:val="none" w:sz="0" w:space="0" w:color="auto"/>
            <w:right w:val="none" w:sz="0" w:space="0" w:color="auto"/>
          </w:divBdr>
        </w:div>
        <w:div w:id="1317340311">
          <w:marLeft w:val="0"/>
          <w:marRight w:val="0"/>
          <w:marTop w:val="0"/>
          <w:marBottom w:val="0"/>
          <w:divBdr>
            <w:top w:val="none" w:sz="0" w:space="0" w:color="auto"/>
            <w:left w:val="none" w:sz="0" w:space="0" w:color="auto"/>
            <w:bottom w:val="none" w:sz="0" w:space="0" w:color="auto"/>
            <w:right w:val="none" w:sz="0" w:space="0" w:color="auto"/>
          </w:divBdr>
        </w:div>
        <w:div w:id="226304941">
          <w:marLeft w:val="0"/>
          <w:marRight w:val="0"/>
          <w:marTop w:val="0"/>
          <w:marBottom w:val="0"/>
          <w:divBdr>
            <w:top w:val="none" w:sz="0" w:space="0" w:color="auto"/>
            <w:left w:val="none" w:sz="0" w:space="0" w:color="auto"/>
            <w:bottom w:val="none" w:sz="0" w:space="0" w:color="auto"/>
            <w:right w:val="none" w:sz="0" w:space="0" w:color="auto"/>
          </w:divBdr>
        </w:div>
        <w:div w:id="1021856278">
          <w:marLeft w:val="0"/>
          <w:marRight w:val="0"/>
          <w:marTop w:val="0"/>
          <w:marBottom w:val="0"/>
          <w:divBdr>
            <w:top w:val="none" w:sz="0" w:space="0" w:color="auto"/>
            <w:left w:val="none" w:sz="0" w:space="0" w:color="auto"/>
            <w:bottom w:val="none" w:sz="0" w:space="0" w:color="auto"/>
            <w:right w:val="none" w:sz="0" w:space="0" w:color="auto"/>
          </w:divBdr>
        </w:div>
        <w:div w:id="1056051781">
          <w:marLeft w:val="0"/>
          <w:marRight w:val="0"/>
          <w:marTop w:val="0"/>
          <w:marBottom w:val="0"/>
          <w:divBdr>
            <w:top w:val="none" w:sz="0" w:space="0" w:color="auto"/>
            <w:left w:val="none" w:sz="0" w:space="0" w:color="auto"/>
            <w:bottom w:val="none" w:sz="0" w:space="0" w:color="auto"/>
            <w:right w:val="none" w:sz="0" w:space="0" w:color="auto"/>
          </w:divBdr>
        </w:div>
        <w:div w:id="1614094848">
          <w:marLeft w:val="0"/>
          <w:marRight w:val="0"/>
          <w:marTop w:val="0"/>
          <w:marBottom w:val="0"/>
          <w:divBdr>
            <w:top w:val="none" w:sz="0" w:space="0" w:color="auto"/>
            <w:left w:val="none" w:sz="0" w:space="0" w:color="auto"/>
            <w:bottom w:val="none" w:sz="0" w:space="0" w:color="auto"/>
            <w:right w:val="none" w:sz="0" w:space="0" w:color="auto"/>
          </w:divBdr>
        </w:div>
        <w:div w:id="2081899806">
          <w:marLeft w:val="0"/>
          <w:marRight w:val="0"/>
          <w:marTop w:val="0"/>
          <w:marBottom w:val="0"/>
          <w:divBdr>
            <w:top w:val="none" w:sz="0" w:space="0" w:color="auto"/>
            <w:left w:val="none" w:sz="0" w:space="0" w:color="auto"/>
            <w:bottom w:val="none" w:sz="0" w:space="0" w:color="auto"/>
            <w:right w:val="none" w:sz="0" w:space="0" w:color="auto"/>
          </w:divBdr>
        </w:div>
        <w:div w:id="657926935">
          <w:marLeft w:val="0"/>
          <w:marRight w:val="0"/>
          <w:marTop w:val="0"/>
          <w:marBottom w:val="0"/>
          <w:divBdr>
            <w:top w:val="none" w:sz="0" w:space="0" w:color="auto"/>
            <w:left w:val="none" w:sz="0" w:space="0" w:color="auto"/>
            <w:bottom w:val="none" w:sz="0" w:space="0" w:color="auto"/>
            <w:right w:val="none" w:sz="0" w:space="0" w:color="auto"/>
          </w:divBdr>
        </w:div>
        <w:div w:id="846096121">
          <w:marLeft w:val="0"/>
          <w:marRight w:val="0"/>
          <w:marTop w:val="0"/>
          <w:marBottom w:val="0"/>
          <w:divBdr>
            <w:top w:val="none" w:sz="0" w:space="0" w:color="auto"/>
            <w:left w:val="none" w:sz="0" w:space="0" w:color="auto"/>
            <w:bottom w:val="none" w:sz="0" w:space="0" w:color="auto"/>
            <w:right w:val="none" w:sz="0" w:space="0" w:color="auto"/>
          </w:divBdr>
        </w:div>
        <w:div w:id="161506639">
          <w:marLeft w:val="0"/>
          <w:marRight w:val="0"/>
          <w:marTop w:val="0"/>
          <w:marBottom w:val="0"/>
          <w:divBdr>
            <w:top w:val="none" w:sz="0" w:space="0" w:color="auto"/>
            <w:left w:val="none" w:sz="0" w:space="0" w:color="auto"/>
            <w:bottom w:val="none" w:sz="0" w:space="0" w:color="auto"/>
            <w:right w:val="none" w:sz="0" w:space="0" w:color="auto"/>
          </w:divBdr>
        </w:div>
      </w:divsChild>
    </w:div>
    <w:div w:id="1323896642">
      <w:bodyDiv w:val="1"/>
      <w:marLeft w:val="0"/>
      <w:marRight w:val="0"/>
      <w:marTop w:val="0"/>
      <w:marBottom w:val="0"/>
      <w:divBdr>
        <w:top w:val="none" w:sz="0" w:space="0" w:color="auto"/>
        <w:left w:val="none" w:sz="0" w:space="0" w:color="auto"/>
        <w:bottom w:val="none" w:sz="0" w:space="0" w:color="auto"/>
        <w:right w:val="none" w:sz="0" w:space="0" w:color="auto"/>
      </w:divBdr>
      <w:divsChild>
        <w:div w:id="1602488541">
          <w:marLeft w:val="0"/>
          <w:marRight w:val="0"/>
          <w:marTop w:val="0"/>
          <w:marBottom w:val="0"/>
          <w:divBdr>
            <w:top w:val="none" w:sz="0" w:space="0" w:color="auto"/>
            <w:left w:val="none" w:sz="0" w:space="0" w:color="auto"/>
            <w:bottom w:val="none" w:sz="0" w:space="0" w:color="auto"/>
            <w:right w:val="none" w:sz="0" w:space="0" w:color="auto"/>
          </w:divBdr>
        </w:div>
        <w:div w:id="129371418">
          <w:marLeft w:val="0"/>
          <w:marRight w:val="0"/>
          <w:marTop w:val="0"/>
          <w:marBottom w:val="0"/>
          <w:divBdr>
            <w:top w:val="none" w:sz="0" w:space="0" w:color="auto"/>
            <w:left w:val="none" w:sz="0" w:space="0" w:color="auto"/>
            <w:bottom w:val="none" w:sz="0" w:space="0" w:color="auto"/>
            <w:right w:val="none" w:sz="0" w:space="0" w:color="auto"/>
          </w:divBdr>
        </w:div>
        <w:div w:id="746075999">
          <w:marLeft w:val="0"/>
          <w:marRight w:val="0"/>
          <w:marTop w:val="0"/>
          <w:marBottom w:val="0"/>
          <w:divBdr>
            <w:top w:val="none" w:sz="0" w:space="0" w:color="auto"/>
            <w:left w:val="none" w:sz="0" w:space="0" w:color="auto"/>
            <w:bottom w:val="none" w:sz="0" w:space="0" w:color="auto"/>
            <w:right w:val="none" w:sz="0" w:space="0" w:color="auto"/>
          </w:divBdr>
        </w:div>
      </w:divsChild>
    </w:div>
    <w:div w:id="2144928858">
      <w:bodyDiv w:val="1"/>
      <w:marLeft w:val="0"/>
      <w:marRight w:val="0"/>
      <w:marTop w:val="0"/>
      <w:marBottom w:val="0"/>
      <w:divBdr>
        <w:top w:val="none" w:sz="0" w:space="0" w:color="auto"/>
        <w:left w:val="none" w:sz="0" w:space="0" w:color="auto"/>
        <w:bottom w:val="none" w:sz="0" w:space="0" w:color="auto"/>
        <w:right w:val="none" w:sz="0" w:space="0" w:color="auto"/>
      </w:divBdr>
      <w:divsChild>
        <w:div w:id="278606753">
          <w:marLeft w:val="0"/>
          <w:marRight w:val="0"/>
          <w:marTop w:val="0"/>
          <w:marBottom w:val="0"/>
          <w:divBdr>
            <w:top w:val="none" w:sz="0" w:space="0" w:color="auto"/>
            <w:left w:val="none" w:sz="0" w:space="0" w:color="auto"/>
            <w:bottom w:val="none" w:sz="0" w:space="0" w:color="auto"/>
            <w:right w:val="none" w:sz="0" w:space="0" w:color="auto"/>
          </w:divBdr>
        </w:div>
        <w:div w:id="929702126">
          <w:marLeft w:val="0"/>
          <w:marRight w:val="0"/>
          <w:marTop w:val="0"/>
          <w:marBottom w:val="0"/>
          <w:divBdr>
            <w:top w:val="none" w:sz="0" w:space="0" w:color="auto"/>
            <w:left w:val="none" w:sz="0" w:space="0" w:color="auto"/>
            <w:bottom w:val="none" w:sz="0" w:space="0" w:color="auto"/>
            <w:right w:val="none" w:sz="0" w:space="0" w:color="auto"/>
          </w:divBdr>
        </w:div>
        <w:div w:id="1739205164">
          <w:marLeft w:val="0"/>
          <w:marRight w:val="0"/>
          <w:marTop w:val="0"/>
          <w:marBottom w:val="0"/>
          <w:divBdr>
            <w:top w:val="none" w:sz="0" w:space="0" w:color="auto"/>
            <w:left w:val="none" w:sz="0" w:space="0" w:color="auto"/>
            <w:bottom w:val="none" w:sz="0" w:space="0" w:color="auto"/>
            <w:right w:val="none" w:sz="0" w:space="0" w:color="auto"/>
          </w:divBdr>
        </w:div>
        <w:div w:id="2001080469">
          <w:marLeft w:val="0"/>
          <w:marRight w:val="0"/>
          <w:marTop w:val="0"/>
          <w:marBottom w:val="0"/>
          <w:divBdr>
            <w:top w:val="none" w:sz="0" w:space="0" w:color="auto"/>
            <w:left w:val="none" w:sz="0" w:space="0" w:color="auto"/>
            <w:bottom w:val="none" w:sz="0" w:space="0" w:color="auto"/>
            <w:right w:val="none" w:sz="0" w:space="0" w:color="auto"/>
          </w:divBdr>
        </w:div>
        <w:div w:id="1055812693">
          <w:marLeft w:val="0"/>
          <w:marRight w:val="0"/>
          <w:marTop w:val="0"/>
          <w:marBottom w:val="0"/>
          <w:divBdr>
            <w:top w:val="none" w:sz="0" w:space="0" w:color="auto"/>
            <w:left w:val="none" w:sz="0" w:space="0" w:color="auto"/>
            <w:bottom w:val="none" w:sz="0" w:space="0" w:color="auto"/>
            <w:right w:val="none" w:sz="0" w:space="0" w:color="auto"/>
          </w:divBdr>
        </w:div>
        <w:div w:id="559557290">
          <w:marLeft w:val="0"/>
          <w:marRight w:val="0"/>
          <w:marTop w:val="0"/>
          <w:marBottom w:val="0"/>
          <w:divBdr>
            <w:top w:val="none" w:sz="0" w:space="0" w:color="auto"/>
            <w:left w:val="none" w:sz="0" w:space="0" w:color="auto"/>
            <w:bottom w:val="none" w:sz="0" w:space="0" w:color="auto"/>
            <w:right w:val="none" w:sz="0" w:space="0" w:color="auto"/>
          </w:divBdr>
        </w:div>
        <w:div w:id="1203590338">
          <w:marLeft w:val="0"/>
          <w:marRight w:val="0"/>
          <w:marTop w:val="0"/>
          <w:marBottom w:val="0"/>
          <w:divBdr>
            <w:top w:val="none" w:sz="0" w:space="0" w:color="auto"/>
            <w:left w:val="none" w:sz="0" w:space="0" w:color="auto"/>
            <w:bottom w:val="none" w:sz="0" w:space="0" w:color="auto"/>
            <w:right w:val="none" w:sz="0" w:space="0" w:color="auto"/>
          </w:divBdr>
        </w:div>
        <w:div w:id="744647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B9197-6CE6-4A64-8A4E-0BA52784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2356</Words>
  <Characters>16737</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BESTARD Jaime</dc:creator>
  <cp:lastModifiedBy>KOMSHILOVA Svetlana</cp:lastModifiedBy>
  <cp:revision>5</cp:revision>
  <cp:lastPrinted>2017-05-11T15:32:00Z</cp:lastPrinted>
  <dcterms:created xsi:type="dcterms:W3CDTF">2017-06-15T09:03:00Z</dcterms:created>
  <dcterms:modified xsi:type="dcterms:W3CDTF">2017-06-16T08:32:00Z</dcterms:modified>
</cp:coreProperties>
</file>