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563144" w:rsidTr="00A06865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563144" w:rsidRDefault="00EC4E49" w:rsidP="00916EE2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63144" w:rsidRDefault="00A06865" w:rsidP="00916EE2">
            <w:pPr>
              <w:rPr>
                <w:lang w:val="ru-RU"/>
              </w:rPr>
            </w:pPr>
            <w:r w:rsidRPr="00563144">
              <w:rPr>
                <w:noProof/>
                <w:lang w:eastAsia="en-US"/>
              </w:rPr>
              <w:drawing>
                <wp:inline distT="0" distB="0" distL="0" distR="0" wp14:anchorId="0FD7E6A3" wp14:editId="68B7BB80">
                  <wp:extent cx="1933575" cy="1428750"/>
                  <wp:effectExtent l="0" t="0" r="9525" b="0"/>
                  <wp:docPr id="1" name="Picture 1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563144" w:rsidRDefault="00A06865" w:rsidP="00916EE2">
            <w:pPr>
              <w:jc w:val="right"/>
              <w:rPr>
                <w:lang w:val="ru-RU"/>
              </w:rPr>
            </w:pPr>
            <w:r w:rsidRPr="00563144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8B2CC1" w:rsidRPr="00563144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563144" w:rsidRDefault="00CA5DC5" w:rsidP="00916EE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63144">
              <w:rPr>
                <w:rFonts w:ascii="Arial Black" w:hAnsi="Arial Black"/>
                <w:caps/>
                <w:sz w:val="15"/>
                <w:lang w:val="ru-RU"/>
              </w:rPr>
              <w:t>WO/GA/49/</w:t>
            </w:r>
            <w:bookmarkStart w:id="1" w:name="Code"/>
            <w:bookmarkEnd w:id="1"/>
            <w:r w:rsidR="008A4ADD" w:rsidRPr="00563144">
              <w:rPr>
                <w:rFonts w:ascii="Arial Black" w:hAnsi="Arial Black"/>
                <w:caps/>
                <w:sz w:val="15"/>
                <w:lang w:val="ru-RU"/>
              </w:rPr>
              <w:t>19</w:t>
            </w:r>
          </w:p>
        </w:tc>
      </w:tr>
      <w:tr w:rsidR="00A06865" w:rsidRPr="00563144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A06865" w:rsidRPr="00563144" w:rsidRDefault="00A06865" w:rsidP="00EB627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63144">
              <w:rPr>
                <w:rFonts w:ascii="Arial Black" w:hAnsi="Arial Black"/>
                <w:caps/>
                <w:sz w:val="15"/>
                <w:lang w:val="ru-RU"/>
              </w:rPr>
              <w:t xml:space="preserve">оригинал: английский  </w:t>
            </w:r>
          </w:p>
        </w:tc>
      </w:tr>
      <w:tr w:rsidR="00A06865" w:rsidRPr="00563144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A06865" w:rsidRPr="00563144" w:rsidRDefault="00A06865" w:rsidP="00A0686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563144">
              <w:rPr>
                <w:rFonts w:ascii="Arial Black" w:hAnsi="Arial Black"/>
                <w:caps/>
                <w:sz w:val="15"/>
                <w:lang w:val="ru-RU"/>
              </w:rPr>
              <w:t xml:space="preserve">дата: 4 октября 2017 г.  </w:t>
            </w:r>
          </w:p>
        </w:tc>
      </w:tr>
    </w:tbl>
    <w:p w:rsidR="00C35048" w:rsidRPr="00563144" w:rsidRDefault="00C35048" w:rsidP="008B2CC1">
      <w:pPr>
        <w:rPr>
          <w:lang w:val="ru-RU"/>
        </w:rPr>
      </w:pPr>
    </w:p>
    <w:p w:rsidR="00C35048" w:rsidRPr="00563144" w:rsidRDefault="00C35048" w:rsidP="008B2CC1">
      <w:pPr>
        <w:rPr>
          <w:lang w:val="ru-RU"/>
        </w:rPr>
      </w:pPr>
    </w:p>
    <w:p w:rsidR="00C35048" w:rsidRPr="00563144" w:rsidRDefault="00C35048" w:rsidP="008B2CC1">
      <w:pPr>
        <w:rPr>
          <w:lang w:val="ru-RU"/>
        </w:rPr>
      </w:pPr>
    </w:p>
    <w:p w:rsidR="00C35048" w:rsidRPr="00563144" w:rsidRDefault="00C35048" w:rsidP="008B2CC1">
      <w:pPr>
        <w:rPr>
          <w:lang w:val="ru-RU"/>
        </w:rPr>
      </w:pPr>
    </w:p>
    <w:p w:rsidR="00C35048" w:rsidRPr="00563144" w:rsidRDefault="00C35048" w:rsidP="008B2CC1">
      <w:pPr>
        <w:rPr>
          <w:lang w:val="ru-RU"/>
        </w:rPr>
      </w:pPr>
    </w:p>
    <w:p w:rsidR="00C35048" w:rsidRPr="00563144" w:rsidRDefault="00B870F9" w:rsidP="00B870F9">
      <w:pPr>
        <w:rPr>
          <w:b/>
          <w:sz w:val="28"/>
          <w:szCs w:val="28"/>
          <w:lang w:val="ru-RU"/>
        </w:rPr>
      </w:pPr>
      <w:r w:rsidRPr="00563144">
        <w:rPr>
          <w:b/>
          <w:sz w:val="28"/>
          <w:szCs w:val="28"/>
          <w:lang w:val="ru-RU"/>
        </w:rPr>
        <w:t>Генеральная Ассамблея ВОИС</w:t>
      </w:r>
      <w:r w:rsidR="001101D0" w:rsidRPr="00563144">
        <w:rPr>
          <w:b/>
          <w:sz w:val="28"/>
          <w:szCs w:val="28"/>
          <w:lang w:val="ru-RU"/>
        </w:rPr>
        <w:t xml:space="preserve"> </w:t>
      </w: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B870F9" w:rsidP="00B870F9">
      <w:pPr>
        <w:rPr>
          <w:b/>
          <w:sz w:val="24"/>
          <w:szCs w:val="24"/>
          <w:lang w:val="ru-RU"/>
        </w:rPr>
      </w:pPr>
      <w:r w:rsidRPr="00563144">
        <w:rPr>
          <w:b/>
          <w:sz w:val="24"/>
          <w:szCs w:val="24"/>
          <w:lang w:val="ru-RU"/>
        </w:rPr>
        <w:t>Сорок девятая (23-я очередная) сессия</w:t>
      </w:r>
      <w:r w:rsidR="001101D0" w:rsidRPr="00563144">
        <w:rPr>
          <w:b/>
          <w:sz w:val="24"/>
          <w:szCs w:val="24"/>
          <w:lang w:val="ru-RU"/>
        </w:rPr>
        <w:t xml:space="preserve"> </w:t>
      </w:r>
    </w:p>
    <w:p w:rsidR="00C35048" w:rsidRPr="00563144" w:rsidRDefault="00B870F9" w:rsidP="00B870F9">
      <w:pPr>
        <w:rPr>
          <w:b/>
          <w:sz w:val="24"/>
          <w:szCs w:val="24"/>
          <w:lang w:val="ru-RU"/>
        </w:rPr>
      </w:pPr>
      <w:r w:rsidRPr="00563144">
        <w:rPr>
          <w:b/>
          <w:sz w:val="24"/>
          <w:szCs w:val="24"/>
          <w:lang w:val="ru-RU"/>
        </w:rPr>
        <w:t>Женева, 2–11 октября 2017 г.</w:t>
      </w: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A06865" w:rsidP="008A4ADD">
      <w:pPr>
        <w:rPr>
          <w:lang w:val="ru-RU"/>
        </w:rPr>
      </w:pPr>
      <w:r w:rsidRPr="00563144">
        <w:rPr>
          <w:lang w:val="ru-RU"/>
        </w:rPr>
        <w:t>ПРЕДЛОЖЕНИЕ СОЕДИНЕННЫХ ШТАТОВ И Я</w:t>
      </w:r>
      <w:r w:rsidR="00CA16E1" w:rsidRPr="00563144">
        <w:rPr>
          <w:lang w:val="ru-RU"/>
        </w:rPr>
        <w:t>П</w:t>
      </w:r>
      <w:r w:rsidRPr="00563144">
        <w:rPr>
          <w:lang w:val="ru-RU"/>
        </w:rPr>
        <w:t xml:space="preserve">ОНИИ ОТНОСИТЕЛЬНО МАНДАТА И ПРОГРАММЫ РАБОТЫ МКГР ВОИС НА ДВУХЛЕТНИЙ ПЕРИОД </w:t>
      </w:r>
      <w:r w:rsidR="00F44256" w:rsidRPr="00563144">
        <w:rPr>
          <w:lang w:val="ru-RU"/>
        </w:rPr>
        <w:t>20</w:t>
      </w:r>
      <w:r w:rsidR="00D67AA3" w:rsidRPr="00563144">
        <w:rPr>
          <w:lang w:val="ru-RU"/>
        </w:rPr>
        <w:t>18</w:t>
      </w:r>
      <w:r w:rsidRPr="00563144">
        <w:rPr>
          <w:lang w:val="ru-RU"/>
        </w:rPr>
        <w:t>–</w:t>
      </w:r>
      <w:r w:rsidR="00F44256" w:rsidRPr="00563144">
        <w:rPr>
          <w:lang w:val="ru-RU"/>
        </w:rPr>
        <w:t>20</w:t>
      </w:r>
      <w:r w:rsidR="00D67AA3" w:rsidRPr="00563144">
        <w:rPr>
          <w:lang w:val="ru-RU"/>
        </w:rPr>
        <w:t xml:space="preserve">19 </w:t>
      </w:r>
      <w:r w:rsidRPr="00563144">
        <w:rPr>
          <w:lang w:val="ru-RU"/>
        </w:rPr>
        <w:t xml:space="preserve">ГГ. </w:t>
      </w: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B870F9" w:rsidP="0081310A">
      <w:pPr>
        <w:rPr>
          <w:i/>
          <w:lang w:val="ru-RU"/>
        </w:rPr>
      </w:pPr>
      <w:bookmarkStart w:id="2" w:name="Prepared"/>
      <w:bookmarkEnd w:id="2"/>
      <w:r w:rsidRPr="00563144">
        <w:rPr>
          <w:i/>
          <w:lang w:val="ru-RU"/>
        </w:rPr>
        <w:t xml:space="preserve">Предложение, представленное Соединенными Штатами Америки и Японией </w:t>
      </w: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C35048" w:rsidP="0081310A">
      <w:pPr>
        <w:rPr>
          <w:lang w:val="ru-RU"/>
        </w:rPr>
      </w:pPr>
    </w:p>
    <w:p w:rsidR="00C35048" w:rsidRPr="00563144" w:rsidRDefault="00C35048" w:rsidP="0081310A">
      <w:pPr>
        <w:rPr>
          <w:szCs w:val="22"/>
          <w:lang w:val="ru-RU"/>
        </w:rPr>
      </w:pPr>
    </w:p>
    <w:p w:rsidR="00C35048" w:rsidRPr="00563144" w:rsidRDefault="008A4ADD" w:rsidP="0081310A">
      <w:pPr>
        <w:autoSpaceDE w:val="0"/>
        <w:autoSpaceDN w:val="0"/>
        <w:adjustRightInd w:val="0"/>
        <w:rPr>
          <w:szCs w:val="22"/>
          <w:lang w:val="ru-RU"/>
        </w:rPr>
      </w:pPr>
      <w:r w:rsidRPr="00563144">
        <w:rPr>
          <w:noProof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0C89E" wp14:editId="35FCB00B">
                <wp:simplePos x="0" y="0"/>
                <wp:positionH relativeFrom="column">
                  <wp:posOffset>-697230</wp:posOffset>
                </wp:positionH>
                <wp:positionV relativeFrom="paragraph">
                  <wp:posOffset>330835</wp:posOffset>
                </wp:positionV>
                <wp:extent cx="317500" cy="635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635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ADD" w:rsidRPr="008A4ADD" w:rsidRDefault="008A4ADD" w:rsidP="008A4ADD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4.9pt;margin-top:26.05pt;width:25pt;height: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" fillcolor="black" strokeweight=".5pt">
                <v:fill opacity="0"/>
                <v:stroke opacity="0" joinstyle="round"/>
                <v:textbox style="mso-fit-shape-to-text:t" inset="0,0,0,0">
                  <w:txbxContent>
                    <w:p w:rsidR="008A4ADD" w:rsidRPr="008A4ADD" w:rsidRDefault="008A4ADD" w:rsidP="008A4ADD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F09" w:rsidRPr="00563144">
        <w:rPr>
          <w:szCs w:val="22"/>
          <w:lang w:val="ru-RU" w:eastAsia="en-US"/>
        </w:rPr>
        <w:t>В сообщении, полученном Секретариатом 4 октября 2017 г., делегация Соединенных Штатов Америки представила от имени делегаций Соединенных Штатов Америки и Японии прилагаемое предложение в рамках пункта повестки дня «Отчет о работе Межправительственного комитета по интеллектуальной собственности, генетическим ресурсам, традиционным знаниям и фольклору (МКГР)»</w:t>
      </w:r>
      <w:r w:rsidR="0081310A" w:rsidRPr="00563144">
        <w:rPr>
          <w:szCs w:val="22"/>
          <w:lang w:val="ru-RU"/>
        </w:rPr>
        <w:t>.</w:t>
      </w:r>
      <w:r w:rsidR="00C63F09" w:rsidRPr="00563144">
        <w:rPr>
          <w:szCs w:val="22"/>
          <w:lang w:val="ru-RU"/>
        </w:rPr>
        <w:t xml:space="preserve"> </w:t>
      </w:r>
    </w:p>
    <w:p w:rsidR="00C35048" w:rsidRPr="00563144" w:rsidRDefault="00C35048" w:rsidP="00C63F09">
      <w:pPr>
        <w:pStyle w:val="ONUME"/>
        <w:numPr>
          <w:ilvl w:val="0"/>
          <w:numId w:val="0"/>
        </w:numPr>
        <w:spacing w:after="0"/>
        <w:ind w:left="5501" w:firstLine="567"/>
        <w:rPr>
          <w:i/>
          <w:lang w:val="ru-RU"/>
        </w:rPr>
      </w:pPr>
    </w:p>
    <w:p w:rsidR="00C35048" w:rsidRPr="00563144" w:rsidRDefault="00C35048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C35048" w:rsidRPr="00563144" w:rsidRDefault="00C35048" w:rsidP="00DE0EAD">
      <w:pPr>
        <w:pStyle w:val="ONUME"/>
        <w:numPr>
          <w:ilvl w:val="0"/>
          <w:numId w:val="0"/>
        </w:numPr>
        <w:spacing w:after="0"/>
        <w:ind w:left="5501"/>
        <w:rPr>
          <w:i/>
          <w:lang w:val="ru-RU"/>
        </w:rPr>
      </w:pPr>
    </w:p>
    <w:p w:rsidR="00C35048" w:rsidRPr="00563144" w:rsidRDefault="00DE0EAD" w:rsidP="00DE0EAD">
      <w:pPr>
        <w:spacing w:after="120" w:line="260" w:lineRule="atLeast"/>
        <w:ind w:left="5500"/>
        <w:contextualSpacing/>
        <w:rPr>
          <w:lang w:val="ru-RU"/>
        </w:rPr>
      </w:pPr>
      <w:r w:rsidRPr="00563144">
        <w:rPr>
          <w:lang w:val="ru-RU"/>
        </w:rPr>
        <w:t>[</w:t>
      </w:r>
      <w:r w:rsidR="00C63F09" w:rsidRPr="00563144">
        <w:rPr>
          <w:lang w:val="ru-RU"/>
        </w:rPr>
        <w:t>Приложение следует</w:t>
      </w:r>
      <w:r w:rsidRPr="00563144">
        <w:rPr>
          <w:lang w:val="ru-RU"/>
        </w:rPr>
        <w:t>]</w:t>
      </w:r>
    </w:p>
    <w:p w:rsidR="00C35048" w:rsidRPr="00563144" w:rsidRDefault="00C35048" w:rsidP="00D70B35">
      <w:pPr>
        <w:spacing w:after="120" w:line="260" w:lineRule="atLeast"/>
        <w:contextualSpacing/>
        <w:rPr>
          <w:szCs w:val="22"/>
          <w:lang w:val="ru-RU"/>
        </w:rPr>
      </w:pPr>
    </w:p>
    <w:p w:rsidR="00D70B35" w:rsidRPr="00563144" w:rsidRDefault="00D70B35" w:rsidP="00D70B35">
      <w:pPr>
        <w:spacing w:after="120" w:line="260" w:lineRule="atLeast"/>
        <w:ind w:left="5500"/>
        <w:contextualSpacing/>
        <w:rPr>
          <w:szCs w:val="22"/>
          <w:lang w:val="ru-RU"/>
        </w:rPr>
        <w:sectPr w:rsidR="00D70B35" w:rsidRPr="00563144" w:rsidSect="00885AD5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C35048" w:rsidRPr="00563144" w:rsidRDefault="00C35048" w:rsidP="0081310A">
      <w:pPr>
        <w:jc w:val="right"/>
        <w:rPr>
          <w:lang w:val="ru-RU"/>
        </w:rPr>
      </w:pPr>
    </w:p>
    <w:p w:rsidR="00C35048" w:rsidRPr="00563144" w:rsidRDefault="00FD4D35" w:rsidP="00FD4D35">
      <w:pPr>
        <w:pStyle w:val="Default"/>
        <w:jc w:val="center"/>
        <w:rPr>
          <w:sz w:val="22"/>
          <w:lang w:val="ru-RU"/>
        </w:rPr>
      </w:pPr>
      <w:r w:rsidRPr="00563144">
        <w:rPr>
          <w:b/>
          <w:sz w:val="22"/>
          <w:lang w:val="ru-RU"/>
        </w:rPr>
        <w:t>Ассамблеи государств-членов ВОИС</w:t>
      </w:r>
    </w:p>
    <w:p w:rsidR="00C35048" w:rsidRPr="00563144" w:rsidRDefault="00FD4D35" w:rsidP="00FD4D35">
      <w:pPr>
        <w:pStyle w:val="Default"/>
        <w:jc w:val="center"/>
        <w:rPr>
          <w:sz w:val="22"/>
          <w:lang w:val="ru-RU"/>
        </w:rPr>
      </w:pPr>
      <w:r w:rsidRPr="00563144">
        <w:rPr>
          <w:b/>
          <w:sz w:val="22"/>
          <w:lang w:val="ru-RU"/>
        </w:rPr>
        <w:t>Двадцать седьмая сессия</w:t>
      </w:r>
    </w:p>
    <w:p w:rsidR="00C35048" w:rsidRPr="00563144" w:rsidRDefault="00FD4D35" w:rsidP="00FD4D35">
      <w:pPr>
        <w:pStyle w:val="Default"/>
        <w:jc w:val="center"/>
        <w:rPr>
          <w:b/>
          <w:sz w:val="22"/>
          <w:lang w:val="ru-RU"/>
        </w:rPr>
      </w:pPr>
      <w:r w:rsidRPr="00563144">
        <w:rPr>
          <w:b/>
          <w:sz w:val="22"/>
          <w:lang w:val="ru-RU"/>
        </w:rPr>
        <w:t>2–11 октября 2017 г.</w:t>
      </w:r>
    </w:p>
    <w:p w:rsidR="00C35048" w:rsidRPr="00563144" w:rsidRDefault="00FD4D35" w:rsidP="0001730C">
      <w:pPr>
        <w:pStyle w:val="Default"/>
        <w:jc w:val="center"/>
        <w:rPr>
          <w:b/>
          <w:sz w:val="22"/>
          <w:lang w:val="ru-RU"/>
        </w:rPr>
      </w:pPr>
      <w:r w:rsidRPr="00563144">
        <w:rPr>
          <w:b/>
          <w:sz w:val="22"/>
          <w:lang w:val="ru-RU"/>
        </w:rPr>
        <w:t xml:space="preserve">Вопросы, касающиеся Межправительственного </w:t>
      </w:r>
      <w:r w:rsidR="00CA16E1" w:rsidRPr="00563144">
        <w:rPr>
          <w:b/>
          <w:sz w:val="22"/>
          <w:lang w:val="ru-RU"/>
        </w:rPr>
        <w:t>комитета по интеллектуальной собственности, генетическим ресурсам, традиционным знаниям и фольклору</w:t>
      </w:r>
    </w:p>
    <w:p w:rsidR="00C35048" w:rsidRPr="00563144" w:rsidRDefault="00C35048" w:rsidP="0001730C">
      <w:pPr>
        <w:pStyle w:val="Default"/>
        <w:jc w:val="center"/>
        <w:rPr>
          <w:sz w:val="22"/>
          <w:lang w:val="ru-RU"/>
        </w:rPr>
      </w:pPr>
    </w:p>
    <w:p w:rsidR="00C35048" w:rsidRPr="00563144" w:rsidRDefault="00CA16E1" w:rsidP="0001730C">
      <w:pPr>
        <w:pStyle w:val="Default"/>
        <w:jc w:val="center"/>
        <w:rPr>
          <w:b/>
          <w:sz w:val="22"/>
          <w:lang w:val="ru-RU"/>
        </w:rPr>
      </w:pPr>
      <w:r w:rsidRPr="00563144">
        <w:rPr>
          <w:b/>
          <w:sz w:val="22"/>
          <w:lang w:val="ru-RU"/>
        </w:rPr>
        <w:t xml:space="preserve">Предложение Соединенных Штатов и Японии </w:t>
      </w:r>
    </w:p>
    <w:p w:rsidR="00C35048" w:rsidRPr="00563144" w:rsidRDefault="00C35048" w:rsidP="0001730C">
      <w:pPr>
        <w:pStyle w:val="Default"/>
        <w:jc w:val="center"/>
        <w:rPr>
          <w:b/>
          <w:sz w:val="22"/>
          <w:lang w:val="ru-RU"/>
        </w:rPr>
      </w:pPr>
    </w:p>
    <w:p w:rsidR="00C35048" w:rsidRPr="00563144" w:rsidRDefault="00FB066E" w:rsidP="0001730C">
      <w:pPr>
        <w:pStyle w:val="Default"/>
        <w:jc w:val="center"/>
        <w:rPr>
          <w:b/>
          <w:sz w:val="22"/>
          <w:lang w:val="ru-RU"/>
        </w:rPr>
      </w:pPr>
      <w:r w:rsidRPr="00563144">
        <w:rPr>
          <w:b/>
          <w:sz w:val="22"/>
          <w:lang w:val="ru-RU"/>
        </w:rPr>
        <w:t xml:space="preserve">относительно </w:t>
      </w:r>
      <w:r w:rsidR="00CA16E1" w:rsidRPr="00563144">
        <w:rPr>
          <w:b/>
          <w:sz w:val="22"/>
          <w:lang w:val="ru-RU"/>
        </w:rPr>
        <w:t>мандата МКГР ВОИС</w:t>
      </w:r>
    </w:p>
    <w:p w:rsidR="00C35048" w:rsidRPr="00563144" w:rsidRDefault="00CA16E1" w:rsidP="0001730C">
      <w:pPr>
        <w:pStyle w:val="Default"/>
        <w:jc w:val="center"/>
        <w:rPr>
          <w:sz w:val="22"/>
          <w:lang w:val="ru-RU"/>
        </w:rPr>
      </w:pPr>
      <w:r w:rsidRPr="00563144">
        <w:rPr>
          <w:b/>
          <w:sz w:val="22"/>
          <w:lang w:val="ru-RU"/>
        </w:rPr>
        <w:t>на двухлетний период 2018–2019 гг.</w:t>
      </w:r>
    </w:p>
    <w:p w:rsidR="00C35048" w:rsidRPr="00563144" w:rsidRDefault="00C35048" w:rsidP="0001730C">
      <w:pPr>
        <w:pStyle w:val="Default"/>
        <w:rPr>
          <w:sz w:val="22"/>
          <w:lang w:val="ru-RU"/>
        </w:rPr>
      </w:pPr>
    </w:p>
    <w:p w:rsidR="00C35048" w:rsidRPr="00563144" w:rsidRDefault="00C35048" w:rsidP="0001730C">
      <w:pPr>
        <w:pStyle w:val="Default"/>
        <w:rPr>
          <w:sz w:val="22"/>
          <w:lang w:val="ru-RU"/>
        </w:rPr>
      </w:pPr>
    </w:p>
    <w:p w:rsidR="00C35048" w:rsidRPr="00563144" w:rsidRDefault="0024138C" w:rsidP="0001730C">
      <w:pPr>
        <w:pStyle w:val="Default"/>
        <w:rPr>
          <w:sz w:val="22"/>
          <w:lang w:val="ru-RU"/>
        </w:rPr>
      </w:pPr>
      <w:r w:rsidRPr="00563144">
        <w:rPr>
          <w:sz w:val="22"/>
          <w:lang w:val="ru-RU"/>
        </w:rPr>
        <w:t>Учитывая рекомендации Повестки дня в области развития</w:t>
      </w:r>
      <w:r w:rsidR="0001730C" w:rsidRPr="00563144">
        <w:rPr>
          <w:sz w:val="22"/>
          <w:lang w:val="ru-RU"/>
        </w:rPr>
        <w:t xml:space="preserve">, </w:t>
      </w:r>
      <w:r w:rsidRPr="00563144">
        <w:rPr>
          <w:sz w:val="22"/>
          <w:lang w:val="ru-RU"/>
        </w:rPr>
        <w:t>Генеральная Ассамблея ВОИС постановляет в соответствии с нижеследующим продлить мандат Межправительственного комитета ВОИС по интеллектуальной собственности, генетическим ресурсам, традиционным знаниям и фольклору («Комитет») без ущерба для работы в рамках других форумов</w:t>
      </w:r>
      <w:r w:rsidR="0001730C" w:rsidRPr="00563144">
        <w:rPr>
          <w:sz w:val="22"/>
          <w:lang w:val="ru-RU"/>
        </w:rPr>
        <w:t>:</w:t>
      </w:r>
      <w:r w:rsidR="006510E9" w:rsidRPr="00563144">
        <w:rPr>
          <w:sz w:val="22"/>
          <w:lang w:val="ru-RU"/>
        </w:rPr>
        <w:t xml:space="preserve"> </w:t>
      </w:r>
    </w:p>
    <w:p w:rsidR="00C35048" w:rsidRPr="00563144" w:rsidRDefault="00C35048" w:rsidP="0001730C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01730C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(a)</w:t>
      </w:r>
      <w:r w:rsidR="0068317B" w:rsidRPr="00FA2910">
        <w:rPr>
          <w:sz w:val="22"/>
          <w:lang w:val="ru-RU"/>
        </w:rPr>
        <w:tab/>
      </w:r>
      <w:r w:rsidR="003C4232" w:rsidRPr="00563144">
        <w:rPr>
          <w:sz w:val="22"/>
          <w:lang w:val="ru-RU"/>
        </w:rPr>
        <w:t xml:space="preserve">Работа Комитета в двухлетний период </w:t>
      </w:r>
      <w:r w:rsidRPr="00563144">
        <w:rPr>
          <w:sz w:val="22"/>
          <w:lang w:val="ru-RU"/>
        </w:rPr>
        <w:t>2018</w:t>
      </w:r>
      <w:r w:rsidR="003C4232" w:rsidRPr="00563144">
        <w:rPr>
          <w:sz w:val="22"/>
          <w:lang w:val="ru-RU"/>
        </w:rPr>
        <w:t>–2019 гг. будет основываться на результатах уже проделанной им работы с упором на урегулирование нерешенных вопросов, таких как определения, предмет документов, цели, бенефициары, объем охраны</w:t>
      </w:r>
      <w:r w:rsidRPr="00563144">
        <w:rPr>
          <w:sz w:val="22"/>
          <w:lang w:val="ru-RU"/>
        </w:rPr>
        <w:t xml:space="preserve">, </w:t>
      </w:r>
      <w:r w:rsidR="003C4232" w:rsidRPr="00563144">
        <w:rPr>
          <w:sz w:val="22"/>
          <w:lang w:val="ru-RU"/>
        </w:rPr>
        <w:t>защита</w:t>
      </w:r>
      <w:r w:rsidR="003C4232" w:rsidRPr="00563144">
        <w:rPr>
          <w:lang w:val="ru-RU"/>
        </w:rPr>
        <w:t xml:space="preserve"> </w:t>
      </w:r>
      <w:r w:rsidR="003C4232" w:rsidRPr="00563144">
        <w:rPr>
          <w:sz w:val="22"/>
          <w:lang w:val="ru-RU"/>
        </w:rPr>
        <w:t>и связь с общественным достоянием</w:t>
      </w:r>
      <w:r w:rsidRPr="00563144">
        <w:rPr>
          <w:sz w:val="22"/>
          <w:lang w:val="ru-RU"/>
        </w:rPr>
        <w:t xml:space="preserve">.  </w:t>
      </w:r>
      <w:r w:rsidR="00403F00" w:rsidRPr="00563144">
        <w:rPr>
          <w:sz w:val="22"/>
          <w:lang w:val="ru-RU"/>
        </w:rPr>
        <w:t>МКГР рассмотрит вопрос о созыве дипломатической конференции только после того, как будет достигнута договоренность в отношении определений</w:t>
      </w:r>
      <w:r w:rsidRPr="00563144">
        <w:rPr>
          <w:sz w:val="22"/>
          <w:lang w:val="ru-RU"/>
        </w:rPr>
        <w:t xml:space="preserve">, </w:t>
      </w:r>
      <w:r w:rsidR="00403F00" w:rsidRPr="00563144">
        <w:rPr>
          <w:sz w:val="22"/>
          <w:lang w:val="ru-RU"/>
        </w:rPr>
        <w:t>целей</w:t>
      </w:r>
      <w:r w:rsidRPr="00563144">
        <w:rPr>
          <w:sz w:val="22"/>
          <w:lang w:val="ru-RU"/>
        </w:rPr>
        <w:t xml:space="preserve">, </w:t>
      </w:r>
      <w:r w:rsidR="00403F00" w:rsidRPr="00563144">
        <w:rPr>
          <w:sz w:val="22"/>
          <w:lang w:val="ru-RU"/>
        </w:rPr>
        <w:t>бенефициаров и объема охраны</w:t>
      </w:r>
      <w:r w:rsidRPr="00563144">
        <w:rPr>
          <w:sz w:val="22"/>
          <w:lang w:val="ru-RU"/>
        </w:rPr>
        <w:t xml:space="preserve">, </w:t>
      </w:r>
      <w:r w:rsidR="00403F00" w:rsidRPr="00563144">
        <w:rPr>
          <w:sz w:val="22"/>
          <w:lang w:val="ru-RU"/>
        </w:rPr>
        <w:t xml:space="preserve">а также </w:t>
      </w:r>
      <w:r w:rsidR="00F416F9" w:rsidRPr="00563144">
        <w:rPr>
          <w:sz w:val="22"/>
          <w:lang w:val="ru-RU"/>
        </w:rPr>
        <w:t>характера документа</w:t>
      </w:r>
      <w:r w:rsidRPr="00563144">
        <w:rPr>
          <w:sz w:val="22"/>
          <w:lang w:val="ru-RU"/>
        </w:rPr>
        <w:t>.</w:t>
      </w:r>
      <w:r w:rsidR="00F416F9" w:rsidRPr="00563144">
        <w:rPr>
          <w:sz w:val="22"/>
          <w:lang w:val="ru-RU"/>
        </w:rPr>
        <w:t xml:space="preserve"> </w:t>
      </w:r>
    </w:p>
    <w:p w:rsidR="00C35048" w:rsidRPr="00563144" w:rsidRDefault="00C35048" w:rsidP="0001730C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ED4C82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(b)</w:t>
      </w:r>
      <w:r w:rsidR="0068317B" w:rsidRPr="00FA2910">
        <w:rPr>
          <w:sz w:val="22"/>
          <w:lang w:val="ru-RU"/>
        </w:rPr>
        <w:tab/>
      </w:r>
      <w:r w:rsidR="00ED4C82" w:rsidRPr="00563144">
        <w:rPr>
          <w:sz w:val="22"/>
          <w:lang w:val="ru-RU"/>
        </w:rPr>
        <w:t>В двухлетний период 2018–2019 гг. Комитет будет придерживаться содержащейся в приведенной ниже таблице четкой программы работы, основанной на рациональных методах работы.  Программа работы будет предусматривать проведение в 2018–2019 гг. четырех сессий Комитета, включая тематические и сквозные сессии и сессии для подведения итогов</w:t>
      </w:r>
      <w:r w:rsidRPr="00563144">
        <w:rPr>
          <w:sz w:val="22"/>
          <w:lang w:val="ru-RU"/>
        </w:rPr>
        <w:t xml:space="preserve">. </w:t>
      </w:r>
    </w:p>
    <w:p w:rsidR="00C35048" w:rsidRPr="00563144" w:rsidRDefault="00C35048" w:rsidP="00ED4C82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01730C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(c)</w:t>
      </w:r>
      <w:r w:rsidR="0068317B" w:rsidRPr="00FA2910">
        <w:rPr>
          <w:sz w:val="22"/>
          <w:lang w:val="ru-RU"/>
        </w:rPr>
        <w:tab/>
      </w:r>
      <w:r w:rsidR="00ED4C82" w:rsidRPr="00563144">
        <w:rPr>
          <w:sz w:val="22"/>
          <w:lang w:val="ru-RU"/>
        </w:rPr>
        <w:t>Комитет будет использовать все рабочие документы ВОИС</w:t>
      </w:r>
      <w:r w:rsidRPr="00563144">
        <w:rPr>
          <w:sz w:val="22"/>
          <w:lang w:val="ru-RU"/>
        </w:rPr>
        <w:t xml:space="preserve">, </w:t>
      </w:r>
      <w:r w:rsidR="00ED4C82" w:rsidRPr="00563144">
        <w:rPr>
          <w:sz w:val="22"/>
          <w:lang w:val="ru-RU"/>
        </w:rPr>
        <w:t>а также любую другую информацию, предоставленную государствами-членами, с применением подхода, основанного на фактах, включая исследования и примеры национального опыта, в том числе национальные законодательные акты и примеры охраняемых объектов и объектов, которые не предназначены для охраны</w:t>
      </w:r>
      <w:r w:rsidRPr="00563144">
        <w:rPr>
          <w:sz w:val="22"/>
          <w:lang w:val="ru-RU"/>
        </w:rPr>
        <w:t xml:space="preserve">. </w:t>
      </w:r>
    </w:p>
    <w:p w:rsidR="00C35048" w:rsidRPr="00563144" w:rsidRDefault="00C35048" w:rsidP="0001730C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01730C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(d)</w:t>
      </w:r>
      <w:r w:rsidR="0068317B" w:rsidRPr="00FA2910">
        <w:rPr>
          <w:sz w:val="22"/>
          <w:lang w:val="ru-RU"/>
        </w:rPr>
        <w:tab/>
      </w:r>
      <w:r w:rsidR="000C16AA" w:rsidRPr="00563144">
        <w:rPr>
          <w:sz w:val="22"/>
          <w:lang w:val="ru-RU"/>
        </w:rPr>
        <w:t xml:space="preserve">Для проведения исследований, указанных в документах WIPO/GRTKF/IC/32/8 и WIPO/GRTKF/IC/32/9, Комитет воспользуется помощью Секретариата.  </w:t>
      </w:r>
      <w:r w:rsidR="0099587B" w:rsidRPr="00563144">
        <w:rPr>
          <w:sz w:val="22"/>
          <w:lang w:val="ru-RU"/>
        </w:rPr>
        <w:t xml:space="preserve">Результаты исследований будут предоставлены Комитету </w:t>
      </w:r>
      <w:r w:rsidR="0071028B" w:rsidRPr="00563144">
        <w:rPr>
          <w:sz w:val="22"/>
          <w:lang w:val="ru-RU"/>
        </w:rPr>
        <w:t>к</w:t>
      </w:r>
      <w:r w:rsidR="0099587B" w:rsidRPr="00563144">
        <w:rPr>
          <w:sz w:val="22"/>
          <w:lang w:val="ru-RU"/>
        </w:rPr>
        <w:t xml:space="preserve"> первому заседанию МКГР в 2019 г.  Исследования будут проводиться одновременной с другой деятельностью МКГР и не должны привести к задержкам в его работе</w:t>
      </w:r>
      <w:r w:rsidRPr="00563144">
        <w:rPr>
          <w:sz w:val="22"/>
          <w:lang w:val="ru-RU"/>
        </w:rPr>
        <w:t>.</w:t>
      </w:r>
    </w:p>
    <w:p w:rsidR="00C35048" w:rsidRPr="00563144" w:rsidRDefault="00C35048" w:rsidP="0001730C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01730C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(e)</w:t>
      </w:r>
      <w:r w:rsidR="0068317B" w:rsidRPr="00FA2910">
        <w:rPr>
          <w:sz w:val="22"/>
          <w:lang w:val="ru-RU"/>
        </w:rPr>
        <w:tab/>
      </w:r>
      <w:r w:rsidR="00FB066E" w:rsidRPr="00563144">
        <w:rPr>
          <w:sz w:val="22"/>
          <w:lang w:val="ru-RU"/>
        </w:rPr>
        <w:t xml:space="preserve">Кроме того, </w:t>
      </w:r>
      <w:r w:rsidR="0099587B" w:rsidRPr="00563144">
        <w:rPr>
          <w:sz w:val="22"/>
          <w:lang w:val="ru-RU"/>
        </w:rPr>
        <w:t xml:space="preserve">Комитет воспользуется помощью Секретариата для ускорения работы по предложениям в отношении базы данных, содержащимся в документах </w:t>
      </w:r>
      <w:r w:rsidRPr="00563144">
        <w:rPr>
          <w:sz w:val="22"/>
          <w:lang w:val="ru-RU"/>
        </w:rPr>
        <w:t xml:space="preserve">WIPO/GRTKF/IC/32/6 </w:t>
      </w:r>
      <w:r w:rsidR="0099587B" w:rsidRPr="00563144">
        <w:rPr>
          <w:sz w:val="22"/>
          <w:lang w:val="ru-RU"/>
        </w:rPr>
        <w:t xml:space="preserve">и </w:t>
      </w:r>
      <w:r w:rsidRPr="00563144">
        <w:rPr>
          <w:sz w:val="22"/>
          <w:lang w:val="ru-RU"/>
        </w:rPr>
        <w:t xml:space="preserve">WIPO/GRTKF/IC/32/7.  </w:t>
      </w:r>
      <w:r w:rsidR="0099587B" w:rsidRPr="00563144">
        <w:rPr>
          <w:sz w:val="22"/>
          <w:lang w:val="ru-RU"/>
        </w:rPr>
        <w:t xml:space="preserve">Результаты этой работы будут готовы для утверждения МКГР и рассмотрения Генеральной Ассамблеей ВОИС в </w:t>
      </w:r>
      <w:r w:rsidRPr="00563144">
        <w:rPr>
          <w:sz w:val="22"/>
          <w:lang w:val="ru-RU"/>
        </w:rPr>
        <w:t>2019</w:t>
      </w:r>
      <w:r w:rsidR="0099587B" w:rsidRPr="00563144">
        <w:rPr>
          <w:sz w:val="22"/>
          <w:lang w:val="ru-RU"/>
        </w:rPr>
        <w:t> г</w:t>
      </w:r>
      <w:r w:rsidRPr="00563144">
        <w:rPr>
          <w:sz w:val="22"/>
          <w:lang w:val="ru-RU"/>
        </w:rPr>
        <w:t>.</w:t>
      </w:r>
    </w:p>
    <w:p w:rsidR="00C35048" w:rsidRPr="00563144" w:rsidRDefault="00C35048" w:rsidP="0001730C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FB066E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(f)</w:t>
      </w:r>
      <w:r w:rsidR="0068317B" w:rsidRPr="00FA2910">
        <w:rPr>
          <w:sz w:val="22"/>
          <w:lang w:val="ru-RU"/>
        </w:rPr>
        <w:tab/>
      </w:r>
      <w:r w:rsidR="0099587B" w:rsidRPr="00563144">
        <w:rPr>
          <w:sz w:val="22"/>
          <w:lang w:val="ru-RU"/>
        </w:rPr>
        <w:t xml:space="preserve">Комитет </w:t>
      </w:r>
      <w:r w:rsidR="00FB066E" w:rsidRPr="00563144">
        <w:rPr>
          <w:sz w:val="22"/>
          <w:lang w:val="ru-RU"/>
        </w:rPr>
        <w:t xml:space="preserve">также воспользуется </w:t>
      </w:r>
      <w:r w:rsidR="0099587B" w:rsidRPr="00563144">
        <w:rPr>
          <w:sz w:val="22"/>
          <w:lang w:val="ru-RU"/>
        </w:rPr>
        <w:t xml:space="preserve">помощью Секретариата ВОИС </w:t>
      </w:r>
      <w:r w:rsidR="008D43A1" w:rsidRPr="00563144">
        <w:rPr>
          <w:sz w:val="22"/>
          <w:lang w:val="ru-RU"/>
        </w:rPr>
        <w:t xml:space="preserve">для проведения исследований по применению странами требований о раскрытии информации и национальных положений для охраны ТЗ и ТВК.  </w:t>
      </w:r>
      <w:r w:rsidR="0071028B" w:rsidRPr="00563144">
        <w:rPr>
          <w:sz w:val="22"/>
          <w:lang w:val="ru-RU"/>
        </w:rPr>
        <w:t xml:space="preserve">Секретариат предложит </w:t>
      </w:r>
      <w:r w:rsidR="0071028B" w:rsidRPr="00563144">
        <w:rPr>
          <w:sz w:val="22"/>
          <w:lang w:val="ru-RU"/>
        </w:rPr>
        <w:lastRenderedPageBreak/>
        <w:t>формулировку технического задания этих исследований, которая будет рассмотрена государствами-членами ВОИС на первом заседании МКГР в 2018 г</w:t>
      </w:r>
      <w:r w:rsidRPr="00563144">
        <w:rPr>
          <w:sz w:val="22"/>
          <w:lang w:val="ru-RU"/>
        </w:rPr>
        <w:t>.</w:t>
      </w:r>
      <w:r w:rsidR="0071028B" w:rsidRPr="00563144">
        <w:rPr>
          <w:sz w:val="22"/>
          <w:lang w:val="ru-RU"/>
        </w:rPr>
        <w:t xml:space="preserve"> </w:t>
      </w:r>
    </w:p>
    <w:p w:rsidR="00C35048" w:rsidRPr="00563144" w:rsidRDefault="00C35048" w:rsidP="00FB066E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FB066E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(g)</w:t>
      </w:r>
      <w:r w:rsidR="0068317B" w:rsidRPr="00FA2910">
        <w:rPr>
          <w:sz w:val="22"/>
          <w:lang w:val="ru-RU"/>
        </w:rPr>
        <w:tab/>
      </w:r>
      <w:r w:rsidR="009B2808" w:rsidRPr="00563144">
        <w:rPr>
          <w:sz w:val="22"/>
          <w:lang w:val="ru-RU"/>
        </w:rPr>
        <w:t xml:space="preserve">Комитету поручается представить Генеральной Ассамблее </w:t>
      </w:r>
      <w:r w:rsidR="00FB066E" w:rsidRPr="00563144">
        <w:rPr>
          <w:sz w:val="22"/>
          <w:lang w:val="ru-RU"/>
        </w:rPr>
        <w:t xml:space="preserve">в 2018 г. </w:t>
      </w:r>
      <w:r w:rsidR="009B2808" w:rsidRPr="00563144">
        <w:rPr>
          <w:sz w:val="22"/>
          <w:lang w:val="ru-RU"/>
        </w:rPr>
        <w:t>исключительно в информационных целях основанный на фактическом материале отчет о его работе за истекшее время, а в 2019 г. – результаты своей работы</w:t>
      </w:r>
      <w:r w:rsidRPr="00563144">
        <w:rPr>
          <w:sz w:val="22"/>
          <w:lang w:val="ru-RU"/>
        </w:rPr>
        <w:t xml:space="preserve">. </w:t>
      </w:r>
    </w:p>
    <w:p w:rsidR="00FB066E" w:rsidRPr="00563144" w:rsidRDefault="00FB066E" w:rsidP="00FB066E">
      <w:pPr>
        <w:pStyle w:val="Default"/>
        <w:ind w:left="720"/>
        <w:rPr>
          <w:sz w:val="22"/>
          <w:lang w:val="ru-RU"/>
        </w:rPr>
      </w:pPr>
    </w:p>
    <w:p w:rsidR="00C35048" w:rsidRPr="00563144" w:rsidRDefault="0001730C" w:rsidP="00FB066E">
      <w:pPr>
        <w:pStyle w:val="Default"/>
        <w:ind w:left="720"/>
        <w:rPr>
          <w:sz w:val="22"/>
          <w:lang w:val="ru-RU"/>
        </w:rPr>
      </w:pPr>
      <w:r w:rsidRPr="00563144">
        <w:rPr>
          <w:sz w:val="22"/>
          <w:lang w:val="ru-RU"/>
        </w:rPr>
        <w:t>(h)</w:t>
      </w:r>
      <w:r w:rsidR="0068317B" w:rsidRPr="00FA2910">
        <w:rPr>
          <w:sz w:val="22"/>
          <w:lang w:val="ru-RU"/>
        </w:rPr>
        <w:tab/>
      </w:r>
      <w:r w:rsidR="00A03E42" w:rsidRPr="00563144">
        <w:rPr>
          <w:sz w:val="22"/>
          <w:lang w:val="ru-RU"/>
        </w:rPr>
        <w:t>Генеральная Ассамблея поручает Международному бюро продолжать оказывать содействие Комитету, предоставляя государствам-членам необходимую экспертную помощь и финансируя наиболее действенным образом участие экспертов из развивающихся стран и НРС в соответствии с обычной формулой МКГР</w:t>
      </w:r>
      <w:r w:rsidRPr="00563144">
        <w:rPr>
          <w:sz w:val="22"/>
          <w:lang w:val="ru-RU"/>
        </w:rPr>
        <w:t xml:space="preserve">. </w:t>
      </w:r>
    </w:p>
    <w:p w:rsidR="00C35048" w:rsidRPr="00563144" w:rsidRDefault="00C35048" w:rsidP="00FB066E">
      <w:pPr>
        <w:pStyle w:val="Default"/>
        <w:ind w:left="720"/>
        <w:rPr>
          <w:sz w:val="22"/>
          <w:lang w:val="ru-RU"/>
        </w:rPr>
      </w:pPr>
    </w:p>
    <w:p w:rsidR="00C35048" w:rsidRPr="00563144" w:rsidRDefault="00A03E42" w:rsidP="0001730C">
      <w:pPr>
        <w:jc w:val="center"/>
        <w:rPr>
          <w:b/>
          <w:szCs w:val="22"/>
          <w:u w:val="single"/>
          <w:lang w:val="ru-RU"/>
        </w:rPr>
      </w:pPr>
      <w:r w:rsidRPr="00563144">
        <w:rPr>
          <w:b/>
          <w:szCs w:val="22"/>
          <w:u w:val="single"/>
          <w:lang w:val="ru-RU"/>
        </w:rPr>
        <w:t>Программа работы</w:t>
      </w:r>
    </w:p>
    <w:p w:rsidR="0001730C" w:rsidRPr="00563144" w:rsidRDefault="0001730C" w:rsidP="0001730C">
      <w:pPr>
        <w:jc w:val="center"/>
        <w:rPr>
          <w:b/>
          <w:szCs w:val="22"/>
          <w:u w:val="single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6817"/>
      </w:tblGrid>
      <w:tr w:rsidR="0001730C" w:rsidRPr="00563144" w:rsidTr="00FB066E">
        <w:trPr>
          <w:trHeight w:val="449"/>
        </w:trPr>
        <w:tc>
          <w:tcPr>
            <w:tcW w:w="2448" w:type="dxa"/>
            <w:vAlign w:val="center"/>
          </w:tcPr>
          <w:p w:rsidR="0001730C" w:rsidRPr="00563144" w:rsidRDefault="00C35048" w:rsidP="00C35048">
            <w:pPr>
              <w:rPr>
                <w:b/>
                <w:lang w:val="ru-RU"/>
              </w:rPr>
            </w:pPr>
            <w:r w:rsidRPr="00563144">
              <w:rPr>
                <w:b/>
                <w:lang w:val="ru-RU"/>
              </w:rPr>
              <w:t>Ориентировочные даты</w:t>
            </w:r>
          </w:p>
        </w:tc>
        <w:tc>
          <w:tcPr>
            <w:tcW w:w="6817" w:type="dxa"/>
            <w:vAlign w:val="center"/>
          </w:tcPr>
          <w:p w:rsidR="0001730C" w:rsidRPr="00563144" w:rsidRDefault="00C35048" w:rsidP="00C35048">
            <w:pPr>
              <w:rPr>
                <w:b/>
                <w:lang w:val="ru-RU"/>
              </w:rPr>
            </w:pPr>
            <w:r w:rsidRPr="00563144">
              <w:rPr>
                <w:b/>
                <w:lang w:val="ru-RU"/>
              </w:rPr>
              <w:t>Вид деятельности</w:t>
            </w:r>
          </w:p>
        </w:tc>
      </w:tr>
      <w:tr w:rsidR="0001730C" w:rsidRPr="00FA2910" w:rsidTr="00FB066E">
        <w:trPr>
          <w:trHeight w:val="1043"/>
        </w:trPr>
        <w:tc>
          <w:tcPr>
            <w:tcW w:w="2448" w:type="dxa"/>
          </w:tcPr>
          <w:p w:rsidR="0001730C" w:rsidRPr="00563144" w:rsidRDefault="00FB066E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Февраль/март 2018 </w:t>
            </w:r>
            <w:r w:rsidR="00C35048" w:rsidRPr="00563144">
              <w:rPr>
                <w:lang w:val="ru-RU"/>
              </w:rPr>
              <w:t>г.</w:t>
            </w:r>
          </w:p>
        </w:tc>
        <w:tc>
          <w:tcPr>
            <w:tcW w:w="6817" w:type="dxa"/>
          </w:tcPr>
          <w:p w:rsidR="00C35048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35-я сессия МКГР: генетические ресурсы</w:t>
            </w:r>
          </w:p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Продолжительность: 5 дней.</w:t>
            </w:r>
            <w:r w:rsidR="00FB066E" w:rsidRPr="00563144">
              <w:rPr>
                <w:lang w:val="ru-RU"/>
              </w:rPr>
              <w:t xml:space="preserve"> </w:t>
            </w:r>
          </w:p>
        </w:tc>
      </w:tr>
      <w:tr w:rsidR="0001730C" w:rsidRPr="00FA2910" w:rsidTr="00FB066E">
        <w:trPr>
          <w:trHeight w:val="980"/>
        </w:trPr>
        <w:tc>
          <w:tcPr>
            <w:tcW w:w="2448" w:type="dxa"/>
          </w:tcPr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Сентябрь 2018  г.</w:t>
            </w:r>
          </w:p>
        </w:tc>
        <w:tc>
          <w:tcPr>
            <w:tcW w:w="6817" w:type="dxa"/>
          </w:tcPr>
          <w:p w:rsidR="00C35048" w:rsidRPr="00563144" w:rsidRDefault="0001730C" w:rsidP="003074D6">
            <w:pPr>
              <w:rPr>
                <w:lang w:val="ru-RU"/>
              </w:rPr>
            </w:pPr>
            <w:r w:rsidRPr="00563144">
              <w:rPr>
                <w:lang w:val="ru-RU"/>
              </w:rPr>
              <w:t>36</w:t>
            </w:r>
            <w:r w:rsidR="00E0789F" w:rsidRPr="00563144">
              <w:rPr>
                <w:lang w:val="ru-RU"/>
              </w:rPr>
              <w:t>-я сессия МКГР</w:t>
            </w:r>
            <w:r w:rsidRPr="00563144">
              <w:rPr>
                <w:lang w:val="ru-RU"/>
              </w:rPr>
              <w:t xml:space="preserve">: </w:t>
            </w:r>
            <w:r w:rsidR="00C35048" w:rsidRPr="00563144">
              <w:rPr>
                <w:lang w:val="ru-RU"/>
              </w:rPr>
              <w:t>традиционные знания</w:t>
            </w:r>
          </w:p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Продолжительность: 5 дней.</w:t>
            </w:r>
          </w:p>
        </w:tc>
      </w:tr>
      <w:tr w:rsidR="0001730C" w:rsidRPr="00563144" w:rsidTr="00FB066E">
        <w:trPr>
          <w:trHeight w:val="575"/>
        </w:trPr>
        <w:tc>
          <w:tcPr>
            <w:tcW w:w="2448" w:type="dxa"/>
          </w:tcPr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Октябрь 2018 г.</w:t>
            </w:r>
          </w:p>
        </w:tc>
        <w:tc>
          <w:tcPr>
            <w:tcW w:w="6817" w:type="dxa"/>
          </w:tcPr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Генеральная Ассамблея ВОИС</w:t>
            </w:r>
          </w:p>
        </w:tc>
      </w:tr>
      <w:tr w:rsidR="0001730C" w:rsidRPr="00563144" w:rsidTr="00FB066E">
        <w:trPr>
          <w:trHeight w:val="1061"/>
        </w:trPr>
        <w:tc>
          <w:tcPr>
            <w:tcW w:w="2448" w:type="dxa"/>
          </w:tcPr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Май/июнь 2019 г.</w:t>
            </w:r>
          </w:p>
        </w:tc>
        <w:tc>
          <w:tcPr>
            <w:tcW w:w="6817" w:type="dxa"/>
          </w:tcPr>
          <w:p w:rsidR="00C35048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37-я сессия МКГР: традиционные выражения культуры</w:t>
            </w:r>
            <w:r w:rsidR="0001730C" w:rsidRPr="00563144">
              <w:rPr>
                <w:lang w:val="ru-RU"/>
              </w:rPr>
              <w:t xml:space="preserve"> </w:t>
            </w:r>
          </w:p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Продолжительность: 5 дней.</w:t>
            </w:r>
          </w:p>
        </w:tc>
      </w:tr>
      <w:tr w:rsidR="0001730C" w:rsidRPr="00FA2910" w:rsidTr="00FB066E">
        <w:trPr>
          <w:trHeight w:val="1079"/>
        </w:trPr>
        <w:tc>
          <w:tcPr>
            <w:tcW w:w="2448" w:type="dxa"/>
          </w:tcPr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Сентябрь 2019  г.</w:t>
            </w:r>
          </w:p>
        </w:tc>
        <w:tc>
          <w:tcPr>
            <w:tcW w:w="6817" w:type="dxa"/>
          </w:tcPr>
          <w:p w:rsidR="00C35048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 xml:space="preserve">Сквозные вопросы и подведение итогов </w:t>
            </w:r>
          </w:p>
          <w:p w:rsidR="0001730C" w:rsidRPr="00563144" w:rsidRDefault="00C35048" w:rsidP="00C35048">
            <w:pPr>
              <w:rPr>
                <w:lang w:val="ru-RU"/>
              </w:rPr>
            </w:pPr>
            <w:r w:rsidRPr="00563144">
              <w:rPr>
                <w:lang w:val="ru-RU"/>
              </w:rPr>
              <w:t>Продолжительность: 5 дней.</w:t>
            </w:r>
          </w:p>
        </w:tc>
      </w:tr>
    </w:tbl>
    <w:p w:rsidR="00C35048" w:rsidRPr="00563144" w:rsidRDefault="00C35048" w:rsidP="0001730C">
      <w:pPr>
        <w:rPr>
          <w:szCs w:val="22"/>
          <w:lang w:val="ru-RU"/>
        </w:rPr>
      </w:pPr>
    </w:p>
    <w:p w:rsidR="00C35048" w:rsidRPr="00563144" w:rsidRDefault="00C35048" w:rsidP="0001730C">
      <w:pPr>
        <w:autoSpaceDE w:val="0"/>
        <w:autoSpaceDN w:val="0"/>
        <w:adjustRightInd w:val="0"/>
        <w:ind w:left="567"/>
        <w:rPr>
          <w:rFonts w:eastAsia="Calibri"/>
          <w:szCs w:val="22"/>
          <w:lang w:val="ru-RU" w:eastAsia="en-US"/>
        </w:rPr>
      </w:pPr>
    </w:p>
    <w:p w:rsidR="00C35048" w:rsidRPr="00563144" w:rsidRDefault="00C35048" w:rsidP="00C35048">
      <w:pPr>
        <w:ind w:left="5534"/>
        <w:contextualSpacing/>
        <w:rPr>
          <w:szCs w:val="22"/>
          <w:lang w:val="ru-RU" w:eastAsia="en-US"/>
        </w:rPr>
      </w:pPr>
      <w:r w:rsidRPr="00563144">
        <w:rPr>
          <w:szCs w:val="22"/>
          <w:lang w:val="ru-RU" w:eastAsia="en-US"/>
        </w:rPr>
        <w:t>[Конец приложения и документа]</w:t>
      </w:r>
    </w:p>
    <w:p w:rsidR="00C35048" w:rsidRPr="00563144" w:rsidRDefault="00C35048" w:rsidP="00987C92">
      <w:pPr>
        <w:ind w:left="5534"/>
        <w:contextualSpacing/>
        <w:rPr>
          <w:szCs w:val="22"/>
          <w:lang w:val="ru-RU" w:eastAsia="en-US"/>
        </w:rPr>
      </w:pPr>
    </w:p>
    <w:p w:rsidR="00FD1C08" w:rsidRPr="00563144" w:rsidRDefault="00FD1C08" w:rsidP="00987C92">
      <w:pPr>
        <w:ind w:left="5534"/>
        <w:contextualSpacing/>
        <w:rPr>
          <w:szCs w:val="22"/>
          <w:lang w:val="ru-RU" w:eastAsia="en-US"/>
        </w:rPr>
      </w:pPr>
    </w:p>
    <w:sectPr w:rsidR="00FD1C08" w:rsidRPr="00563144" w:rsidSect="00D70B35">
      <w:headerReference w:type="default" r:id="rId11"/>
      <w:headerReference w:type="first" r:id="rId12"/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73B" w:rsidRDefault="002E773B">
      <w:r>
        <w:separator/>
      </w:r>
    </w:p>
  </w:endnote>
  <w:endnote w:type="continuationSeparator" w:id="0">
    <w:p w:rsidR="002E773B" w:rsidRDefault="002E773B" w:rsidP="003B38C1">
      <w:r>
        <w:separator/>
      </w:r>
    </w:p>
    <w:p w:rsidR="002E773B" w:rsidRPr="003B38C1" w:rsidRDefault="002E773B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E773B" w:rsidRPr="003B38C1" w:rsidRDefault="002E773B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???¡ì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73B" w:rsidRDefault="002E773B">
      <w:r>
        <w:separator/>
      </w:r>
    </w:p>
  </w:footnote>
  <w:footnote w:type="continuationSeparator" w:id="0">
    <w:p w:rsidR="002E773B" w:rsidRDefault="002E773B" w:rsidP="008B60B2">
      <w:r>
        <w:separator/>
      </w:r>
    </w:p>
    <w:p w:rsidR="002E773B" w:rsidRPr="00ED77FB" w:rsidRDefault="002E773B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E773B" w:rsidRPr="00ED77FB" w:rsidRDefault="002E773B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Pr="00D13C08" w:rsidRDefault="00D70B35" w:rsidP="00477D6B">
    <w:pPr>
      <w:jc w:val="right"/>
      <w:rPr>
        <w:szCs w:val="22"/>
      </w:rPr>
    </w:pPr>
    <w:r w:rsidRPr="00D13C08">
      <w:rPr>
        <w:caps/>
        <w:szCs w:val="22"/>
      </w:rPr>
      <w:t>WO/GA/4</w:t>
    </w:r>
    <w:r>
      <w:rPr>
        <w:caps/>
        <w:szCs w:val="22"/>
      </w:rPr>
      <w:t>7/XX</w:t>
    </w:r>
  </w:p>
  <w:p w:rsidR="00D70B35" w:rsidRPr="00D13C08" w:rsidRDefault="00465675" w:rsidP="00477D6B">
    <w:pPr>
      <w:jc w:val="right"/>
      <w:rPr>
        <w:szCs w:val="22"/>
      </w:rPr>
    </w:pPr>
    <w:r>
      <w:rPr>
        <w:szCs w:val="22"/>
        <w:lang w:val="ru-RU"/>
      </w:rPr>
      <w:t xml:space="preserve">стр. </w:t>
    </w:r>
    <w:r w:rsidRPr="00D13C08">
      <w:rPr>
        <w:szCs w:val="22"/>
      </w:rPr>
      <w:fldChar w:fldCharType="begin"/>
    </w:r>
    <w:r w:rsidRPr="00D13C08">
      <w:rPr>
        <w:szCs w:val="22"/>
      </w:rPr>
      <w:instrText xml:space="preserve"> PAGE  \* MERGEFORMAT </w:instrText>
    </w:r>
    <w:r w:rsidRPr="00D13C08">
      <w:rPr>
        <w:szCs w:val="22"/>
      </w:rPr>
      <w:fldChar w:fldCharType="separate"/>
    </w:r>
    <w:r>
      <w:rPr>
        <w:noProof/>
        <w:szCs w:val="22"/>
      </w:rPr>
      <w:t>2</w:t>
    </w:r>
    <w:r w:rsidRPr="00D13C08">
      <w:rPr>
        <w:szCs w:val="22"/>
      </w:rPr>
      <w:fldChar w:fldCharType="end"/>
    </w:r>
  </w:p>
  <w:p w:rsidR="00D70B35" w:rsidRDefault="00D70B35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C63F09" w:rsidRDefault="00DE0EAD" w:rsidP="00477D6B">
    <w:pPr>
      <w:jc w:val="right"/>
      <w:rPr>
        <w:lang w:val="ru-RU"/>
      </w:rPr>
    </w:pPr>
    <w:bookmarkStart w:id="3" w:name="Code2"/>
    <w:bookmarkEnd w:id="3"/>
    <w:r w:rsidRPr="00254057">
      <w:t>WO</w:t>
    </w:r>
    <w:r w:rsidRPr="00C63F09">
      <w:rPr>
        <w:lang w:val="ru-RU"/>
      </w:rPr>
      <w:t>/</w:t>
    </w:r>
    <w:r w:rsidRPr="00254057">
      <w:t>GA</w:t>
    </w:r>
    <w:r w:rsidRPr="00C63F09">
      <w:rPr>
        <w:lang w:val="ru-RU"/>
      </w:rPr>
      <w:t>/49/</w:t>
    </w:r>
    <w:r w:rsidR="00C46E17" w:rsidRPr="00C63F09">
      <w:rPr>
        <w:lang w:val="ru-RU"/>
      </w:rPr>
      <w:t>19</w:t>
    </w:r>
  </w:p>
  <w:p w:rsidR="00EC4E49" w:rsidRPr="00C63F09" w:rsidRDefault="00C63F09" w:rsidP="00477D6B">
    <w:pPr>
      <w:jc w:val="right"/>
      <w:rPr>
        <w:lang w:val="ru-RU"/>
      </w:rPr>
    </w:pPr>
    <w:r>
      <w:rPr>
        <w:lang w:val="ru-RU"/>
      </w:rPr>
      <w:t>Приложение</w:t>
    </w:r>
    <w:r w:rsidR="00D70B35" w:rsidRPr="00C63F09">
      <w:rPr>
        <w:lang w:val="ru-RU"/>
      </w:rPr>
      <w:t xml:space="preserve">, </w:t>
    </w:r>
    <w:r>
      <w:rPr>
        <w:lang w:val="ru-RU"/>
      </w:rPr>
      <w:t xml:space="preserve">стр. </w:t>
    </w:r>
    <w:r w:rsidR="00EC4E49">
      <w:fldChar w:fldCharType="begin"/>
    </w:r>
    <w:r w:rsidR="00EC4E49" w:rsidRPr="00C63F09">
      <w:rPr>
        <w:lang w:val="ru-RU"/>
      </w:rPr>
      <w:instrText xml:space="preserve"> </w:instrText>
    </w:r>
    <w:r w:rsidR="00EC4E49">
      <w:instrText>PAGE</w:instrText>
    </w:r>
    <w:r w:rsidR="00EC4E49" w:rsidRPr="00C63F09">
      <w:rPr>
        <w:lang w:val="ru-RU"/>
      </w:rPr>
      <w:instrText xml:space="preserve">  \* </w:instrText>
    </w:r>
    <w:r w:rsidR="00EC4E49">
      <w:instrText>MERGEFORMAT</w:instrText>
    </w:r>
    <w:r w:rsidR="00EC4E49" w:rsidRPr="00C63F09">
      <w:rPr>
        <w:lang w:val="ru-RU"/>
      </w:rPr>
      <w:instrText xml:space="preserve"> </w:instrText>
    </w:r>
    <w:r w:rsidR="00EC4E49">
      <w:fldChar w:fldCharType="separate"/>
    </w:r>
    <w:r w:rsidR="00295B0D" w:rsidRPr="00295B0D">
      <w:rPr>
        <w:noProof/>
        <w:lang w:val="ru-RU"/>
      </w:rPr>
      <w:t>2</w:t>
    </w:r>
    <w:r w:rsidR="00EC4E49">
      <w:fldChar w:fldCharType="end"/>
    </w:r>
  </w:p>
  <w:p w:rsidR="008A134B" w:rsidRPr="00C63F09" w:rsidRDefault="008A134B" w:rsidP="00477D6B">
    <w:pPr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B35" w:rsidRDefault="00D70B35" w:rsidP="00D70B35">
    <w:pPr>
      <w:pStyle w:val="Header"/>
      <w:jc w:val="right"/>
    </w:pPr>
    <w:r w:rsidRPr="00254057">
      <w:t>WO/GA/49/</w:t>
    </w:r>
    <w:r w:rsidR="00C46E17">
      <w:t>19</w:t>
    </w:r>
  </w:p>
  <w:p w:rsidR="00D70B35" w:rsidRPr="00C63F09" w:rsidRDefault="00C63F09" w:rsidP="00D70B35">
    <w:pPr>
      <w:pStyle w:val="Header"/>
      <w:jc w:val="right"/>
      <w:rPr>
        <w:lang w:val="ru-RU"/>
      </w:rPr>
    </w:pPr>
    <w:r>
      <w:rPr>
        <w:lang w:val="ru-RU"/>
      </w:rPr>
      <w:t>ПРИЛОЖЕНИЕ</w:t>
    </w:r>
  </w:p>
  <w:p w:rsidR="00D70B35" w:rsidRDefault="00D70B35" w:rsidP="00D70B3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15267"/>
    <w:multiLevelType w:val="hybridMultilevel"/>
    <w:tmpl w:val="E7F06C0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4704FD5"/>
    <w:multiLevelType w:val="hybridMultilevel"/>
    <w:tmpl w:val="E4A888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425DAD"/>
    <w:multiLevelType w:val="hybridMultilevel"/>
    <w:tmpl w:val="07602EE6"/>
    <w:lvl w:ilvl="0" w:tplc="10BC53CC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7570B23"/>
    <w:multiLevelType w:val="hybridMultilevel"/>
    <w:tmpl w:val="BCC8F33A"/>
    <w:lvl w:ilvl="0" w:tplc="ACD60694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12F4A94"/>
    <w:multiLevelType w:val="hybridMultilevel"/>
    <w:tmpl w:val="A7526C36"/>
    <w:lvl w:ilvl="0" w:tplc="31C80DA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Administration &amp; Finance\Admin Main|TextBase TMs\WorkspaceRTS\Administration &amp; Finance\Legacy PBC|TextBase TMs\WorkspaceRTS\Administration &amp; Finance\PBC|TextBase TMs\WorkspaceRTS\Administration &amp; Finance\SRR|TextBase TMs\WorkspaceRTS\Brands, Designs &amp; DN\Lisbon|TextBase TMs\WorkspaceRTS\Brands, Designs &amp; DN\Lisbon_Inst|TextBase TMs\WorkspaceRTS\Brands, Designs &amp; DN\SCT|TextBase TMs\WorkspaceRTS\Brands, Designs &amp; DN\Tm&amp;InD|TextBase TMs\WorkspaceRTS\Brands, Designs &amp; DN\Tm&amp;InD_Inst|TextBase TMs\WorkspaceRTS\Copyright\Copyright Instruments|TextBase TMs\WorkspaceRTS\Copyright\Copyright_General|TextBase TMs\WorkspaceRTS\Copyright\Copyright_Main|TextBase TMs\WorkspaceRTS\Development\Development|TextBase TMs\WorkspaceRTS\Development\temp_cdip|TextBase TMs\WorkspaceRTS\GRTKF\GRTKF|TextBase TMs\WorkspaceRTS\GRTKF\GRTKF_temp|TextBase TMs\WorkspaceRTS\GRTKF\UPOV|TextBase TMs\WorkspaceRTS\Outreach\Academy|TextBase TMs\WorkspaceRTS\Outreach\Enforcement|TextBase TMs\WorkspaceRTS\Outreach\Outreach|TextBase TMs\WorkspaceRTS\Outreach\Pressroom|TextBase TMs\WorkspaceRTS\Treaties &amp; Laws\Other Treaties&amp;Laws"/>
    <w:docVar w:name="TextBaseURL" w:val="empty"/>
    <w:docVar w:name="UILng" w:val="en"/>
  </w:docVars>
  <w:rsids>
    <w:rsidRoot w:val="00DE0EAD"/>
    <w:rsid w:val="0001730C"/>
    <w:rsid w:val="00030FBE"/>
    <w:rsid w:val="00043CAA"/>
    <w:rsid w:val="0004632A"/>
    <w:rsid w:val="00075432"/>
    <w:rsid w:val="000968ED"/>
    <w:rsid w:val="000B45EE"/>
    <w:rsid w:val="000C16AA"/>
    <w:rsid w:val="000F5E56"/>
    <w:rsid w:val="001101D0"/>
    <w:rsid w:val="001362EE"/>
    <w:rsid w:val="001647D5"/>
    <w:rsid w:val="00170016"/>
    <w:rsid w:val="001825D8"/>
    <w:rsid w:val="001832A6"/>
    <w:rsid w:val="0021217E"/>
    <w:rsid w:val="0024138C"/>
    <w:rsid w:val="00254057"/>
    <w:rsid w:val="002634C4"/>
    <w:rsid w:val="002928D3"/>
    <w:rsid w:val="00295B0D"/>
    <w:rsid w:val="002E773B"/>
    <w:rsid w:val="002F1FE6"/>
    <w:rsid w:val="002F4E68"/>
    <w:rsid w:val="00312F7F"/>
    <w:rsid w:val="003245D4"/>
    <w:rsid w:val="00361450"/>
    <w:rsid w:val="003673CF"/>
    <w:rsid w:val="003845C1"/>
    <w:rsid w:val="003A6F89"/>
    <w:rsid w:val="003B38C1"/>
    <w:rsid w:val="003C4232"/>
    <w:rsid w:val="003D171D"/>
    <w:rsid w:val="003F1390"/>
    <w:rsid w:val="00403F00"/>
    <w:rsid w:val="00416CCD"/>
    <w:rsid w:val="00423E3E"/>
    <w:rsid w:val="00427AF4"/>
    <w:rsid w:val="004647DA"/>
    <w:rsid w:val="00465675"/>
    <w:rsid w:val="00474062"/>
    <w:rsid w:val="00477D6B"/>
    <w:rsid w:val="004B5B96"/>
    <w:rsid w:val="005019FF"/>
    <w:rsid w:val="00513424"/>
    <w:rsid w:val="0053057A"/>
    <w:rsid w:val="00560A29"/>
    <w:rsid w:val="00563144"/>
    <w:rsid w:val="005C6649"/>
    <w:rsid w:val="005E1912"/>
    <w:rsid w:val="00605827"/>
    <w:rsid w:val="00646050"/>
    <w:rsid w:val="006510E9"/>
    <w:rsid w:val="006713CA"/>
    <w:rsid w:val="00676C5C"/>
    <w:rsid w:val="0068317B"/>
    <w:rsid w:val="00684BB5"/>
    <w:rsid w:val="00685859"/>
    <w:rsid w:val="006F6288"/>
    <w:rsid w:val="0071028B"/>
    <w:rsid w:val="0075196E"/>
    <w:rsid w:val="007D1613"/>
    <w:rsid w:val="007E4C0E"/>
    <w:rsid w:val="0081310A"/>
    <w:rsid w:val="00857343"/>
    <w:rsid w:val="00895F7C"/>
    <w:rsid w:val="008A134B"/>
    <w:rsid w:val="008A2CB2"/>
    <w:rsid w:val="008A4ADD"/>
    <w:rsid w:val="008B2CC1"/>
    <w:rsid w:val="008B60B2"/>
    <w:rsid w:val="008D43A1"/>
    <w:rsid w:val="008D5F7C"/>
    <w:rsid w:val="008D6BC4"/>
    <w:rsid w:val="0090731E"/>
    <w:rsid w:val="00916EE2"/>
    <w:rsid w:val="00954BA1"/>
    <w:rsid w:val="00964907"/>
    <w:rsid w:val="00966A22"/>
    <w:rsid w:val="0096722F"/>
    <w:rsid w:val="00980843"/>
    <w:rsid w:val="00987C92"/>
    <w:rsid w:val="0099587B"/>
    <w:rsid w:val="009B2808"/>
    <w:rsid w:val="009E2791"/>
    <w:rsid w:val="009E3F6F"/>
    <w:rsid w:val="009F499F"/>
    <w:rsid w:val="00A03E42"/>
    <w:rsid w:val="00A06865"/>
    <w:rsid w:val="00A07101"/>
    <w:rsid w:val="00A30352"/>
    <w:rsid w:val="00A42DAF"/>
    <w:rsid w:val="00A45BD8"/>
    <w:rsid w:val="00A83646"/>
    <w:rsid w:val="00A869B7"/>
    <w:rsid w:val="00AC205C"/>
    <w:rsid w:val="00AF0A6B"/>
    <w:rsid w:val="00B05A69"/>
    <w:rsid w:val="00B05D88"/>
    <w:rsid w:val="00B85C60"/>
    <w:rsid w:val="00B870F9"/>
    <w:rsid w:val="00B9734B"/>
    <w:rsid w:val="00BA30E2"/>
    <w:rsid w:val="00C0254D"/>
    <w:rsid w:val="00C0463A"/>
    <w:rsid w:val="00C07FF7"/>
    <w:rsid w:val="00C11BFE"/>
    <w:rsid w:val="00C12EE4"/>
    <w:rsid w:val="00C35048"/>
    <w:rsid w:val="00C46E17"/>
    <w:rsid w:val="00C5068F"/>
    <w:rsid w:val="00C63F09"/>
    <w:rsid w:val="00C86D74"/>
    <w:rsid w:val="00CA16E1"/>
    <w:rsid w:val="00CA5DC5"/>
    <w:rsid w:val="00CC5032"/>
    <w:rsid w:val="00CD04F1"/>
    <w:rsid w:val="00D45252"/>
    <w:rsid w:val="00D67AA3"/>
    <w:rsid w:val="00D70B35"/>
    <w:rsid w:val="00D71B4D"/>
    <w:rsid w:val="00D93D55"/>
    <w:rsid w:val="00DA35E7"/>
    <w:rsid w:val="00DE0EAD"/>
    <w:rsid w:val="00E0789F"/>
    <w:rsid w:val="00E15015"/>
    <w:rsid w:val="00E335FE"/>
    <w:rsid w:val="00EA7D6E"/>
    <w:rsid w:val="00EB6278"/>
    <w:rsid w:val="00EC4E49"/>
    <w:rsid w:val="00ED4C82"/>
    <w:rsid w:val="00ED77FB"/>
    <w:rsid w:val="00EE45FA"/>
    <w:rsid w:val="00EE7952"/>
    <w:rsid w:val="00F019EC"/>
    <w:rsid w:val="00F10ED0"/>
    <w:rsid w:val="00F416F9"/>
    <w:rsid w:val="00F44256"/>
    <w:rsid w:val="00F66152"/>
    <w:rsid w:val="00F708ED"/>
    <w:rsid w:val="00F70BF3"/>
    <w:rsid w:val="00F8567F"/>
    <w:rsid w:val="00FA2910"/>
    <w:rsid w:val="00FA7208"/>
    <w:rsid w:val="00FB066E"/>
    <w:rsid w:val="00FB63C6"/>
    <w:rsid w:val="00FD1C08"/>
    <w:rsid w:val="00FD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paragraph" w:customStyle="1" w:styleId="Default">
    <w:name w:val="Default"/>
    <w:uiPriority w:val="99"/>
    <w:rsid w:val="0001730C"/>
    <w:rPr>
      <w:rFonts w:ascii="Arial" w:hAnsi="Arial" w:cs="Arial"/>
      <w:color w:val="000000"/>
      <w:sz w:val="24"/>
      <w:lang w:val="en-US" w:eastAsia="en-US"/>
    </w:rPr>
  </w:style>
  <w:style w:type="table" w:styleId="TableGrid">
    <w:name w:val="Table Grid"/>
    <w:basedOn w:val="TableNormal"/>
    <w:uiPriority w:val="59"/>
    <w:rsid w:val="0001730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E0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0EAD"/>
    <w:rPr>
      <w:rFonts w:ascii="Tahoma" w:eastAsia="SimSun" w:hAnsi="Tahoma" w:cs="Tahoma"/>
      <w:sz w:val="16"/>
      <w:szCs w:val="16"/>
      <w:lang w:val="en-US" w:eastAsia="zh-CN"/>
    </w:rPr>
  </w:style>
  <w:style w:type="character" w:customStyle="1" w:styleId="ONUMEChar">
    <w:name w:val="ONUM E Char"/>
    <w:link w:val="ONUME"/>
    <w:rsid w:val="00DE0EAD"/>
    <w:rPr>
      <w:rFonts w:ascii="Arial" w:eastAsia="SimSun" w:hAnsi="Arial" w:cs="Arial"/>
      <w:sz w:val="22"/>
      <w:lang w:val="en-US" w:eastAsia="zh-CN"/>
    </w:rPr>
  </w:style>
  <w:style w:type="character" w:customStyle="1" w:styleId="HeaderChar">
    <w:name w:val="Header Char"/>
    <w:link w:val="Header"/>
    <w:uiPriority w:val="99"/>
    <w:locked/>
    <w:rsid w:val="00D70B35"/>
    <w:rPr>
      <w:rFonts w:ascii="Arial" w:eastAsia="SimSun" w:hAnsi="Arial" w:cs="Arial"/>
      <w:sz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EE7952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SV" w:eastAsia="en-US"/>
    </w:rPr>
  </w:style>
  <w:style w:type="paragraph" w:customStyle="1" w:styleId="Default">
    <w:name w:val="Default"/>
    <w:uiPriority w:val="99"/>
    <w:rsid w:val="0001730C"/>
    <w:rPr>
      <w:rFonts w:ascii="Arial" w:hAnsi="Arial" w:cs="Arial"/>
      <w:color w:val="000000"/>
      <w:sz w:val="24"/>
      <w:lang w:val="en-US" w:eastAsia="en-US"/>
    </w:rPr>
  </w:style>
  <w:style w:type="table" w:styleId="TableGrid">
    <w:name w:val="Table Grid"/>
    <w:basedOn w:val="TableNormal"/>
    <w:uiPriority w:val="59"/>
    <w:rsid w:val="0001730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WO%20GA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E6A1E-5CE7-4D27-8A87-32A84436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GA 49 (E)</Template>
  <TotalTime>3</TotalTime>
  <Pages>3</Pages>
  <Words>764</Words>
  <Characters>3854</Characters>
  <Application>Microsoft Office Word</Application>
  <DocSecurity>0</DocSecurity>
  <Lines>963</Lines>
  <Paragraphs>288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WO/GA/49/</vt:lpstr>
    </vt:vector>
  </TitlesOfParts>
  <Company>WIPO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WO/GA/49/</dc:title>
  <dc:creator>JIAO Fei</dc:creator>
  <cp:lastModifiedBy>HÄFLIGER Patience</cp:lastModifiedBy>
  <cp:revision>5</cp:revision>
  <cp:lastPrinted>2017-10-04T15:26:00Z</cp:lastPrinted>
  <dcterms:created xsi:type="dcterms:W3CDTF">2017-10-04T15:04:00Z</dcterms:created>
  <dcterms:modified xsi:type="dcterms:W3CDTF">2017-10-04T15:26:00Z</dcterms:modified>
</cp:coreProperties>
</file>