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32" w:rsidRDefault="00FC12ED">
      <w:pPr>
        <w:widowControl w:val="0"/>
        <w:jc w:val="right"/>
        <w:rPr>
          <w:b/>
          <w:sz w:val="2"/>
          <w:szCs w:val="40"/>
        </w:rPr>
      </w:pPr>
      <w:bookmarkStart w:id="0" w:name="_GoBack"/>
      <w:bookmarkEnd w:id="0"/>
      <w:r>
        <w:rPr>
          <w:b/>
          <w:sz w:val="40"/>
          <w:szCs w:val="40"/>
        </w:rPr>
        <w:t>R</w:t>
      </w:r>
    </w:p>
    <w:p w:rsidR="00170932" w:rsidRDefault="00971EFE">
      <w:pPr>
        <w:spacing w:line="360" w:lineRule="auto"/>
        <w:ind w:left="4592"/>
        <w:rPr>
          <w:rFonts w:ascii="Arial Black" w:hAnsi="Arial Black"/>
          <w:caps/>
          <w:sz w:val="15"/>
          <w:lang w:val="ru-RU"/>
        </w:rPr>
      </w:pPr>
      <w:r>
        <w:rPr>
          <w:noProof/>
          <w:lang w:eastAsia="en-US"/>
        </w:rPr>
        <w:drawing>
          <wp:inline distT="0" distB="0" distL="0" distR="0">
            <wp:extent cx="1741170" cy="128778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1170" cy="1287780"/>
                    </a:xfrm>
                    <a:prstGeom prst="rect">
                      <a:avLst/>
                    </a:prstGeom>
                    <a:noFill/>
                    <a:ln>
                      <a:noFill/>
                    </a:ln>
                  </pic:spPr>
                </pic:pic>
              </a:graphicData>
            </a:graphic>
          </wp:inline>
        </w:drawing>
      </w:r>
    </w:p>
    <w:p w:rsidR="00170932" w:rsidRPr="00E82CFE" w:rsidRDefault="00FC12ED">
      <w:pPr>
        <w:pBdr>
          <w:top w:val="single" w:sz="4" w:space="10" w:color="auto"/>
        </w:pBdr>
        <w:spacing w:before="120"/>
        <w:jc w:val="right"/>
        <w:rPr>
          <w:rFonts w:ascii="Arial Black" w:hAnsi="Arial Black"/>
          <w:b/>
          <w:caps/>
          <w:sz w:val="15"/>
          <w:lang w:val="ru-RU"/>
        </w:rPr>
      </w:pPr>
      <w:r>
        <w:rPr>
          <w:rFonts w:ascii="Arial Black" w:hAnsi="Arial Black"/>
          <w:b/>
          <w:caps/>
          <w:sz w:val="15"/>
        </w:rPr>
        <w:t>MM</w:t>
      </w:r>
      <w:r w:rsidRPr="00E82CFE">
        <w:rPr>
          <w:rFonts w:ascii="Arial Black" w:hAnsi="Arial Black"/>
          <w:b/>
          <w:caps/>
          <w:sz w:val="15"/>
          <w:lang w:val="ru-RU"/>
        </w:rPr>
        <w:t>/</w:t>
      </w:r>
      <w:r>
        <w:rPr>
          <w:rFonts w:ascii="Arial Black" w:hAnsi="Arial Black"/>
          <w:b/>
          <w:caps/>
          <w:sz w:val="15"/>
        </w:rPr>
        <w:t>A</w:t>
      </w:r>
      <w:r w:rsidRPr="00E82CFE">
        <w:rPr>
          <w:rFonts w:ascii="Arial Black" w:hAnsi="Arial Black"/>
          <w:b/>
          <w:caps/>
          <w:sz w:val="15"/>
          <w:lang w:val="ru-RU"/>
        </w:rPr>
        <w:t>/53/2</w:t>
      </w:r>
      <w:bookmarkStart w:id="1" w:name="Code"/>
      <w:bookmarkEnd w:id="1"/>
    </w:p>
    <w:p w:rsidR="00170932" w:rsidRDefault="00FC12ED">
      <w:pPr>
        <w:jc w:val="right"/>
        <w:rPr>
          <w:rFonts w:ascii="Arial Black" w:hAnsi="Arial Black"/>
          <w:b/>
          <w:caps/>
          <w:sz w:val="15"/>
          <w:lang w:val="ru-RU"/>
        </w:rPr>
      </w:pPr>
      <w:r>
        <w:rPr>
          <w:rFonts w:ascii="Arial Black" w:hAnsi="Arial Black"/>
          <w:b/>
          <w:caps/>
          <w:sz w:val="15"/>
          <w:lang w:val="ru-RU"/>
        </w:rPr>
        <w:t>ОРИГИНАЛ:  АНГЛИЙСКИЙ</w:t>
      </w:r>
    </w:p>
    <w:p w:rsidR="00170932" w:rsidRDefault="00FC12ED">
      <w:pPr>
        <w:spacing w:line="1680" w:lineRule="auto"/>
        <w:jc w:val="right"/>
        <w:rPr>
          <w:rFonts w:ascii="Arial Black" w:hAnsi="Arial Black"/>
          <w:b/>
          <w:caps/>
          <w:sz w:val="15"/>
          <w:lang w:val="ru-RU"/>
        </w:rPr>
      </w:pPr>
      <w:r>
        <w:rPr>
          <w:rFonts w:ascii="Arial Black" w:hAnsi="Arial Black"/>
          <w:b/>
          <w:caps/>
          <w:sz w:val="15"/>
          <w:lang w:val="ru-RU"/>
        </w:rPr>
        <w:t xml:space="preserve">ДАТА:  </w:t>
      </w:r>
      <w:bookmarkStart w:id="2" w:name="Date"/>
      <w:bookmarkEnd w:id="2"/>
      <w:r>
        <w:rPr>
          <w:rFonts w:ascii="Arial Black" w:hAnsi="Arial Black"/>
          <w:b/>
          <w:caps/>
          <w:sz w:val="15"/>
          <w:lang w:val="ru-RU"/>
        </w:rPr>
        <w:t>20 сентября 2019 г.</w:t>
      </w:r>
    </w:p>
    <w:p w:rsidR="00170932" w:rsidRDefault="00FC12ED">
      <w:pPr>
        <w:pStyle w:val="Heading1"/>
        <w:rPr>
          <w:lang w:val="ru-RU"/>
        </w:rPr>
      </w:pPr>
      <w:r>
        <w:rPr>
          <w:lang w:val="ru-RU"/>
        </w:rPr>
        <w:t>Специальный союз по международной регистрации знаков</w:t>
      </w:r>
      <w:r>
        <w:rPr>
          <w:lang w:val="ru-RU"/>
        </w:rPr>
        <w:br/>
        <w:t>(Мадридский союз)</w:t>
      </w:r>
    </w:p>
    <w:p w:rsidR="00170932" w:rsidRDefault="00FC12ED">
      <w:pPr>
        <w:pStyle w:val="Heading1"/>
        <w:rPr>
          <w:lang w:val="ru-RU"/>
        </w:rPr>
      </w:pPr>
      <w:r>
        <w:rPr>
          <w:lang w:val="ru-RU"/>
        </w:rPr>
        <w:t>Ассамблея</w:t>
      </w:r>
    </w:p>
    <w:p w:rsidR="00170932" w:rsidRDefault="00FC12ED">
      <w:pPr>
        <w:spacing w:after="720"/>
        <w:rPr>
          <w:b/>
          <w:sz w:val="24"/>
          <w:lang w:val="ru-RU"/>
        </w:rPr>
      </w:pPr>
      <w:r>
        <w:rPr>
          <w:b/>
          <w:sz w:val="24"/>
          <w:lang w:val="ru-RU"/>
        </w:rPr>
        <w:t>Пятьдесят третья (23-я очередная) сессия</w:t>
      </w:r>
      <w:r>
        <w:rPr>
          <w:b/>
          <w:sz w:val="24"/>
          <w:lang w:val="ru-RU"/>
        </w:rPr>
        <w:br/>
        <w:t xml:space="preserve">Женева, 30 сентября </w:t>
      </w:r>
      <w:r>
        <w:rPr>
          <w:rFonts w:eastAsia="+mn-ea"/>
          <w:b/>
          <w:sz w:val="24"/>
          <w:lang w:val="ru-RU" w:eastAsia="en-US"/>
        </w:rPr>
        <w:t>–</w:t>
      </w:r>
      <w:r>
        <w:rPr>
          <w:b/>
          <w:sz w:val="24"/>
          <w:lang w:val="ru-RU"/>
        </w:rPr>
        <w:t xml:space="preserve"> 9 октября 2019 г.</w:t>
      </w:r>
    </w:p>
    <w:p w:rsidR="00170932" w:rsidRDefault="00FC12ED">
      <w:pPr>
        <w:rPr>
          <w:caps/>
          <w:sz w:val="24"/>
          <w:szCs w:val="24"/>
          <w:lang w:val="ru-RU"/>
        </w:rPr>
      </w:pPr>
      <w:r>
        <w:rPr>
          <w:bCs/>
          <w:caps/>
          <w:sz w:val="24"/>
          <w:szCs w:val="24"/>
          <w:lang w:val="ru-RU"/>
        </w:rPr>
        <w:t xml:space="preserve">ПРЕДЛОЖЕНИЕ О распределениИ </w:t>
      </w:r>
      <w:r>
        <w:rPr>
          <w:caps/>
          <w:sz w:val="24"/>
          <w:szCs w:val="24"/>
          <w:lang w:val="ru-RU"/>
        </w:rPr>
        <w:t xml:space="preserve">ПрофицитА </w:t>
      </w:r>
      <w:r>
        <w:rPr>
          <w:bCs/>
          <w:caps/>
          <w:sz w:val="24"/>
          <w:szCs w:val="24"/>
          <w:lang w:val="ru-RU"/>
        </w:rPr>
        <w:t>Мадридского союза</w:t>
      </w:r>
      <w:r>
        <w:rPr>
          <w:caps/>
          <w:sz w:val="24"/>
          <w:szCs w:val="24"/>
          <w:lang w:val="ru-RU"/>
        </w:rPr>
        <w:t xml:space="preserve"> в</w:t>
      </w:r>
      <w:r>
        <w:rPr>
          <w:caps/>
          <w:sz w:val="24"/>
          <w:szCs w:val="24"/>
        </w:rPr>
        <w:t> </w:t>
      </w:r>
      <w:r>
        <w:rPr>
          <w:caps/>
          <w:sz w:val="24"/>
          <w:szCs w:val="24"/>
          <w:lang w:val="ru-RU"/>
        </w:rPr>
        <w:t>двухлетний период 2020-2021 гг.</w:t>
      </w:r>
    </w:p>
    <w:p w:rsidR="00170932" w:rsidRDefault="00170932">
      <w:pPr>
        <w:rPr>
          <w:i/>
          <w:lang w:val="ru-RU"/>
        </w:rPr>
      </w:pPr>
    </w:p>
    <w:p w:rsidR="00170932" w:rsidRDefault="00FC12ED">
      <w:pPr>
        <w:rPr>
          <w:i/>
          <w:lang w:val="ru-RU"/>
        </w:rPr>
      </w:pPr>
      <w:r>
        <w:rPr>
          <w:i/>
          <w:lang w:val="ru-RU"/>
        </w:rPr>
        <w:t>Предложение, внесенное делегацией Соединенных Штатов Америки</w:t>
      </w:r>
    </w:p>
    <w:p w:rsidR="00170932" w:rsidRDefault="00170932">
      <w:pPr>
        <w:rPr>
          <w:i/>
          <w:lang w:val="ru-RU"/>
        </w:rPr>
      </w:pPr>
    </w:p>
    <w:p w:rsidR="00170932" w:rsidRDefault="00170932">
      <w:pPr>
        <w:rPr>
          <w:i/>
          <w:lang w:val="ru-RU"/>
        </w:rPr>
      </w:pPr>
    </w:p>
    <w:p w:rsidR="00170932" w:rsidRDefault="00170932">
      <w:pPr>
        <w:rPr>
          <w:i/>
          <w:lang w:val="ru-RU"/>
        </w:rPr>
      </w:pPr>
    </w:p>
    <w:p w:rsidR="00170932" w:rsidRDefault="00170932">
      <w:pPr>
        <w:rPr>
          <w:i/>
          <w:lang w:val="ru-RU"/>
        </w:rPr>
      </w:pPr>
    </w:p>
    <w:p w:rsidR="00170932" w:rsidRDefault="00170932">
      <w:pPr>
        <w:rPr>
          <w:i/>
          <w:lang w:val="ru-RU"/>
        </w:rPr>
      </w:pPr>
    </w:p>
    <w:p w:rsidR="00170932" w:rsidRDefault="00FC12ED">
      <w:pPr>
        <w:rPr>
          <w:lang w:val="ru-RU"/>
        </w:rPr>
      </w:pPr>
      <w:r>
        <w:rPr>
          <w:lang w:val="ru-RU"/>
        </w:rPr>
        <w:t>В письме Секретариату, полученном 18 сентября 2019 г., делегация Соединенных Штатов Америки представила в рамках пункта повестки дня «Мадридская система» предложение, содержащееся в Приложении ниже.</w:t>
      </w:r>
    </w:p>
    <w:p w:rsidR="00170932" w:rsidRDefault="00170932">
      <w:pPr>
        <w:tabs>
          <w:tab w:val="left" w:pos="5670"/>
        </w:tabs>
        <w:ind w:left="5533"/>
        <w:rPr>
          <w:lang w:val="ru-RU"/>
        </w:rPr>
      </w:pPr>
    </w:p>
    <w:p w:rsidR="00170932" w:rsidRDefault="00170932">
      <w:pPr>
        <w:tabs>
          <w:tab w:val="left" w:pos="5670"/>
        </w:tabs>
        <w:ind w:left="5533"/>
        <w:rPr>
          <w:lang w:val="ru-RU"/>
        </w:rPr>
      </w:pPr>
    </w:p>
    <w:p w:rsidR="00170932" w:rsidRDefault="00170932">
      <w:pPr>
        <w:tabs>
          <w:tab w:val="left" w:pos="5670"/>
        </w:tabs>
        <w:ind w:left="5533"/>
        <w:rPr>
          <w:lang w:val="ru-RU"/>
        </w:rPr>
      </w:pPr>
    </w:p>
    <w:p w:rsidR="00170932" w:rsidRDefault="00FC12ED">
      <w:pPr>
        <w:tabs>
          <w:tab w:val="left" w:pos="5670"/>
        </w:tabs>
        <w:ind w:left="5533"/>
        <w:rPr>
          <w:lang w:val="ru-RU"/>
        </w:rPr>
        <w:sectPr w:rsidR="0017093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Pr>
          <w:lang w:val="ru-RU"/>
        </w:rPr>
        <w:t>[Приложение следует]</w:t>
      </w:r>
    </w:p>
    <w:p w:rsidR="00170932" w:rsidRDefault="00FC12ED">
      <w:pPr>
        <w:rPr>
          <w:lang w:val="ru-RU"/>
        </w:rPr>
      </w:pPr>
      <w:r>
        <w:rPr>
          <w:bCs/>
          <w:lang w:val="ru-RU"/>
        </w:rPr>
        <w:lastRenderedPageBreak/>
        <w:t>ПРЕДЛОЖЕНИЕ О РАСПРЕДЕЛЕНИИ ПРОФИЦИТА МАДРИДСКОГО СОЮЗА В</w:t>
      </w:r>
      <w:r>
        <w:rPr>
          <w:bCs/>
        </w:rPr>
        <w:t> </w:t>
      </w:r>
      <w:r>
        <w:rPr>
          <w:bCs/>
          <w:lang w:val="ru-RU"/>
        </w:rPr>
        <w:t xml:space="preserve">ДВУХЛЕТНЕМ ПЕРИОДЕ 2020-2021 ГГ. </w:t>
      </w:r>
    </w:p>
    <w:p w:rsidR="00170932" w:rsidRDefault="00170932">
      <w:pPr>
        <w:rPr>
          <w:i/>
          <w:lang w:val="ru-RU"/>
        </w:rPr>
      </w:pPr>
    </w:p>
    <w:p w:rsidR="00170932" w:rsidRDefault="00FC12ED">
      <w:pPr>
        <w:rPr>
          <w:i/>
          <w:lang w:val="ru-RU"/>
        </w:rPr>
      </w:pPr>
      <w:r>
        <w:rPr>
          <w:i/>
          <w:lang w:val="ru-RU"/>
        </w:rPr>
        <w:t>Внесено делегацией Соединенных Штатов Америки</w:t>
      </w:r>
    </w:p>
    <w:p w:rsidR="00170932" w:rsidRDefault="00170932">
      <w:pPr>
        <w:rPr>
          <w:caps/>
          <w:szCs w:val="22"/>
          <w:lang w:val="ru-RU"/>
        </w:rPr>
      </w:pPr>
    </w:p>
    <w:p w:rsidR="00170932" w:rsidRDefault="00FC12ED">
      <w:pPr>
        <w:pStyle w:val="ONUME"/>
        <w:spacing w:after="0"/>
        <w:rPr>
          <w:szCs w:val="22"/>
          <w:lang w:val="ru-RU"/>
        </w:rPr>
      </w:pPr>
      <w:r>
        <w:rPr>
          <w:szCs w:val="22"/>
          <w:lang w:val="ru-RU"/>
        </w:rPr>
        <w:t>Как указано в предлагаемых Программе и бюджете (документ</w:t>
      </w:r>
      <w:r>
        <w:rPr>
          <w:szCs w:val="22"/>
        </w:rPr>
        <w:t> A</w:t>
      </w:r>
      <w:r>
        <w:rPr>
          <w:szCs w:val="22"/>
          <w:lang w:val="ru-RU"/>
        </w:rPr>
        <w:t>/59/8), для Мадридского союза прогнозируется на соответствующий двухлетний период превышение доходов над расходами в размере 8,105</w:t>
      </w:r>
      <w:r>
        <w:rPr>
          <w:szCs w:val="22"/>
        </w:rPr>
        <w:t> </w:t>
      </w:r>
      <w:r>
        <w:rPr>
          <w:szCs w:val="22"/>
          <w:lang w:val="ru-RU"/>
        </w:rPr>
        <w:t xml:space="preserve">млн. шв. франков. </w:t>
      </w:r>
    </w:p>
    <w:p w:rsidR="00170932" w:rsidRDefault="00170932">
      <w:pPr>
        <w:pStyle w:val="ONUME"/>
        <w:numPr>
          <w:ilvl w:val="0"/>
          <w:numId w:val="0"/>
        </w:numPr>
        <w:spacing w:after="0"/>
        <w:rPr>
          <w:szCs w:val="22"/>
          <w:lang w:val="ru-RU"/>
        </w:rPr>
      </w:pPr>
    </w:p>
    <w:p w:rsidR="00170932" w:rsidRDefault="00FC12ED">
      <w:pPr>
        <w:pStyle w:val="ONUME"/>
        <w:spacing w:after="0"/>
        <w:rPr>
          <w:szCs w:val="22"/>
          <w:lang w:val="ru-RU"/>
        </w:rPr>
      </w:pPr>
      <w:r>
        <w:rPr>
          <w:szCs w:val="22"/>
          <w:lang w:val="ru-RU"/>
        </w:rPr>
        <w:t>Статья</w:t>
      </w:r>
      <w:r>
        <w:rPr>
          <w:szCs w:val="22"/>
        </w:rPr>
        <w:t> </w:t>
      </w:r>
      <w:r>
        <w:rPr>
          <w:szCs w:val="22"/>
          <w:lang w:val="ru-RU"/>
        </w:rPr>
        <w:t>8(4) Протокола к Мадридскому соглашению о международной регистрации знаков гласит: «</w:t>
      </w:r>
      <w:r>
        <w:rPr>
          <w:lang w:val="ru-RU"/>
        </w:rPr>
        <w:t>Годовой доход от различных поступлений за международную регистрацию, за исключением поступлений от пошлин, предусмотренных в пункте 2 "</w:t>
      </w:r>
      <w:r>
        <w:t>ii</w:t>
      </w:r>
      <w:r>
        <w:rPr>
          <w:lang w:val="ru-RU"/>
        </w:rPr>
        <w:t>" и "</w:t>
      </w:r>
      <w:r>
        <w:t>iii</w:t>
      </w:r>
      <w:r>
        <w:rPr>
          <w:lang w:val="ru-RU"/>
        </w:rPr>
        <w:t>", распределяется Международным бюро поровну между Договаривающимися Сторонами за вычетом расходов и затрат, связанных с выполнением настоящего Протокола</w:t>
      </w:r>
      <w:r>
        <w:rPr>
          <w:szCs w:val="22"/>
          <w:lang w:val="ru-RU"/>
        </w:rPr>
        <w:t>».  Положение 4.7 Финансовых положений и правил Всемирной организации интеллектуальной собственности гласит: «</w:t>
      </w:r>
      <w:r>
        <w:rPr>
          <w:lang w:val="ru-RU"/>
        </w:rPr>
        <w:t>Если после утверждения окончательной отчетности на счете любого из Союзов образуется положительное сальдо, оно перечисляется в резервный фонд, если только Генеральная Ассамблея или Ассамблея соответствующего Союза не примет иного решения</w:t>
      </w:r>
      <w:r>
        <w:rPr>
          <w:szCs w:val="22"/>
          <w:lang w:val="ru-RU"/>
        </w:rPr>
        <w:t xml:space="preserve">». </w:t>
      </w:r>
    </w:p>
    <w:p w:rsidR="00170932" w:rsidRDefault="00170932">
      <w:pPr>
        <w:pStyle w:val="ListParagraph"/>
        <w:rPr>
          <w:szCs w:val="22"/>
          <w:lang w:val="ru-RU"/>
        </w:rPr>
      </w:pPr>
    </w:p>
    <w:p w:rsidR="00170932" w:rsidRDefault="00FC12ED">
      <w:pPr>
        <w:pStyle w:val="ONUME"/>
        <w:spacing w:after="0"/>
        <w:rPr>
          <w:szCs w:val="22"/>
          <w:lang w:val="ru-RU"/>
        </w:rPr>
      </w:pPr>
      <w:r>
        <w:rPr>
          <w:szCs w:val="22"/>
          <w:lang w:val="ru-RU"/>
        </w:rPr>
        <w:t>В статье 12 Протокола к Мадридскому соглашению указывается: «Годовой сбор от различных поступлений за международную регистрацию... распределяется Международным бюро в равных частях между странами - участницами настоящего Акта после вычета расходов и необходимых затрат по выполнению указанного Акта».</w:t>
      </w:r>
    </w:p>
    <w:p w:rsidR="00170932" w:rsidRDefault="00170932">
      <w:pPr>
        <w:pStyle w:val="ListParagraph"/>
        <w:rPr>
          <w:szCs w:val="22"/>
          <w:lang w:val="ru-RU"/>
        </w:rPr>
      </w:pPr>
    </w:p>
    <w:p w:rsidR="00170932" w:rsidRDefault="00FC12ED">
      <w:pPr>
        <w:pStyle w:val="ONUME"/>
        <w:spacing w:after="0"/>
        <w:rPr>
          <w:szCs w:val="22"/>
          <w:lang w:val="ru-RU"/>
        </w:rPr>
      </w:pPr>
      <w:r>
        <w:rPr>
          <w:szCs w:val="22"/>
          <w:lang w:val="ru-RU"/>
        </w:rPr>
        <w:t>В 2007</w:t>
      </w:r>
      <w:r>
        <w:rPr>
          <w:szCs w:val="22"/>
        </w:rPr>
        <w:t> </w:t>
      </w:r>
      <w:r>
        <w:rPr>
          <w:szCs w:val="22"/>
          <w:lang w:val="ru-RU"/>
        </w:rPr>
        <w:t>г. (</w:t>
      </w:r>
      <w:r>
        <w:rPr>
          <w:szCs w:val="22"/>
        </w:rPr>
        <w:t>MM</w:t>
      </w:r>
      <w:r>
        <w:rPr>
          <w:szCs w:val="22"/>
          <w:lang w:val="ru-RU"/>
        </w:rPr>
        <w:t>/</w:t>
      </w:r>
      <w:r>
        <w:rPr>
          <w:szCs w:val="22"/>
        </w:rPr>
        <w:t>A</w:t>
      </w:r>
      <w:r>
        <w:rPr>
          <w:szCs w:val="22"/>
          <w:lang w:val="ru-RU"/>
        </w:rPr>
        <w:t>/38/4) Секретариат ВОИС разъяснил критерии распределения профицита Мадридского союза и недавнюю историю такого распределения следующим образом:</w:t>
      </w:r>
    </w:p>
    <w:p w:rsidR="00170932" w:rsidRDefault="00170932">
      <w:pPr>
        <w:pStyle w:val="ListParagraph"/>
        <w:rPr>
          <w:szCs w:val="22"/>
          <w:lang w:val="ru-RU"/>
        </w:rPr>
      </w:pPr>
    </w:p>
    <w:p w:rsidR="00170932" w:rsidRDefault="00FC12ED">
      <w:pPr>
        <w:pStyle w:val="ONUME"/>
        <w:numPr>
          <w:ilvl w:val="0"/>
          <w:numId w:val="7"/>
        </w:numPr>
        <w:spacing w:after="0"/>
        <w:ind w:left="720"/>
        <w:rPr>
          <w:szCs w:val="22"/>
          <w:lang w:val="ru-RU"/>
        </w:rPr>
      </w:pPr>
      <w:r>
        <w:rPr>
          <w:szCs w:val="22"/>
          <w:lang w:val="ru-RU"/>
        </w:rPr>
        <w:t>Статья 8(4) Соглашения и статья 8(4) Протокола устанавливают, что ежегодный итог различных поступлений от международной регистрации, за исключением поступлений от дополнительных и добавочных пошлин, делится Международным бюро поровну между Договаривающимися сторонами, за вычетом расходов и удержаний, связанных с деятельностью по выполнению Соглашения и Протокола.</w:t>
      </w:r>
    </w:p>
    <w:p w:rsidR="00170932" w:rsidRDefault="00170932">
      <w:pPr>
        <w:pStyle w:val="ONUME"/>
        <w:numPr>
          <w:ilvl w:val="0"/>
          <w:numId w:val="0"/>
        </w:numPr>
        <w:spacing w:after="0"/>
        <w:rPr>
          <w:szCs w:val="22"/>
          <w:lang w:val="ru-RU"/>
        </w:rPr>
      </w:pPr>
    </w:p>
    <w:p w:rsidR="00170932" w:rsidRDefault="00FC12ED">
      <w:pPr>
        <w:pStyle w:val="ONUME"/>
        <w:spacing w:after="0"/>
        <w:ind w:left="720"/>
        <w:rPr>
          <w:szCs w:val="22"/>
          <w:lang w:val="ru-RU"/>
        </w:rPr>
      </w:pPr>
      <w:r>
        <w:rPr>
          <w:szCs w:val="22"/>
          <w:lang w:val="ru-RU"/>
        </w:rPr>
        <w:t>При образовании любого такого профицита его распределение или использование для решения конкретных задач осуществлялись на основании решений Ассамблеи Мадридского союза. В последние 35 лет применялись разные критерии распределения.</w:t>
      </w:r>
    </w:p>
    <w:p w:rsidR="00170932" w:rsidRDefault="00170932">
      <w:pPr>
        <w:pStyle w:val="ONUME"/>
        <w:numPr>
          <w:ilvl w:val="0"/>
          <w:numId w:val="0"/>
        </w:numPr>
        <w:spacing w:after="0"/>
        <w:ind w:left="720"/>
        <w:rPr>
          <w:szCs w:val="22"/>
          <w:lang w:val="ru-RU"/>
        </w:rPr>
      </w:pPr>
    </w:p>
    <w:p w:rsidR="00170932" w:rsidRDefault="00FC12ED">
      <w:pPr>
        <w:pStyle w:val="ONUME"/>
        <w:spacing w:after="0"/>
        <w:ind w:left="720"/>
        <w:rPr>
          <w:szCs w:val="22"/>
          <w:lang w:val="ru-RU"/>
        </w:rPr>
      </w:pPr>
      <w:r>
        <w:rPr>
          <w:szCs w:val="22"/>
          <w:lang w:val="ru-RU"/>
        </w:rPr>
        <w:t xml:space="preserve">В период 1972 г. по 1983 г. между Договаривающимися сторонами Мадридского союза распределялись только десять процентов любого такого профицита. Остальные 90 процентов перечислялись в резервный фонд Мадридского союза. В период с 1984 г. по 1989 г. эти доли составляли 20 и 80 процентов, соответственно, а после 1990 г. </w:t>
      </w:r>
      <w:r>
        <w:rPr>
          <w:rFonts w:eastAsia="+mn-ea"/>
          <w:szCs w:val="22"/>
          <w:lang w:val="ru-RU" w:eastAsia="en-US"/>
        </w:rPr>
        <w:t>–</w:t>
      </w:r>
      <w:r>
        <w:rPr>
          <w:szCs w:val="22"/>
          <w:lang w:val="ru-RU"/>
        </w:rPr>
        <w:t xml:space="preserve"> 40 и 60 процентов.  Отчисления в резервный фонд союза частично обосновывались потребностями вложения средств в создание системы компьютеризации операций Мадридского союза (см. документы </w:t>
      </w:r>
      <w:r>
        <w:rPr>
          <w:szCs w:val="22"/>
        </w:rPr>
        <w:t>MM</w:t>
      </w:r>
      <w:r>
        <w:rPr>
          <w:szCs w:val="22"/>
          <w:lang w:val="ru-RU"/>
        </w:rPr>
        <w:t>/</w:t>
      </w:r>
      <w:r>
        <w:rPr>
          <w:szCs w:val="22"/>
        </w:rPr>
        <w:t>A</w:t>
      </w:r>
      <w:r>
        <w:rPr>
          <w:szCs w:val="22"/>
          <w:lang w:val="ru-RU"/>
        </w:rPr>
        <w:t>/</w:t>
      </w:r>
      <w:r>
        <w:rPr>
          <w:szCs w:val="22"/>
        </w:rPr>
        <w:t>XXI</w:t>
      </w:r>
      <w:r>
        <w:rPr>
          <w:szCs w:val="22"/>
          <w:lang w:val="ru-RU"/>
        </w:rPr>
        <w:t xml:space="preserve">/1 и 3). После 1990 г. эти средства отчислялись в Специальный резервный фонд дополнительных помещений и компьютеризации. </w:t>
      </w:r>
    </w:p>
    <w:p w:rsidR="00170932" w:rsidRDefault="00170932">
      <w:pPr>
        <w:pStyle w:val="ListParagraph"/>
        <w:rPr>
          <w:szCs w:val="22"/>
          <w:lang w:val="ru-RU"/>
        </w:rPr>
      </w:pPr>
    </w:p>
    <w:p w:rsidR="00170932" w:rsidRDefault="00FC12ED">
      <w:pPr>
        <w:pStyle w:val="ONUME"/>
        <w:spacing w:after="0"/>
        <w:ind w:left="720"/>
        <w:rPr>
          <w:szCs w:val="22"/>
          <w:lang w:val="ru-RU"/>
        </w:rPr>
      </w:pPr>
      <w:r>
        <w:rPr>
          <w:szCs w:val="22"/>
          <w:lang w:val="ru-RU"/>
        </w:rPr>
        <w:t xml:space="preserve">Критерии распределения, утвержденные в 1989 г., фактически применялись только в период с 1990 г. по 1995 г., потому что в последующие годы профицит отсутствовал. </w:t>
      </w:r>
    </w:p>
    <w:p w:rsidR="00170932" w:rsidRDefault="00170932">
      <w:pPr>
        <w:pStyle w:val="ListParagraph"/>
        <w:rPr>
          <w:szCs w:val="22"/>
          <w:lang w:val="ru-RU"/>
        </w:rPr>
      </w:pPr>
    </w:p>
    <w:p w:rsidR="00170932" w:rsidRDefault="00FC12ED">
      <w:pPr>
        <w:pStyle w:val="ONUME"/>
        <w:spacing w:after="0"/>
        <w:ind w:left="720"/>
        <w:rPr>
          <w:szCs w:val="22"/>
          <w:lang w:val="ru-RU"/>
        </w:rPr>
      </w:pPr>
      <w:r>
        <w:rPr>
          <w:szCs w:val="22"/>
          <w:lang w:val="ru-RU"/>
        </w:rPr>
        <w:t>В 2000 г. Ассамблея Мадридского союза приняла решение о том, что 100 процентов любого профицита, образующегося в двухлетний период 2000-2001 гг., будет распределяться между государствами-членами в соответствии с положениями статей 8(4) Мадридского соглашения и Протокола.  Однако никакого распределения не последовало, поскольку в конце этого двухлетнего периода бюджет Мадридского союза оказался дефицитным. Бюджет Мадридского союза также не был профицитным ни в 2002-2003</w:t>
      </w:r>
      <w:r>
        <w:rPr>
          <w:szCs w:val="22"/>
        </w:rPr>
        <w:t> </w:t>
      </w:r>
      <w:r>
        <w:rPr>
          <w:szCs w:val="22"/>
          <w:lang w:val="ru-RU"/>
        </w:rPr>
        <w:t>гг., ни в 2004-2005</w:t>
      </w:r>
      <w:r>
        <w:rPr>
          <w:szCs w:val="22"/>
        </w:rPr>
        <w:t> </w:t>
      </w:r>
      <w:r>
        <w:rPr>
          <w:szCs w:val="22"/>
          <w:lang w:val="ru-RU"/>
        </w:rPr>
        <w:t xml:space="preserve">гг. </w:t>
      </w:r>
    </w:p>
    <w:p w:rsidR="00170932" w:rsidRDefault="00170932">
      <w:pPr>
        <w:pStyle w:val="ListParagraph"/>
        <w:rPr>
          <w:szCs w:val="22"/>
          <w:lang w:val="ru-RU"/>
        </w:rPr>
      </w:pPr>
    </w:p>
    <w:p w:rsidR="00170932" w:rsidRDefault="00FC12ED">
      <w:pPr>
        <w:pStyle w:val="ONUME"/>
        <w:numPr>
          <w:ilvl w:val="0"/>
          <w:numId w:val="8"/>
        </w:numPr>
        <w:spacing w:after="0"/>
        <w:rPr>
          <w:szCs w:val="22"/>
          <w:lang w:val="ru-RU"/>
        </w:rPr>
      </w:pPr>
      <w:r>
        <w:rPr>
          <w:szCs w:val="22"/>
          <w:lang w:val="ru-RU"/>
        </w:rPr>
        <w:t xml:space="preserve">Учитывая, что в настоящее время вновь ожидается образование профицита, и в соответствии с положениями Протокола к Мадридскому соглашению и финансовому положению 4.7 ВОИС, Ассамблея Мадридского союза может принять решение о том, что годовые поступления, превышающие расходы, должны быть распределены поровну между государствами-членами Мадридского союза. </w:t>
      </w:r>
    </w:p>
    <w:p w:rsidR="00170932" w:rsidRDefault="00170932">
      <w:pPr>
        <w:pStyle w:val="ONUME"/>
        <w:numPr>
          <w:ilvl w:val="0"/>
          <w:numId w:val="0"/>
        </w:numPr>
        <w:spacing w:after="0"/>
        <w:rPr>
          <w:szCs w:val="22"/>
          <w:lang w:val="ru-RU"/>
        </w:rPr>
      </w:pPr>
    </w:p>
    <w:p w:rsidR="00170932" w:rsidRDefault="00FC12ED">
      <w:pPr>
        <w:pStyle w:val="ONUME"/>
        <w:spacing w:after="0"/>
        <w:rPr>
          <w:szCs w:val="22"/>
          <w:lang w:val="ru-RU"/>
        </w:rPr>
      </w:pPr>
      <w:r>
        <w:rPr>
          <w:szCs w:val="22"/>
          <w:lang w:val="ru-RU"/>
        </w:rPr>
        <w:t>В настоящее время Мадридский союз насчитывает 105 членов; в связи с этим предполагается, что если прогноз профицита точен, каждому члену союза причитается почти 77 000 шв. франков, которые могут быть использованы на покрытие его членских взносов за соответствующий год или на иные цели.</w:t>
      </w:r>
    </w:p>
    <w:p w:rsidR="00170932" w:rsidRDefault="00170932">
      <w:pPr>
        <w:pStyle w:val="ONUME"/>
        <w:numPr>
          <w:ilvl w:val="0"/>
          <w:numId w:val="0"/>
        </w:numPr>
        <w:spacing w:after="0"/>
        <w:rPr>
          <w:szCs w:val="22"/>
          <w:lang w:val="ru-RU"/>
        </w:rPr>
      </w:pPr>
    </w:p>
    <w:p w:rsidR="00170932" w:rsidRDefault="00FC12ED">
      <w:pPr>
        <w:pStyle w:val="ONUME"/>
        <w:spacing w:after="0"/>
        <w:rPr>
          <w:szCs w:val="22"/>
          <w:lang w:val="ru-RU"/>
        </w:rPr>
      </w:pPr>
      <w:r>
        <w:rPr>
          <w:szCs w:val="22"/>
          <w:lang w:val="ru-RU"/>
        </w:rPr>
        <w:t>Предполагаемое распределение выглядело бы следующим образом:</w:t>
      </w:r>
    </w:p>
    <w:p w:rsidR="00170932" w:rsidRDefault="00170932">
      <w:pPr>
        <w:pStyle w:val="ListParagraph"/>
        <w:rPr>
          <w:szCs w:val="22"/>
          <w:lang w:val="ru-RU"/>
        </w:rPr>
      </w:pPr>
    </w:p>
    <w:tbl>
      <w:tblPr>
        <w:tblW w:w="9403" w:type="dxa"/>
        <w:tblInd w:w="113" w:type="dxa"/>
        <w:tblLook w:val="04A0" w:firstRow="1" w:lastRow="0" w:firstColumn="1" w:lastColumn="0" w:noHBand="0" w:noVBand="1"/>
      </w:tblPr>
      <w:tblGrid>
        <w:gridCol w:w="7638"/>
        <w:gridCol w:w="1765"/>
      </w:tblGrid>
      <w:tr w:rsidR="00170932">
        <w:trPr>
          <w:trHeight w:val="825"/>
        </w:trPr>
        <w:tc>
          <w:tcPr>
            <w:tcW w:w="7638" w:type="dxa"/>
            <w:tcBorders>
              <w:top w:val="single" w:sz="4" w:space="0" w:color="auto"/>
              <w:left w:val="single" w:sz="4" w:space="0" w:color="auto"/>
              <w:bottom w:val="single" w:sz="4" w:space="0" w:color="auto"/>
              <w:right w:val="single" w:sz="4" w:space="0" w:color="auto"/>
            </w:tcBorders>
            <w:shd w:val="clear" w:color="000000" w:fill="CCFF99"/>
            <w:vAlign w:val="center"/>
          </w:tcPr>
          <w:p w:rsidR="00170932" w:rsidRDefault="00FC12ED">
            <w:pPr>
              <w:jc w:val="center"/>
              <w:rPr>
                <w:rFonts w:ascii="Calibri" w:eastAsia="Times New Roman" w:hAnsi="Calibri" w:cs="Calibri"/>
                <w:b/>
                <w:bCs/>
                <w:color w:val="000000"/>
                <w:sz w:val="28"/>
                <w:szCs w:val="28"/>
                <w:lang w:val="ru-RU" w:eastAsia="en-US"/>
              </w:rPr>
            </w:pPr>
            <w:r>
              <w:rPr>
                <w:rFonts w:ascii="Calibri" w:eastAsia="Times New Roman" w:hAnsi="Calibri" w:cs="Calibri"/>
                <w:b/>
                <w:bCs/>
                <w:color w:val="000000"/>
                <w:sz w:val="28"/>
                <w:szCs w:val="28"/>
                <w:lang w:val="ru-RU" w:eastAsia="en-US"/>
              </w:rPr>
              <w:t>Члены Мадридского союза</w:t>
            </w:r>
          </w:p>
        </w:tc>
        <w:tc>
          <w:tcPr>
            <w:tcW w:w="1765" w:type="dxa"/>
            <w:tcBorders>
              <w:top w:val="single" w:sz="4" w:space="0" w:color="auto"/>
              <w:left w:val="nil"/>
              <w:bottom w:val="single" w:sz="4" w:space="0" w:color="auto"/>
              <w:right w:val="single" w:sz="4" w:space="0" w:color="auto"/>
            </w:tcBorders>
            <w:shd w:val="clear" w:color="000000" w:fill="CCFFFF"/>
            <w:vAlign w:val="center"/>
          </w:tcPr>
          <w:p w:rsidR="00170932" w:rsidRDefault="00FC12ED">
            <w:pPr>
              <w:jc w:val="center"/>
              <w:rPr>
                <w:rFonts w:ascii="Calibri" w:eastAsia="Times New Roman" w:hAnsi="Calibri" w:cs="Calibri"/>
                <w:b/>
                <w:bCs/>
                <w:color w:val="000000"/>
                <w:sz w:val="28"/>
                <w:szCs w:val="28"/>
                <w:lang w:val="ru-RU" w:eastAsia="en-US"/>
              </w:rPr>
            </w:pPr>
            <w:r>
              <w:rPr>
                <w:rFonts w:ascii="Calibri" w:eastAsia="Times New Roman" w:hAnsi="Calibri" w:cs="Calibri"/>
                <w:b/>
                <w:bCs/>
                <w:color w:val="000000"/>
                <w:sz w:val="28"/>
                <w:szCs w:val="28"/>
                <w:lang w:val="ru-RU" w:eastAsia="en-US"/>
              </w:rPr>
              <w:t>Ожидаемый профицит (шв. франков)</w:t>
            </w:r>
          </w:p>
        </w:tc>
      </w:tr>
      <w:tr w:rsidR="00170932">
        <w:trPr>
          <w:trHeight w:val="48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000000"/>
                <w:sz w:val="28"/>
                <w:szCs w:val="28"/>
                <w:lang w:eastAsia="en-US"/>
              </w:rPr>
            </w:pPr>
            <w:proofErr w:type="spellStart"/>
            <w:r>
              <w:rPr>
                <w:rFonts w:eastAsia="Times New Roman"/>
                <w:color w:val="000000"/>
                <w:sz w:val="28"/>
                <w:szCs w:val="28"/>
                <w:lang w:eastAsia="en-US"/>
              </w:rPr>
              <w:t>Афганистан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108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val="ru-RU" w:eastAsia="en-US"/>
              </w:rPr>
            </w:pPr>
            <w:r>
              <w:rPr>
                <w:rFonts w:eastAsia="Times New Roman"/>
                <w:color w:val="3B3B3B"/>
                <w:sz w:val="28"/>
                <w:szCs w:val="28"/>
                <w:lang w:val="ru-RU" w:eastAsia="en-US"/>
              </w:rPr>
              <w:t>Африканская организация интеллектуальной собственности (АОИС)</w:t>
            </w:r>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Албания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Алжир</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Антигуа</w:t>
            </w:r>
            <w:proofErr w:type="spellEnd"/>
            <w:r>
              <w:rPr>
                <w:rFonts w:eastAsia="Times New Roman"/>
                <w:color w:val="3B3B3B"/>
                <w:sz w:val="28"/>
                <w:szCs w:val="28"/>
                <w:lang w:eastAsia="en-US"/>
              </w:rPr>
              <w:t xml:space="preserve"> и </w:t>
            </w:r>
            <w:proofErr w:type="spellStart"/>
            <w:r>
              <w:rPr>
                <w:rFonts w:eastAsia="Times New Roman"/>
                <w:color w:val="3B3B3B"/>
                <w:sz w:val="28"/>
                <w:szCs w:val="28"/>
                <w:lang w:eastAsia="en-US"/>
              </w:rPr>
              <w:t>Барбуды</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Армения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Австралия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Австрия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Азербайджан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Бахрейн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Беларусь</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Бельгия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Бутан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72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Босния</w:t>
            </w:r>
            <w:proofErr w:type="spellEnd"/>
            <w:r>
              <w:rPr>
                <w:rFonts w:eastAsia="Times New Roman"/>
                <w:color w:val="3B3B3B"/>
                <w:sz w:val="28"/>
                <w:szCs w:val="28"/>
                <w:lang w:eastAsia="en-US"/>
              </w:rPr>
              <w:t xml:space="preserve"> и </w:t>
            </w:r>
            <w:proofErr w:type="spellStart"/>
            <w:r>
              <w:rPr>
                <w:rFonts w:eastAsia="Times New Roman"/>
                <w:color w:val="3B3B3B"/>
                <w:sz w:val="28"/>
                <w:szCs w:val="28"/>
                <w:lang w:eastAsia="en-US"/>
              </w:rPr>
              <w:t>Герцеговина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Ботсвана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lastRenderedPageBreak/>
              <w:t>Бруней-Даруссалам</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Болгария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Камбоджа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Канада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Китай</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Колумбия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Хорватия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Куба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Кипр</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Чешская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Республика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72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Корейская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Народно-Демократическая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Республика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Дания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Египет</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Эстония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Эсватини</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Европейск</w:t>
            </w:r>
            <w:proofErr w:type="spellEnd"/>
            <w:r>
              <w:rPr>
                <w:rFonts w:eastAsia="Times New Roman"/>
                <w:color w:val="3B3B3B"/>
                <w:sz w:val="28"/>
                <w:szCs w:val="28"/>
                <w:lang w:val="ru-RU" w:eastAsia="en-US"/>
              </w:rPr>
              <w:t>ий</w:t>
            </w:r>
            <w:r>
              <w:rPr>
                <w:rFonts w:eastAsia="Times New Roman"/>
                <w:color w:val="3B3B3B"/>
                <w:sz w:val="28"/>
                <w:szCs w:val="28"/>
                <w:lang w:eastAsia="en-US"/>
              </w:rPr>
              <w:t xml:space="preserve"> </w:t>
            </w:r>
            <w:proofErr w:type="spellStart"/>
            <w:r>
              <w:rPr>
                <w:rFonts w:eastAsia="Times New Roman"/>
                <w:color w:val="3B3B3B"/>
                <w:sz w:val="28"/>
                <w:szCs w:val="28"/>
                <w:lang w:eastAsia="en-US"/>
              </w:rPr>
              <w:t>Союз</w:t>
            </w:r>
            <w:proofErr w:type="spellEnd"/>
            <w:r>
              <w:rPr>
                <w:rFonts w:eastAsia="Times New Roman"/>
                <w:color w:val="3B3B3B"/>
                <w:sz w:val="28"/>
                <w:szCs w:val="28"/>
                <w:lang w:eastAsia="en-US"/>
              </w:rPr>
              <w:t xml:space="preserve"> (ЕС)</w:t>
            </w:r>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Финляндия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Франция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Гамбия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Грузия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Германия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Гана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Греция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Венгрия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Исландия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Индия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Индонезия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72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Иран</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Исламская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Республика</w:t>
            </w:r>
            <w:proofErr w:type="spellEnd"/>
            <w:r>
              <w:rPr>
                <w:rFonts w:eastAsia="Times New Roman"/>
                <w:color w:val="3B3B3B"/>
                <w:sz w:val="28"/>
                <w:szCs w:val="28"/>
                <w:lang w:eastAsia="en-US"/>
              </w:rPr>
              <w:t>)</w:t>
            </w:r>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Ирландия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Израиль</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Италия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Япония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Казахстан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Кения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lastRenderedPageBreak/>
              <w:t>Киргизстан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72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Лаосская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Народно-Демократическая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Республика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Латвия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Лесото</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Либерия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Лихтенштейн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Литва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Люксембург</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Мадагаскар</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Малави</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Мексика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Монако</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Монголия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Черногория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Марокко</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Мозамбик</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Намибия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Нидерланды</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Новая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Зеландия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Северн</w:t>
            </w:r>
            <w:proofErr w:type="spellEnd"/>
            <w:r>
              <w:rPr>
                <w:rFonts w:eastAsia="Times New Roman"/>
                <w:color w:val="3B3B3B"/>
                <w:sz w:val="28"/>
                <w:szCs w:val="28"/>
                <w:lang w:val="ru-RU" w:eastAsia="en-US"/>
              </w:rPr>
              <w:t>ая</w:t>
            </w:r>
            <w:r>
              <w:rPr>
                <w:rFonts w:eastAsia="Times New Roman"/>
                <w:color w:val="3B3B3B"/>
                <w:sz w:val="28"/>
                <w:szCs w:val="28"/>
                <w:lang w:eastAsia="en-US"/>
              </w:rPr>
              <w:t xml:space="preserve"> </w:t>
            </w:r>
            <w:proofErr w:type="spellStart"/>
            <w:r>
              <w:rPr>
                <w:rFonts w:eastAsia="Times New Roman"/>
                <w:color w:val="3B3B3B"/>
                <w:sz w:val="28"/>
                <w:szCs w:val="28"/>
                <w:lang w:eastAsia="en-US"/>
              </w:rPr>
              <w:t>Македония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Норвегия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Оман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Филиппины</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Польша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Португалия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Республика</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Корея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Республика</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Молдова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Румыния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Российская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Федерация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Руанда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Самоа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Сан-Марино</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Сан-Томе</w:t>
            </w:r>
            <w:proofErr w:type="spellEnd"/>
            <w:r>
              <w:rPr>
                <w:rFonts w:eastAsia="Times New Roman"/>
                <w:color w:val="3B3B3B"/>
                <w:sz w:val="28"/>
                <w:szCs w:val="28"/>
                <w:lang w:eastAsia="en-US"/>
              </w:rPr>
              <w:t xml:space="preserve"> и </w:t>
            </w:r>
            <w:proofErr w:type="spellStart"/>
            <w:r>
              <w:rPr>
                <w:rFonts w:eastAsia="Times New Roman"/>
                <w:color w:val="3B3B3B"/>
                <w:sz w:val="28"/>
                <w:szCs w:val="28"/>
                <w:lang w:eastAsia="en-US"/>
              </w:rPr>
              <w:t>Принсипи</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Сербия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Сьерра-Леоне</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lastRenderedPageBreak/>
              <w:t>Сингапур</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Словакия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Словения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Испания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Судан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Швеция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Швейцария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Сирийская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Арабская</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Республика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Таджикистан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Таиланд</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Тунис</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Турция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Туркменистан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Украина</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Соединенное</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Королевство</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720"/>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Соединенные</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Штаты</w:t>
            </w:r>
            <w:proofErr w:type="spellEnd"/>
            <w:r>
              <w:rPr>
                <w:rFonts w:eastAsia="Times New Roman"/>
                <w:color w:val="3B3B3B"/>
                <w:sz w:val="28"/>
                <w:szCs w:val="28"/>
                <w:lang w:eastAsia="en-US"/>
              </w:rPr>
              <w:t xml:space="preserve"> </w:t>
            </w:r>
            <w:proofErr w:type="spellStart"/>
            <w:r>
              <w:rPr>
                <w:rFonts w:eastAsia="Times New Roman"/>
                <w:color w:val="3B3B3B"/>
                <w:sz w:val="28"/>
                <w:szCs w:val="28"/>
                <w:lang w:eastAsia="en-US"/>
              </w:rPr>
              <w:t>Америки</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Узбекистан</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Вьетнам</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Замбия</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r w:rsidR="00170932">
        <w:trPr>
          <w:trHeight w:val="375"/>
        </w:trPr>
        <w:tc>
          <w:tcPr>
            <w:tcW w:w="7638" w:type="dxa"/>
            <w:tcBorders>
              <w:top w:val="nil"/>
              <w:left w:val="single" w:sz="4" w:space="0" w:color="auto"/>
              <w:bottom w:val="single" w:sz="4" w:space="0" w:color="auto"/>
              <w:right w:val="single" w:sz="4" w:space="0" w:color="auto"/>
            </w:tcBorders>
            <w:shd w:val="clear" w:color="000000" w:fill="CCFF99"/>
            <w:vAlign w:val="center"/>
          </w:tcPr>
          <w:p w:rsidR="00170932" w:rsidRDefault="00FC12ED">
            <w:pPr>
              <w:jc w:val="center"/>
              <w:rPr>
                <w:rFonts w:eastAsia="Times New Roman"/>
                <w:color w:val="3B3B3B"/>
                <w:sz w:val="28"/>
                <w:szCs w:val="28"/>
                <w:lang w:eastAsia="en-US"/>
              </w:rPr>
            </w:pPr>
            <w:proofErr w:type="spellStart"/>
            <w:r>
              <w:rPr>
                <w:rFonts w:eastAsia="Times New Roman"/>
                <w:color w:val="3B3B3B"/>
                <w:sz w:val="28"/>
                <w:szCs w:val="28"/>
                <w:lang w:eastAsia="en-US"/>
              </w:rPr>
              <w:t>Зимбабве</w:t>
            </w:r>
            <w:proofErr w:type="spellEnd"/>
          </w:p>
        </w:tc>
        <w:tc>
          <w:tcPr>
            <w:tcW w:w="1765" w:type="dxa"/>
            <w:tcBorders>
              <w:top w:val="nil"/>
              <w:left w:val="nil"/>
              <w:bottom w:val="single" w:sz="4" w:space="0" w:color="auto"/>
              <w:right w:val="single" w:sz="4" w:space="0" w:color="auto"/>
            </w:tcBorders>
            <w:shd w:val="clear" w:color="000000" w:fill="CCFFFF"/>
          </w:tcPr>
          <w:p w:rsidR="00170932" w:rsidRDefault="00FC12ED">
            <w:pPr>
              <w:jc w:val="center"/>
            </w:pPr>
            <w:r>
              <w:rPr>
                <w:rFonts w:ascii="Calibri" w:eastAsia="Times New Roman" w:hAnsi="Calibri" w:cs="Calibri"/>
                <w:b/>
                <w:bCs/>
                <w:color w:val="000000"/>
                <w:sz w:val="28"/>
                <w:szCs w:val="28"/>
                <w:lang w:eastAsia="en-US"/>
              </w:rPr>
              <w:t>77</w:t>
            </w:r>
            <w:r>
              <w:rPr>
                <w:rFonts w:ascii="Calibri" w:eastAsia="Times New Roman" w:hAnsi="Calibri" w:cs="Calibri"/>
                <w:b/>
                <w:bCs/>
                <w:color w:val="000000"/>
                <w:sz w:val="28"/>
                <w:szCs w:val="28"/>
                <w:lang w:val="ru-RU" w:eastAsia="en-US"/>
              </w:rPr>
              <w:t> </w:t>
            </w:r>
            <w:r>
              <w:rPr>
                <w:rFonts w:ascii="Calibri" w:eastAsia="Times New Roman" w:hAnsi="Calibri" w:cs="Calibri"/>
                <w:b/>
                <w:bCs/>
                <w:color w:val="000000"/>
                <w:sz w:val="28"/>
                <w:szCs w:val="28"/>
                <w:lang w:eastAsia="en-US"/>
              </w:rPr>
              <w:t>190</w:t>
            </w:r>
          </w:p>
        </w:tc>
      </w:tr>
    </w:tbl>
    <w:p w:rsidR="00170932" w:rsidRDefault="00FC12ED">
      <w:pPr>
        <w:pStyle w:val="ONUME"/>
        <w:numPr>
          <w:ilvl w:val="0"/>
          <w:numId w:val="0"/>
        </w:numPr>
        <w:spacing w:after="0"/>
        <w:jc w:val="center"/>
      </w:pPr>
      <w:r>
        <w:br w:type="textWrapping" w:clear="all"/>
      </w:r>
    </w:p>
    <w:p w:rsidR="00170932" w:rsidRDefault="00FC12ED">
      <w:pPr>
        <w:pStyle w:val="ONUME"/>
        <w:spacing w:after="0"/>
        <w:ind w:left="5533"/>
        <w:rPr>
          <w:i/>
          <w:lang w:val="ru-RU"/>
        </w:rPr>
      </w:pPr>
      <w:r>
        <w:rPr>
          <w:i/>
          <w:lang w:val="ru-RU"/>
        </w:rPr>
        <w:t>Ассамблее Мадридского союза предлагается принять решение о равном распределении годовых поступлений между странами Союза в порядке, предусмотренном Протоколом к Мадридскому соглашению.</w:t>
      </w:r>
    </w:p>
    <w:p w:rsidR="00170932" w:rsidRDefault="00170932">
      <w:pPr>
        <w:tabs>
          <w:tab w:val="left" w:pos="5670"/>
        </w:tabs>
        <w:ind w:left="5534"/>
        <w:rPr>
          <w:lang w:val="ru-RU"/>
        </w:rPr>
      </w:pPr>
      <w:bookmarkStart w:id="3" w:name="TitleOfDoc"/>
      <w:bookmarkStart w:id="4" w:name="Prepared"/>
      <w:bookmarkEnd w:id="3"/>
      <w:bookmarkEnd w:id="4"/>
    </w:p>
    <w:p w:rsidR="00170932" w:rsidRDefault="00170932">
      <w:pPr>
        <w:tabs>
          <w:tab w:val="left" w:pos="5670"/>
        </w:tabs>
        <w:ind w:left="5534"/>
        <w:rPr>
          <w:lang w:val="ru-RU"/>
        </w:rPr>
      </w:pPr>
    </w:p>
    <w:p w:rsidR="00170932" w:rsidRDefault="00170932">
      <w:pPr>
        <w:tabs>
          <w:tab w:val="left" w:pos="5670"/>
        </w:tabs>
        <w:ind w:left="5534"/>
        <w:rPr>
          <w:lang w:val="ru-RU"/>
        </w:rPr>
      </w:pPr>
    </w:p>
    <w:p w:rsidR="00170932" w:rsidRDefault="00FC12ED">
      <w:pPr>
        <w:tabs>
          <w:tab w:val="left" w:pos="5670"/>
        </w:tabs>
        <w:ind w:left="5534"/>
      </w:pPr>
      <w:r>
        <w:t>[</w:t>
      </w:r>
      <w:proofErr w:type="spellStart"/>
      <w:r>
        <w:t>Конец</w:t>
      </w:r>
      <w:proofErr w:type="spellEnd"/>
      <w:r>
        <w:t xml:space="preserve"> </w:t>
      </w:r>
      <w:proofErr w:type="spellStart"/>
      <w:r>
        <w:t>Приложения</w:t>
      </w:r>
      <w:proofErr w:type="spellEnd"/>
      <w:r>
        <w:t xml:space="preserve"> и </w:t>
      </w:r>
      <w:proofErr w:type="spellStart"/>
      <w:r>
        <w:t>документа</w:t>
      </w:r>
      <w:proofErr w:type="spellEnd"/>
      <w:r>
        <w:t>]</w:t>
      </w:r>
    </w:p>
    <w:p w:rsidR="00FC12ED" w:rsidRDefault="00FC12ED"/>
    <w:sectPr w:rsidR="00FC12ED" w:rsidSect="00F84EC7">
      <w:headerReference w:type="firs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EF" w:rsidRDefault="00B82AEF">
      <w:r>
        <w:separator/>
      </w:r>
    </w:p>
  </w:endnote>
  <w:endnote w:type="continuationSeparator" w:id="0">
    <w:p w:rsidR="00B82AEF" w:rsidRDefault="00B82AEF">
      <w:r>
        <w:separator/>
      </w:r>
    </w:p>
    <w:p w:rsidR="00B82AEF" w:rsidRDefault="00B82AEF">
      <w:pPr>
        <w:spacing w:after="60"/>
        <w:rPr>
          <w:sz w:val="17"/>
        </w:rPr>
      </w:pPr>
      <w:r>
        <w:rPr>
          <w:sz w:val="17"/>
        </w:rPr>
        <w:t>[Endnote continued from previous page]</w:t>
      </w:r>
    </w:p>
  </w:endnote>
  <w:endnote w:type="continuationNotice" w:id="1">
    <w:p w:rsidR="00B82AEF" w:rsidRDefault="00B82AEF">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EF" w:rsidRDefault="00B82AEF">
      <w:r>
        <w:separator/>
      </w:r>
    </w:p>
  </w:footnote>
  <w:footnote w:type="continuationSeparator" w:id="0">
    <w:p w:rsidR="00B82AEF" w:rsidRDefault="00B82AEF">
      <w:r>
        <w:separator/>
      </w:r>
    </w:p>
    <w:p w:rsidR="00B82AEF" w:rsidRDefault="00B82AEF">
      <w:pPr>
        <w:spacing w:after="60"/>
        <w:rPr>
          <w:sz w:val="17"/>
          <w:szCs w:val="17"/>
        </w:rPr>
      </w:pPr>
      <w:r>
        <w:rPr>
          <w:sz w:val="17"/>
          <w:szCs w:val="17"/>
        </w:rPr>
        <w:t>[Footnote continued from previous page]</w:t>
      </w:r>
    </w:p>
  </w:footnote>
  <w:footnote w:type="continuationNotice" w:id="1">
    <w:p w:rsidR="00B82AEF" w:rsidRDefault="00B82AEF">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32" w:rsidRDefault="00FC12ED">
    <w:pPr>
      <w:jc w:val="right"/>
    </w:pPr>
    <w:r>
      <w:t>A/59/</w:t>
    </w:r>
  </w:p>
  <w:p w:rsidR="00170932" w:rsidRDefault="00FC12ED">
    <w:pPr>
      <w:jc w:val="right"/>
    </w:pPr>
    <w:proofErr w:type="gramStart"/>
    <w:r>
      <w:t>page</w:t>
    </w:r>
    <w:proofErr w:type="gramEnd"/>
    <w:r>
      <w:t xml:space="preserve"> </w:t>
    </w:r>
    <w:r>
      <w:fldChar w:fldCharType="begin"/>
    </w:r>
    <w:r>
      <w:instrText xml:space="preserve"> PAGE  \* MERGEFORMAT </w:instrText>
    </w:r>
    <w:r>
      <w:fldChar w:fldCharType="separate"/>
    </w:r>
    <w:r>
      <w:rPr>
        <w:noProof/>
      </w:rPr>
      <w:t>3</w:t>
    </w:r>
    <w:r>
      <w:fldChar w:fldCharType="end"/>
    </w:r>
  </w:p>
  <w:p w:rsidR="00170932" w:rsidRDefault="0017093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32" w:rsidRDefault="00F84EC7">
    <w:pPr>
      <w:jc w:val="right"/>
    </w:pPr>
    <w:r w:rsidRPr="00F84EC7">
      <w:t>MM/A/53/2</w:t>
    </w:r>
  </w:p>
  <w:p w:rsidR="00170932" w:rsidRDefault="00F84EC7">
    <w:pPr>
      <w:jc w:val="right"/>
    </w:pPr>
    <w:r w:rsidRPr="00F84EC7">
      <w:rPr>
        <w:lang w:val="ru-RU"/>
      </w:rPr>
      <w:t>Приложение</w:t>
    </w:r>
    <w:r w:rsidRPr="00F84EC7">
      <w:t xml:space="preserve">, </w:t>
    </w:r>
    <w:r w:rsidRPr="00F84EC7">
      <w:rPr>
        <w:lang w:val="ru-RU"/>
      </w:rPr>
      <w:t>стр.</w:t>
    </w:r>
    <w:r w:rsidRPr="00F84EC7">
      <w:t xml:space="preserve"> </w:t>
    </w:r>
    <w:r w:rsidRPr="00F84EC7">
      <w:fldChar w:fldCharType="begin"/>
    </w:r>
    <w:r w:rsidRPr="00F84EC7">
      <w:instrText xml:space="preserve"> PAGE </w:instrText>
    </w:r>
    <w:r w:rsidRPr="00F84EC7">
      <w:fldChar w:fldCharType="separate"/>
    </w:r>
    <w:r w:rsidR="00145AE3">
      <w:rPr>
        <w:noProof/>
      </w:rPr>
      <w:t>5</w:t>
    </w:r>
    <w:r w:rsidRPr="00F84EC7">
      <w:rPr>
        <w:lang w:val="ru-RU"/>
      </w:rPr>
      <w:fldChar w:fldCharType="end"/>
    </w:r>
  </w:p>
  <w:p w:rsidR="00170932" w:rsidRDefault="0017093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932" w:rsidRDefault="00FC12ED">
    <w:pPr>
      <w:jc w:val="right"/>
    </w:pPr>
    <w:r>
      <w:t>MM/A/53/2</w:t>
    </w:r>
  </w:p>
  <w:p w:rsidR="00170932" w:rsidRDefault="00F84EC7">
    <w:pPr>
      <w:pStyle w:val="Header"/>
      <w:jc w:val="right"/>
    </w:pPr>
    <w:r>
      <w:rPr>
        <w:szCs w:val="22"/>
        <w:lang w:val="ru-RU"/>
      </w:rPr>
      <w:t>ПРИЛОЖЕНИЕ</w:t>
    </w:r>
  </w:p>
  <w:p w:rsidR="00170932" w:rsidRDefault="00170932">
    <w:pPr>
      <w:pStyle w:val="Header"/>
    </w:pPr>
  </w:p>
  <w:p w:rsidR="00170932" w:rsidRDefault="00170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FE"/>
    <w:rsid w:val="000E08EA"/>
    <w:rsid w:val="00145AE3"/>
    <w:rsid w:val="00162D0D"/>
    <w:rsid w:val="00170932"/>
    <w:rsid w:val="003C4D81"/>
    <w:rsid w:val="00971EFE"/>
    <w:rsid w:val="00B82AEF"/>
    <w:rsid w:val="00E82CFE"/>
    <w:rsid w:val="00F84EC7"/>
    <w:rsid w:val="00FC1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9EC0A"/>
  <w15:chartTrackingRefBased/>
  <w15:docId w15:val="{4438E715-75E8-4586-973F-DBDDE32C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eastAsia="zh-CN"/>
    </w:rPr>
  </w:style>
  <w:style w:type="paragraph" w:styleId="Heading1">
    <w:name w:val="heading 1"/>
    <w:basedOn w:val="Normal"/>
    <w:next w:val="Normal"/>
    <w:autoRedefine/>
    <w:qFormat/>
    <w:pPr>
      <w:keepNext/>
      <w:spacing w:after="600"/>
      <w:outlineLvl w:val="0"/>
    </w:pPr>
    <w:rPr>
      <w:b/>
      <w:bCs/>
      <w:kern w:val="32"/>
      <w:sz w:val="28"/>
      <w:szCs w:val="32"/>
    </w:rPr>
  </w:style>
  <w:style w:type="paragraph" w:styleId="Heading2">
    <w:name w:val="heading 2"/>
    <w:basedOn w:val="Normal"/>
    <w:next w:val="Normal"/>
    <w:autoRedefine/>
    <w:qFormat/>
    <w:pPr>
      <w:keepNext/>
      <w:spacing w:before="240" w:after="220"/>
      <w:outlineLvl w:val="1"/>
    </w:pPr>
    <w:rPr>
      <w:b/>
      <w:bCs/>
      <w:iCs/>
      <w:caps/>
      <w:szCs w:val="28"/>
    </w:rPr>
  </w:style>
  <w:style w:type="paragraph" w:styleId="Heading3">
    <w:name w:val="heading 3"/>
    <w:basedOn w:val="Normal"/>
    <w:next w:val="Normal"/>
    <w:autoRedefine/>
    <w:qFormat/>
    <w:pPr>
      <w:keepNext/>
      <w:spacing w:before="240" w:after="220"/>
      <w:outlineLvl w:val="2"/>
    </w:pPr>
    <w:rPr>
      <w:bCs/>
      <w:caps/>
      <w:szCs w:val="26"/>
    </w:rPr>
  </w:style>
  <w:style w:type="paragraph" w:styleId="Heading4">
    <w:name w:val="heading 4"/>
    <w:basedOn w:val="Normal"/>
    <w:next w:val="Normal"/>
    <w:autoRedefine/>
    <w:qFormat/>
    <w:pPr>
      <w:keepNext/>
      <w:spacing w:before="240" w:after="220"/>
      <w:outlineLvl w:val="3"/>
    </w:pPr>
    <w:rPr>
      <w:bCs/>
      <w:szCs w:val="28"/>
      <w:u w:val="single"/>
    </w:rPr>
  </w:style>
  <w:style w:type="paragraph" w:styleId="Heading5">
    <w:name w:val="heading 5"/>
    <w:basedOn w:val="Normal"/>
    <w:next w:val="Normal"/>
    <w:link w:val="Heading5Char"/>
    <w:autoRedefine/>
    <w:qFormat/>
    <w:pPr>
      <w:keepNext/>
      <w:keepLines/>
      <w:spacing w:before="240" w:after="220"/>
      <w:outlineLvl w:val="4"/>
    </w:pPr>
    <w:rPr>
      <w:rFonts w:cs="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spacing w:before="720"/>
      <w:ind w:left="5530"/>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SimSun" w:hAnsi="Tahoma" w:cs="Tahoma"/>
      <w:sz w:val="16"/>
      <w:szCs w:val="16"/>
      <w:lang w:val="en-US" w:eastAsia="zh-CN"/>
    </w:rPr>
  </w:style>
  <w:style w:type="paragraph" w:styleId="NoSpacing">
    <w:name w:val="No Spacing"/>
    <w:uiPriority w:val="1"/>
    <w:qFormat/>
    <w:rPr>
      <w:rFonts w:ascii="Arial" w:eastAsia="SimSun" w:hAnsi="Arial" w:cs="Arial"/>
      <w:sz w:val="22"/>
      <w:lang w:eastAsia="zh-CN"/>
    </w:rPr>
  </w:style>
  <w:style w:type="character" w:customStyle="1" w:styleId="Heading5Char">
    <w:name w:val="Heading 5 Char"/>
    <w:link w:val="Heading5"/>
    <w:rPr>
      <w:rFonts w:ascii="Arial" w:eastAsia="SimSun" w:hAnsi="Arial" w:cs="Times New Roman"/>
      <w:i/>
      <w:sz w:val="22"/>
      <w:lang w:val="en-US" w:eastAsia="zh-CN"/>
    </w:rPr>
  </w:style>
  <w:style w:type="character" w:customStyle="1" w:styleId="HeaderChar">
    <w:name w:val="Header Char"/>
    <w:link w:val="Header"/>
    <w:uiPriority w:val="99"/>
    <w:rPr>
      <w:rFonts w:ascii="Arial" w:eastAsia="SimSun" w:hAnsi="Arial" w:cs="Arial"/>
      <w:sz w:val="22"/>
      <w:lang w:val="en-US"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992</Words>
  <Characters>5958</Characters>
  <Application>Microsoft Office Word</Application>
  <DocSecurity>0</DocSecurity>
  <Lines>330</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A/59/</vt:lpstr>
      <vt:lpstr>A/59/</vt:lpstr>
    </vt:vector>
  </TitlesOfParts>
  <Company>WIPO</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dc:title>
  <dc:subject>Fifty-Eighth Series of Meetings</dc:subject>
  <dc:creator>MARCEL DE GRIFFITHS Margarita</dc:creator>
  <cp:keywords>PUBLIC</cp:keywords>
  <cp:lastModifiedBy>HÄFLIGER Patience</cp:lastModifiedBy>
  <cp:revision>7</cp:revision>
  <cp:lastPrinted>2019-09-20T12:35:00Z</cp:lastPrinted>
  <dcterms:created xsi:type="dcterms:W3CDTF">2019-09-25T14:08:00Z</dcterms:created>
  <dcterms:modified xsi:type="dcterms:W3CDTF">2019-09-25T14:18:00Z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dcd07a3f-9136-4fe7-bada-861283343929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